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1F" w:rsidRPr="004A1B88" w:rsidRDefault="0018441F" w:rsidP="00B95BD5">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 xml:space="preserve">2014–2020 M. EUROPOS SĄJUNGOS FONDŲ INVESTICIJŲ VEIKSMŲ PROGRAMOS </w:t>
      </w:r>
      <w:r w:rsidR="00CA7D46" w:rsidRPr="004A1B88">
        <w:rPr>
          <w:rFonts w:ascii="Times New Roman" w:hAnsi="Times New Roman"/>
          <w:b/>
          <w:sz w:val="24"/>
          <w:szCs w:val="24"/>
        </w:rPr>
        <w:t>5</w:t>
      </w:r>
      <w:r w:rsidR="00EE247F" w:rsidRPr="004A1B88">
        <w:rPr>
          <w:rFonts w:ascii="Times New Roman" w:hAnsi="Times New Roman"/>
          <w:b/>
          <w:sz w:val="24"/>
          <w:szCs w:val="24"/>
        </w:rPr>
        <w:t xml:space="preserve"> </w:t>
      </w:r>
      <w:r w:rsidRPr="004A1B88">
        <w:rPr>
          <w:rFonts w:ascii="Times New Roman" w:hAnsi="Times New Roman"/>
          <w:b/>
          <w:sz w:val="24"/>
          <w:szCs w:val="24"/>
        </w:rPr>
        <w:t>PRIORITETO „</w:t>
      </w:r>
      <w:r w:rsidR="00435CBB" w:rsidRPr="004A1B88">
        <w:rPr>
          <w:rFonts w:ascii="Times New Roman" w:hAnsi="Times New Roman"/>
          <w:b/>
          <w:sz w:val="24"/>
          <w:szCs w:val="24"/>
        </w:rPr>
        <w:t>APLINKOSAUGA, GAMTOS IŠTEKLIŲ DARNUS NAUDOJIMAS IR PRISITAIKYMAS PRIE KLIMATO KAITOS</w:t>
      </w:r>
      <w:r w:rsidRPr="004A1B88">
        <w:rPr>
          <w:rFonts w:ascii="Times New Roman" w:hAnsi="Times New Roman"/>
          <w:b/>
          <w:sz w:val="24"/>
          <w:szCs w:val="24"/>
        </w:rPr>
        <w:t>“</w:t>
      </w:r>
    </w:p>
    <w:p w:rsidR="00CE2867" w:rsidRDefault="00D142E1" w:rsidP="00CE2867">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0</w:t>
      </w:r>
      <w:r w:rsidR="00435CBB" w:rsidRPr="004A1B88">
        <w:rPr>
          <w:rFonts w:ascii="Times New Roman" w:hAnsi="Times New Roman"/>
          <w:b/>
          <w:sz w:val="24"/>
          <w:szCs w:val="24"/>
        </w:rPr>
        <w:t>5</w:t>
      </w:r>
      <w:r w:rsidRPr="004A1B88">
        <w:rPr>
          <w:rFonts w:ascii="Times New Roman" w:hAnsi="Times New Roman"/>
          <w:b/>
          <w:sz w:val="24"/>
          <w:szCs w:val="24"/>
        </w:rPr>
        <w:t>.</w:t>
      </w:r>
      <w:r w:rsidR="00435CBB" w:rsidRPr="004A1B88">
        <w:rPr>
          <w:rFonts w:ascii="Times New Roman" w:hAnsi="Times New Roman"/>
          <w:b/>
          <w:sz w:val="24"/>
          <w:szCs w:val="24"/>
        </w:rPr>
        <w:t>4.1-CPVA-</w:t>
      </w:r>
      <w:r w:rsidR="00740079" w:rsidRPr="004A1B88">
        <w:rPr>
          <w:rFonts w:ascii="Times New Roman" w:hAnsi="Times New Roman"/>
          <w:b/>
          <w:sz w:val="24"/>
          <w:szCs w:val="24"/>
        </w:rPr>
        <w:t>K</w:t>
      </w:r>
      <w:r w:rsidR="00435CBB" w:rsidRPr="004A1B88">
        <w:rPr>
          <w:rFonts w:ascii="Times New Roman" w:hAnsi="Times New Roman"/>
          <w:b/>
          <w:sz w:val="24"/>
          <w:szCs w:val="24"/>
        </w:rPr>
        <w:t>-30</w:t>
      </w:r>
      <w:r w:rsidR="00740079" w:rsidRPr="004A1B88">
        <w:rPr>
          <w:rFonts w:ascii="Times New Roman" w:hAnsi="Times New Roman"/>
          <w:b/>
          <w:sz w:val="24"/>
          <w:szCs w:val="24"/>
        </w:rPr>
        <w:t>3</w:t>
      </w:r>
      <w:r w:rsidR="00DE5F65" w:rsidRPr="004A1B88">
        <w:rPr>
          <w:rFonts w:ascii="Times New Roman" w:hAnsi="Times New Roman"/>
          <w:b/>
          <w:sz w:val="24"/>
          <w:szCs w:val="24"/>
        </w:rPr>
        <w:t xml:space="preserve"> </w:t>
      </w:r>
      <w:r w:rsidR="00EA21CA" w:rsidRPr="004A1B88">
        <w:rPr>
          <w:rFonts w:ascii="Times New Roman" w:hAnsi="Times New Roman"/>
          <w:b/>
          <w:sz w:val="24"/>
          <w:szCs w:val="24"/>
        </w:rPr>
        <w:t>PRIEMONĖS „</w:t>
      </w:r>
      <w:r w:rsidR="006A7873" w:rsidRPr="004A1B88">
        <w:rPr>
          <w:rFonts w:ascii="Times New Roman" w:hAnsi="Times New Roman"/>
          <w:b/>
          <w:sz w:val="24"/>
          <w:szCs w:val="24"/>
        </w:rPr>
        <w:t xml:space="preserve">AKTUALIZUOTI </w:t>
      </w:r>
      <w:r w:rsidR="00740079" w:rsidRPr="004A1B88">
        <w:rPr>
          <w:rFonts w:ascii="Times New Roman" w:hAnsi="Times New Roman"/>
          <w:b/>
          <w:sz w:val="24"/>
          <w:szCs w:val="24"/>
        </w:rPr>
        <w:t xml:space="preserve">VIEŠĄJĮ IR PRIVATŲ </w:t>
      </w:r>
      <w:r w:rsidR="006A7873" w:rsidRPr="004A1B88">
        <w:rPr>
          <w:rFonts w:ascii="Times New Roman" w:hAnsi="Times New Roman"/>
          <w:b/>
          <w:sz w:val="24"/>
          <w:szCs w:val="24"/>
        </w:rPr>
        <w:t>KULTŪROS PAVELD</w:t>
      </w:r>
      <w:r w:rsidR="00740079" w:rsidRPr="004A1B88">
        <w:rPr>
          <w:rFonts w:ascii="Times New Roman" w:hAnsi="Times New Roman"/>
          <w:b/>
          <w:sz w:val="24"/>
          <w:szCs w:val="24"/>
        </w:rPr>
        <w:t>Ą</w:t>
      </w:r>
      <w:r w:rsidR="00EA21CA" w:rsidRPr="004A1B88">
        <w:rPr>
          <w:rFonts w:ascii="Times New Roman" w:hAnsi="Times New Roman"/>
          <w:b/>
          <w:sz w:val="24"/>
          <w:szCs w:val="24"/>
        </w:rPr>
        <w:t xml:space="preserve">“ </w:t>
      </w:r>
      <w:r w:rsidR="00331537" w:rsidRPr="004A1B88">
        <w:rPr>
          <w:rFonts w:ascii="Times New Roman" w:hAnsi="Times New Roman"/>
          <w:b/>
          <w:sz w:val="24"/>
          <w:szCs w:val="24"/>
        </w:rPr>
        <w:t>PROJEKTŲ FINANSAVIMO SĄLYGŲ APRAŠO</w:t>
      </w:r>
      <w:r w:rsidR="00CB7A52" w:rsidRPr="004A1B88">
        <w:rPr>
          <w:rFonts w:ascii="Times New Roman" w:hAnsi="Times New Roman"/>
          <w:b/>
          <w:sz w:val="24"/>
          <w:szCs w:val="24"/>
        </w:rPr>
        <w:t xml:space="preserve"> </w:t>
      </w:r>
      <w:r w:rsidR="00600E9B">
        <w:rPr>
          <w:rFonts w:ascii="Times New Roman" w:hAnsi="Times New Roman"/>
          <w:b/>
          <w:sz w:val="24"/>
          <w:szCs w:val="24"/>
        </w:rPr>
        <w:t xml:space="preserve">KEITIMO PROJEKTO </w:t>
      </w:r>
      <w:r w:rsidR="00CB7A52" w:rsidRPr="004A1B88">
        <w:rPr>
          <w:rFonts w:ascii="Times New Roman" w:hAnsi="Times New Roman"/>
          <w:b/>
          <w:sz w:val="24"/>
          <w:szCs w:val="24"/>
        </w:rPr>
        <w:t>(</w:t>
      </w:r>
      <w:r w:rsidR="000E4D84" w:rsidRPr="004A1B88">
        <w:rPr>
          <w:rFonts w:ascii="Times New Roman" w:hAnsi="Times New Roman"/>
          <w:b/>
          <w:sz w:val="24"/>
          <w:szCs w:val="24"/>
        </w:rPr>
        <w:t xml:space="preserve">TOLIAU </w:t>
      </w:r>
      <w:r w:rsidR="00740079" w:rsidRPr="004A1B88">
        <w:rPr>
          <w:rFonts w:ascii="Times New Roman" w:hAnsi="Times New Roman"/>
          <w:b/>
          <w:sz w:val="24"/>
          <w:szCs w:val="24"/>
        </w:rPr>
        <w:t>–</w:t>
      </w:r>
      <w:r w:rsidR="000E4D84" w:rsidRPr="004A1B88">
        <w:rPr>
          <w:rFonts w:ascii="Times New Roman" w:hAnsi="Times New Roman"/>
          <w:b/>
          <w:sz w:val="24"/>
          <w:szCs w:val="24"/>
        </w:rPr>
        <w:t xml:space="preserve"> </w:t>
      </w:r>
      <w:r w:rsidR="00331537" w:rsidRPr="004A1B88">
        <w:rPr>
          <w:rFonts w:ascii="Times New Roman" w:hAnsi="Times New Roman"/>
          <w:b/>
          <w:sz w:val="24"/>
          <w:szCs w:val="24"/>
        </w:rPr>
        <w:t>A</w:t>
      </w:r>
      <w:r w:rsidR="000E4D84" w:rsidRPr="004A1B88">
        <w:rPr>
          <w:rFonts w:ascii="Times New Roman" w:hAnsi="Times New Roman"/>
          <w:b/>
          <w:sz w:val="24"/>
          <w:szCs w:val="24"/>
        </w:rPr>
        <w:t>PRAŠAS</w:t>
      </w:r>
      <w:r w:rsidR="00CB7A52" w:rsidRPr="004A1B88">
        <w:rPr>
          <w:rFonts w:ascii="Times New Roman" w:hAnsi="Times New Roman"/>
          <w:b/>
          <w:sz w:val="24"/>
          <w:szCs w:val="24"/>
        </w:rPr>
        <w:t xml:space="preserve">) </w:t>
      </w:r>
      <w:r w:rsidR="00EA21CA" w:rsidRPr="004A1B88">
        <w:rPr>
          <w:rFonts w:ascii="Times New Roman" w:hAnsi="Times New Roman"/>
          <w:b/>
          <w:sz w:val="24"/>
          <w:szCs w:val="24"/>
        </w:rPr>
        <w:t xml:space="preserve">DERINIMO PAŽYMA NR. </w:t>
      </w:r>
      <w:r w:rsidR="00B209BA">
        <w:rPr>
          <w:rFonts w:ascii="Times New Roman" w:hAnsi="Times New Roman"/>
          <w:b/>
          <w:sz w:val="24"/>
          <w:szCs w:val="24"/>
        </w:rPr>
        <w:t>3</w:t>
      </w:r>
    </w:p>
    <w:tbl>
      <w:tblPr>
        <w:tblpPr w:leftFromText="180" w:rightFromText="180" w:vertAnchor="text" w:horzAnchor="margin" w:tblpX="-164" w:tblpY="530"/>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7229"/>
        <w:gridCol w:w="5880"/>
      </w:tblGrid>
      <w:tr w:rsidR="00CE2867" w:rsidRPr="004A1B88" w:rsidTr="0022279B">
        <w:tc>
          <w:tcPr>
            <w:tcW w:w="2235" w:type="dxa"/>
            <w:shd w:val="clear" w:color="auto" w:fill="FFFFFF" w:themeFill="background1"/>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Institucijos pavadinimas, rašto data ir numeris</w:t>
            </w:r>
          </w:p>
        </w:tc>
        <w:tc>
          <w:tcPr>
            <w:tcW w:w="7229" w:type="dxa"/>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Pastabos ir pasiūlymai</w:t>
            </w:r>
          </w:p>
        </w:tc>
        <w:tc>
          <w:tcPr>
            <w:tcW w:w="5880" w:type="dxa"/>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Žyma apie priimtas ir nepriimtas (nurodyti motyvus) pastabas ir pasiūlymus</w:t>
            </w:r>
          </w:p>
        </w:tc>
      </w:tr>
      <w:tr w:rsidR="00CE2867" w:rsidRPr="004A1B88" w:rsidTr="0022279B">
        <w:tc>
          <w:tcPr>
            <w:tcW w:w="2235" w:type="dxa"/>
            <w:tcBorders>
              <w:bottom w:val="single" w:sz="4" w:space="0" w:color="auto"/>
            </w:tcBorders>
            <w:shd w:val="clear" w:color="auto" w:fill="FFFFFF" w:themeFill="background1"/>
          </w:tcPr>
          <w:p w:rsidR="00070468" w:rsidRPr="0015164B" w:rsidRDefault="00A9166A" w:rsidP="0022279B">
            <w:pPr>
              <w:pStyle w:val="ListParagraph"/>
              <w:numPr>
                <w:ilvl w:val="0"/>
                <w:numId w:val="28"/>
              </w:numPr>
              <w:shd w:val="clear" w:color="auto" w:fill="FFFFFF" w:themeFill="background1"/>
              <w:tabs>
                <w:tab w:val="left" w:pos="284"/>
              </w:tabs>
              <w:spacing w:after="0" w:line="240" w:lineRule="auto"/>
              <w:ind w:left="0" w:firstLine="0"/>
              <w:rPr>
                <w:rFonts w:ascii="Times New Roman" w:hAnsi="Times New Roman"/>
                <w:b/>
                <w:sz w:val="24"/>
                <w:szCs w:val="24"/>
              </w:rPr>
            </w:pPr>
            <w:r w:rsidRPr="00A9166A">
              <w:rPr>
                <w:rFonts w:ascii="Times New Roman" w:hAnsi="Times New Roman"/>
                <w:b/>
                <w:sz w:val="24"/>
                <w:szCs w:val="24"/>
              </w:rPr>
              <w:t>Labdaros ir paramos fond</w:t>
            </w:r>
            <w:r>
              <w:rPr>
                <w:rFonts w:ascii="Times New Roman" w:hAnsi="Times New Roman"/>
                <w:b/>
                <w:sz w:val="24"/>
                <w:szCs w:val="24"/>
              </w:rPr>
              <w:t xml:space="preserve">o </w:t>
            </w:r>
            <w:r w:rsidRPr="00A9166A">
              <w:rPr>
                <w:rFonts w:ascii="Times New Roman" w:hAnsi="Times New Roman"/>
                <w:b/>
                <w:sz w:val="24"/>
                <w:szCs w:val="24"/>
              </w:rPr>
              <w:t>“In corpore LT”</w:t>
            </w:r>
          </w:p>
          <w:p w:rsidR="00615474" w:rsidRPr="00615474" w:rsidRDefault="003330C2" w:rsidP="0022279B">
            <w:pPr>
              <w:shd w:val="clear" w:color="auto" w:fill="FFFFFF" w:themeFill="background1"/>
              <w:tabs>
                <w:tab w:val="left" w:pos="284"/>
              </w:tabs>
              <w:spacing w:after="0" w:line="240" w:lineRule="auto"/>
              <w:rPr>
                <w:rFonts w:ascii="Times New Roman" w:hAnsi="Times New Roman"/>
                <w:b/>
                <w:sz w:val="24"/>
                <w:szCs w:val="24"/>
              </w:rPr>
            </w:pPr>
            <w:r w:rsidRPr="003330C2">
              <w:rPr>
                <w:rFonts w:ascii="Times New Roman" w:hAnsi="Times New Roman"/>
                <w:b/>
                <w:sz w:val="24"/>
                <w:szCs w:val="24"/>
              </w:rPr>
              <w:t>201</w:t>
            </w:r>
            <w:r w:rsidR="00A9166A">
              <w:rPr>
                <w:rFonts w:ascii="Times New Roman" w:hAnsi="Times New Roman"/>
                <w:b/>
                <w:sz w:val="24"/>
                <w:szCs w:val="24"/>
              </w:rPr>
              <w:t>8</w:t>
            </w:r>
            <w:r w:rsidRPr="003330C2">
              <w:rPr>
                <w:rFonts w:ascii="Times New Roman" w:hAnsi="Times New Roman"/>
                <w:b/>
                <w:sz w:val="24"/>
                <w:szCs w:val="24"/>
              </w:rPr>
              <w:t>-</w:t>
            </w:r>
            <w:r w:rsidR="00341A62">
              <w:rPr>
                <w:rFonts w:ascii="Times New Roman" w:hAnsi="Times New Roman"/>
                <w:b/>
                <w:sz w:val="24"/>
                <w:szCs w:val="24"/>
              </w:rPr>
              <w:t>0</w:t>
            </w:r>
            <w:r w:rsidR="00872476">
              <w:rPr>
                <w:rFonts w:ascii="Times New Roman" w:hAnsi="Times New Roman"/>
                <w:b/>
                <w:sz w:val="24"/>
                <w:szCs w:val="24"/>
              </w:rPr>
              <w:t>3</w:t>
            </w:r>
            <w:r w:rsidRPr="00A40E4D">
              <w:rPr>
                <w:rFonts w:ascii="Times New Roman" w:hAnsi="Times New Roman"/>
                <w:b/>
                <w:sz w:val="24"/>
                <w:szCs w:val="24"/>
              </w:rPr>
              <w:t>-</w:t>
            </w:r>
            <w:r w:rsidR="00872476">
              <w:rPr>
                <w:rFonts w:ascii="Times New Roman" w:hAnsi="Times New Roman"/>
                <w:b/>
                <w:sz w:val="24"/>
                <w:szCs w:val="24"/>
              </w:rPr>
              <w:t>23</w:t>
            </w:r>
            <w:r w:rsidRPr="00A40E4D">
              <w:rPr>
                <w:rFonts w:ascii="Times New Roman" w:hAnsi="Times New Roman"/>
                <w:b/>
                <w:sz w:val="24"/>
                <w:szCs w:val="24"/>
              </w:rPr>
              <w:t xml:space="preserve"> </w:t>
            </w:r>
            <w:r w:rsidR="00206C9B">
              <w:rPr>
                <w:rFonts w:ascii="Times New Roman" w:hAnsi="Times New Roman"/>
                <w:b/>
                <w:sz w:val="24"/>
                <w:szCs w:val="24"/>
              </w:rPr>
              <w:t xml:space="preserve">raštas </w:t>
            </w:r>
            <w:r w:rsidRPr="003330C2">
              <w:rPr>
                <w:rFonts w:ascii="Times New Roman" w:hAnsi="Times New Roman"/>
                <w:b/>
                <w:sz w:val="24"/>
                <w:szCs w:val="24"/>
              </w:rPr>
              <w:t xml:space="preserve">Nr. </w:t>
            </w:r>
            <w:r w:rsidR="00A9166A">
              <w:rPr>
                <w:rFonts w:ascii="Times New Roman" w:hAnsi="Times New Roman"/>
                <w:b/>
                <w:sz w:val="24"/>
                <w:szCs w:val="24"/>
              </w:rPr>
              <w:t>b/n</w:t>
            </w:r>
          </w:p>
          <w:p w:rsidR="00615474" w:rsidRPr="000B705E" w:rsidRDefault="00615474" w:rsidP="0022279B">
            <w:pPr>
              <w:shd w:val="clear" w:color="auto" w:fill="FFFFFF" w:themeFill="background1"/>
              <w:tabs>
                <w:tab w:val="left" w:pos="567"/>
              </w:tabs>
              <w:spacing w:after="0"/>
              <w:rPr>
                <w:rFonts w:ascii="Times New Roman" w:hAnsi="Times New Roman"/>
                <w:b/>
                <w:sz w:val="24"/>
                <w:szCs w:val="24"/>
              </w:rPr>
            </w:pPr>
          </w:p>
        </w:tc>
        <w:tc>
          <w:tcPr>
            <w:tcW w:w="7229" w:type="dxa"/>
            <w:shd w:val="clear" w:color="auto" w:fill="FFFFFF" w:themeFill="background1"/>
          </w:tcPr>
          <w:p w:rsidR="00872476" w:rsidRPr="00CB41DA" w:rsidRDefault="00872476" w:rsidP="00872476">
            <w:pPr>
              <w:spacing w:after="0" w:line="240" w:lineRule="auto"/>
              <w:ind w:firstLine="175"/>
              <w:jc w:val="both"/>
              <w:rPr>
                <w:rFonts w:ascii="Times New Roman" w:hAnsi="Times New Roman"/>
                <w:sz w:val="24"/>
                <w:szCs w:val="24"/>
                <w:lang w:eastAsia="lt-LT"/>
              </w:rPr>
            </w:pPr>
            <w:r w:rsidRPr="00872476">
              <w:rPr>
                <w:rFonts w:ascii="Times New Roman" w:hAnsi="Times New Roman"/>
                <w:b/>
                <w:sz w:val="24"/>
                <w:szCs w:val="24"/>
              </w:rPr>
              <w:t>1.</w:t>
            </w:r>
            <w:r>
              <w:rPr>
                <w:rFonts w:ascii="Times New Roman" w:hAnsi="Times New Roman"/>
                <w:sz w:val="24"/>
                <w:szCs w:val="24"/>
              </w:rPr>
              <w:t xml:space="preserve"> </w:t>
            </w:r>
            <w:r w:rsidRPr="00CB41DA">
              <w:rPr>
                <w:rFonts w:ascii="Times New Roman" w:hAnsi="Times New Roman"/>
                <w:sz w:val="24"/>
                <w:szCs w:val="24"/>
              </w:rPr>
              <w:t xml:space="preserve">Lietuvos Respublikos viešojo administravimo įstatymo </w:t>
            </w:r>
            <w:r w:rsidRPr="00CB41DA">
              <w:rPr>
                <w:rFonts w:ascii="Times New Roman" w:hAnsi="Times New Roman"/>
                <w:bCs/>
                <w:sz w:val="24"/>
                <w:szCs w:val="24"/>
                <w:lang w:eastAsia="lt-LT"/>
              </w:rPr>
              <w:t xml:space="preserve">2 straipsnio </w:t>
            </w:r>
            <w:r w:rsidRPr="00CB41DA">
              <w:rPr>
                <w:rFonts w:ascii="Times New Roman" w:hAnsi="Times New Roman"/>
                <w:sz w:val="24"/>
                <w:szCs w:val="24"/>
                <w:lang w:eastAsia="lt-LT"/>
              </w:rPr>
              <w:t xml:space="preserve">18 punktas numato, kad: </w:t>
            </w:r>
            <w:r w:rsidRPr="00CB41DA">
              <w:rPr>
                <w:rFonts w:ascii="Times New Roman" w:hAnsi="Times New Roman"/>
                <w:b/>
                <w:sz w:val="24"/>
                <w:szCs w:val="24"/>
                <w:lang w:eastAsia="lt-LT"/>
              </w:rPr>
              <w:t>v</w:t>
            </w:r>
            <w:r w:rsidRPr="00CB41DA">
              <w:rPr>
                <w:rFonts w:ascii="Times New Roman" w:hAnsi="Times New Roman"/>
                <w:b/>
                <w:bCs/>
                <w:sz w:val="24"/>
                <w:szCs w:val="24"/>
                <w:lang w:eastAsia="lt-LT"/>
              </w:rPr>
              <w:t>iešoji paslauga</w:t>
            </w:r>
            <w:r w:rsidRPr="00CB41DA">
              <w:rPr>
                <w:rFonts w:ascii="Times New Roman" w:hAnsi="Times New Roman"/>
                <w:b/>
                <w:sz w:val="24"/>
                <w:szCs w:val="24"/>
                <w:lang w:eastAsia="lt-LT"/>
              </w:rPr>
              <w:t xml:space="preserve"> </w:t>
            </w:r>
            <w:r w:rsidRPr="00CB41DA">
              <w:rPr>
                <w:rFonts w:ascii="Times New Roman" w:hAnsi="Times New Roman"/>
                <w:b/>
                <w:i/>
                <w:iCs/>
                <w:sz w:val="24"/>
                <w:szCs w:val="24"/>
                <w:lang w:eastAsia="lt-LT"/>
              </w:rPr>
              <w:t>–</w:t>
            </w:r>
            <w:r w:rsidRPr="00CB41DA">
              <w:rPr>
                <w:rFonts w:ascii="Times New Roman" w:hAnsi="Times New Roman"/>
                <w:b/>
                <w:sz w:val="24"/>
                <w:szCs w:val="24"/>
                <w:lang w:eastAsia="lt-LT"/>
              </w:rPr>
              <w:t xml:space="preserve"> </w:t>
            </w:r>
            <w:r w:rsidRPr="00CB41DA">
              <w:rPr>
                <w:rFonts w:ascii="Times New Roman" w:hAnsi="Times New Roman"/>
                <w:sz w:val="24"/>
                <w:szCs w:val="24"/>
                <w:lang w:eastAsia="lt-LT"/>
              </w:rPr>
              <w:t xml:space="preserve">valstybės ar savivaldybių </w:t>
            </w:r>
            <w:r w:rsidRPr="00CB41DA">
              <w:rPr>
                <w:rFonts w:ascii="Times New Roman" w:hAnsi="Times New Roman"/>
                <w:color w:val="000000"/>
                <w:sz w:val="24"/>
                <w:szCs w:val="24"/>
                <w:lang w:eastAsia="lt-LT"/>
              </w:rPr>
              <w:t>kontroliuojamų juridinių</w:t>
            </w:r>
            <w:r w:rsidRPr="00CB41DA">
              <w:rPr>
                <w:rFonts w:ascii="Times New Roman" w:hAnsi="Times New Roman"/>
                <w:bCs/>
                <w:color w:val="000000"/>
                <w:sz w:val="24"/>
                <w:szCs w:val="24"/>
                <w:lang w:eastAsia="lt-LT"/>
              </w:rPr>
              <w:t xml:space="preserve"> </w:t>
            </w:r>
            <w:r w:rsidRPr="00CB41DA">
              <w:rPr>
                <w:rFonts w:ascii="Times New Roman" w:hAnsi="Times New Roman"/>
                <w:color w:val="000000"/>
                <w:sz w:val="24"/>
                <w:szCs w:val="24"/>
                <w:lang w:eastAsia="lt-LT"/>
              </w:rPr>
              <w:t>asmenų veikla teikiant</w:t>
            </w:r>
            <w:r w:rsidRPr="00CB41DA">
              <w:rPr>
                <w:rFonts w:ascii="Times New Roman" w:hAnsi="Times New Roman"/>
                <w:sz w:val="24"/>
                <w:szCs w:val="24"/>
                <w:lang w:eastAsia="lt-LT"/>
              </w:rPr>
              <w:t xml:space="preserve"> asmenims socialines, švietimo, mokslo, kultūros, sporto ir kitas įstatymų numatytas</w:t>
            </w:r>
            <w:r w:rsidRPr="00CB41DA">
              <w:rPr>
                <w:rFonts w:ascii="Times New Roman" w:hAnsi="Times New Roman"/>
                <w:bCs/>
                <w:sz w:val="24"/>
                <w:szCs w:val="24"/>
                <w:lang w:eastAsia="lt-LT"/>
              </w:rPr>
              <w:t xml:space="preserve"> </w:t>
            </w:r>
            <w:r w:rsidRPr="00CB41DA">
              <w:rPr>
                <w:rFonts w:ascii="Times New Roman" w:hAnsi="Times New Roman"/>
                <w:sz w:val="24"/>
                <w:szCs w:val="24"/>
                <w:lang w:eastAsia="lt-LT"/>
              </w:rPr>
              <w:t>paslaugas.</w:t>
            </w:r>
            <w:r w:rsidRPr="00CB41DA">
              <w:rPr>
                <w:rFonts w:ascii="Times New Roman" w:hAnsi="Times New Roman"/>
                <w:b/>
                <w:sz w:val="24"/>
                <w:szCs w:val="24"/>
                <w:lang w:eastAsia="lt-LT"/>
              </w:rPr>
              <w:t xml:space="preserve"> Įstatymų nustatytais</w:t>
            </w:r>
            <w:r w:rsidRPr="00CB41DA">
              <w:rPr>
                <w:rFonts w:ascii="Times New Roman" w:hAnsi="Times New Roman"/>
                <w:b/>
                <w:bCs/>
                <w:sz w:val="24"/>
                <w:szCs w:val="24"/>
                <w:lang w:eastAsia="lt-LT"/>
              </w:rPr>
              <w:t xml:space="preserve"> </w:t>
            </w:r>
            <w:r w:rsidRPr="00CB41DA">
              <w:rPr>
                <w:rFonts w:ascii="Times New Roman" w:hAnsi="Times New Roman"/>
                <w:b/>
                <w:sz w:val="24"/>
                <w:szCs w:val="24"/>
                <w:lang w:eastAsia="lt-LT"/>
              </w:rPr>
              <w:t>atvejais ir tvarka viešąsias paslaugas gali teikti ir kiti asmenys.</w:t>
            </w:r>
            <w:bookmarkStart w:id="0" w:name="part_9103cedd44724540bd3b23e3ae5ad554"/>
            <w:bookmarkEnd w:id="0"/>
            <w:r w:rsidRPr="00CB41DA">
              <w:rPr>
                <w:rFonts w:ascii="Times New Roman" w:hAnsi="Times New Roman"/>
                <w:b/>
                <w:sz w:val="24"/>
                <w:szCs w:val="24"/>
                <w:lang w:eastAsia="lt-LT"/>
              </w:rPr>
              <w:t xml:space="preserve"> </w:t>
            </w:r>
            <w:bookmarkStart w:id="1" w:name="part_c35f4aa3308b4327afadc14e206646a7"/>
            <w:bookmarkEnd w:id="1"/>
            <w:r w:rsidRPr="00CB41DA">
              <w:rPr>
                <w:rFonts w:ascii="Times New Roman" w:hAnsi="Times New Roman"/>
                <w:sz w:val="24"/>
                <w:szCs w:val="24"/>
                <w:lang w:eastAsia="lt-LT"/>
              </w:rPr>
              <w:t xml:space="preserve">Tuo tarpu minėto straipsnio 20 punktas numato, jog </w:t>
            </w:r>
            <w:r w:rsidRPr="00CB41DA">
              <w:rPr>
                <w:rFonts w:ascii="Times New Roman" w:hAnsi="Times New Roman"/>
                <w:b/>
                <w:sz w:val="24"/>
                <w:szCs w:val="24"/>
                <w:lang w:eastAsia="lt-LT"/>
              </w:rPr>
              <w:t>v</w:t>
            </w:r>
            <w:r w:rsidRPr="00CB41DA">
              <w:rPr>
                <w:rFonts w:ascii="Times New Roman" w:hAnsi="Times New Roman"/>
                <w:b/>
                <w:bCs/>
                <w:sz w:val="24"/>
                <w:szCs w:val="24"/>
                <w:lang w:eastAsia="lt-LT"/>
              </w:rPr>
              <w:t>iešųjų paslaugų teikimo administravimas</w:t>
            </w:r>
            <w:r w:rsidRPr="00CB41DA">
              <w:rPr>
                <w:rFonts w:ascii="Times New Roman" w:hAnsi="Times New Roman"/>
                <w:sz w:val="24"/>
                <w:szCs w:val="24"/>
                <w:lang w:eastAsia="lt-LT"/>
              </w:rPr>
              <w:t xml:space="preserve"> – viešojo administravimo subjektų veikla nustatant viešųjų paslaugų teikimo </w:t>
            </w:r>
            <w:proofErr w:type="gramStart"/>
            <w:r w:rsidRPr="00CB41DA">
              <w:rPr>
                <w:rFonts w:ascii="Times New Roman" w:hAnsi="Times New Roman"/>
                <w:sz w:val="24"/>
                <w:szCs w:val="24"/>
                <w:lang w:eastAsia="lt-LT"/>
              </w:rPr>
              <w:t>taisykles</w:t>
            </w:r>
            <w:proofErr w:type="gramEnd"/>
            <w:r w:rsidRPr="00CB41DA">
              <w:rPr>
                <w:rFonts w:ascii="Times New Roman" w:hAnsi="Times New Roman"/>
                <w:sz w:val="24"/>
                <w:szCs w:val="24"/>
                <w:lang w:eastAsia="lt-LT"/>
              </w:rPr>
              <w:t xml:space="preserve"> ir režimą, steigiant viešąsias įstaigas </w:t>
            </w:r>
            <w:r w:rsidRPr="00CB41DA">
              <w:rPr>
                <w:rFonts w:ascii="Times New Roman" w:hAnsi="Times New Roman"/>
                <w:b/>
                <w:sz w:val="24"/>
                <w:szCs w:val="24"/>
                <w:lang w:eastAsia="lt-LT"/>
              </w:rPr>
              <w:t>arba išduodant leidimus teikti viešąsias paslaugas kitiems asmenims</w:t>
            </w:r>
            <w:r w:rsidRPr="00CB41DA">
              <w:rPr>
                <w:rFonts w:ascii="Times New Roman" w:hAnsi="Times New Roman"/>
                <w:sz w:val="24"/>
                <w:szCs w:val="24"/>
                <w:lang w:eastAsia="lt-LT"/>
              </w:rPr>
              <w:t>, taip pat viešųjų paslaugų teikimo priežiūra ir kontrolė.</w:t>
            </w:r>
          </w:p>
          <w:p w:rsidR="00872476" w:rsidRPr="00CB41DA" w:rsidRDefault="00872476" w:rsidP="00872476">
            <w:pPr>
              <w:spacing w:after="0" w:line="240" w:lineRule="auto"/>
              <w:jc w:val="both"/>
              <w:rPr>
                <w:rFonts w:ascii="Times New Roman" w:hAnsi="Times New Roman"/>
                <w:sz w:val="24"/>
                <w:szCs w:val="24"/>
                <w:lang w:eastAsia="lt-LT"/>
              </w:rPr>
            </w:pPr>
            <w:r w:rsidRPr="00CB41DA">
              <w:rPr>
                <w:rFonts w:ascii="Times New Roman" w:hAnsi="Times New Roman"/>
                <w:sz w:val="24"/>
                <w:szCs w:val="24"/>
                <w:lang w:eastAsia="lt-LT"/>
              </w:rPr>
              <w:t xml:space="preserve">Apraše </w:t>
            </w:r>
            <w:r w:rsidRPr="00CB41DA">
              <w:rPr>
                <w:rFonts w:ascii="Times New Roman" w:hAnsi="Times New Roman"/>
                <w:sz w:val="24"/>
                <w:szCs w:val="24"/>
              </w:rPr>
              <w:t>buvo p</w:t>
            </w:r>
            <w:r w:rsidRPr="00CB41DA">
              <w:rPr>
                <w:rFonts w:ascii="Times New Roman" w:hAnsi="Times New Roman"/>
                <w:sz w:val="24"/>
                <w:szCs w:val="24"/>
                <w:lang w:eastAsia="lt-LT"/>
              </w:rPr>
              <w:t xml:space="preserve">akeistas 4.6 papunktis ir jis išdėstytas taip: </w:t>
            </w:r>
            <w:bookmarkStart w:id="2" w:name="part_373d95bf936e4d9aa7893411129d759c"/>
            <w:bookmarkStart w:id="3" w:name="part_cf62ddcb05304490a9fec81ccf4b5def"/>
            <w:bookmarkEnd w:id="2"/>
            <w:bookmarkEnd w:id="3"/>
            <w:r w:rsidRPr="00CB41DA">
              <w:rPr>
                <w:rFonts w:ascii="Times New Roman" w:hAnsi="Times New Roman"/>
                <w:color w:val="000000"/>
                <w:sz w:val="24"/>
                <w:szCs w:val="24"/>
                <w:lang w:eastAsia="lt-LT"/>
              </w:rPr>
              <w:t xml:space="preserve">„4.6. </w:t>
            </w:r>
            <w:r w:rsidRPr="00CB41DA">
              <w:rPr>
                <w:rFonts w:ascii="Times New Roman" w:hAnsi="Times New Roman"/>
                <w:b/>
                <w:bCs/>
                <w:sz w:val="24"/>
                <w:szCs w:val="24"/>
                <w:lang w:eastAsia="lt-LT"/>
              </w:rPr>
              <w:t>Viešoji paslauga</w:t>
            </w:r>
            <w:r w:rsidRPr="00CB41DA">
              <w:rPr>
                <w:rFonts w:ascii="Times New Roman" w:hAnsi="Times New Roman"/>
                <w:sz w:val="24"/>
                <w:szCs w:val="24"/>
                <w:lang w:eastAsia="lt-LT"/>
              </w:rPr>
              <w:t xml:space="preserve"> – </w:t>
            </w:r>
            <w:r w:rsidRPr="00CB41DA">
              <w:rPr>
                <w:rFonts w:ascii="Times New Roman" w:hAnsi="Times New Roman"/>
                <w:b/>
                <w:sz w:val="24"/>
                <w:szCs w:val="24"/>
                <w:lang w:eastAsia="lt-LT"/>
              </w:rPr>
              <w:t>valstybės ar savivaldybių kontroliuojamų juridinių</w:t>
            </w:r>
            <w:r w:rsidRPr="00CB41DA">
              <w:rPr>
                <w:rFonts w:ascii="Times New Roman" w:hAnsi="Times New Roman"/>
                <w:b/>
                <w:bCs/>
                <w:sz w:val="24"/>
                <w:szCs w:val="24"/>
                <w:lang w:eastAsia="lt-LT"/>
              </w:rPr>
              <w:t xml:space="preserve"> </w:t>
            </w:r>
            <w:r w:rsidRPr="00CB41DA">
              <w:rPr>
                <w:rFonts w:ascii="Times New Roman" w:hAnsi="Times New Roman"/>
                <w:b/>
                <w:sz w:val="24"/>
                <w:szCs w:val="24"/>
                <w:lang w:eastAsia="lt-LT"/>
              </w:rPr>
              <w:t>asmenų kultūros, socialinės, švietimo, mokslo ir kitos veiklos, teikiant asmenims paslaugas</w:t>
            </w:r>
            <w:r w:rsidRPr="00CB41DA">
              <w:rPr>
                <w:rFonts w:ascii="Times New Roman" w:hAnsi="Times New Roman"/>
                <w:sz w:val="24"/>
                <w:szCs w:val="24"/>
                <w:lang w:eastAsia="lt-LT"/>
              </w:rPr>
              <w:t xml:space="preserve"> &lt;...&gt;“. </w:t>
            </w:r>
          </w:p>
          <w:p w:rsidR="00872476" w:rsidRPr="00CB41DA" w:rsidRDefault="00872476" w:rsidP="00872476">
            <w:pPr>
              <w:spacing w:after="0" w:line="240" w:lineRule="auto"/>
              <w:jc w:val="both"/>
              <w:rPr>
                <w:rFonts w:ascii="Times New Roman" w:hAnsi="Times New Roman"/>
                <w:sz w:val="24"/>
                <w:szCs w:val="24"/>
                <w:lang w:eastAsia="lt-LT"/>
              </w:rPr>
            </w:pPr>
            <w:r w:rsidRPr="00CB41DA">
              <w:rPr>
                <w:rFonts w:ascii="Times New Roman" w:hAnsi="Times New Roman"/>
                <w:sz w:val="24"/>
                <w:szCs w:val="24"/>
                <w:lang w:eastAsia="lt-LT"/>
              </w:rPr>
              <w:t xml:space="preserve">Be to, Aprašas buvo papildytas 4.7 papunkčiu: </w:t>
            </w:r>
            <w:bookmarkStart w:id="4" w:name="part_928e3e979a1a4c7fa30e6e5fcb2087bd"/>
            <w:bookmarkStart w:id="5" w:name="part_18ffaa14d31a42d3a519a2f48bbed2ee"/>
            <w:bookmarkEnd w:id="4"/>
            <w:bookmarkEnd w:id="5"/>
            <w:r w:rsidRPr="00CB41DA">
              <w:rPr>
                <w:rFonts w:ascii="Times New Roman" w:hAnsi="Times New Roman"/>
                <w:sz w:val="24"/>
                <w:szCs w:val="24"/>
                <w:lang w:eastAsia="lt-LT"/>
              </w:rPr>
              <w:t xml:space="preserve">„4.7. </w:t>
            </w:r>
            <w:r w:rsidRPr="00CB41DA">
              <w:rPr>
                <w:rFonts w:ascii="Times New Roman" w:hAnsi="Times New Roman"/>
                <w:b/>
                <w:bCs/>
                <w:sz w:val="24"/>
                <w:szCs w:val="24"/>
                <w:lang w:eastAsia="lt-LT"/>
              </w:rPr>
              <w:t>Valstybės ar savivaldybių kontroliuojami juridiniai asmenys</w:t>
            </w:r>
            <w:r w:rsidRPr="00CB41DA">
              <w:rPr>
                <w:rFonts w:ascii="Times New Roman" w:hAnsi="Times New Roman"/>
                <w:sz w:val="24"/>
                <w:szCs w:val="24"/>
                <w:lang w:eastAsia="lt-LT"/>
              </w:rPr>
              <w:t xml:space="preserve"> – tokie juridiniai asmenys, kurių daugiau nei 50 proc. dalininkų / akcininkų yra valstybė ir (arba) savivaldybė ir valstybė ir (arba) savivaldybė turi daugiau nei 50 proc. dalininkų / akcininkų balsų, taip pat biudžetinė įstaiga, įsteigta valstybės ar savivaldybės.“</w:t>
            </w:r>
          </w:p>
          <w:p w:rsidR="00872476" w:rsidRPr="00CB41DA" w:rsidRDefault="00872476" w:rsidP="00872476">
            <w:pPr>
              <w:spacing w:after="0" w:line="240" w:lineRule="auto"/>
              <w:jc w:val="both"/>
              <w:rPr>
                <w:rFonts w:ascii="Times New Roman" w:hAnsi="Times New Roman"/>
                <w:sz w:val="24"/>
                <w:szCs w:val="24"/>
                <w:lang w:eastAsia="lt-LT"/>
              </w:rPr>
            </w:pPr>
            <w:r w:rsidRPr="00CB41DA">
              <w:rPr>
                <w:rFonts w:ascii="Times New Roman" w:hAnsi="Times New Roman"/>
                <w:b/>
                <w:sz w:val="24"/>
                <w:szCs w:val="24"/>
              </w:rPr>
              <w:t xml:space="preserve">Pažymime, kad Finansavimo sąlygų aprašą papildžius 4.7 punktu bei pakeitus 4.6 punktą, buvo nepagrįstai susiaurintas pareiškėjų, pageidaujančių teikti paraiškas pagal minėtą priemonę, ratas. </w:t>
            </w:r>
            <w:r w:rsidRPr="00CB41DA">
              <w:rPr>
                <w:rFonts w:ascii="Times New Roman" w:hAnsi="Times New Roman"/>
                <w:sz w:val="24"/>
                <w:szCs w:val="24"/>
              </w:rPr>
              <w:t xml:space="preserve">Atkreiptinas dėmesys į tai, kad tai buvo padaryta jau esant paskelbtam antrajam kvietimui ir galiojant Aprašui, kuris leido teikti paraiškas visoms organizacijoms, kurios po projekto įgyvendinimo teiks viešąją </w:t>
            </w:r>
            <w:r w:rsidRPr="00CB41DA">
              <w:rPr>
                <w:rFonts w:ascii="Times New Roman" w:hAnsi="Times New Roman"/>
                <w:sz w:val="24"/>
                <w:szCs w:val="24"/>
              </w:rPr>
              <w:lastRenderedPageBreak/>
              <w:t xml:space="preserve">paslaugą, tokiu būdu </w:t>
            </w:r>
            <w:r w:rsidRPr="00CB41DA">
              <w:rPr>
                <w:rFonts w:ascii="Times New Roman" w:hAnsi="Times New Roman"/>
                <w:b/>
                <w:sz w:val="24"/>
                <w:szCs w:val="24"/>
              </w:rPr>
              <w:t>grubiai pažeidžiant tokių organizacijų teisėtus lūkesčius</w:t>
            </w:r>
            <w:r w:rsidRPr="00CB41DA">
              <w:rPr>
                <w:rFonts w:ascii="Times New Roman" w:hAnsi="Times New Roman"/>
                <w:sz w:val="24"/>
                <w:szCs w:val="24"/>
              </w:rPr>
              <w:t xml:space="preserve">. </w:t>
            </w:r>
            <w:r w:rsidRPr="00CB41DA">
              <w:rPr>
                <w:rFonts w:ascii="Times New Roman" w:hAnsi="Times New Roman"/>
                <w:b/>
                <w:sz w:val="24"/>
                <w:szCs w:val="24"/>
              </w:rPr>
              <w:t xml:space="preserve">Neaišku dėl kokių priežasčių 4.6 papunktyje yra numatyta, jog </w:t>
            </w:r>
            <w:r w:rsidRPr="00CB41DA">
              <w:rPr>
                <w:rFonts w:ascii="Times New Roman" w:hAnsi="Times New Roman"/>
                <w:b/>
                <w:sz w:val="24"/>
                <w:szCs w:val="24"/>
                <w:lang w:eastAsia="lt-LT"/>
              </w:rPr>
              <w:t>v</w:t>
            </w:r>
            <w:r w:rsidRPr="00CB41DA">
              <w:rPr>
                <w:rFonts w:ascii="Times New Roman" w:hAnsi="Times New Roman"/>
                <w:b/>
                <w:bCs/>
                <w:sz w:val="24"/>
                <w:szCs w:val="24"/>
                <w:lang w:eastAsia="lt-LT"/>
              </w:rPr>
              <w:t>iešoji paslauga</w:t>
            </w:r>
            <w:r w:rsidRPr="00CB41DA">
              <w:rPr>
                <w:rFonts w:ascii="Times New Roman" w:hAnsi="Times New Roman"/>
                <w:b/>
                <w:sz w:val="24"/>
                <w:szCs w:val="24"/>
                <w:lang w:eastAsia="lt-LT"/>
              </w:rPr>
              <w:t xml:space="preserve"> yra valstybės ar savivaldybių </w:t>
            </w:r>
            <w:r w:rsidRPr="00CB41DA">
              <w:rPr>
                <w:rFonts w:ascii="Times New Roman" w:hAnsi="Times New Roman"/>
                <w:b/>
                <w:color w:val="000000"/>
                <w:sz w:val="24"/>
                <w:szCs w:val="24"/>
                <w:lang w:eastAsia="lt-LT"/>
              </w:rPr>
              <w:t>kontroliuojamų juridinių</w:t>
            </w:r>
            <w:r w:rsidRPr="00CB41DA">
              <w:rPr>
                <w:rFonts w:ascii="Times New Roman" w:hAnsi="Times New Roman"/>
                <w:b/>
                <w:bCs/>
                <w:color w:val="000000"/>
                <w:sz w:val="24"/>
                <w:szCs w:val="24"/>
                <w:lang w:eastAsia="lt-LT"/>
              </w:rPr>
              <w:t xml:space="preserve"> </w:t>
            </w:r>
            <w:r w:rsidRPr="00CB41DA">
              <w:rPr>
                <w:rFonts w:ascii="Times New Roman" w:hAnsi="Times New Roman"/>
                <w:b/>
                <w:color w:val="000000"/>
                <w:sz w:val="24"/>
                <w:szCs w:val="24"/>
                <w:lang w:eastAsia="lt-LT"/>
              </w:rPr>
              <w:t>asmenų veikla teikiant</w:t>
            </w:r>
            <w:r w:rsidRPr="00CB41DA">
              <w:rPr>
                <w:rFonts w:ascii="Times New Roman" w:hAnsi="Times New Roman"/>
                <w:b/>
                <w:sz w:val="24"/>
                <w:szCs w:val="24"/>
                <w:lang w:eastAsia="lt-LT"/>
              </w:rPr>
              <w:t xml:space="preserve"> asmenims socialines, švietimo, mokslo, kultūros, sporto ir kitas įstatymų numatytas</w:t>
            </w:r>
            <w:r w:rsidRPr="00CB41DA">
              <w:rPr>
                <w:rFonts w:ascii="Times New Roman" w:hAnsi="Times New Roman"/>
                <w:b/>
                <w:bCs/>
                <w:sz w:val="24"/>
                <w:szCs w:val="24"/>
                <w:lang w:eastAsia="lt-LT"/>
              </w:rPr>
              <w:t xml:space="preserve"> </w:t>
            </w:r>
            <w:r w:rsidRPr="00CB41DA">
              <w:rPr>
                <w:rFonts w:ascii="Times New Roman" w:hAnsi="Times New Roman"/>
                <w:b/>
                <w:sz w:val="24"/>
                <w:szCs w:val="24"/>
                <w:lang w:eastAsia="lt-LT"/>
              </w:rPr>
              <w:t xml:space="preserve">paslaugas, kai tuo tarpu LR viešojo administravimo įstatyme numatyta, jog viešąją paslaugą gali teikti ir kiti asmenys, </w:t>
            </w:r>
            <w:r w:rsidRPr="00CB41DA">
              <w:rPr>
                <w:rFonts w:ascii="Times New Roman" w:hAnsi="Times New Roman"/>
                <w:b/>
                <w:sz w:val="24"/>
                <w:szCs w:val="24"/>
              </w:rPr>
              <w:t xml:space="preserve">kuriems </w:t>
            </w:r>
            <w:r w:rsidRPr="00CB41DA">
              <w:rPr>
                <w:rFonts w:ascii="Times New Roman" w:hAnsi="Times New Roman"/>
                <w:b/>
                <w:sz w:val="24"/>
                <w:szCs w:val="24"/>
                <w:lang w:eastAsia="lt-LT"/>
              </w:rPr>
              <w:t>viešojo administravimo subjektai išdavė leidimus teikti viešąsias paslaugas.</w:t>
            </w:r>
          </w:p>
          <w:p w:rsidR="00872476" w:rsidRPr="00CB41DA" w:rsidRDefault="00872476" w:rsidP="00872476">
            <w:pPr>
              <w:spacing w:after="0" w:line="240" w:lineRule="auto"/>
              <w:jc w:val="both"/>
              <w:rPr>
                <w:rFonts w:ascii="Times New Roman" w:hAnsi="Times New Roman"/>
                <w:color w:val="000000"/>
                <w:sz w:val="24"/>
                <w:szCs w:val="24"/>
                <w:lang w:eastAsia="lt-LT"/>
              </w:rPr>
            </w:pPr>
            <w:r w:rsidRPr="00CB41DA">
              <w:rPr>
                <w:rFonts w:ascii="Times New Roman" w:hAnsi="Times New Roman"/>
                <w:sz w:val="24"/>
                <w:szCs w:val="24"/>
                <w:lang w:eastAsia="lt-LT"/>
              </w:rPr>
              <w:t xml:space="preserve">Tokiu būdu buvo pažeistos ne tik </w:t>
            </w:r>
            <w:proofErr w:type="gramStart"/>
            <w:r w:rsidRPr="00CB41DA">
              <w:rPr>
                <w:rFonts w:ascii="Times New Roman" w:hAnsi="Times New Roman"/>
                <w:sz w:val="24"/>
                <w:szCs w:val="24"/>
                <w:lang w:eastAsia="lt-LT"/>
              </w:rPr>
              <w:t>VAĮ bet ir</w:t>
            </w:r>
            <w:proofErr w:type="gramEnd"/>
            <w:r w:rsidRPr="00CB41DA">
              <w:rPr>
                <w:rFonts w:ascii="Times New Roman" w:hAnsi="Times New Roman"/>
                <w:sz w:val="24"/>
                <w:szCs w:val="24"/>
                <w:lang w:eastAsia="lt-LT"/>
              </w:rPr>
              <w:t xml:space="preserve"> LR vietos savivaldos įstatymo nuostatos, kurio</w:t>
            </w:r>
            <w:r w:rsidRPr="00CB41DA">
              <w:rPr>
                <w:rFonts w:ascii="Times New Roman" w:hAnsi="Times New Roman"/>
                <w:sz w:val="24"/>
                <w:szCs w:val="24"/>
              </w:rPr>
              <w:t xml:space="preserve"> 8 straipsnyje imperatyviai numatyta, kad savivaldybės institucijos ir administracija viešųjų paslaugų neteikia, išskyrus šiame straipsnyje nustatytus atvejus. Jas teikia biudžetinės ir viešosios įstaigos, savivaldybės įmonės,</w:t>
            </w:r>
            <w:r w:rsidRPr="00CB41DA">
              <w:rPr>
                <w:rFonts w:ascii="Times New Roman" w:hAnsi="Times New Roman"/>
                <w:b/>
                <w:sz w:val="24"/>
                <w:szCs w:val="24"/>
              </w:rPr>
              <w:t xml:space="preserve"> akcinės bendrovės ir kiti subjektai</w:t>
            </w:r>
            <w:r w:rsidRPr="00CB41DA">
              <w:rPr>
                <w:rFonts w:ascii="Times New Roman" w:hAnsi="Times New Roman"/>
                <w:sz w:val="24"/>
                <w:szCs w:val="24"/>
              </w:rPr>
              <w:t xml:space="preserve">. </w:t>
            </w:r>
            <w:r w:rsidRPr="00CB41DA">
              <w:rPr>
                <w:rFonts w:ascii="Times New Roman" w:hAnsi="Times New Roman"/>
                <w:sz w:val="24"/>
                <w:szCs w:val="24"/>
                <w:highlight w:val="lightGray"/>
              </w:rPr>
              <w:t>.</w:t>
            </w:r>
            <w:r w:rsidRPr="00CB41DA">
              <w:rPr>
                <w:rFonts w:ascii="Times New Roman" w:hAnsi="Times New Roman"/>
                <w:sz w:val="24"/>
                <w:szCs w:val="24"/>
              </w:rPr>
              <w:t>&lt;...&gt;</w:t>
            </w:r>
            <w:r w:rsidRPr="00CB41DA">
              <w:rPr>
                <w:rFonts w:ascii="Times New Roman" w:hAnsi="Times New Roman"/>
                <w:color w:val="000000"/>
                <w:sz w:val="24"/>
                <w:szCs w:val="24"/>
                <w:lang w:eastAsia="lt-LT"/>
              </w:rPr>
              <w:t>Teikdami savivaldybės gyventojams viešąsias paslaugas, jų teikėjai privalo vadovautis įstatymais, savivaldybės institucijų sprendimais ir kitais teisės aktais.</w:t>
            </w:r>
            <w:r w:rsidRPr="00CB41DA">
              <w:rPr>
                <w:rFonts w:ascii="Times New Roman" w:hAnsi="Times New Roman"/>
                <w:color w:val="000000"/>
                <w:sz w:val="24"/>
                <w:szCs w:val="24"/>
              </w:rPr>
              <w:t xml:space="preserve"> </w:t>
            </w:r>
            <w:r w:rsidRPr="00CB41DA">
              <w:rPr>
                <w:rFonts w:ascii="Times New Roman" w:hAnsi="Times New Roman"/>
                <w:color w:val="000000"/>
                <w:sz w:val="24"/>
                <w:szCs w:val="24"/>
                <w:lang w:eastAsia="lt-LT"/>
              </w:rPr>
              <w:t>Viešosios paslaugos gyventojams teikiamos teisės aktų nustatyta tvarka atlygintinai ir neatlygintinai.</w:t>
            </w:r>
            <w:r w:rsidRPr="00CB41DA">
              <w:rPr>
                <w:rFonts w:ascii="Times New Roman" w:hAnsi="Times New Roman"/>
                <w:color w:val="000000"/>
                <w:sz w:val="24"/>
                <w:szCs w:val="24"/>
              </w:rPr>
              <w:t xml:space="preserve"> </w:t>
            </w:r>
            <w:r w:rsidRPr="00CB41DA">
              <w:rPr>
                <w:rFonts w:ascii="Times New Roman" w:hAnsi="Times New Roman"/>
                <w:color w:val="000000"/>
                <w:sz w:val="24"/>
                <w:szCs w:val="24"/>
                <w:lang w:eastAsia="lt-LT"/>
              </w:rPr>
              <w:t>Savivaldybė turi užtikrinti, kad viešosiomis paslaugomis galėtų naudotis visi savivaldybės gyventojai ir kad šios paslaugos būtų teikiamos nuolat.</w:t>
            </w:r>
          </w:p>
          <w:p w:rsidR="00A17793" w:rsidRPr="004C2E34" w:rsidRDefault="00872476" w:rsidP="00872476">
            <w:pPr>
              <w:spacing w:after="0" w:line="240" w:lineRule="auto"/>
              <w:ind w:firstLine="601"/>
              <w:jc w:val="both"/>
              <w:rPr>
                <w:rFonts w:ascii="Times New Roman" w:hAnsi="Times New Roman"/>
                <w:sz w:val="24"/>
                <w:szCs w:val="24"/>
              </w:rPr>
            </w:pPr>
            <w:r w:rsidRPr="00CB41DA">
              <w:rPr>
                <w:rFonts w:ascii="Times New Roman" w:hAnsi="Times New Roman"/>
                <w:color w:val="000000"/>
                <w:sz w:val="24"/>
                <w:szCs w:val="24"/>
              </w:rPr>
              <w:t>&lt;...&gt;</w:t>
            </w:r>
            <w:r w:rsidRPr="00CB41DA">
              <w:rPr>
                <w:rFonts w:ascii="Times New Roman" w:hAnsi="Times New Roman"/>
                <w:b/>
                <w:color w:val="000000"/>
                <w:sz w:val="24"/>
                <w:szCs w:val="24"/>
              </w:rPr>
              <w:t xml:space="preserve"> taip pažeidžiami ne tik minėtos priemonės galimų pareiškėjų teisėti lūkesčiai, bet ir sudaro netinkamą, įstatymams prieštaraujantį požiūrį, kad valstybės ar savivaldybės dalininkų/akcininkų balsų neturinčios nevyriausybinės organizacijos viešųjų paslaugų teikti negali.</w:t>
            </w:r>
          </w:p>
        </w:tc>
        <w:tc>
          <w:tcPr>
            <w:tcW w:w="5880" w:type="dxa"/>
            <w:shd w:val="clear" w:color="auto" w:fill="FFFFFF" w:themeFill="background1"/>
          </w:tcPr>
          <w:p w:rsidR="0044663F" w:rsidRPr="00872476" w:rsidRDefault="00872476" w:rsidP="0022279B">
            <w:pPr>
              <w:shd w:val="clear" w:color="auto" w:fill="FFFFFF" w:themeFill="background1"/>
              <w:spacing w:after="0" w:line="240" w:lineRule="auto"/>
              <w:jc w:val="both"/>
              <w:rPr>
                <w:rFonts w:ascii="Times New Roman" w:hAnsi="Times New Roman"/>
                <w:b/>
                <w:sz w:val="24"/>
                <w:szCs w:val="24"/>
              </w:rPr>
            </w:pPr>
            <w:r w:rsidRPr="00872476">
              <w:rPr>
                <w:rFonts w:ascii="Times New Roman" w:hAnsi="Times New Roman"/>
                <w:b/>
                <w:sz w:val="24"/>
                <w:szCs w:val="24"/>
              </w:rPr>
              <w:lastRenderedPageBreak/>
              <w:t>Atsižvelgta.</w:t>
            </w:r>
          </w:p>
        </w:tc>
      </w:tr>
      <w:tr w:rsidR="000D7884" w:rsidRPr="004A1B88" w:rsidTr="0022279B">
        <w:tc>
          <w:tcPr>
            <w:tcW w:w="2235" w:type="dxa"/>
            <w:tcBorders>
              <w:top w:val="nil"/>
              <w:bottom w:val="single" w:sz="4" w:space="0" w:color="auto"/>
            </w:tcBorders>
            <w:shd w:val="clear" w:color="auto" w:fill="FFFFFF" w:themeFill="background1"/>
          </w:tcPr>
          <w:p w:rsidR="000D7884" w:rsidRPr="00A9166A" w:rsidRDefault="000D7884" w:rsidP="0022279B">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bottom w:val="single" w:sz="4" w:space="0" w:color="auto"/>
            </w:tcBorders>
            <w:shd w:val="clear" w:color="auto" w:fill="FFFFFF" w:themeFill="background1"/>
          </w:tcPr>
          <w:p w:rsidR="000D7884" w:rsidRPr="00A9166A" w:rsidRDefault="00872476" w:rsidP="0022279B">
            <w:pPr>
              <w:pStyle w:val="normal-p"/>
              <w:tabs>
                <w:tab w:val="left" w:pos="317"/>
              </w:tabs>
              <w:spacing w:before="0" w:beforeAutospacing="0" w:after="0" w:afterAutospacing="0"/>
              <w:ind w:left="33" w:firstLine="284"/>
              <w:jc w:val="both"/>
            </w:pPr>
            <w:r>
              <w:rPr>
                <w:b/>
                <w:color w:val="000000"/>
              </w:rPr>
              <w:t xml:space="preserve">2. </w:t>
            </w:r>
            <w:r w:rsidRPr="00CB41DA">
              <w:rPr>
                <w:b/>
                <w:color w:val="000000"/>
              </w:rPr>
              <w:t>&lt;...&gt; naujasis Finansavimo sąlygų aprašas nepagrįstai apsunkina priemonės įgyvendinimo sąlygas.</w:t>
            </w:r>
            <w:r w:rsidRPr="00CB41DA">
              <w:rPr>
                <w:color w:val="000000"/>
              </w:rPr>
              <w:t xml:space="preserve"> Dabartinėje Aprašo redakcijoje yra pakeistas </w:t>
            </w:r>
            <w:r w:rsidRPr="00CB41DA">
              <w:t xml:space="preserve">29.1. papunktis, kuris numato, kad: „kartu su paraiška pareiškėjas (taikoma, kai pareiškėjas, kuris, įgyvendinant Aprašo 11 punkto nuostatą, po projekto įgyvendinimo teiks viešąją paslaugą) įgyvendinančiajai institucijai turi pateikti investicijų projektą su viena siūloma įgyvendinti projekto alternatyva </w:t>
            </w:r>
            <w:r w:rsidRPr="00CB41DA">
              <w:rPr>
                <w:b/>
              </w:rPr>
              <w:t>ir taikant 15 metų projekto ataskaitinį laikotarpį</w:t>
            </w:r>
            <w:r w:rsidRPr="00CB41DA">
              <w:t xml:space="preserve"> &lt;...&gt;“. Mūsų manymu, toks laikotarpis yra nepagrįstai ilgas. Tiek senoji Aprašo redakcija, tiek dauguma kitų priemonių finansuojamų ES struktūrinių fondų lėšomis po projekto </w:t>
            </w:r>
            <w:r w:rsidRPr="00CB41DA">
              <w:lastRenderedPageBreak/>
              <w:t>įgyvendinimo numato 5 metų ataskaitinį laikotarpį. Kartu atkreiptinas dėmesys, jog šis 29.1 punktas prieštarauja to paties Finansavimo sąlygų aprašo 29.3.1. punktui, numatančiam, jog: „daiktinės pareiškėjo teisės į statinį ir (ar) žemę ar statinio ir (ar) žemės valdymo formos (nuoma ar panauda), kuriame (-</w:t>
            </w:r>
            <w:proofErr w:type="spellStart"/>
            <w:r w:rsidRPr="00CB41DA">
              <w:t>uose</w:t>
            </w:r>
            <w:proofErr w:type="spellEnd"/>
            <w:r w:rsidRPr="00CB41DA">
              <w:t xml:space="preserve">) įgyvendinant projektą bus vykdomi tvarkybos darbai ir (ar) tvarkomieji statybos darbai, turi būti įregistruotos įstatymų nustatyta tvarka ir galioti ne trumpiau kaip penkerius metus nuo projekto finansavimo pabaigos &lt;...&gt;.“ Susidaro situacija, jog po projekto finansavimo praėjus 5 metams daiktinės pareiškėjo teisės į statinį, kuriame vykdomi tvarkomieji statybos dabai jau gali negalioti, tai yra pareiškėjas gali nebūti šio statinio teisėtu valdytoju, tačiau ataskaitas apie teikiamas pastate viešąsias paslaugas privalės teikti net 15 metų. Kartu pažymėtina, jog </w:t>
            </w:r>
            <w:r w:rsidRPr="00CB41DA">
              <w:rPr>
                <w:rFonts w:eastAsia="Calibri"/>
              </w:rPr>
              <w:t>Lietuvos Respublikos valstybės ir savivaldybių turto valdymo, naudojimo ir disponavimo juo 1998 m. gegužės 12 d. įstatymo Nr. VIII-729 14 straipsnio 4 dalyje numatyta, kad: „&lt;....&gt; v</w:t>
            </w:r>
            <w:r w:rsidRPr="00CB41DA">
              <w:t xml:space="preserve">alstybės ir savivaldybių ilgalaikis materialusis turtas &lt;...&gt; gali būti perduotas panaudos teise ne ilgesniam kaip 10 metų laikotarpiui, jeigu įstatymai nenustato kitaip &lt;....&gt;“. </w:t>
            </w:r>
            <w:r w:rsidRPr="00CB41DA">
              <w:rPr>
                <w:b/>
              </w:rPr>
              <w:t>Esant tokiai situacijai, manome, kad naujoje aprašo redakcijoje numatytas 15 metų ataskaitinis terminas yra nelogiškas, prieštaraujantis kitoms to paties aprašo sąlygoms bei sunkiai įgyvendinamas.</w:t>
            </w:r>
          </w:p>
        </w:tc>
        <w:tc>
          <w:tcPr>
            <w:tcW w:w="5880" w:type="dxa"/>
            <w:shd w:val="clear" w:color="auto" w:fill="FFFFFF" w:themeFill="background1"/>
          </w:tcPr>
          <w:p w:rsidR="00872476" w:rsidRDefault="00872476" w:rsidP="00872476">
            <w:pPr>
              <w:spacing w:after="0" w:line="240" w:lineRule="auto"/>
              <w:jc w:val="both"/>
              <w:rPr>
                <w:rFonts w:ascii="Times New Roman" w:hAnsi="Times New Roman"/>
                <w:sz w:val="24"/>
                <w:szCs w:val="24"/>
              </w:rPr>
            </w:pPr>
            <w:r>
              <w:rPr>
                <w:rFonts w:ascii="Times New Roman" w:hAnsi="Times New Roman"/>
                <w:b/>
                <w:sz w:val="24"/>
                <w:szCs w:val="24"/>
              </w:rPr>
              <w:lastRenderedPageBreak/>
              <w:t>Neatsižvelgta.</w:t>
            </w:r>
          </w:p>
          <w:p w:rsidR="00872476" w:rsidRDefault="00872476" w:rsidP="00872476">
            <w:pPr>
              <w:spacing w:after="0" w:line="240" w:lineRule="auto"/>
              <w:jc w:val="both"/>
              <w:rPr>
                <w:rFonts w:ascii="Times New Roman" w:hAnsi="Times New Roman"/>
                <w:sz w:val="24"/>
                <w:szCs w:val="24"/>
              </w:rPr>
            </w:pPr>
            <w:r w:rsidRPr="00CB41DA">
              <w:rPr>
                <w:rFonts w:ascii="Times New Roman" w:hAnsi="Times New Roman"/>
                <w:sz w:val="24"/>
                <w:szCs w:val="24"/>
              </w:rPr>
              <w:t>Patiksliname, kad minimas 15 metų laikotarpis yra nustatytas Investicijų projektų, kuriems siekiama gauti finansavimą iš Europos Sąjungos struktūrinės paramos ir valstybės biudžeto lėšų, rengimo metodikoje (VšĮ Centrinės projektų valdymo agentūros direktoriaus 2014 m. gruodžio 31 d. įsakymas Nr. 2014/8-337) (toliau – Metodika).</w:t>
            </w:r>
          </w:p>
          <w:p w:rsidR="00872476" w:rsidRPr="00CB41DA" w:rsidRDefault="00872476" w:rsidP="00872476">
            <w:pPr>
              <w:spacing w:after="0" w:line="240" w:lineRule="auto"/>
              <w:jc w:val="both"/>
              <w:rPr>
                <w:rFonts w:ascii="Times New Roman" w:hAnsi="Times New Roman"/>
                <w:sz w:val="24"/>
                <w:szCs w:val="24"/>
              </w:rPr>
            </w:pPr>
            <w:r w:rsidRPr="00CB41DA">
              <w:rPr>
                <w:rFonts w:ascii="Times New Roman" w:hAnsi="Times New Roman"/>
                <w:sz w:val="24"/>
                <w:szCs w:val="24"/>
              </w:rPr>
              <w:t xml:space="preserve">Ši Metodika yra parengta CPVA Metodikos pagalbos centro ir jos tikslas yra apskaičiuoti ir įvertinti investicijų </w:t>
            </w:r>
            <w:r w:rsidRPr="00CB41DA">
              <w:rPr>
                <w:rFonts w:ascii="Times New Roman" w:hAnsi="Times New Roman"/>
                <w:sz w:val="24"/>
                <w:szCs w:val="24"/>
              </w:rPr>
              <w:lastRenderedPageBreak/>
              <w:t>naudingumą ir tikslingumą į viešąją infrastruktūrą, o 15 metų laikotarpis yra nustatytas</w:t>
            </w:r>
          </w:p>
          <w:p w:rsidR="00872476" w:rsidRPr="00CB41DA" w:rsidRDefault="00872476" w:rsidP="00872476">
            <w:pPr>
              <w:spacing w:after="0" w:line="240" w:lineRule="auto"/>
              <w:jc w:val="both"/>
              <w:rPr>
                <w:rFonts w:ascii="Times New Roman" w:hAnsi="Times New Roman"/>
                <w:sz w:val="24"/>
                <w:szCs w:val="24"/>
              </w:rPr>
            </w:pPr>
            <w:r w:rsidRPr="006D2FA1">
              <w:rPr>
                <w:rFonts w:ascii="Times New Roman" w:hAnsi="Times New Roman"/>
                <w:sz w:val="24"/>
                <w:szCs w:val="24"/>
              </w:rPr>
              <w:t xml:space="preserve"> atsižvelgiant į ekonomiškai pagrįstą projekto kuriamo ilgalaikio turto naudojimo trukmę (infrastruktūros tarnavimo laikotarpį). Šiuo tikslu</w:t>
            </w:r>
            <w:r w:rsidRPr="00CB41DA">
              <w:rPr>
                <w:rFonts w:ascii="Times New Roman" w:hAnsi="Times New Roman"/>
                <w:sz w:val="24"/>
                <w:szCs w:val="24"/>
              </w:rPr>
              <w:t xml:space="preserve"> yra </w:t>
            </w:r>
            <w:r w:rsidRPr="006D2FA1">
              <w:rPr>
                <w:rFonts w:ascii="Times New Roman" w:hAnsi="Times New Roman"/>
                <w:sz w:val="24"/>
                <w:szCs w:val="24"/>
              </w:rPr>
              <w:t>įvertinamas</w:t>
            </w:r>
            <w:r w:rsidRPr="00CB41DA">
              <w:rPr>
                <w:rFonts w:ascii="Times New Roman" w:hAnsi="Times New Roman"/>
                <w:sz w:val="24"/>
                <w:szCs w:val="24"/>
              </w:rPr>
              <w:t xml:space="preserve"> </w:t>
            </w:r>
            <w:r w:rsidRPr="006D2FA1">
              <w:rPr>
                <w:rFonts w:ascii="Times New Roman" w:hAnsi="Times New Roman"/>
                <w:sz w:val="24"/>
                <w:szCs w:val="24"/>
              </w:rPr>
              <w:t>laikotarpis, per kurį naudingiau naudoti infrastruktūrą palaikant jos naudojimo savybes (techninis aptarnavimas, remontas ir pan.), nei sukurti reikalingą infrastruktūrą iš naujo.</w:t>
            </w:r>
          </w:p>
          <w:p w:rsidR="00872476" w:rsidRPr="00CB41DA" w:rsidRDefault="00872476" w:rsidP="00872476">
            <w:pPr>
              <w:spacing w:after="0" w:line="240" w:lineRule="auto"/>
              <w:jc w:val="both"/>
              <w:rPr>
                <w:rFonts w:ascii="Times New Roman" w:hAnsi="Times New Roman"/>
                <w:sz w:val="24"/>
                <w:szCs w:val="24"/>
              </w:rPr>
            </w:pPr>
            <w:r w:rsidRPr="00CB41DA">
              <w:rPr>
                <w:rFonts w:ascii="Times New Roman" w:hAnsi="Times New Roman"/>
                <w:sz w:val="24"/>
                <w:szCs w:val="24"/>
              </w:rPr>
              <w:t>Atkreiptinas dėmesys, kad per šį laikotarpį jokios ataskaitos nėra teikiamos nei projekto įgyvendinimo metu nei jam pasibaigus, tai tik investicijų ir sąnaudų santykio apskaičiavimui bei prognozavimui rekomenduojamas laikotarpis.</w:t>
            </w:r>
          </w:p>
          <w:p w:rsidR="00872476" w:rsidRPr="00CB41DA" w:rsidRDefault="00872476" w:rsidP="00872476">
            <w:pPr>
              <w:spacing w:after="0" w:line="240" w:lineRule="auto"/>
              <w:jc w:val="both"/>
              <w:rPr>
                <w:rFonts w:ascii="Times New Roman" w:hAnsi="Times New Roman"/>
                <w:sz w:val="24"/>
                <w:szCs w:val="24"/>
              </w:rPr>
            </w:pPr>
            <w:r w:rsidRPr="00CB41DA">
              <w:rPr>
                <w:rFonts w:ascii="Times New Roman" w:hAnsi="Times New Roman"/>
                <w:sz w:val="24"/>
                <w:szCs w:val="24"/>
              </w:rPr>
              <w:t xml:space="preserve">Kalbant apie 5 metų tęstinumo laikotarpį, pažymėtina, jog šis laikotarpis nustatytas 2013 m. gruodžio 17 d. Europos Parlamento ir Tarybos reglamento (ES) Nr. 1303/2013 71 str. ir atitinkamai reikalavimas perkeltas į Projektų administravimo ir finansavimo </w:t>
            </w:r>
            <w:proofErr w:type="gramStart"/>
            <w:r w:rsidRPr="00CB41DA">
              <w:rPr>
                <w:rFonts w:ascii="Times New Roman" w:hAnsi="Times New Roman"/>
                <w:sz w:val="24"/>
                <w:szCs w:val="24"/>
              </w:rPr>
              <w:t>taisyklių</w:t>
            </w:r>
            <w:proofErr w:type="gramEnd"/>
            <w:r w:rsidRPr="00CB41DA">
              <w:rPr>
                <w:rFonts w:ascii="Times New Roman" w:hAnsi="Times New Roman"/>
                <w:sz w:val="24"/>
                <w:szCs w:val="24"/>
              </w:rPr>
              <w:t xml:space="preserve"> (toliau – PAFT) 27 skirsnį, kuriame nustatyta, kad po projekto finansavimo pabaigos projektų vykdytojai per 5 metus nuo projekto finansavimo pabaigos:</w:t>
            </w:r>
          </w:p>
          <w:p w:rsidR="00872476" w:rsidRPr="00CB41DA" w:rsidRDefault="00872476" w:rsidP="00872476">
            <w:pPr>
              <w:pStyle w:val="ListParagraph"/>
              <w:numPr>
                <w:ilvl w:val="0"/>
                <w:numId w:val="32"/>
              </w:numPr>
              <w:tabs>
                <w:tab w:val="left" w:pos="676"/>
              </w:tabs>
              <w:spacing w:after="0" w:line="240" w:lineRule="auto"/>
              <w:ind w:left="0" w:firstLine="392"/>
              <w:jc w:val="both"/>
              <w:rPr>
                <w:rFonts w:ascii="Times New Roman" w:hAnsi="Times New Roman"/>
                <w:sz w:val="24"/>
                <w:szCs w:val="24"/>
              </w:rPr>
            </w:pPr>
            <w:r w:rsidRPr="00CB41DA">
              <w:rPr>
                <w:rFonts w:ascii="Times New Roman" w:hAnsi="Times New Roman"/>
                <w:sz w:val="24"/>
                <w:szCs w:val="24"/>
              </w:rPr>
              <w:t>negali nutraukti gamybinės veiklos arba perkelti jos už veiksmų programos įgyvendinimo teritorijos ribų;</w:t>
            </w:r>
          </w:p>
          <w:p w:rsidR="00872476" w:rsidRPr="00CB41DA" w:rsidRDefault="00872476" w:rsidP="00872476">
            <w:pPr>
              <w:pStyle w:val="ListParagraph"/>
              <w:numPr>
                <w:ilvl w:val="0"/>
                <w:numId w:val="32"/>
              </w:numPr>
              <w:tabs>
                <w:tab w:val="left" w:pos="676"/>
              </w:tabs>
              <w:spacing w:after="0" w:line="240" w:lineRule="auto"/>
              <w:ind w:left="0" w:firstLine="392"/>
              <w:jc w:val="both"/>
              <w:rPr>
                <w:rFonts w:ascii="Times New Roman" w:hAnsi="Times New Roman"/>
                <w:sz w:val="24"/>
                <w:szCs w:val="24"/>
              </w:rPr>
            </w:pPr>
            <w:r w:rsidRPr="00CB41DA">
              <w:rPr>
                <w:rFonts w:ascii="Times New Roman" w:hAnsi="Times New Roman"/>
                <w:sz w:val="24"/>
                <w:szCs w:val="24"/>
              </w:rPr>
              <w:t>negali pakeisti infrastruktūros objekto nuosavybės teisių, jei dėl to įmonė arba viešojo sektoriaus institucija įgytų nederamą pranašumą</w:t>
            </w:r>
          </w:p>
          <w:p w:rsidR="00872476" w:rsidRPr="00CB41DA" w:rsidRDefault="00872476" w:rsidP="00872476">
            <w:pPr>
              <w:pStyle w:val="ListParagraph"/>
              <w:numPr>
                <w:ilvl w:val="0"/>
                <w:numId w:val="32"/>
              </w:numPr>
              <w:tabs>
                <w:tab w:val="left" w:pos="676"/>
              </w:tabs>
              <w:spacing w:after="0" w:line="240" w:lineRule="auto"/>
              <w:ind w:left="0" w:firstLine="392"/>
              <w:jc w:val="both"/>
              <w:rPr>
                <w:rFonts w:ascii="Times New Roman" w:hAnsi="Times New Roman"/>
                <w:sz w:val="24"/>
                <w:szCs w:val="24"/>
              </w:rPr>
            </w:pPr>
            <w:r w:rsidRPr="00CB41DA">
              <w:rPr>
                <w:rFonts w:ascii="Times New Roman" w:hAnsi="Times New Roman"/>
                <w:sz w:val="24"/>
                <w:szCs w:val="24"/>
              </w:rPr>
              <w:t>negali iš esmės pakeisti veiklos, kuriai buvo skirtos investicijos, pobūdžio, tikslų arba įgyvendinimo sąlygų, jei tai pakenktų projekto tikslams.</w:t>
            </w:r>
          </w:p>
          <w:p w:rsidR="00872476" w:rsidRPr="00CB41DA" w:rsidRDefault="00872476" w:rsidP="00872476">
            <w:pPr>
              <w:spacing w:after="0" w:line="240" w:lineRule="auto"/>
              <w:jc w:val="both"/>
              <w:rPr>
                <w:rFonts w:ascii="Times New Roman" w:hAnsi="Times New Roman"/>
                <w:sz w:val="24"/>
                <w:szCs w:val="24"/>
              </w:rPr>
            </w:pPr>
          </w:p>
          <w:p w:rsidR="00E110AD" w:rsidRPr="00824AA2" w:rsidRDefault="00872476" w:rsidP="00872476">
            <w:pPr>
              <w:spacing w:after="0" w:line="240" w:lineRule="auto"/>
              <w:jc w:val="both"/>
              <w:rPr>
                <w:rFonts w:ascii="Times New Roman" w:hAnsi="Times New Roman"/>
                <w:sz w:val="24"/>
                <w:szCs w:val="24"/>
              </w:rPr>
            </w:pPr>
            <w:r w:rsidRPr="00CB41DA">
              <w:rPr>
                <w:rFonts w:ascii="Times New Roman" w:hAnsi="Times New Roman"/>
                <w:sz w:val="24"/>
                <w:szCs w:val="24"/>
              </w:rPr>
              <w:t xml:space="preserve">Tam, kad šios reglamento nuostatos būtų užtikrintos, tiek PAFT, tiek Apraše yra nustatyta, kad 5 m. po projekto pabaigos projekto vykdytojas įgyvendinančiajai institucijai teikia ataskaitas, kuriose nurodama atitinkama </w:t>
            </w:r>
            <w:r w:rsidRPr="00CB41DA">
              <w:rPr>
                <w:rFonts w:ascii="Times New Roman" w:hAnsi="Times New Roman"/>
                <w:sz w:val="24"/>
                <w:szCs w:val="24"/>
              </w:rPr>
              <w:lastRenderedPageBreak/>
              <w:t>informacija.</w:t>
            </w:r>
          </w:p>
        </w:tc>
      </w:tr>
      <w:tr w:rsidR="00026371" w:rsidRPr="004A1B88" w:rsidTr="0022279B">
        <w:tc>
          <w:tcPr>
            <w:tcW w:w="2235" w:type="dxa"/>
            <w:tcBorders>
              <w:top w:val="nil"/>
              <w:bottom w:val="single" w:sz="4" w:space="0" w:color="auto"/>
            </w:tcBorders>
            <w:shd w:val="clear" w:color="auto" w:fill="FFFFFF" w:themeFill="background1"/>
          </w:tcPr>
          <w:p w:rsidR="00026371" w:rsidRPr="0075045D" w:rsidRDefault="0075045D" w:rsidP="000F34EB">
            <w:pPr>
              <w:pStyle w:val="ListParagraph"/>
              <w:shd w:val="clear" w:color="auto" w:fill="FFFFFF" w:themeFill="background1"/>
              <w:tabs>
                <w:tab w:val="left" w:pos="284"/>
              </w:tabs>
              <w:spacing w:after="0"/>
              <w:ind w:left="0"/>
              <w:rPr>
                <w:rFonts w:ascii="Times New Roman" w:hAnsi="Times New Roman"/>
                <w:b/>
                <w:sz w:val="24"/>
                <w:szCs w:val="24"/>
              </w:rPr>
            </w:pPr>
            <w:r w:rsidRPr="0075045D">
              <w:rPr>
                <w:rFonts w:ascii="Times New Roman" w:hAnsi="Times New Roman"/>
                <w:b/>
                <w:sz w:val="24"/>
                <w:szCs w:val="24"/>
              </w:rPr>
              <w:lastRenderedPageBreak/>
              <w:t>Kauno Jėzuitų gimnazij</w:t>
            </w:r>
            <w:r w:rsidR="000F34EB">
              <w:rPr>
                <w:rFonts w:ascii="Times New Roman" w:hAnsi="Times New Roman"/>
                <w:b/>
                <w:sz w:val="24"/>
                <w:szCs w:val="24"/>
              </w:rPr>
              <w:t>os 2018-03-22 raštas Nr. 10-205</w:t>
            </w:r>
          </w:p>
        </w:tc>
        <w:tc>
          <w:tcPr>
            <w:tcW w:w="7229" w:type="dxa"/>
            <w:tcBorders>
              <w:bottom w:val="single" w:sz="4" w:space="0" w:color="auto"/>
            </w:tcBorders>
            <w:shd w:val="clear" w:color="auto" w:fill="FFFFFF" w:themeFill="background1"/>
          </w:tcPr>
          <w:p w:rsidR="0075045D" w:rsidRPr="00CB41DA" w:rsidRDefault="0075045D" w:rsidP="0075045D">
            <w:pPr>
              <w:spacing w:after="0" w:line="240" w:lineRule="auto"/>
              <w:jc w:val="both"/>
              <w:rPr>
                <w:rFonts w:ascii="Times New Roman" w:hAnsi="Times New Roman"/>
                <w:sz w:val="24"/>
                <w:szCs w:val="24"/>
              </w:rPr>
            </w:pPr>
            <w:r w:rsidRPr="0075045D">
              <w:rPr>
                <w:rFonts w:ascii="Times New Roman" w:hAnsi="Times New Roman"/>
                <w:b/>
                <w:sz w:val="24"/>
                <w:szCs w:val="24"/>
              </w:rPr>
              <w:t>1.</w:t>
            </w:r>
            <w:r>
              <w:rPr>
                <w:rFonts w:ascii="Times New Roman" w:hAnsi="Times New Roman"/>
                <w:sz w:val="24"/>
                <w:szCs w:val="24"/>
              </w:rPr>
              <w:t xml:space="preserve"> </w:t>
            </w:r>
            <w:r w:rsidRPr="00CB41DA">
              <w:rPr>
                <w:rFonts w:ascii="Times New Roman" w:hAnsi="Times New Roman"/>
                <w:sz w:val="24"/>
                <w:szCs w:val="24"/>
              </w:rPr>
              <w:t>Konkursinės priemonės kultūros paveldo priemonės ankstesnės redakcijos aprašo (toliau – Aprašas) 4.6 punktas nustatė: „Viešoji paslauga - tai paslauga, kuri apibrėžta Lietuvos Respublikos viešojo administravimo įstatyme &lt;...&gt;“.</w:t>
            </w:r>
          </w:p>
          <w:p w:rsidR="0075045D" w:rsidRPr="00CB41DA" w:rsidRDefault="0075045D" w:rsidP="0075045D">
            <w:pPr>
              <w:spacing w:after="0" w:line="240" w:lineRule="auto"/>
              <w:jc w:val="both"/>
              <w:rPr>
                <w:rFonts w:ascii="Times New Roman" w:hAnsi="Times New Roman"/>
                <w:sz w:val="24"/>
                <w:szCs w:val="24"/>
              </w:rPr>
            </w:pPr>
            <w:r w:rsidRPr="00CB41DA">
              <w:rPr>
                <w:rFonts w:ascii="Times New Roman" w:hAnsi="Times New Roman"/>
                <w:sz w:val="24"/>
                <w:szCs w:val="24"/>
              </w:rPr>
              <w:t>Su Aprašo pakeitimu Aprašo 4.6 punktas išdėstytas taip:</w:t>
            </w:r>
          </w:p>
          <w:p w:rsidR="0075045D" w:rsidRPr="00CB41DA" w:rsidRDefault="0075045D" w:rsidP="0075045D">
            <w:pPr>
              <w:spacing w:after="0" w:line="240" w:lineRule="auto"/>
              <w:jc w:val="both"/>
              <w:rPr>
                <w:rFonts w:ascii="Times New Roman" w:hAnsi="Times New Roman"/>
                <w:sz w:val="24"/>
                <w:szCs w:val="24"/>
              </w:rPr>
            </w:pPr>
            <w:r w:rsidRPr="00CB41DA">
              <w:rPr>
                <w:rFonts w:ascii="Times New Roman" w:hAnsi="Times New Roman"/>
                <w:sz w:val="24"/>
                <w:szCs w:val="24"/>
              </w:rPr>
              <w:t>„4.6. Viešoji paslauga – valstybės ar savivaldybių kontroliuojamų juridinių asmenų kultūros, socialinės, švietimo, mokslo ir kitos veiklos, teikiant asmenims paslaugas arba religinės apeigos, atliekamos viešai kultūros paveldo objekte, kurio bent vienas reikšmingumą lemiantis vertingųjų savybių pobūdis – sakralinis.“</w:t>
            </w:r>
          </w:p>
          <w:p w:rsidR="0075045D" w:rsidRPr="00CB41DA" w:rsidRDefault="0075045D" w:rsidP="0075045D">
            <w:pPr>
              <w:spacing w:after="0" w:line="240" w:lineRule="auto"/>
              <w:jc w:val="both"/>
              <w:rPr>
                <w:rFonts w:ascii="Times New Roman" w:hAnsi="Times New Roman"/>
                <w:sz w:val="24"/>
                <w:szCs w:val="24"/>
              </w:rPr>
            </w:pPr>
            <w:r w:rsidRPr="00CB41DA">
              <w:rPr>
                <w:rFonts w:ascii="Times New Roman" w:hAnsi="Times New Roman"/>
                <w:sz w:val="24"/>
                <w:szCs w:val="24"/>
              </w:rPr>
              <w:t>Aprašo pakeitime įtrauktas punktas, kuris nustatė, kad:</w:t>
            </w:r>
          </w:p>
          <w:p w:rsidR="0075045D" w:rsidRPr="00CB41DA" w:rsidRDefault="0075045D" w:rsidP="0075045D">
            <w:pPr>
              <w:spacing w:after="0" w:line="240" w:lineRule="auto"/>
              <w:jc w:val="both"/>
              <w:rPr>
                <w:rFonts w:ascii="Times New Roman" w:hAnsi="Times New Roman"/>
                <w:sz w:val="24"/>
                <w:szCs w:val="24"/>
              </w:rPr>
            </w:pPr>
            <w:r w:rsidRPr="00CB41DA">
              <w:rPr>
                <w:rFonts w:ascii="Times New Roman" w:hAnsi="Times New Roman"/>
                <w:sz w:val="24"/>
                <w:szCs w:val="24"/>
              </w:rPr>
              <w:t>4.7. Valstybės ar savivaldybių kontroliuojami juridiniai asmenys – tokie juridiniai asmenys, kurių daugiau nei 50 proc. dalininkų/akcininkų yra valstybė ir (arba) savivaldybė ir valstybė ir (arba) savivaldybė turi daugiau</w:t>
            </w:r>
            <w:bookmarkStart w:id="6" w:name="_GoBack"/>
            <w:bookmarkEnd w:id="6"/>
            <w:r w:rsidRPr="00CB41DA">
              <w:rPr>
                <w:rFonts w:ascii="Times New Roman" w:hAnsi="Times New Roman"/>
                <w:sz w:val="24"/>
                <w:szCs w:val="24"/>
              </w:rPr>
              <w:t xml:space="preserve"> nei 50 proc. dalininkų/akcininkų balsų, taip pat biudžetinė įstaiga, įsteigta valstybės ar savivaldybės.</w:t>
            </w:r>
          </w:p>
          <w:p w:rsidR="00026371" w:rsidRPr="00B442E7" w:rsidRDefault="0075045D" w:rsidP="0075045D">
            <w:pPr>
              <w:pStyle w:val="normal-p"/>
              <w:spacing w:before="0" w:beforeAutospacing="0" w:after="0" w:afterAutospacing="0"/>
              <w:ind w:firstLine="459"/>
              <w:jc w:val="both"/>
            </w:pPr>
            <w:r w:rsidRPr="00CB41DA">
              <w:t>Atsižvelgiant į tai, kad Gimnazijos steigėju ir vieninteliu dalininku yra Lietuvos jėzuitų provincija, Aprašo pakeitimas užkirto gimnazijai kelią teikti paraišką ir pretenduoti gauti finansavimą pagal Priemonę, tokiu būdu buvo pažeisti teisėti Gimnazijos lūkesčiai ir nubraukti parengiamieji darbai, kuriuos vykdėme savo ir rėmėjų lėšomis.</w:t>
            </w:r>
          </w:p>
        </w:tc>
        <w:tc>
          <w:tcPr>
            <w:tcW w:w="5880" w:type="dxa"/>
            <w:shd w:val="clear" w:color="auto" w:fill="FFFFFF" w:themeFill="background1"/>
          </w:tcPr>
          <w:p w:rsidR="00CA4039" w:rsidRPr="00CA4039" w:rsidRDefault="0075045D" w:rsidP="0022279B">
            <w:pPr>
              <w:shd w:val="clear" w:color="auto" w:fill="FFFFFF" w:themeFill="background1"/>
              <w:spacing w:after="0" w:line="240" w:lineRule="auto"/>
              <w:jc w:val="both"/>
            </w:pPr>
            <w:r w:rsidRPr="00872476">
              <w:rPr>
                <w:rFonts w:ascii="Times New Roman" w:hAnsi="Times New Roman"/>
                <w:b/>
                <w:sz w:val="24"/>
                <w:szCs w:val="24"/>
              </w:rPr>
              <w:t>Atsižvelgta.</w:t>
            </w:r>
          </w:p>
        </w:tc>
      </w:tr>
      <w:tr w:rsidR="0022279B" w:rsidRPr="004A1B88" w:rsidTr="0022279B">
        <w:trPr>
          <w:trHeight w:val="8715"/>
        </w:trPr>
        <w:tc>
          <w:tcPr>
            <w:tcW w:w="2235" w:type="dxa"/>
            <w:shd w:val="clear" w:color="auto" w:fill="FFFFFF" w:themeFill="background1"/>
          </w:tcPr>
          <w:p w:rsidR="0022279B" w:rsidRPr="0022279B" w:rsidRDefault="0022279B" w:rsidP="0022279B">
            <w:pPr>
              <w:pStyle w:val="ListParagraph"/>
              <w:numPr>
                <w:ilvl w:val="0"/>
                <w:numId w:val="28"/>
              </w:numPr>
              <w:shd w:val="clear" w:color="auto" w:fill="FFFFFF" w:themeFill="background1"/>
              <w:tabs>
                <w:tab w:val="left" w:pos="284"/>
              </w:tabs>
              <w:spacing w:after="0" w:line="240" w:lineRule="auto"/>
              <w:ind w:left="0" w:firstLine="0"/>
              <w:rPr>
                <w:rFonts w:ascii="Times New Roman" w:hAnsi="Times New Roman"/>
                <w:b/>
                <w:sz w:val="24"/>
                <w:szCs w:val="24"/>
              </w:rPr>
            </w:pPr>
          </w:p>
        </w:tc>
        <w:tc>
          <w:tcPr>
            <w:tcW w:w="7229" w:type="dxa"/>
            <w:tcBorders>
              <w:top w:val="single" w:sz="4" w:space="0" w:color="auto"/>
            </w:tcBorders>
            <w:shd w:val="clear" w:color="auto" w:fill="FFFFFF" w:themeFill="background1"/>
          </w:tcPr>
          <w:p w:rsidR="0022279B" w:rsidRPr="0015164B" w:rsidRDefault="0022279B" w:rsidP="0022279B">
            <w:pPr>
              <w:ind w:firstLine="33"/>
              <w:jc w:val="both"/>
              <w:outlineLvl w:val="0"/>
              <w:rPr>
                <w:rFonts w:ascii="Times New Roman" w:hAnsi="Times New Roman"/>
                <w:sz w:val="24"/>
                <w:szCs w:val="24"/>
              </w:rPr>
            </w:pPr>
          </w:p>
        </w:tc>
        <w:tc>
          <w:tcPr>
            <w:tcW w:w="5880" w:type="dxa"/>
            <w:shd w:val="clear" w:color="auto" w:fill="FFFFFF" w:themeFill="background1"/>
          </w:tcPr>
          <w:p w:rsidR="0022279B" w:rsidRDefault="0022279B" w:rsidP="0022279B">
            <w:pPr>
              <w:shd w:val="clear" w:color="auto" w:fill="FFFFFF" w:themeFill="background1"/>
              <w:spacing w:after="0" w:line="240" w:lineRule="auto"/>
              <w:jc w:val="both"/>
              <w:rPr>
                <w:rFonts w:ascii="Times New Roman" w:hAnsi="Times New Roman"/>
                <w:b/>
                <w:sz w:val="24"/>
                <w:szCs w:val="24"/>
              </w:rPr>
            </w:pPr>
          </w:p>
        </w:tc>
      </w:tr>
    </w:tbl>
    <w:p w:rsidR="00C0247A" w:rsidRPr="0015164B" w:rsidRDefault="00C0247A" w:rsidP="00B95BD5">
      <w:pPr>
        <w:shd w:val="clear" w:color="auto" w:fill="FFFFFF" w:themeFill="background1"/>
        <w:spacing w:after="0" w:line="240" w:lineRule="auto"/>
        <w:jc w:val="center"/>
        <w:rPr>
          <w:sz w:val="24"/>
          <w:szCs w:val="24"/>
          <w:u w:val="single"/>
        </w:rPr>
      </w:pPr>
      <w:r w:rsidRPr="0015164B">
        <w:rPr>
          <w:sz w:val="24"/>
          <w:szCs w:val="24"/>
          <w:u w:val="single"/>
        </w:rPr>
        <w:t>__________________________</w:t>
      </w:r>
    </w:p>
    <w:sectPr w:rsidR="00C0247A" w:rsidRPr="0015164B" w:rsidSect="00E110AD">
      <w:headerReference w:type="default" r:id="rId9"/>
      <w:headerReference w:type="first" r:id="rId10"/>
      <w:pgSz w:w="16838" w:h="11906" w:orient="landscape"/>
      <w:pgMar w:top="934" w:right="1701" w:bottom="851" w:left="1134" w:header="567" w:footer="125"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94" w:rsidRDefault="00F51894" w:rsidP="00A75058">
      <w:pPr>
        <w:spacing w:after="0" w:line="240" w:lineRule="auto"/>
      </w:pPr>
      <w:r>
        <w:separator/>
      </w:r>
    </w:p>
  </w:endnote>
  <w:endnote w:type="continuationSeparator" w:id="0">
    <w:p w:rsidR="00F51894" w:rsidRDefault="00F51894"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94" w:rsidRDefault="00F51894" w:rsidP="00A75058">
      <w:pPr>
        <w:spacing w:after="0" w:line="240" w:lineRule="auto"/>
      </w:pPr>
      <w:r>
        <w:separator/>
      </w:r>
    </w:p>
  </w:footnote>
  <w:footnote w:type="continuationSeparator" w:id="0">
    <w:p w:rsidR="00F51894" w:rsidRDefault="00F51894" w:rsidP="00A7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64964"/>
      <w:docPartObj>
        <w:docPartGallery w:val="Page Numbers (Top of Page)"/>
        <w:docPartUnique/>
      </w:docPartObj>
    </w:sdtPr>
    <w:sdtEndPr>
      <w:rPr>
        <w:noProof/>
      </w:rPr>
    </w:sdtEndPr>
    <w:sdtContent>
      <w:p w:rsidR="00CE2867" w:rsidRDefault="00CE2867">
        <w:pPr>
          <w:pStyle w:val="Header"/>
          <w:jc w:val="center"/>
        </w:pPr>
        <w:r w:rsidRPr="00E110AD">
          <w:rPr>
            <w:rFonts w:ascii="Times New Roman" w:eastAsia="Arial Unicode MS" w:hAnsi="Times New Roman"/>
            <w:sz w:val="24"/>
            <w:szCs w:val="24"/>
          </w:rPr>
          <w:fldChar w:fldCharType="begin"/>
        </w:r>
        <w:r w:rsidRPr="00E110AD">
          <w:rPr>
            <w:rFonts w:ascii="Times New Roman" w:eastAsia="Arial Unicode MS" w:hAnsi="Times New Roman"/>
            <w:sz w:val="24"/>
            <w:szCs w:val="24"/>
          </w:rPr>
          <w:instrText xml:space="preserve"> PAGE   \* MERGEFORMAT </w:instrText>
        </w:r>
        <w:r w:rsidRPr="00E110AD">
          <w:rPr>
            <w:rFonts w:ascii="Times New Roman" w:eastAsia="Arial Unicode MS" w:hAnsi="Times New Roman"/>
            <w:sz w:val="24"/>
            <w:szCs w:val="24"/>
          </w:rPr>
          <w:fldChar w:fldCharType="separate"/>
        </w:r>
        <w:r w:rsidR="000F34EB">
          <w:rPr>
            <w:rFonts w:ascii="Times New Roman" w:eastAsia="Arial Unicode MS" w:hAnsi="Times New Roman"/>
            <w:noProof/>
            <w:sz w:val="24"/>
            <w:szCs w:val="24"/>
          </w:rPr>
          <w:t>3</w:t>
        </w:r>
        <w:r w:rsidRPr="00E110AD">
          <w:rPr>
            <w:rFonts w:ascii="Times New Roman" w:eastAsia="Arial Unicode MS"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8B3" w:rsidRDefault="00C248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150C1203"/>
    <w:multiLevelType w:val="hybridMultilevel"/>
    <w:tmpl w:val="816C7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9">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0">
    <w:nsid w:val="3F990D80"/>
    <w:multiLevelType w:val="hybridMultilevel"/>
    <w:tmpl w:val="59A8D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F4B3867"/>
    <w:multiLevelType w:val="hybridMultilevel"/>
    <w:tmpl w:val="16A4FD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1CE0293"/>
    <w:multiLevelType w:val="hybridMultilevel"/>
    <w:tmpl w:val="7F9854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3A506B3"/>
    <w:multiLevelType w:val="hybridMultilevel"/>
    <w:tmpl w:val="F36AD2BC"/>
    <w:lvl w:ilvl="0" w:tplc="B7A25E66">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4">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5CC017A"/>
    <w:multiLevelType w:val="hybridMultilevel"/>
    <w:tmpl w:val="7F985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29">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538496C"/>
    <w:multiLevelType w:val="hybridMultilevel"/>
    <w:tmpl w:val="08680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11"/>
  </w:num>
  <w:num w:numId="4">
    <w:abstractNumId w:val="12"/>
  </w:num>
  <w:num w:numId="5">
    <w:abstractNumId w:val="20"/>
  </w:num>
  <w:num w:numId="6">
    <w:abstractNumId w:val="21"/>
  </w:num>
  <w:num w:numId="7">
    <w:abstractNumId w:val="5"/>
  </w:num>
  <w:num w:numId="8">
    <w:abstractNumId w:val="17"/>
  </w:num>
  <w:num w:numId="9">
    <w:abstractNumId w:val="8"/>
  </w:num>
  <w:num w:numId="10">
    <w:abstractNumId w:val="3"/>
  </w:num>
  <w:num w:numId="11">
    <w:abstractNumId w:val="22"/>
  </w:num>
  <w:num w:numId="12">
    <w:abstractNumId w:val="30"/>
  </w:num>
  <w:num w:numId="13">
    <w:abstractNumId w:val="28"/>
  </w:num>
  <w:num w:numId="14">
    <w:abstractNumId w:val="4"/>
  </w:num>
  <w:num w:numId="15">
    <w:abstractNumId w:val="6"/>
  </w:num>
  <w:num w:numId="16">
    <w:abstractNumId w:val="15"/>
  </w:num>
  <w:num w:numId="17">
    <w:abstractNumId w:val="24"/>
  </w:num>
  <w:num w:numId="18">
    <w:abstractNumId w:val="26"/>
  </w:num>
  <w:num w:numId="19">
    <w:abstractNumId w:val="29"/>
  </w:num>
  <w:num w:numId="20">
    <w:abstractNumId w:val="2"/>
  </w:num>
  <w:num w:numId="21">
    <w:abstractNumId w:val="7"/>
  </w:num>
  <w:num w:numId="22">
    <w:abstractNumId w:val="1"/>
  </w:num>
  <w:num w:numId="23">
    <w:abstractNumId w:val="18"/>
  </w:num>
  <w:num w:numId="24">
    <w:abstractNumId w:val="9"/>
  </w:num>
  <w:num w:numId="25">
    <w:abstractNumId w:val="19"/>
  </w:num>
  <w:num w:numId="26">
    <w:abstractNumId w:val="13"/>
  </w:num>
  <w:num w:numId="27">
    <w:abstractNumId w:val="14"/>
  </w:num>
  <w:num w:numId="28">
    <w:abstractNumId w:val="10"/>
  </w:num>
  <w:num w:numId="29">
    <w:abstractNumId w:val="23"/>
  </w:num>
  <w:num w:numId="30">
    <w:abstractNumId w:val="16"/>
  </w:num>
  <w:num w:numId="31">
    <w:abstractNumId w:val="2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2"/>
    <w:rsid w:val="000027C8"/>
    <w:rsid w:val="00012351"/>
    <w:rsid w:val="0001322A"/>
    <w:rsid w:val="00014346"/>
    <w:rsid w:val="0001435C"/>
    <w:rsid w:val="00016525"/>
    <w:rsid w:val="00021C0B"/>
    <w:rsid w:val="00026371"/>
    <w:rsid w:val="00031747"/>
    <w:rsid w:val="00034DCA"/>
    <w:rsid w:val="00040F80"/>
    <w:rsid w:val="00042C69"/>
    <w:rsid w:val="0004391D"/>
    <w:rsid w:val="000455FE"/>
    <w:rsid w:val="0005239B"/>
    <w:rsid w:val="0005461D"/>
    <w:rsid w:val="0006490D"/>
    <w:rsid w:val="00066F2E"/>
    <w:rsid w:val="00070468"/>
    <w:rsid w:val="00072720"/>
    <w:rsid w:val="0007706B"/>
    <w:rsid w:val="00084826"/>
    <w:rsid w:val="000855B1"/>
    <w:rsid w:val="000868CA"/>
    <w:rsid w:val="00087E8F"/>
    <w:rsid w:val="00087E90"/>
    <w:rsid w:val="0009003B"/>
    <w:rsid w:val="000938C7"/>
    <w:rsid w:val="00094923"/>
    <w:rsid w:val="000949F0"/>
    <w:rsid w:val="000978C9"/>
    <w:rsid w:val="000A7EAF"/>
    <w:rsid w:val="000B03EE"/>
    <w:rsid w:val="000B4D02"/>
    <w:rsid w:val="000B5223"/>
    <w:rsid w:val="000B705E"/>
    <w:rsid w:val="000C1C76"/>
    <w:rsid w:val="000C484A"/>
    <w:rsid w:val="000C537E"/>
    <w:rsid w:val="000D1DAF"/>
    <w:rsid w:val="000D1FD4"/>
    <w:rsid w:val="000D4610"/>
    <w:rsid w:val="000D52D2"/>
    <w:rsid w:val="000D7884"/>
    <w:rsid w:val="000E05B7"/>
    <w:rsid w:val="000E1E51"/>
    <w:rsid w:val="000E212F"/>
    <w:rsid w:val="000E4D84"/>
    <w:rsid w:val="000E7603"/>
    <w:rsid w:val="000F34EB"/>
    <w:rsid w:val="000F39E3"/>
    <w:rsid w:val="000F7125"/>
    <w:rsid w:val="00100C07"/>
    <w:rsid w:val="00101855"/>
    <w:rsid w:val="001076F1"/>
    <w:rsid w:val="00111509"/>
    <w:rsid w:val="00112911"/>
    <w:rsid w:val="00114EA9"/>
    <w:rsid w:val="00146D21"/>
    <w:rsid w:val="0015164B"/>
    <w:rsid w:val="0015248B"/>
    <w:rsid w:val="00153518"/>
    <w:rsid w:val="00161538"/>
    <w:rsid w:val="0018441F"/>
    <w:rsid w:val="00184F6E"/>
    <w:rsid w:val="001874FC"/>
    <w:rsid w:val="00194CFF"/>
    <w:rsid w:val="001A2EAB"/>
    <w:rsid w:val="001A30FA"/>
    <w:rsid w:val="001A66AD"/>
    <w:rsid w:val="001B6AA0"/>
    <w:rsid w:val="001C14FD"/>
    <w:rsid w:val="001C1FD9"/>
    <w:rsid w:val="001C43FE"/>
    <w:rsid w:val="001D4B11"/>
    <w:rsid w:val="001D5834"/>
    <w:rsid w:val="001D5B7C"/>
    <w:rsid w:val="001E271B"/>
    <w:rsid w:val="001E2C1E"/>
    <w:rsid w:val="001E3EA3"/>
    <w:rsid w:val="001E3F89"/>
    <w:rsid w:val="001F0F96"/>
    <w:rsid w:val="001F10BE"/>
    <w:rsid w:val="001F4C5E"/>
    <w:rsid w:val="001F5921"/>
    <w:rsid w:val="001F69AD"/>
    <w:rsid w:val="001F6B00"/>
    <w:rsid w:val="00206C9B"/>
    <w:rsid w:val="00215483"/>
    <w:rsid w:val="002157F2"/>
    <w:rsid w:val="0022279B"/>
    <w:rsid w:val="00223B24"/>
    <w:rsid w:val="00227117"/>
    <w:rsid w:val="002314F9"/>
    <w:rsid w:val="0023644C"/>
    <w:rsid w:val="00241C40"/>
    <w:rsid w:val="002436BC"/>
    <w:rsid w:val="00250AF8"/>
    <w:rsid w:val="002536A7"/>
    <w:rsid w:val="00255FB9"/>
    <w:rsid w:val="002621AA"/>
    <w:rsid w:val="00264925"/>
    <w:rsid w:val="00264EBD"/>
    <w:rsid w:val="00270377"/>
    <w:rsid w:val="002726BD"/>
    <w:rsid w:val="002761F7"/>
    <w:rsid w:val="00276EF4"/>
    <w:rsid w:val="0028248B"/>
    <w:rsid w:val="00285B59"/>
    <w:rsid w:val="00292A91"/>
    <w:rsid w:val="0029422C"/>
    <w:rsid w:val="0029458E"/>
    <w:rsid w:val="002A06A2"/>
    <w:rsid w:val="002A7396"/>
    <w:rsid w:val="002B171C"/>
    <w:rsid w:val="002B190D"/>
    <w:rsid w:val="002B3ED4"/>
    <w:rsid w:val="002C517B"/>
    <w:rsid w:val="002C5C39"/>
    <w:rsid w:val="002D26F8"/>
    <w:rsid w:val="002D2B86"/>
    <w:rsid w:val="002D43F1"/>
    <w:rsid w:val="002D4D89"/>
    <w:rsid w:val="002D4F6A"/>
    <w:rsid w:val="002D6224"/>
    <w:rsid w:val="002E5E98"/>
    <w:rsid w:val="002E640B"/>
    <w:rsid w:val="002F0F15"/>
    <w:rsid w:val="002F149B"/>
    <w:rsid w:val="002F4D8A"/>
    <w:rsid w:val="0030237C"/>
    <w:rsid w:val="00304CA3"/>
    <w:rsid w:val="00307D96"/>
    <w:rsid w:val="00311DC4"/>
    <w:rsid w:val="00313023"/>
    <w:rsid w:val="003149C9"/>
    <w:rsid w:val="00331537"/>
    <w:rsid w:val="003330C2"/>
    <w:rsid w:val="00333C7B"/>
    <w:rsid w:val="00341A62"/>
    <w:rsid w:val="003500C2"/>
    <w:rsid w:val="003514D5"/>
    <w:rsid w:val="00351C4F"/>
    <w:rsid w:val="00352257"/>
    <w:rsid w:val="00355D1F"/>
    <w:rsid w:val="00362081"/>
    <w:rsid w:val="00370411"/>
    <w:rsid w:val="00375DFE"/>
    <w:rsid w:val="003776F9"/>
    <w:rsid w:val="00395CFA"/>
    <w:rsid w:val="003964EE"/>
    <w:rsid w:val="00397430"/>
    <w:rsid w:val="003B1713"/>
    <w:rsid w:val="003B50E9"/>
    <w:rsid w:val="003B5CA8"/>
    <w:rsid w:val="003B7DC4"/>
    <w:rsid w:val="003C03F9"/>
    <w:rsid w:val="003C0680"/>
    <w:rsid w:val="003D18F1"/>
    <w:rsid w:val="003D1D17"/>
    <w:rsid w:val="003D3B8E"/>
    <w:rsid w:val="003D6864"/>
    <w:rsid w:val="003E09B4"/>
    <w:rsid w:val="003E5182"/>
    <w:rsid w:val="003E518B"/>
    <w:rsid w:val="003E5B25"/>
    <w:rsid w:val="003E613E"/>
    <w:rsid w:val="003E65D9"/>
    <w:rsid w:val="003F2820"/>
    <w:rsid w:val="003F70B6"/>
    <w:rsid w:val="003F7CD1"/>
    <w:rsid w:val="00403560"/>
    <w:rsid w:val="004117FF"/>
    <w:rsid w:val="00414548"/>
    <w:rsid w:val="004205DF"/>
    <w:rsid w:val="004238CF"/>
    <w:rsid w:val="004253C5"/>
    <w:rsid w:val="004312ED"/>
    <w:rsid w:val="00433B5F"/>
    <w:rsid w:val="00433FE2"/>
    <w:rsid w:val="00434199"/>
    <w:rsid w:val="00435CBB"/>
    <w:rsid w:val="00436038"/>
    <w:rsid w:val="00441C57"/>
    <w:rsid w:val="00442666"/>
    <w:rsid w:val="0044663F"/>
    <w:rsid w:val="0044767A"/>
    <w:rsid w:val="00456547"/>
    <w:rsid w:val="00463DC2"/>
    <w:rsid w:val="004653CE"/>
    <w:rsid w:val="00474912"/>
    <w:rsid w:val="0048131D"/>
    <w:rsid w:val="00484E8C"/>
    <w:rsid w:val="004860C7"/>
    <w:rsid w:val="00486FA0"/>
    <w:rsid w:val="004904D3"/>
    <w:rsid w:val="0049201F"/>
    <w:rsid w:val="00492928"/>
    <w:rsid w:val="004A1B88"/>
    <w:rsid w:val="004A41C0"/>
    <w:rsid w:val="004A4660"/>
    <w:rsid w:val="004A62AD"/>
    <w:rsid w:val="004B2D97"/>
    <w:rsid w:val="004B422A"/>
    <w:rsid w:val="004C2E34"/>
    <w:rsid w:val="004C6962"/>
    <w:rsid w:val="004D7641"/>
    <w:rsid w:val="004E048B"/>
    <w:rsid w:val="004E386A"/>
    <w:rsid w:val="004E6803"/>
    <w:rsid w:val="004F46B2"/>
    <w:rsid w:val="00502269"/>
    <w:rsid w:val="0050262E"/>
    <w:rsid w:val="00506CC9"/>
    <w:rsid w:val="005115CB"/>
    <w:rsid w:val="0051204C"/>
    <w:rsid w:val="005154CE"/>
    <w:rsid w:val="00522EFA"/>
    <w:rsid w:val="00525E47"/>
    <w:rsid w:val="005319A7"/>
    <w:rsid w:val="005341C6"/>
    <w:rsid w:val="005361C8"/>
    <w:rsid w:val="005423AC"/>
    <w:rsid w:val="005431C4"/>
    <w:rsid w:val="00544E78"/>
    <w:rsid w:val="00546B28"/>
    <w:rsid w:val="00547254"/>
    <w:rsid w:val="005477BF"/>
    <w:rsid w:val="005507E8"/>
    <w:rsid w:val="00566496"/>
    <w:rsid w:val="005677DD"/>
    <w:rsid w:val="005705A6"/>
    <w:rsid w:val="00583AB9"/>
    <w:rsid w:val="005849E5"/>
    <w:rsid w:val="00584C71"/>
    <w:rsid w:val="00591D46"/>
    <w:rsid w:val="005938B6"/>
    <w:rsid w:val="00595E3E"/>
    <w:rsid w:val="005A56D7"/>
    <w:rsid w:val="005A6CC1"/>
    <w:rsid w:val="005A6EC3"/>
    <w:rsid w:val="005A7D5F"/>
    <w:rsid w:val="005C2B5B"/>
    <w:rsid w:val="005C4083"/>
    <w:rsid w:val="005C4DFF"/>
    <w:rsid w:val="005D1468"/>
    <w:rsid w:val="005E178D"/>
    <w:rsid w:val="005E1F0D"/>
    <w:rsid w:val="005E51B7"/>
    <w:rsid w:val="005E51CD"/>
    <w:rsid w:val="005F144D"/>
    <w:rsid w:val="005F2627"/>
    <w:rsid w:val="00600E9B"/>
    <w:rsid w:val="006070B3"/>
    <w:rsid w:val="00607556"/>
    <w:rsid w:val="0060794D"/>
    <w:rsid w:val="00610FCA"/>
    <w:rsid w:val="00615474"/>
    <w:rsid w:val="00622BEB"/>
    <w:rsid w:val="00622E60"/>
    <w:rsid w:val="00626A5C"/>
    <w:rsid w:val="00633B7F"/>
    <w:rsid w:val="00633CF5"/>
    <w:rsid w:val="00645B14"/>
    <w:rsid w:val="00647946"/>
    <w:rsid w:val="00652393"/>
    <w:rsid w:val="00655530"/>
    <w:rsid w:val="006558CA"/>
    <w:rsid w:val="00665C34"/>
    <w:rsid w:val="00674F58"/>
    <w:rsid w:val="00676521"/>
    <w:rsid w:val="00680393"/>
    <w:rsid w:val="006861C2"/>
    <w:rsid w:val="0068661E"/>
    <w:rsid w:val="00692CC6"/>
    <w:rsid w:val="00692FED"/>
    <w:rsid w:val="00697907"/>
    <w:rsid w:val="00697964"/>
    <w:rsid w:val="006A026C"/>
    <w:rsid w:val="006A2ADF"/>
    <w:rsid w:val="006A34AE"/>
    <w:rsid w:val="006A411B"/>
    <w:rsid w:val="006A6949"/>
    <w:rsid w:val="006A7873"/>
    <w:rsid w:val="006B11A1"/>
    <w:rsid w:val="006B1B47"/>
    <w:rsid w:val="006B250E"/>
    <w:rsid w:val="006B4600"/>
    <w:rsid w:val="006B7834"/>
    <w:rsid w:val="006C3AA6"/>
    <w:rsid w:val="006D1C1D"/>
    <w:rsid w:val="006D37E1"/>
    <w:rsid w:val="006D62C1"/>
    <w:rsid w:val="006E4825"/>
    <w:rsid w:val="006E7EA1"/>
    <w:rsid w:val="006F283D"/>
    <w:rsid w:val="006F4AD4"/>
    <w:rsid w:val="00700009"/>
    <w:rsid w:val="007015FA"/>
    <w:rsid w:val="007025BD"/>
    <w:rsid w:val="007048C4"/>
    <w:rsid w:val="00706648"/>
    <w:rsid w:val="0071085C"/>
    <w:rsid w:val="00710BB2"/>
    <w:rsid w:val="007146D5"/>
    <w:rsid w:val="007148A1"/>
    <w:rsid w:val="00716B5F"/>
    <w:rsid w:val="00720182"/>
    <w:rsid w:val="00722759"/>
    <w:rsid w:val="00727FDA"/>
    <w:rsid w:val="0073642D"/>
    <w:rsid w:val="00737CFE"/>
    <w:rsid w:val="00740079"/>
    <w:rsid w:val="00743DA2"/>
    <w:rsid w:val="00747EEE"/>
    <w:rsid w:val="0075045D"/>
    <w:rsid w:val="00751EE7"/>
    <w:rsid w:val="007564DE"/>
    <w:rsid w:val="007659D3"/>
    <w:rsid w:val="0077020D"/>
    <w:rsid w:val="00774853"/>
    <w:rsid w:val="00774944"/>
    <w:rsid w:val="007776F6"/>
    <w:rsid w:val="007807E8"/>
    <w:rsid w:val="0078109E"/>
    <w:rsid w:val="00782FAA"/>
    <w:rsid w:val="00784A95"/>
    <w:rsid w:val="00785FFD"/>
    <w:rsid w:val="00791D4D"/>
    <w:rsid w:val="007939B9"/>
    <w:rsid w:val="007944B5"/>
    <w:rsid w:val="007A0A2C"/>
    <w:rsid w:val="007A0FC5"/>
    <w:rsid w:val="007A21DF"/>
    <w:rsid w:val="007A3A2B"/>
    <w:rsid w:val="007A51A3"/>
    <w:rsid w:val="007A577D"/>
    <w:rsid w:val="007B47DE"/>
    <w:rsid w:val="007B7110"/>
    <w:rsid w:val="007C4523"/>
    <w:rsid w:val="007C5846"/>
    <w:rsid w:val="007D09D1"/>
    <w:rsid w:val="007D5A72"/>
    <w:rsid w:val="007D7AB5"/>
    <w:rsid w:val="007E1315"/>
    <w:rsid w:val="007E1836"/>
    <w:rsid w:val="007E6D4C"/>
    <w:rsid w:val="007F01B5"/>
    <w:rsid w:val="007F30D5"/>
    <w:rsid w:val="007F7234"/>
    <w:rsid w:val="00805002"/>
    <w:rsid w:val="0081132F"/>
    <w:rsid w:val="008113F0"/>
    <w:rsid w:val="008125E4"/>
    <w:rsid w:val="00814A96"/>
    <w:rsid w:val="008150E7"/>
    <w:rsid w:val="00817627"/>
    <w:rsid w:val="00820109"/>
    <w:rsid w:val="008236EB"/>
    <w:rsid w:val="00824AA2"/>
    <w:rsid w:val="008272C1"/>
    <w:rsid w:val="00827D06"/>
    <w:rsid w:val="00830784"/>
    <w:rsid w:val="00831E52"/>
    <w:rsid w:val="00832762"/>
    <w:rsid w:val="00840100"/>
    <w:rsid w:val="008426DC"/>
    <w:rsid w:val="0085200C"/>
    <w:rsid w:val="008614AD"/>
    <w:rsid w:val="00867882"/>
    <w:rsid w:val="00872211"/>
    <w:rsid w:val="00872476"/>
    <w:rsid w:val="008752BF"/>
    <w:rsid w:val="0087637C"/>
    <w:rsid w:val="0088019E"/>
    <w:rsid w:val="008804FD"/>
    <w:rsid w:val="008823FD"/>
    <w:rsid w:val="008846C1"/>
    <w:rsid w:val="0088485D"/>
    <w:rsid w:val="00884A13"/>
    <w:rsid w:val="008856CA"/>
    <w:rsid w:val="00885FC3"/>
    <w:rsid w:val="00897200"/>
    <w:rsid w:val="008A4050"/>
    <w:rsid w:val="008A4341"/>
    <w:rsid w:val="008A4350"/>
    <w:rsid w:val="008A6024"/>
    <w:rsid w:val="008B2775"/>
    <w:rsid w:val="008B45F3"/>
    <w:rsid w:val="008C0EAE"/>
    <w:rsid w:val="008C5032"/>
    <w:rsid w:val="008D058F"/>
    <w:rsid w:val="008D452B"/>
    <w:rsid w:val="008D4A10"/>
    <w:rsid w:val="008D4D77"/>
    <w:rsid w:val="008E1855"/>
    <w:rsid w:val="008E2030"/>
    <w:rsid w:val="008E3017"/>
    <w:rsid w:val="008E4283"/>
    <w:rsid w:val="008F122B"/>
    <w:rsid w:val="008F1BEE"/>
    <w:rsid w:val="009030A0"/>
    <w:rsid w:val="00903808"/>
    <w:rsid w:val="00907AD6"/>
    <w:rsid w:val="00912B66"/>
    <w:rsid w:val="00913BCB"/>
    <w:rsid w:val="0091645A"/>
    <w:rsid w:val="0091786E"/>
    <w:rsid w:val="00921F28"/>
    <w:rsid w:val="00937323"/>
    <w:rsid w:val="00944F63"/>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12DB"/>
    <w:rsid w:val="009921DD"/>
    <w:rsid w:val="009934D6"/>
    <w:rsid w:val="009A1ACF"/>
    <w:rsid w:val="009A1B67"/>
    <w:rsid w:val="009A5C91"/>
    <w:rsid w:val="009A6CB2"/>
    <w:rsid w:val="009A7033"/>
    <w:rsid w:val="009A735B"/>
    <w:rsid w:val="009A76E4"/>
    <w:rsid w:val="009B0BA7"/>
    <w:rsid w:val="009C1E91"/>
    <w:rsid w:val="009C2BA0"/>
    <w:rsid w:val="009C541C"/>
    <w:rsid w:val="009C7C93"/>
    <w:rsid w:val="009D2E9C"/>
    <w:rsid w:val="009D4340"/>
    <w:rsid w:val="009D5665"/>
    <w:rsid w:val="009D6962"/>
    <w:rsid w:val="009E4DF1"/>
    <w:rsid w:val="009E6EF9"/>
    <w:rsid w:val="009F1F6A"/>
    <w:rsid w:val="009F35FC"/>
    <w:rsid w:val="009F4360"/>
    <w:rsid w:val="00A00088"/>
    <w:rsid w:val="00A02330"/>
    <w:rsid w:val="00A04F52"/>
    <w:rsid w:val="00A05177"/>
    <w:rsid w:val="00A12ABC"/>
    <w:rsid w:val="00A13D9D"/>
    <w:rsid w:val="00A17793"/>
    <w:rsid w:val="00A17BA7"/>
    <w:rsid w:val="00A20C8E"/>
    <w:rsid w:val="00A2152A"/>
    <w:rsid w:val="00A21E8D"/>
    <w:rsid w:val="00A24C90"/>
    <w:rsid w:val="00A25668"/>
    <w:rsid w:val="00A377C4"/>
    <w:rsid w:val="00A40E4D"/>
    <w:rsid w:val="00A4189D"/>
    <w:rsid w:val="00A41929"/>
    <w:rsid w:val="00A42053"/>
    <w:rsid w:val="00A47876"/>
    <w:rsid w:val="00A50F20"/>
    <w:rsid w:val="00A536F9"/>
    <w:rsid w:val="00A56BD8"/>
    <w:rsid w:val="00A60962"/>
    <w:rsid w:val="00A627B9"/>
    <w:rsid w:val="00A64E71"/>
    <w:rsid w:val="00A65B65"/>
    <w:rsid w:val="00A70B21"/>
    <w:rsid w:val="00A70BD9"/>
    <w:rsid w:val="00A724B3"/>
    <w:rsid w:val="00A75058"/>
    <w:rsid w:val="00A77DA3"/>
    <w:rsid w:val="00A80EA4"/>
    <w:rsid w:val="00A84D83"/>
    <w:rsid w:val="00A8595A"/>
    <w:rsid w:val="00A87D11"/>
    <w:rsid w:val="00A9166A"/>
    <w:rsid w:val="00A929E0"/>
    <w:rsid w:val="00AA248C"/>
    <w:rsid w:val="00AA670A"/>
    <w:rsid w:val="00AB164F"/>
    <w:rsid w:val="00AC0727"/>
    <w:rsid w:val="00AC3FDF"/>
    <w:rsid w:val="00AD0082"/>
    <w:rsid w:val="00AD470F"/>
    <w:rsid w:val="00AE0A44"/>
    <w:rsid w:val="00AE43CE"/>
    <w:rsid w:val="00AF23C0"/>
    <w:rsid w:val="00AF3AAB"/>
    <w:rsid w:val="00B022C2"/>
    <w:rsid w:val="00B02E43"/>
    <w:rsid w:val="00B03BAC"/>
    <w:rsid w:val="00B1196A"/>
    <w:rsid w:val="00B13D93"/>
    <w:rsid w:val="00B1418F"/>
    <w:rsid w:val="00B14643"/>
    <w:rsid w:val="00B14832"/>
    <w:rsid w:val="00B14876"/>
    <w:rsid w:val="00B16635"/>
    <w:rsid w:val="00B209BA"/>
    <w:rsid w:val="00B3007B"/>
    <w:rsid w:val="00B3186B"/>
    <w:rsid w:val="00B35AC3"/>
    <w:rsid w:val="00B36E68"/>
    <w:rsid w:val="00B461B8"/>
    <w:rsid w:val="00B537A6"/>
    <w:rsid w:val="00B57C22"/>
    <w:rsid w:val="00B71322"/>
    <w:rsid w:val="00B7610D"/>
    <w:rsid w:val="00B76C76"/>
    <w:rsid w:val="00B82BF6"/>
    <w:rsid w:val="00B86468"/>
    <w:rsid w:val="00B930D7"/>
    <w:rsid w:val="00B9414E"/>
    <w:rsid w:val="00B94B2E"/>
    <w:rsid w:val="00B95BD5"/>
    <w:rsid w:val="00BA27DA"/>
    <w:rsid w:val="00BA2FF7"/>
    <w:rsid w:val="00BA6780"/>
    <w:rsid w:val="00BA7052"/>
    <w:rsid w:val="00BB163C"/>
    <w:rsid w:val="00BB3EF2"/>
    <w:rsid w:val="00BB75E5"/>
    <w:rsid w:val="00BC4E35"/>
    <w:rsid w:val="00BC6487"/>
    <w:rsid w:val="00BD328B"/>
    <w:rsid w:val="00BD5B64"/>
    <w:rsid w:val="00BD72B7"/>
    <w:rsid w:val="00BD7A53"/>
    <w:rsid w:val="00BE1DC6"/>
    <w:rsid w:val="00BE4619"/>
    <w:rsid w:val="00BE52CD"/>
    <w:rsid w:val="00BE64BC"/>
    <w:rsid w:val="00BF0BB4"/>
    <w:rsid w:val="00BF3706"/>
    <w:rsid w:val="00BF37FE"/>
    <w:rsid w:val="00BF479C"/>
    <w:rsid w:val="00C0247A"/>
    <w:rsid w:val="00C0463D"/>
    <w:rsid w:val="00C064E8"/>
    <w:rsid w:val="00C14DD6"/>
    <w:rsid w:val="00C17221"/>
    <w:rsid w:val="00C248B3"/>
    <w:rsid w:val="00C25688"/>
    <w:rsid w:val="00C31482"/>
    <w:rsid w:val="00C360A7"/>
    <w:rsid w:val="00C51AE5"/>
    <w:rsid w:val="00C5372B"/>
    <w:rsid w:val="00C55D4E"/>
    <w:rsid w:val="00C60DFF"/>
    <w:rsid w:val="00C77710"/>
    <w:rsid w:val="00C86173"/>
    <w:rsid w:val="00C95B52"/>
    <w:rsid w:val="00C968F5"/>
    <w:rsid w:val="00C96F15"/>
    <w:rsid w:val="00CA109E"/>
    <w:rsid w:val="00CA4039"/>
    <w:rsid w:val="00CA41C0"/>
    <w:rsid w:val="00CA4A01"/>
    <w:rsid w:val="00CA6043"/>
    <w:rsid w:val="00CA7D46"/>
    <w:rsid w:val="00CB0A70"/>
    <w:rsid w:val="00CB27AE"/>
    <w:rsid w:val="00CB28CC"/>
    <w:rsid w:val="00CB5495"/>
    <w:rsid w:val="00CB5C8E"/>
    <w:rsid w:val="00CB7A52"/>
    <w:rsid w:val="00CD2BF3"/>
    <w:rsid w:val="00CD7461"/>
    <w:rsid w:val="00CE2867"/>
    <w:rsid w:val="00CE406C"/>
    <w:rsid w:val="00CF227F"/>
    <w:rsid w:val="00CF7C0E"/>
    <w:rsid w:val="00D00C4E"/>
    <w:rsid w:val="00D0161D"/>
    <w:rsid w:val="00D01FC5"/>
    <w:rsid w:val="00D02868"/>
    <w:rsid w:val="00D04DDB"/>
    <w:rsid w:val="00D0507C"/>
    <w:rsid w:val="00D05D54"/>
    <w:rsid w:val="00D142E1"/>
    <w:rsid w:val="00D17B1D"/>
    <w:rsid w:val="00D17EA6"/>
    <w:rsid w:val="00D26F80"/>
    <w:rsid w:val="00D31795"/>
    <w:rsid w:val="00D31BC8"/>
    <w:rsid w:val="00D321E4"/>
    <w:rsid w:val="00D32850"/>
    <w:rsid w:val="00D32C45"/>
    <w:rsid w:val="00D33FBF"/>
    <w:rsid w:val="00D35F09"/>
    <w:rsid w:val="00D40109"/>
    <w:rsid w:val="00D40836"/>
    <w:rsid w:val="00D41C54"/>
    <w:rsid w:val="00D4263B"/>
    <w:rsid w:val="00D53A0B"/>
    <w:rsid w:val="00D57AFB"/>
    <w:rsid w:val="00D603D4"/>
    <w:rsid w:val="00D60CBE"/>
    <w:rsid w:val="00D611A3"/>
    <w:rsid w:val="00D616E6"/>
    <w:rsid w:val="00D6472D"/>
    <w:rsid w:val="00D64EE5"/>
    <w:rsid w:val="00D66C32"/>
    <w:rsid w:val="00D67A48"/>
    <w:rsid w:val="00D711CA"/>
    <w:rsid w:val="00D72E7F"/>
    <w:rsid w:val="00D76DE6"/>
    <w:rsid w:val="00D81517"/>
    <w:rsid w:val="00D820CB"/>
    <w:rsid w:val="00D876DC"/>
    <w:rsid w:val="00D941DF"/>
    <w:rsid w:val="00DA384D"/>
    <w:rsid w:val="00DA5414"/>
    <w:rsid w:val="00DA710E"/>
    <w:rsid w:val="00DB0C3C"/>
    <w:rsid w:val="00DB64AC"/>
    <w:rsid w:val="00DC4166"/>
    <w:rsid w:val="00DC45AA"/>
    <w:rsid w:val="00DC6E85"/>
    <w:rsid w:val="00DD0197"/>
    <w:rsid w:val="00DD635F"/>
    <w:rsid w:val="00DE08EC"/>
    <w:rsid w:val="00DE11B9"/>
    <w:rsid w:val="00DE375E"/>
    <w:rsid w:val="00DE3B39"/>
    <w:rsid w:val="00DE5431"/>
    <w:rsid w:val="00DE5F65"/>
    <w:rsid w:val="00DF00FB"/>
    <w:rsid w:val="00DF55CE"/>
    <w:rsid w:val="00E02171"/>
    <w:rsid w:val="00E110AD"/>
    <w:rsid w:val="00E112DE"/>
    <w:rsid w:val="00E113E6"/>
    <w:rsid w:val="00E217B7"/>
    <w:rsid w:val="00E27052"/>
    <w:rsid w:val="00E32D95"/>
    <w:rsid w:val="00E32F0F"/>
    <w:rsid w:val="00E5026D"/>
    <w:rsid w:val="00E505FB"/>
    <w:rsid w:val="00E52B0F"/>
    <w:rsid w:val="00E54115"/>
    <w:rsid w:val="00E54267"/>
    <w:rsid w:val="00E55B0B"/>
    <w:rsid w:val="00E6078D"/>
    <w:rsid w:val="00E61B95"/>
    <w:rsid w:val="00E62675"/>
    <w:rsid w:val="00E62BF4"/>
    <w:rsid w:val="00E64A10"/>
    <w:rsid w:val="00E65F9E"/>
    <w:rsid w:val="00E713C0"/>
    <w:rsid w:val="00E71DAE"/>
    <w:rsid w:val="00E748B0"/>
    <w:rsid w:val="00E75A41"/>
    <w:rsid w:val="00E858FA"/>
    <w:rsid w:val="00E87750"/>
    <w:rsid w:val="00E96D4D"/>
    <w:rsid w:val="00EA21CA"/>
    <w:rsid w:val="00EA2990"/>
    <w:rsid w:val="00EA2B78"/>
    <w:rsid w:val="00EB2AEB"/>
    <w:rsid w:val="00EB5707"/>
    <w:rsid w:val="00EB5B5C"/>
    <w:rsid w:val="00EB7863"/>
    <w:rsid w:val="00EC3310"/>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06024"/>
    <w:rsid w:val="00F172AC"/>
    <w:rsid w:val="00F2084D"/>
    <w:rsid w:val="00F21C1F"/>
    <w:rsid w:val="00F22613"/>
    <w:rsid w:val="00F22E41"/>
    <w:rsid w:val="00F255A1"/>
    <w:rsid w:val="00F316B4"/>
    <w:rsid w:val="00F37B22"/>
    <w:rsid w:val="00F40F39"/>
    <w:rsid w:val="00F42969"/>
    <w:rsid w:val="00F435A6"/>
    <w:rsid w:val="00F471D1"/>
    <w:rsid w:val="00F5007A"/>
    <w:rsid w:val="00F51894"/>
    <w:rsid w:val="00F75DCD"/>
    <w:rsid w:val="00F779D0"/>
    <w:rsid w:val="00F84570"/>
    <w:rsid w:val="00F84786"/>
    <w:rsid w:val="00F87ECA"/>
    <w:rsid w:val="00FA00B3"/>
    <w:rsid w:val="00FA46EC"/>
    <w:rsid w:val="00FA4999"/>
    <w:rsid w:val="00FA52CA"/>
    <w:rsid w:val="00FA5677"/>
    <w:rsid w:val="00FB250B"/>
    <w:rsid w:val="00FC5EE7"/>
    <w:rsid w:val="00FC709A"/>
    <w:rsid w:val="00FD4183"/>
    <w:rsid w:val="00FD43D5"/>
    <w:rsid w:val="00FD473C"/>
    <w:rsid w:val="00FD72F1"/>
    <w:rsid w:val="00FD7850"/>
    <w:rsid w:val="00FE0657"/>
    <w:rsid w:val="00FE1F7B"/>
    <w:rsid w:val="00FE3753"/>
    <w:rsid w:val="00FF0F14"/>
    <w:rsid w:val="00FF185E"/>
    <w:rsid w:val="00FF23B9"/>
    <w:rsid w:val="00FF3D3C"/>
    <w:rsid w:val="00FF3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52958341">
      <w:bodyDiv w:val="1"/>
      <w:marLeft w:val="0"/>
      <w:marRight w:val="0"/>
      <w:marTop w:val="0"/>
      <w:marBottom w:val="0"/>
      <w:divBdr>
        <w:top w:val="none" w:sz="0" w:space="0" w:color="auto"/>
        <w:left w:val="none" w:sz="0" w:space="0" w:color="auto"/>
        <w:bottom w:val="none" w:sz="0" w:space="0" w:color="auto"/>
        <w:right w:val="none" w:sz="0" w:space="0" w:color="auto"/>
      </w:divBdr>
      <w:divsChild>
        <w:div w:id="859011832">
          <w:marLeft w:val="0"/>
          <w:marRight w:val="0"/>
          <w:marTop w:val="0"/>
          <w:marBottom w:val="0"/>
          <w:divBdr>
            <w:top w:val="none" w:sz="0" w:space="0" w:color="auto"/>
            <w:left w:val="none" w:sz="0" w:space="0" w:color="auto"/>
            <w:bottom w:val="none" w:sz="0" w:space="0" w:color="auto"/>
            <w:right w:val="none" w:sz="0" w:space="0" w:color="auto"/>
          </w:divBdr>
        </w:div>
      </w:divsChild>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580216603">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3512977">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0805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979A-1C17-4FB6-A392-BD46ECD9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5</Pages>
  <Words>6092</Words>
  <Characters>3474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Nerijus Mocevičius</cp:lastModifiedBy>
  <cp:revision>6</cp:revision>
  <cp:lastPrinted>2016-08-22T14:16:00Z</cp:lastPrinted>
  <dcterms:created xsi:type="dcterms:W3CDTF">2016-08-03T12:15:00Z</dcterms:created>
  <dcterms:modified xsi:type="dcterms:W3CDTF">2018-05-02T10:47:00Z</dcterms:modified>
</cp:coreProperties>
</file>