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DF290" w14:textId="14FC6F9D" w:rsidR="00064323" w:rsidRPr="0026316F" w:rsidRDefault="000354B0" w:rsidP="0026316F">
      <w:pPr>
        <w:tabs>
          <w:tab w:val="left" w:pos="709"/>
        </w:tabs>
        <w:spacing w:before="160" w:line="276" w:lineRule="auto"/>
        <w:jc w:val="right"/>
        <w:rPr>
          <w:b/>
          <w:caps/>
          <w:szCs w:val="24"/>
        </w:rPr>
      </w:pPr>
      <w:bookmarkStart w:id="0" w:name="_GoBack"/>
      <w:bookmarkEnd w:id="0"/>
      <w:r w:rsidRPr="0026316F">
        <w:rPr>
          <w:b/>
          <w:noProof/>
          <w:szCs w:val="24"/>
          <w:lang w:eastAsia="lt-LT"/>
        </w:rPr>
        <w:t>Projektas</w:t>
      </w:r>
    </w:p>
    <w:p w14:paraId="326F542E" w14:textId="77777777" w:rsidR="00064323" w:rsidRPr="0026316F" w:rsidRDefault="00064323" w:rsidP="0026316F">
      <w:pPr>
        <w:tabs>
          <w:tab w:val="left" w:pos="709"/>
        </w:tabs>
        <w:spacing w:before="160" w:line="276" w:lineRule="auto"/>
        <w:jc w:val="center"/>
        <w:rPr>
          <w:b/>
          <w:caps/>
          <w:szCs w:val="24"/>
        </w:rPr>
      </w:pPr>
      <w:r w:rsidRPr="0026316F">
        <w:rPr>
          <w:b/>
          <w:caps/>
          <w:szCs w:val="24"/>
        </w:rPr>
        <w:t>LIETUVOS RESPUBLIKOS ŪKIO MINISTRAS</w:t>
      </w:r>
    </w:p>
    <w:p w14:paraId="12BCA03A" w14:textId="77777777" w:rsidR="008919DC" w:rsidRPr="0026316F" w:rsidRDefault="008919DC" w:rsidP="0026316F">
      <w:pPr>
        <w:spacing w:line="276" w:lineRule="auto"/>
        <w:jc w:val="center"/>
        <w:rPr>
          <w:b/>
          <w:caps/>
          <w:szCs w:val="24"/>
        </w:rPr>
      </w:pPr>
    </w:p>
    <w:p w14:paraId="695B7A0E" w14:textId="77777777" w:rsidR="008919DC" w:rsidRPr="0026316F" w:rsidRDefault="008919DC" w:rsidP="0026316F">
      <w:pPr>
        <w:pStyle w:val="centrbold"/>
        <w:spacing w:before="0" w:beforeAutospacing="0" w:after="0" w:afterAutospacing="0" w:line="276" w:lineRule="auto"/>
        <w:jc w:val="center"/>
        <w:rPr>
          <w:b/>
        </w:rPr>
      </w:pPr>
      <w:r w:rsidRPr="0026316F">
        <w:rPr>
          <w:b/>
        </w:rPr>
        <w:t>ĮSAKYMAS</w:t>
      </w:r>
    </w:p>
    <w:p w14:paraId="756652A2" w14:textId="5418FE50" w:rsidR="008919DC" w:rsidRPr="0026316F" w:rsidRDefault="008919DC" w:rsidP="0026316F">
      <w:pPr>
        <w:spacing w:line="276" w:lineRule="auto"/>
        <w:jc w:val="center"/>
        <w:rPr>
          <w:b/>
          <w:szCs w:val="24"/>
        </w:rPr>
      </w:pPr>
      <w:r w:rsidRPr="0026316F">
        <w:rPr>
          <w:b/>
          <w:szCs w:val="24"/>
        </w:rPr>
        <w:t xml:space="preserve">DĖL LIETUVOS RESPUBLIKOS ŪKIO MINISTRO 2016 M. </w:t>
      </w:r>
      <w:r w:rsidRPr="0026316F">
        <w:rPr>
          <w:b/>
          <w:caps/>
          <w:szCs w:val="24"/>
        </w:rPr>
        <w:t>kovo</w:t>
      </w:r>
      <w:r w:rsidRPr="0026316F">
        <w:rPr>
          <w:b/>
          <w:szCs w:val="24"/>
        </w:rPr>
        <w:t xml:space="preserve"> 7 D. ĮSAKYMO NR. 4-187 „DĖL 2014–2020 METŲ EUROPOS SĄJUNGOS FONDŲ INVESTICIJŲ VEIKSMŲ PROGRAMOS </w:t>
      </w:r>
      <w:r w:rsidRPr="0026316F">
        <w:rPr>
          <w:b/>
          <w:caps/>
          <w:szCs w:val="24"/>
        </w:rPr>
        <w:t>3 PRIORITETO „Smulkiojo ir Vidutinio verslo Konkurencingumo skatinimas“ IR 4 PRIORITETO „Energijos efektyvumo ir atsinaujinančių išteklių energijos gamybos ir naudojimo skatinimas“ JUNGTINĖS PRIEMONĖS</w:t>
      </w:r>
      <w:r w:rsidRPr="0026316F">
        <w:rPr>
          <w:b/>
          <w:bCs/>
          <w:caps/>
          <w:szCs w:val="24"/>
        </w:rPr>
        <w:t xml:space="preserve"> nr. J03-IVG-T</w:t>
      </w:r>
      <w:r w:rsidRPr="0026316F">
        <w:rPr>
          <w:b/>
          <w:caps/>
          <w:szCs w:val="24"/>
        </w:rPr>
        <w:t xml:space="preserve"> „DALINIS PALŪKANŲ KOMPENSAVIMAS“ PROJEKTŲ FINANSAVIMO SĄLYGŲ APRAŠO Nr. 1 patvirtinimo“ PAKEITIMO</w:t>
      </w:r>
    </w:p>
    <w:p w14:paraId="717D121A" w14:textId="77777777" w:rsidR="008919DC" w:rsidRPr="0026316F" w:rsidRDefault="008919DC" w:rsidP="0026316F">
      <w:pPr>
        <w:spacing w:line="276" w:lineRule="auto"/>
        <w:rPr>
          <w:szCs w:val="24"/>
        </w:rPr>
      </w:pPr>
    </w:p>
    <w:p w14:paraId="662C5605" w14:textId="65C3EDD1" w:rsidR="008919DC" w:rsidRPr="0026316F" w:rsidRDefault="008919DC" w:rsidP="0026316F">
      <w:pPr>
        <w:spacing w:line="276" w:lineRule="auto"/>
        <w:jc w:val="center"/>
        <w:rPr>
          <w:szCs w:val="24"/>
        </w:rPr>
      </w:pPr>
      <w:r w:rsidRPr="0026316F">
        <w:rPr>
          <w:szCs w:val="24"/>
        </w:rPr>
        <w:t xml:space="preserve">2018 m. </w:t>
      </w:r>
      <w:r w:rsidR="006C61DD" w:rsidRPr="0026316F">
        <w:rPr>
          <w:szCs w:val="24"/>
        </w:rPr>
        <w:t xml:space="preserve">                   </w:t>
      </w:r>
      <w:r w:rsidRPr="0026316F">
        <w:rPr>
          <w:szCs w:val="24"/>
        </w:rPr>
        <w:t>d. Nr. 4-</w:t>
      </w:r>
    </w:p>
    <w:p w14:paraId="4DECF148" w14:textId="77777777" w:rsidR="008919DC" w:rsidRPr="0026316F" w:rsidRDefault="008919DC" w:rsidP="0026316F">
      <w:pPr>
        <w:spacing w:line="276" w:lineRule="auto"/>
        <w:jc w:val="center"/>
        <w:rPr>
          <w:szCs w:val="24"/>
        </w:rPr>
      </w:pPr>
      <w:r w:rsidRPr="0026316F">
        <w:rPr>
          <w:szCs w:val="24"/>
        </w:rPr>
        <w:t>Vilnius</w:t>
      </w:r>
    </w:p>
    <w:p w14:paraId="15F12D7A" w14:textId="77777777" w:rsidR="008919DC" w:rsidRPr="0026316F" w:rsidRDefault="008919DC" w:rsidP="0026316F">
      <w:pPr>
        <w:spacing w:line="276" w:lineRule="auto"/>
        <w:jc w:val="center"/>
        <w:rPr>
          <w:szCs w:val="24"/>
        </w:rPr>
      </w:pPr>
    </w:p>
    <w:p w14:paraId="606A5E63" w14:textId="77777777" w:rsidR="008919DC" w:rsidRPr="0026316F" w:rsidRDefault="008919DC" w:rsidP="0026316F">
      <w:pPr>
        <w:pStyle w:val="BodyText1"/>
        <w:spacing w:line="276" w:lineRule="auto"/>
        <w:ind w:firstLine="709"/>
        <w:rPr>
          <w:color w:val="auto"/>
          <w:sz w:val="24"/>
          <w:szCs w:val="24"/>
        </w:rPr>
      </w:pPr>
      <w:r w:rsidRPr="0026316F">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6BB3D73A" w14:textId="2104913F" w:rsidR="008919DC" w:rsidRPr="0026316F" w:rsidRDefault="008919DC" w:rsidP="0026316F">
      <w:pPr>
        <w:pStyle w:val="BodyText1"/>
        <w:spacing w:line="276" w:lineRule="auto"/>
        <w:ind w:firstLine="720"/>
        <w:rPr>
          <w:color w:val="auto"/>
          <w:sz w:val="24"/>
          <w:szCs w:val="24"/>
        </w:rPr>
      </w:pPr>
      <w:r w:rsidRPr="0026316F">
        <w:rPr>
          <w:color w:val="auto"/>
          <w:sz w:val="24"/>
          <w:szCs w:val="24"/>
        </w:rPr>
        <w:t>p a k e i č i u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aprašą Nr. 1, patvirtintą Lietuvos Respublikos ūkio ministro 2016 m. kovo 7 d. įsakymu Nr. 4-187 „Dėl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Nr. 1 patvirtinimo“:</w:t>
      </w:r>
    </w:p>
    <w:p w14:paraId="1B8B8717" w14:textId="42B9192B" w:rsidR="008919DC" w:rsidRPr="0026316F" w:rsidRDefault="000E69CD" w:rsidP="0026316F">
      <w:pPr>
        <w:pStyle w:val="BodyText1"/>
        <w:numPr>
          <w:ilvl w:val="0"/>
          <w:numId w:val="1"/>
        </w:numPr>
        <w:spacing w:line="276" w:lineRule="auto"/>
        <w:ind w:hanging="219"/>
        <w:rPr>
          <w:color w:val="auto"/>
          <w:sz w:val="24"/>
          <w:szCs w:val="24"/>
        </w:rPr>
      </w:pPr>
      <w:r w:rsidRPr="0026316F">
        <w:rPr>
          <w:color w:val="auto"/>
          <w:sz w:val="24"/>
          <w:szCs w:val="24"/>
        </w:rPr>
        <w:t xml:space="preserve"> </w:t>
      </w:r>
      <w:r w:rsidR="008919DC" w:rsidRPr="0026316F">
        <w:rPr>
          <w:color w:val="auto"/>
          <w:sz w:val="24"/>
          <w:szCs w:val="24"/>
        </w:rPr>
        <w:t xml:space="preserve">Pakeičiu </w:t>
      </w:r>
      <w:r w:rsidR="007F56A1" w:rsidRPr="0026316F">
        <w:rPr>
          <w:color w:val="auto"/>
          <w:sz w:val="24"/>
          <w:szCs w:val="24"/>
        </w:rPr>
        <w:t>44</w:t>
      </w:r>
      <w:r w:rsidR="008919DC" w:rsidRPr="0026316F">
        <w:rPr>
          <w:color w:val="auto"/>
          <w:sz w:val="24"/>
          <w:szCs w:val="24"/>
        </w:rPr>
        <w:t xml:space="preserve"> punktą ir jį išdėstau taip:</w:t>
      </w:r>
    </w:p>
    <w:p w14:paraId="038DFB4B" w14:textId="4744E07F" w:rsidR="007F56A1" w:rsidRPr="0026316F" w:rsidRDefault="008919DC" w:rsidP="0026316F">
      <w:pPr>
        <w:spacing w:line="276" w:lineRule="auto"/>
        <w:ind w:firstLine="709"/>
        <w:jc w:val="both"/>
        <w:rPr>
          <w:color w:val="000000"/>
          <w:szCs w:val="24"/>
        </w:rPr>
      </w:pPr>
      <w:r w:rsidRPr="0026316F">
        <w:rPr>
          <w:szCs w:val="24"/>
        </w:rPr>
        <w:t>„</w:t>
      </w:r>
      <w:r w:rsidR="00B12B12" w:rsidRPr="0026316F">
        <w:rPr>
          <w:szCs w:val="24"/>
        </w:rPr>
        <w:t>44</w:t>
      </w:r>
      <w:r w:rsidR="005D2240" w:rsidRPr="0026316F">
        <w:rPr>
          <w:szCs w:val="24"/>
        </w:rPr>
        <w:t xml:space="preserve">. </w:t>
      </w:r>
      <w:r w:rsidR="007F56A1" w:rsidRPr="0026316F">
        <w:rPr>
          <w:color w:val="000000"/>
          <w:szCs w:val="24"/>
        </w:rPr>
        <w:t>Pareiškėjas pildo paraiškos formą ir kartu su priedais teikia ją INVEGAI. Paraiška ir jos priedai turi būti užpildyti lietuvių kalba. Ne lietuvių kalba, netinkamai ar ne iki galo užpildyta paraiška ir (ar) jos priedai nebus vertinami. Paraiška ir jos priedai turi būti pateikti</w:t>
      </w:r>
      <w:r w:rsidR="00F23FF8" w:rsidRPr="0026316F">
        <w:rPr>
          <w:color w:val="000000"/>
          <w:szCs w:val="24"/>
        </w:rPr>
        <w:t xml:space="preserve"> vienu iš šių būdų</w:t>
      </w:r>
      <w:r w:rsidR="007F56A1" w:rsidRPr="0026316F">
        <w:rPr>
          <w:color w:val="000000"/>
          <w:szCs w:val="24"/>
        </w:rPr>
        <w:t>:</w:t>
      </w:r>
    </w:p>
    <w:p w14:paraId="78EE2976" w14:textId="6A8B2B67" w:rsidR="007F56A1" w:rsidRPr="0026316F" w:rsidRDefault="007F56A1" w:rsidP="0026316F">
      <w:pPr>
        <w:spacing w:line="276" w:lineRule="auto"/>
        <w:ind w:firstLine="709"/>
        <w:jc w:val="both"/>
        <w:rPr>
          <w:szCs w:val="24"/>
        </w:rPr>
      </w:pPr>
      <w:r w:rsidRPr="0026316F">
        <w:rPr>
          <w:color w:val="000000"/>
          <w:szCs w:val="24"/>
          <w:lang w:val="es-ES_tradnl"/>
        </w:rPr>
        <w:t>44.1.</w:t>
      </w:r>
      <w:r w:rsidRPr="0026316F">
        <w:rPr>
          <w:color w:val="000000"/>
          <w:szCs w:val="24"/>
        </w:rPr>
        <w:t xml:space="preserve"> tiesiogiai adresu </w:t>
      </w:r>
      <w:hyperlink r:id="rId9" w:history="1">
        <w:r w:rsidRPr="0026316F">
          <w:rPr>
            <w:rStyle w:val="Hyperlink"/>
            <w:color w:val="auto"/>
            <w:szCs w:val="24"/>
            <w:u w:val="none"/>
          </w:rPr>
          <w:t>https://epis.invega.lt</w:t>
        </w:r>
      </w:hyperlink>
      <w:r w:rsidRPr="0026316F">
        <w:rPr>
          <w:szCs w:val="24"/>
        </w:rPr>
        <w:t>.</w:t>
      </w:r>
      <w:r w:rsidRPr="0026316F">
        <w:rPr>
          <w:color w:val="000000"/>
          <w:szCs w:val="24"/>
        </w:rPr>
        <w:t xml:space="preserve"> Jei pateikti paraišką ir jos priedus adresu </w:t>
      </w:r>
      <w:hyperlink r:id="rId10" w:history="1">
        <w:r w:rsidRPr="0026316F">
          <w:rPr>
            <w:rStyle w:val="Hyperlink"/>
            <w:color w:val="auto"/>
            <w:szCs w:val="24"/>
            <w:u w:val="none"/>
          </w:rPr>
          <w:t>https://epis.invega.lt</w:t>
        </w:r>
      </w:hyperlink>
      <w:r w:rsidRPr="0026316F">
        <w:rPr>
          <w:szCs w:val="24"/>
        </w:rPr>
        <w:t xml:space="preserve"> </w:t>
      </w:r>
      <w:r w:rsidRPr="0026316F">
        <w:rPr>
          <w:color w:val="000000"/>
          <w:szCs w:val="24"/>
        </w:rPr>
        <w:t>nėra funkcinių galimybių ar jos laikinai neužtikrinamos, paraiška ir jos priedai gali būti pateikti elektroniniu paštu dpk2@invega.lt. Tokiu atveju siunčiami elektroniniai dokumentai turi būti pasirašyti kvalifikuot</w:t>
      </w:r>
      <w:r w:rsidR="00C15BAD" w:rsidRPr="0026316F">
        <w:rPr>
          <w:color w:val="000000"/>
          <w:szCs w:val="24"/>
        </w:rPr>
        <w:t>u</w:t>
      </w:r>
      <w:r w:rsidRPr="0026316F">
        <w:rPr>
          <w:color w:val="000000"/>
          <w:szCs w:val="24"/>
        </w:rPr>
        <w:t xml:space="preserve"> elektronini</w:t>
      </w:r>
      <w:r w:rsidR="00C15BAD" w:rsidRPr="0026316F">
        <w:rPr>
          <w:color w:val="000000"/>
          <w:szCs w:val="24"/>
        </w:rPr>
        <w:t>u</w:t>
      </w:r>
      <w:r w:rsidRPr="0026316F">
        <w:rPr>
          <w:color w:val="000000"/>
          <w:szCs w:val="24"/>
        </w:rPr>
        <w:t xml:space="preserve"> paraš</w:t>
      </w:r>
      <w:r w:rsidR="00C15BAD" w:rsidRPr="0026316F">
        <w:rPr>
          <w:color w:val="000000"/>
          <w:szCs w:val="24"/>
        </w:rPr>
        <w:t>u;</w:t>
      </w:r>
    </w:p>
    <w:p w14:paraId="63B98890" w14:textId="0B57A988" w:rsidR="007F56A1" w:rsidRPr="0026316F" w:rsidRDefault="007F56A1" w:rsidP="0026316F">
      <w:pPr>
        <w:spacing w:line="276" w:lineRule="auto"/>
        <w:ind w:firstLine="709"/>
        <w:jc w:val="both"/>
        <w:rPr>
          <w:color w:val="000000"/>
          <w:szCs w:val="24"/>
        </w:rPr>
      </w:pPr>
      <w:r w:rsidRPr="0026316F">
        <w:rPr>
          <w:color w:val="000000"/>
          <w:szCs w:val="24"/>
        </w:rPr>
        <w:t xml:space="preserve">44.2. iki </w:t>
      </w:r>
      <w:r w:rsidRPr="0026316F">
        <w:rPr>
          <w:color w:val="000000"/>
          <w:szCs w:val="24"/>
          <w:lang w:val="es-ES_tradnl"/>
        </w:rPr>
        <w:t>2018 m.</w:t>
      </w:r>
      <w:r w:rsidRPr="0026316F">
        <w:rPr>
          <w:color w:val="000000"/>
          <w:szCs w:val="24"/>
        </w:rPr>
        <w:t xml:space="preserve"> rugsėjo</w:t>
      </w:r>
      <w:r w:rsidRPr="0026316F">
        <w:rPr>
          <w:color w:val="000000"/>
          <w:szCs w:val="24"/>
          <w:lang w:val="es-ES_tradnl"/>
        </w:rPr>
        <w:t xml:space="preserve"> 30 d.</w:t>
      </w:r>
      <w:r w:rsidRPr="0026316F">
        <w:rPr>
          <w:color w:val="000000"/>
          <w:szCs w:val="24"/>
        </w:rPr>
        <w:t xml:space="preserve"> paraiška ir jos priedai gali būti </w:t>
      </w:r>
      <w:r w:rsidR="001718CB" w:rsidRPr="0026316F">
        <w:rPr>
          <w:color w:val="000000"/>
          <w:szCs w:val="24"/>
        </w:rPr>
        <w:t>pateikti vienu iš šių būdų</w:t>
      </w:r>
      <w:r w:rsidRPr="0026316F">
        <w:rPr>
          <w:color w:val="000000"/>
          <w:szCs w:val="24"/>
        </w:rPr>
        <w:t>:</w:t>
      </w:r>
    </w:p>
    <w:p w14:paraId="5FB8DE18" w14:textId="2879961E" w:rsidR="007F56A1" w:rsidRPr="0026316F" w:rsidRDefault="007F56A1" w:rsidP="0026316F">
      <w:pPr>
        <w:spacing w:line="276" w:lineRule="auto"/>
        <w:ind w:firstLine="709"/>
        <w:jc w:val="both"/>
        <w:rPr>
          <w:szCs w:val="24"/>
        </w:rPr>
      </w:pPr>
      <w:r w:rsidRPr="0026316F">
        <w:rPr>
          <w:color w:val="000000"/>
          <w:szCs w:val="24"/>
        </w:rPr>
        <w:t xml:space="preserve">44.2.1. </w:t>
      </w:r>
      <w:r w:rsidR="00061231" w:rsidRPr="0026316F">
        <w:rPr>
          <w:color w:val="000000"/>
          <w:szCs w:val="24"/>
        </w:rPr>
        <w:t xml:space="preserve">atsiųsti </w:t>
      </w:r>
      <w:r w:rsidRPr="0026316F">
        <w:rPr>
          <w:color w:val="000000"/>
          <w:szCs w:val="24"/>
        </w:rPr>
        <w:t>registruotu paštu;</w:t>
      </w:r>
    </w:p>
    <w:p w14:paraId="522D1A21" w14:textId="77777777" w:rsidR="007F56A1" w:rsidRPr="0026316F" w:rsidRDefault="007F56A1" w:rsidP="0026316F">
      <w:pPr>
        <w:spacing w:line="276" w:lineRule="auto"/>
        <w:ind w:firstLine="709"/>
        <w:jc w:val="both"/>
        <w:rPr>
          <w:szCs w:val="24"/>
        </w:rPr>
      </w:pPr>
      <w:r w:rsidRPr="0026316F">
        <w:rPr>
          <w:color w:val="000000"/>
          <w:szCs w:val="24"/>
        </w:rPr>
        <w:t xml:space="preserve">44.2.2. įteikti asmeniškai pareiškėjo ar jam atstovaujančio asmens; </w:t>
      </w:r>
    </w:p>
    <w:p w14:paraId="275054E8" w14:textId="0ACAF864" w:rsidR="007F56A1" w:rsidRPr="0026316F" w:rsidRDefault="007F56A1" w:rsidP="0026316F">
      <w:pPr>
        <w:spacing w:line="276" w:lineRule="auto"/>
        <w:ind w:firstLine="709"/>
        <w:jc w:val="both"/>
        <w:rPr>
          <w:szCs w:val="24"/>
        </w:rPr>
      </w:pPr>
      <w:r w:rsidRPr="0026316F">
        <w:rPr>
          <w:color w:val="000000"/>
          <w:szCs w:val="24"/>
        </w:rPr>
        <w:t>44.2.3. pristatyti pašto kurjerio.“</w:t>
      </w:r>
    </w:p>
    <w:p w14:paraId="7E4F34BB" w14:textId="0843FC03" w:rsidR="006B368C" w:rsidRPr="0026316F" w:rsidRDefault="006B368C" w:rsidP="0026316F">
      <w:pPr>
        <w:pStyle w:val="BodyText1"/>
        <w:numPr>
          <w:ilvl w:val="0"/>
          <w:numId w:val="1"/>
        </w:numPr>
        <w:spacing w:line="276" w:lineRule="auto"/>
        <w:ind w:hanging="219"/>
        <w:rPr>
          <w:color w:val="auto"/>
          <w:sz w:val="24"/>
          <w:szCs w:val="24"/>
        </w:rPr>
      </w:pPr>
      <w:r w:rsidRPr="0026316F">
        <w:rPr>
          <w:color w:val="auto"/>
          <w:sz w:val="24"/>
          <w:szCs w:val="24"/>
        </w:rPr>
        <w:t>Pakeičiu 45 punktą ir jį išdėstau taip:</w:t>
      </w:r>
    </w:p>
    <w:p w14:paraId="2A68B7EC" w14:textId="3D0F7F94" w:rsidR="007F56A1" w:rsidRPr="0026316F" w:rsidRDefault="006B368C" w:rsidP="0026316F">
      <w:pPr>
        <w:spacing w:line="276" w:lineRule="auto"/>
        <w:ind w:firstLine="709"/>
        <w:jc w:val="both"/>
        <w:rPr>
          <w:szCs w:val="24"/>
        </w:rPr>
      </w:pPr>
      <w:r w:rsidRPr="0026316F">
        <w:rPr>
          <w:color w:val="000000"/>
          <w:szCs w:val="24"/>
        </w:rPr>
        <w:t>„</w:t>
      </w:r>
      <w:r w:rsidR="008005AD" w:rsidRPr="0026316F">
        <w:rPr>
          <w:color w:val="000000"/>
          <w:szCs w:val="24"/>
        </w:rPr>
        <w:t xml:space="preserve">45. </w:t>
      </w:r>
      <w:r w:rsidR="007F56A1" w:rsidRPr="0026316F">
        <w:rPr>
          <w:color w:val="000000"/>
          <w:szCs w:val="24"/>
        </w:rPr>
        <w:t xml:space="preserve">Paraiška ir jos priedai iki </w:t>
      </w:r>
      <w:r w:rsidR="00061231" w:rsidRPr="0026316F">
        <w:rPr>
          <w:color w:val="000000"/>
          <w:szCs w:val="24"/>
        </w:rPr>
        <w:t xml:space="preserve">2018 m. </w:t>
      </w:r>
      <w:r w:rsidR="007F56A1" w:rsidRPr="0026316F">
        <w:rPr>
          <w:color w:val="000000"/>
          <w:szCs w:val="24"/>
        </w:rPr>
        <w:t>rugsėjo 30 d. teikiant juos Aprašo 44.2 papunktyje nurodyta</w:t>
      </w:r>
      <w:r w:rsidR="00027E99" w:rsidRPr="0026316F">
        <w:rPr>
          <w:color w:val="000000"/>
          <w:szCs w:val="24"/>
        </w:rPr>
        <w:t>is</w:t>
      </w:r>
      <w:r w:rsidR="007F56A1" w:rsidRPr="0026316F">
        <w:rPr>
          <w:color w:val="000000"/>
          <w:szCs w:val="24"/>
        </w:rPr>
        <w:t xml:space="preserve"> </w:t>
      </w:r>
      <w:r w:rsidR="00027E99" w:rsidRPr="0026316F">
        <w:rPr>
          <w:color w:val="000000"/>
          <w:szCs w:val="24"/>
        </w:rPr>
        <w:t>būdais</w:t>
      </w:r>
      <w:r w:rsidR="007F56A1" w:rsidRPr="0026316F">
        <w:rPr>
          <w:color w:val="000000"/>
          <w:szCs w:val="24"/>
        </w:rPr>
        <w:t>, turi būti pateikti šiuo adresu:</w:t>
      </w:r>
    </w:p>
    <w:p w14:paraId="0E64B247" w14:textId="6421D3DD" w:rsidR="007F56A1" w:rsidRPr="0026316F" w:rsidRDefault="007F56A1" w:rsidP="0026316F">
      <w:pPr>
        <w:spacing w:line="276" w:lineRule="auto"/>
        <w:ind w:firstLine="851"/>
        <w:jc w:val="both"/>
        <w:rPr>
          <w:szCs w:val="24"/>
        </w:rPr>
      </w:pPr>
      <w:r w:rsidRPr="0026316F">
        <w:rPr>
          <w:color w:val="000000"/>
          <w:szCs w:val="24"/>
        </w:rPr>
        <w:t>UAB „</w:t>
      </w:r>
      <w:r w:rsidR="00027E99" w:rsidRPr="0026316F">
        <w:rPr>
          <w:color w:val="000000"/>
          <w:szCs w:val="24"/>
        </w:rPr>
        <w:t>INVESTICIJŲ IR VERSLO GARANTIJOS</w:t>
      </w:r>
      <w:r w:rsidRPr="0026316F">
        <w:rPr>
          <w:color w:val="000000"/>
          <w:szCs w:val="24"/>
        </w:rPr>
        <w:t xml:space="preserve">“ </w:t>
      </w:r>
    </w:p>
    <w:p w14:paraId="48180397" w14:textId="77777777" w:rsidR="007F56A1" w:rsidRPr="0026316F" w:rsidRDefault="007F56A1" w:rsidP="0026316F">
      <w:pPr>
        <w:spacing w:line="276" w:lineRule="auto"/>
        <w:ind w:firstLine="851"/>
        <w:jc w:val="both"/>
        <w:rPr>
          <w:szCs w:val="24"/>
        </w:rPr>
      </w:pPr>
      <w:r w:rsidRPr="0026316F">
        <w:rPr>
          <w:color w:val="000000"/>
          <w:szCs w:val="24"/>
        </w:rPr>
        <w:lastRenderedPageBreak/>
        <w:t xml:space="preserve">Konstitucijos pr. 7, 16 aukštas </w:t>
      </w:r>
    </w:p>
    <w:p w14:paraId="3A721196" w14:textId="22E1FA2C" w:rsidR="006B368C" w:rsidRPr="0026316F" w:rsidRDefault="006B368C" w:rsidP="0026316F">
      <w:pPr>
        <w:spacing w:line="276" w:lineRule="auto"/>
        <w:ind w:firstLine="851"/>
        <w:jc w:val="both"/>
        <w:rPr>
          <w:szCs w:val="24"/>
        </w:rPr>
      </w:pPr>
      <w:r w:rsidRPr="0026316F">
        <w:rPr>
          <w:szCs w:val="24"/>
        </w:rPr>
        <w:t>09308 Vilnius.“</w:t>
      </w:r>
    </w:p>
    <w:p w14:paraId="37C8F439" w14:textId="1BCBB483" w:rsidR="006B368C" w:rsidRPr="0026316F" w:rsidRDefault="006B368C" w:rsidP="0026316F">
      <w:pPr>
        <w:pStyle w:val="BodyText1"/>
        <w:numPr>
          <w:ilvl w:val="0"/>
          <w:numId w:val="1"/>
        </w:numPr>
        <w:tabs>
          <w:tab w:val="left" w:pos="993"/>
        </w:tabs>
        <w:spacing w:line="276" w:lineRule="auto"/>
        <w:ind w:left="0" w:firstLine="709"/>
        <w:rPr>
          <w:color w:val="auto"/>
          <w:sz w:val="24"/>
          <w:szCs w:val="24"/>
        </w:rPr>
      </w:pPr>
      <w:r w:rsidRPr="0026316F">
        <w:rPr>
          <w:color w:val="auto"/>
          <w:sz w:val="24"/>
          <w:szCs w:val="24"/>
        </w:rPr>
        <w:t>Pakeičiu 46 punktą ir jį išdėstau taip:</w:t>
      </w:r>
    </w:p>
    <w:p w14:paraId="5F7D8E01" w14:textId="781F6C59" w:rsidR="006B368C" w:rsidRPr="0026316F" w:rsidRDefault="008005AD" w:rsidP="0026316F">
      <w:pPr>
        <w:pStyle w:val="ListParagraph"/>
        <w:spacing w:line="276" w:lineRule="auto"/>
        <w:ind w:left="0" w:firstLine="709"/>
        <w:jc w:val="both"/>
        <w:rPr>
          <w:szCs w:val="24"/>
        </w:rPr>
      </w:pPr>
      <w:r w:rsidRPr="0026316F">
        <w:rPr>
          <w:color w:val="000000"/>
          <w:szCs w:val="24"/>
        </w:rPr>
        <w:t>„46. Elektroniniu paštu (išskyrus Aprašo 44.1 papunktyje nurodytą atvejį) atsiųsta, Aprašo 44.2</w:t>
      </w:r>
      <w:r w:rsidR="00F87543" w:rsidRPr="0026316F">
        <w:rPr>
          <w:color w:val="000000"/>
          <w:szCs w:val="24"/>
        </w:rPr>
        <w:t xml:space="preserve"> papunktyje</w:t>
      </w:r>
      <w:r w:rsidRPr="0026316F">
        <w:rPr>
          <w:color w:val="000000"/>
          <w:szCs w:val="24"/>
        </w:rPr>
        <w:t xml:space="preserve"> nurodyt</w:t>
      </w:r>
      <w:r w:rsidR="007C5F62" w:rsidRPr="0026316F">
        <w:rPr>
          <w:color w:val="000000"/>
          <w:szCs w:val="24"/>
        </w:rPr>
        <w:t>u vienu iš</w:t>
      </w:r>
      <w:r w:rsidRPr="0026316F">
        <w:rPr>
          <w:color w:val="000000"/>
          <w:szCs w:val="24"/>
        </w:rPr>
        <w:t xml:space="preserve"> būd</w:t>
      </w:r>
      <w:r w:rsidR="00B02E1D" w:rsidRPr="0026316F">
        <w:rPr>
          <w:color w:val="000000"/>
          <w:szCs w:val="24"/>
        </w:rPr>
        <w:t>ų</w:t>
      </w:r>
      <w:r w:rsidRPr="0026316F">
        <w:rPr>
          <w:color w:val="000000"/>
          <w:szCs w:val="24"/>
        </w:rPr>
        <w:t xml:space="preserve"> po </w:t>
      </w:r>
      <w:r w:rsidR="00F87543" w:rsidRPr="0026316F">
        <w:rPr>
          <w:color w:val="000000"/>
          <w:szCs w:val="24"/>
        </w:rPr>
        <w:t xml:space="preserve">2018 m. </w:t>
      </w:r>
      <w:r w:rsidRPr="0026316F">
        <w:rPr>
          <w:color w:val="000000"/>
          <w:szCs w:val="24"/>
        </w:rPr>
        <w:t xml:space="preserve">rugsėjo 30 d. pateikta ar kitu nei Aprašo 45 punkte nurodytu adresu iki </w:t>
      </w:r>
      <w:r w:rsidR="00F87543" w:rsidRPr="0026316F">
        <w:rPr>
          <w:color w:val="000000"/>
          <w:szCs w:val="24"/>
        </w:rPr>
        <w:t xml:space="preserve">2018 m. </w:t>
      </w:r>
      <w:r w:rsidRPr="0026316F">
        <w:rPr>
          <w:color w:val="000000"/>
          <w:szCs w:val="24"/>
        </w:rPr>
        <w:t>rugsėjo 30 d. pristatyta paraiška ir jos priedai nepriimami.“</w:t>
      </w:r>
    </w:p>
    <w:p w14:paraId="3C4AC611" w14:textId="26A0FC6D" w:rsidR="007233DE" w:rsidRPr="0026316F" w:rsidRDefault="005110B3" w:rsidP="0026316F">
      <w:pPr>
        <w:pStyle w:val="ListParagraph"/>
        <w:numPr>
          <w:ilvl w:val="0"/>
          <w:numId w:val="1"/>
        </w:numPr>
        <w:tabs>
          <w:tab w:val="left" w:pos="0"/>
          <w:tab w:val="left" w:pos="1276"/>
        </w:tabs>
        <w:spacing w:line="276" w:lineRule="auto"/>
        <w:ind w:hanging="219"/>
        <w:jc w:val="both"/>
        <w:rPr>
          <w:szCs w:val="24"/>
        </w:rPr>
      </w:pPr>
      <w:r w:rsidRPr="0026316F">
        <w:rPr>
          <w:szCs w:val="24"/>
        </w:rPr>
        <w:t>Pakeičiu 3</w:t>
      </w:r>
      <w:r w:rsidR="00154696" w:rsidRPr="0026316F">
        <w:rPr>
          <w:szCs w:val="24"/>
        </w:rPr>
        <w:t xml:space="preserve"> priedo </w:t>
      </w:r>
      <w:r w:rsidRPr="0026316F">
        <w:rPr>
          <w:szCs w:val="24"/>
        </w:rPr>
        <w:t>19</w:t>
      </w:r>
      <w:r w:rsidR="00154696" w:rsidRPr="0026316F">
        <w:rPr>
          <w:szCs w:val="24"/>
        </w:rPr>
        <w:t xml:space="preserve"> p</w:t>
      </w:r>
      <w:r w:rsidRPr="0026316F">
        <w:rPr>
          <w:szCs w:val="24"/>
        </w:rPr>
        <w:t>unktą</w:t>
      </w:r>
      <w:r w:rsidR="00154696" w:rsidRPr="0026316F">
        <w:rPr>
          <w:szCs w:val="24"/>
        </w:rPr>
        <w:t xml:space="preserve"> ir jį išdėstau taip:</w:t>
      </w:r>
    </w:p>
    <w:p w14:paraId="40D3507F" w14:textId="77777777" w:rsidR="005110B3" w:rsidRPr="0026316F" w:rsidRDefault="005110B3" w:rsidP="0026316F">
      <w:pPr>
        <w:spacing w:line="276" w:lineRule="auto"/>
        <w:ind w:firstLine="720"/>
        <w:jc w:val="both"/>
        <w:rPr>
          <w:color w:val="000000"/>
          <w:szCs w:val="24"/>
          <w:lang w:eastAsia="lt-LT"/>
        </w:rPr>
      </w:pPr>
      <w:r w:rsidRPr="0026316F">
        <w:rPr>
          <w:szCs w:val="24"/>
        </w:rPr>
        <w:t>„</w:t>
      </w:r>
      <w:r w:rsidRPr="0026316F">
        <w:rPr>
          <w:b/>
          <w:bCs/>
          <w:color w:val="000000"/>
          <w:szCs w:val="24"/>
          <w:lang w:eastAsia="lt-LT"/>
        </w:rPr>
        <w:t>19. KITI KLAUSIMAI</w:t>
      </w:r>
    </w:p>
    <w:p w14:paraId="4635B760" w14:textId="7A29A01E" w:rsidR="005110B3" w:rsidRPr="0026316F" w:rsidRDefault="005110B3" w:rsidP="0026316F">
      <w:pPr>
        <w:spacing w:line="276" w:lineRule="auto"/>
        <w:ind w:firstLine="720"/>
        <w:jc w:val="both"/>
        <w:rPr>
          <w:color w:val="000000"/>
          <w:szCs w:val="24"/>
          <w:lang w:eastAsia="lt-LT"/>
        </w:rPr>
      </w:pPr>
      <w:r w:rsidRPr="0026316F">
        <w:rPr>
          <w:i/>
          <w:iCs/>
          <w:color w:val="000000"/>
          <w:szCs w:val="24"/>
          <w:lang w:eastAsia="lt-LT"/>
        </w:rPr>
        <w:t>(Įgyvendinančioji institucija taip pat turi teisę paraiškos formoje sukurti iki dešimties papildomų klausimų (kartu su pildymo instrukcija).</w:t>
      </w:r>
    </w:p>
    <w:tbl>
      <w:tblPr>
        <w:tblW w:w="9630" w:type="dxa"/>
        <w:tblCellMar>
          <w:left w:w="0" w:type="dxa"/>
          <w:right w:w="0" w:type="dxa"/>
        </w:tblCellMar>
        <w:tblLook w:val="04A0" w:firstRow="1" w:lastRow="0" w:firstColumn="1" w:lastColumn="0" w:noHBand="0" w:noVBand="1"/>
      </w:tblPr>
      <w:tblGrid>
        <w:gridCol w:w="851"/>
        <w:gridCol w:w="4390"/>
        <w:gridCol w:w="4389"/>
      </w:tblGrid>
      <w:tr w:rsidR="005110B3" w:rsidRPr="0026316F" w14:paraId="68362131" w14:textId="77777777" w:rsidTr="002B664A">
        <w:trPr>
          <w:trHeight w:val="567"/>
        </w:trPr>
        <w:tc>
          <w:tcPr>
            <w:tcW w:w="851" w:type="dxa"/>
            <w:tcBorders>
              <w:top w:val="single" w:sz="8" w:space="0" w:color="000000"/>
              <w:left w:val="single" w:sz="8" w:space="0" w:color="000000"/>
              <w:bottom w:val="single" w:sz="8" w:space="0" w:color="000000"/>
              <w:right w:val="single" w:sz="8" w:space="0" w:color="auto"/>
            </w:tcBorders>
            <w:hideMark/>
          </w:tcPr>
          <w:p w14:paraId="791DFAD7" w14:textId="77777777" w:rsidR="00B12B12" w:rsidRPr="0026316F" w:rsidRDefault="005110B3" w:rsidP="0026316F">
            <w:pPr>
              <w:spacing w:line="276" w:lineRule="auto"/>
              <w:rPr>
                <w:b/>
                <w:bCs/>
                <w:szCs w:val="24"/>
                <w:lang w:eastAsia="lt-LT"/>
              </w:rPr>
            </w:pPr>
            <w:r w:rsidRPr="0026316F">
              <w:rPr>
                <w:b/>
                <w:bCs/>
                <w:szCs w:val="24"/>
                <w:lang w:eastAsia="lt-LT"/>
              </w:rPr>
              <w:t xml:space="preserve">Eil. </w:t>
            </w:r>
          </w:p>
          <w:p w14:paraId="15C8BCD0" w14:textId="1B00648B" w:rsidR="005110B3" w:rsidRPr="0026316F" w:rsidRDefault="005110B3" w:rsidP="0026316F">
            <w:pPr>
              <w:spacing w:line="276" w:lineRule="auto"/>
              <w:rPr>
                <w:szCs w:val="24"/>
                <w:lang w:eastAsia="lt-LT"/>
              </w:rPr>
            </w:pPr>
            <w:r w:rsidRPr="0026316F">
              <w:rPr>
                <w:b/>
                <w:bCs/>
                <w:szCs w:val="24"/>
                <w:lang w:eastAsia="lt-LT"/>
              </w:rPr>
              <w:t>Nr.</w:t>
            </w:r>
          </w:p>
        </w:tc>
        <w:tc>
          <w:tcPr>
            <w:tcW w:w="4390" w:type="dxa"/>
            <w:tcBorders>
              <w:top w:val="single" w:sz="8" w:space="0" w:color="000000"/>
              <w:left w:val="nil"/>
              <w:bottom w:val="single" w:sz="8" w:space="0" w:color="000000"/>
              <w:right w:val="single" w:sz="8" w:space="0" w:color="000000"/>
            </w:tcBorders>
            <w:hideMark/>
          </w:tcPr>
          <w:p w14:paraId="5100305C" w14:textId="77777777" w:rsidR="005110B3" w:rsidRPr="0026316F" w:rsidRDefault="005110B3" w:rsidP="0026316F">
            <w:pPr>
              <w:spacing w:line="276" w:lineRule="auto"/>
              <w:rPr>
                <w:szCs w:val="24"/>
                <w:lang w:eastAsia="lt-LT"/>
              </w:rPr>
            </w:pPr>
            <w:r w:rsidRPr="0026316F">
              <w:rPr>
                <w:b/>
                <w:bCs/>
                <w:szCs w:val="24"/>
                <w:lang w:eastAsia="lt-LT"/>
              </w:rPr>
              <w:t>Klausimo pavadinimas</w:t>
            </w:r>
          </w:p>
          <w:p w14:paraId="0F4C0720" w14:textId="77777777" w:rsidR="005110B3" w:rsidRPr="0026316F" w:rsidRDefault="005110B3" w:rsidP="0026316F">
            <w:pPr>
              <w:spacing w:line="276" w:lineRule="auto"/>
              <w:rPr>
                <w:szCs w:val="24"/>
                <w:lang w:eastAsia="lt-LT"/>
              </w:rPr>
            </w:pPr>
            <w:r w:rsidRPr="0026316F">
              <w:rPr>
                <w:szCs w:val="24"/>
                <w:lang w:eastAsia="lt-LT"/>
              </w:rPr>
              <w:t> </w:t>
            </w:r>
          </w:p>
        </w:tc>
        <w:tc>
          <w:tcPr>
            <w:tcW w:w="4389" w:type="dxa"/>
            <w:tcBorders>
              <w:top w:val="single" w:sz="8" w:space="0" w:color="000000"/>
              <w:left w:val="nil"/>
              <w:bottom w:val="single" w:sz="8" w:space="0" w:color="000000"/>
              <w:right w:val="single" w:sz="8" w:space="0" w:color="000000"/>
            </w:tcBorders>
            <w:hideMark/>
          </w:tcPr>
          <w:p w14:paraId="72BA17F6" w14:textId="77777777" w:rsidR="005110B3" w:rsidRPr="0026316F" w:rsidRDefault="005110B3" w:rsidP="0026316F">
            <w:pPr>
              <w:spacing w:line="276" w:lineRule="auto"/>
              <w:rPr>
                <w:szCs w:val="24"/>
                <w:lang w:eastAsia="lt-LT"/>
              </w:rPr>
            </w:pPr>
            <w:r w:rsidRPr="0026316F">
              <w:rPr>
                <w:b/>
                <w:bCs/>
                <w:szCs w:val="24"/>
                <w:lang w:eastAsia="lt-LT"/>
              </w:rPr>
              <w:t>Atsakymas į klausimą</w:t>
            </w:r>
          </w:p>
        </w:tc>
      </w:tr>
      <w:tr w:rsidR="005110B3" w:rsidRPr="0026316F" w14:paraId="7FE6D0B5" w14:textId="77777777" w:rsidTr="002B664A">
        <w:trPr>
          <w:trHeight w:val="1190"/>
        </w:trPr>
        <w:tc>
          <w:tcPr>
            <w:tcW w:w="851" w:type="dxa"/>
            <w:tcBorders>
              <w:top w:val="nil"/>
              <w:left w:val="single" w:sz="8" w:space="0" w:color="000000"/>
              <w:bottom w:val="single" w:sz="8" w:space="0" w:color="000000"/>
              <w:right w:val="single" w:sz="8" w:space="0" w:color="auto"/>
            </w:tcBorders>
            <w:hideMark/>
          </w:tcPr>
          <w:p w14:paraId="7FA43322" w14:textId="77777777" w:rsidR="005110B3" w:rsidRPr="0026316F" w:rsidRDefault="005110B3" w:rsidP="0026316F">
            <w:pPr>
              <w:spacing w:line="276" w:lineRule="auto"/>
              <w:rPr>
                <w:szCs w:val="24"/>
                <w:lang w:eastAsia="lt-LT"/>
              </w:rPr>
            </w:pPr>
            <w:r w:rsidRPr="0026316F">
              <w:rPr>
                <w:szCs w:val="24"/>
                <w:lang w:eastAsia="lt-LT"/>
              </w:rPr>
              <w:t>19.1.</w:t>
            </w:r>
          </w:p>
        </w:tc>
        <w:tc>
          <w:tcPr>
            <w:tcW w:w="4390" w:type="dxa"/>
            <w:tcBorders>
              <w:top w:val="nil"/>
              <w:left w:val="nil"/>
              <w:bottom w:val="single" w:sz="8" w:space="0" w:color="000000"/>
              <w:right w:val="single" w:sz="8" w:space="0" w:color="000000"/>
            </w:tcBorders>
            <w:hideMark/>
          </w:tcPr>
          <w:p w14:paraId="594A937D" w14:textId="77777777" w:rsidR="005110B3" w:rsidRPr="0026316F" w:rsidRDefault="005110B3" w:rsidP="0026316F">
            <w:pPr>
              <w:spacing w:line="276" w:lineRule="auto"/>
              <w:jc w:val="both"/>
              <w:rPr>
                <w:szCs w:val="24"/>
                <w:lang w:eastAsia="lt-LT"/>
              </w:rPr>
            </w:pPr>
            <w:r w:rsidRPr="0026316F">
              <w:rPr>
                <w:szCs w:val="24"/>
                <w:lang w:eastAsia="lt-LT"/>
              </w:rPr>
              <w:t>Finansavimo sutarties data </w:t>
            </w:r>
            <w:r w:rsidRPr="0026316F">
              <w:rPr>
                <w:i/>
                <w:iCs/>
                <w:szCs w:val="24"/>
                <w:lang w:eastAsia="lt-LT"/>
              </w:rPr>
              <w:t>(kai yra teikiama daugiau nei 1 finansavimo sutartis, nurodomos visų finansavimo sutarčių datos, pvz.: 2014-01-01, 2014-01-10)</w:t>
            </w:r>
          </w:p>
        </w:tc>
        <w:tc>
          <w:tcPr>
            <w:tcW w:w="4389" w:type="dxa"/>
            <w:tcBorders>
              <w:top w:val="nil"/>
              <w:left w:val="nil"/>
              <w:bottom w:val="single" w:sz="8" w:space="0" w:color="000000"/>
              <w:right w:val="single" w:sz="8" w:space="0" w:color="000000"/>
            </w:tcBorders>
            <w:hideMark/>
          </w:tcPr>
          <w:p w14:paraId="1D09113B" w14:textId="70A1D98B" w:rsidR="005110B3" w:rsidRPr="0026316F" w:rsidRDefault="005110B3" w:rsidP="0026316F">
            <w:pPr>
              <w:spacing w:line="276" w:lineRule="auto"/>
              <w:jc w:val="both"/>
              <w:rPr>
                <w:szCs w:val="24"/>
                <w:lang w:eastAsia="lt-LT"/>
              </w:rPr>
            </w:pPr>
            <w:r w:rsidRPr="0026316F">
              <w:rPr>
                <w:i/>
                <w:iCs/>
                <w:szCs w:val="24"/>
                <w:lang w:eastAsia="lt-LT"/>
              </w:rPr>
              <w:t>Atsakymui pagrįsti leidžiamas simbolių skaičius – 100.</w:t>
            </w:r>
            <w:r w:rsidRPr="0026316F">
              <w:rPr>
                <w:szCs w:val="24"/>
                <w:lang w:eastAsia="lt-LT"/>
              </w:rPr>
              <w:t> </w:t>
            </w:r>
            <w:r w:rsidRPr="0026316F">
              <w:rPr>
                <w:i/>
                <w:iCs/>
                <w:szCs w:val="24"/>
                <w:lang w:eastAsia="lt-LT"/>
              </w:rPr>
              <w:t>Nurodyti privaloma.</w:t>
            </w:r>
            <w:r w:rsidR="00FF5833" w:rsidRPr="0026316F">
              <w:rPr>
                <w:iCs/>
                <w:szCs w:val="24"/>
                <w:lang w:eastAsia="lt-LT"/>
              </w:rPr>
              <w:t>“</w:t>
            </w:r>
          </w:p>
        </w:tc>
      </w:tr>
      <w:tr w:rsidR="005110B3" w:rsidRPr="0026316F" w14:paraId="298C13F3" w14:textId="77777777" w:rsidTr="002B664A">
        <w:trPr>
          <w:trHeight w:val="557"/>
        </w:trPr>
        <w:tc>
          <w:tcPr>
            <w:tcW w:w="851" w:type="dxa"/>
            <w:tcBorders>
              <w:top w:val="nil"/>
              <w:left w:val="single" w:sz="8" w:space="0" w:color="000000"/>
              <w:bottom w:val="single" w:sz="8" w:space="0" w:color="000000"/>
              <w:right w:val="single" w:sz="8" w:space="0" w:color="auto"/>
            </w:tcBorders>
            <w:hideMark/>
          </w:tcPr>
          <w:p w14:paraId="54E1AC82" w14:textId="77777777" w:rsidR="005110B3" w:rsidRPr="0026316F" w:rsidRDefault="005110B3" w:rsidP="0026316F">
            <w:pPr>
              <w:spacing w:line="276" w:lineRule="auto"/>
              <w:rPr>
                <w:szCs w:val="24"/>
                <w:lang w:eastAsia="lt-LT"/>
              </w:rPr>
            </w:pPr>
            <w:r w:rsidRPr="0026316F">
              <w:rPr>
                <w:szCs w:val="24"/>
                <w:lang w:eastAsia="lt-LT"/>
              </w:rPr>
              <w:t>19.2.</w:t>
            </w:r>
          </w:p>
        </w:tc>
        <w:tc>
          <w:tcPr>
            <w:tcW w:w="4390" w:type="dxa"/>
            <w:tcBorders>
              <w:top w:val="nil"/>
              <w:left w:val="nil"/>
              <w:bottom w:val="single" w:sz="8" w:space="0" w:color="000000"/>
              <w:right w:val="single" w:sz="8" w:space="0" w:color="000000"/>
            </w:tcBorders>
            <w:hideMark/>
          </w:tcPr>
          <w:p w14:paraId="70A3E1B2" w14:textId="77777777" w:rsidR="005110B3" w:rsidRPr="0026316F" w:rsidRDefault="005110B3" w:rsidP="0026316F">
            <w:pPr>
              <w:spacing w:line="276" w:lineRule="auto"/>
              <w:jc w:val="both"/>
              <w:rPr>
                <w:szCs w:val="24"/>
                <w:lang w:eastAsia="lt-LT"/>
              </w:rPr>
            </w:pPr>
            <w:r w:rsidRPr="0026316F">
              <w:rPr>
                <w:szCs w:val="24"/>
                <w:lang w:eastAsia="lt-LT"/>
              </w:rPr>
              <w:t>Finansavimo sutarties numeris </w:t>
            </w:r>
            <w:r w:rsidRPr="0026316F">
              <w:rPr>
                <w:i/>
                <w:iCs/>
                <w:szCs w:val="24"/>
                <w:lang w:eastAsia="lt-LT"/>
              </w:rPr>
              <w:t>(kai yra teikiama daugiau nei 1 finansavimo sutartis, nurodomi visų finansavimo sutarčių numeriai, pvz.: PASK-2016-01, PASK-2016-03)</w:t>
            </w:r>
          </w:p>
        </w:tc>
        <w:tc>
          <w:tcPr>
            <w:tcW w:w="4389" w:type="dxa"/>
            <w:tcBorders>
              <w:top w:val="nil"/>
              <w:left w:val="nil"/>
              <w:bottom w:val="single" w:sz="8" w:space="0" w:color="000000"/>
              <w:right w:val="single" w:sz="8" w:space="0" w:color="000000"/>
            </w:tcBorders>
            <w:hideMark/>
          </w:tcPr>
          <w:p w14:paraId="5A166E23" w14:textId="77777777" w:rsidR="005110B3" w:rsidRPr="0026316F" w:rsidRDefault="005110B3" w:rsidP="0026316F">
            <w:pPr>
              <w:spacing w:line="276" w:lineRule="auto"/>
              <w:jc w:val="both"/>
              <w:rPr>
                <w:szCs w:val="24"/>
                <w:lang w:eastAsia="lt-LT"/>
              </w:rPr>
            </w:pPr>
            <w:r w:rsidRPr="0026316F">
              <w:rPr>
                <w:szCs w:val="24"/>
                <w:lang w:eastAsia="lt-LT"/>
              </w:rPr>
              <w:t> </w:t>
            </w:r>
          </w:p>
        </w:tc>
      </w:tr>
      <w:tr w:rsidR="005110B3" w:rsidRPr="0026316F" w14:paraId="2B86C512" w14:textId="77777777" w:rsidTr="002B664A">
        <w:trPr>
          <w:trHeight w:val="879"/>
        </w:trPr>
        <w:tc>
          <w:tcPr>
            <w:tcW w:w="851" w:type="dxa"/>
            <w:tcBorders>
              <w:top w:val="nil"/>
              <w:left w:val="single" w:sz="8" w:space="0" w:color="000000"/>
              <w:bottom w:val="single" w:sz="8" w:space="0" w:color="000000"/>
              <w:right w:val="single" w:sz="8" w:space="0" w:color="auto"/>
            </w:tcBorders>
            <w:hideMark/>
          </w:tcPr>
          <w:p w14:paraId="7DE625F1" w14:textId="77777777" w:rsidR="005110B3" w:rsidRPr="0026316F" w:rsidRDefault="005110B3" w:rsidP="0026316F">
            <w:pPr>
              <w:spacing w:line="276" w:lineRule="auto"/>
              <w:rPr>
                <w:szCs w:val="24"/>
                <w:lang w:eastAsia="lt-LT"/>
              </w:rPr>
            </w:pPr>
            <w:r w:rsidRPr="0026316F">
              <w:rPr>
                <w:szCs w:val="24"/>
                <w:lang w:eastAsia="lt-LT"/>
              </w:rPr>
              <w:t>19.3.</w:t>
            </w:r>
          </w:p>
        </w:tc>
        <w:tc>
          <w:tcPr>
            <w:tcW w:w="4390" w:type="dxa"/>
            <w:tcBorders>
              <w:top w:val="nil"/>
              <w:left w:val="nil"/>
              <w:bottom w:val="single" w:sz="8" w:space="0" w:color="000000"/>
              <w:right w:val="single" w:sz="8" w:space="0" w:color="000000"/>
            </w:tcBorders>
            <w:hideMark/>
          </w:tcPr>
          <w:p w14:paraId="014A987F" w14:textId="77777777" w:rsidR="005110B3" w:rsidRPr="0026316F" w:rsidRDefault="005110B3" w:rsidP="0026316F">
            <w:pPr>
              <w:spacing w:line="276" w:lineRule="auto"/>
              <w:jc w:val="both"/>
              <w:rPr>
                <w:szCs w:val="24"/>
                <w:lang w:eastAsia="lt-LT"/>
              </w:rPr>
            </w:pPr>
            <w:r w:rsidRPr="0026316F">
              <w:rPr>
                <w:szCs w:val="24"/>
                <w:lang w:eastAsia="lt-LT"/>
              </w:rPr>
              <w:t>Finansų įstaigos pavadinimas </w:t>
            </w:r>
            <w:r w:rsidRPr="0026316F">
              <w:rPr>
                <w:i/>
                <w:iCs/>
                <w:szCs w:val="24"/>
                <w:lang w:eastAsia="lt-LT"/>
              </w:rPr>
              <w:t>(kai yra teikiama daugiau nei 1 finansavimo sutartis, nurodomi visų finansų įstaigų pavadinimai)</w:t>
            </w:r>
          </w:p>
        </w:tc>
        <w:tc>
          <w:tcPr>
            <w:tcW w:w="4389" w:type="dxa"/>
            <w:tcBorders>
              <w:top w:val="nil"/>
              <w:left w:val="nil"/>
              <w:bottom w:val="single" w:sz="8" w:space="0" w:color="000000"/>
              <w:right w:val="single" w:sz="8" w:space="0" w:color="000000"/>
            </w:tcBorders>
            <w:hideMark/>
          </w:tcPr>
          <w:p w14:paraId="25C9030D" w14:textId="77777777" w:rsidR="005110B3" w:rsidRPr="0026316F" w:rsidRDefault="005110B3" w:rsidP="0026316F">
            <w:pPr>
              <w:spacing w:line="276" w:lineRule="auto"/>
              <w:jc w:val="both"/>
              <w:rPr>
                <w:szCs w:val="24"/>
                <w:lang w:eastAsia="lt-LT"/>
              </w:rPr>
            </w:pPr>
            <w:r w:rsidRPr="0026316F">
              <w:rPr>
                <w:szCs w:val="24"/>
                <w:lang w:eastAsia="lt-LT"/>
              </w:rPr>
              <w:t> </w:t>
            </w:r>
          </w:p>
        </w:tc>
      </w:tr>
      <w:tr w:rsidR="005110B3" w:rsidRPr="0026316F" w14:paraId="59902723" w14:textId="77777777" w:rsidTr="002B664A">
        <w:trPr>
          <w:trHeight w:val="295"/>
        </w:trPr>
        <w:tc>
          <w:tcPr>
            <w:tcW w:w="851" w:type="dxa"/>
            <w:tcBorders>
              <w:top w:val="nil"/>
              <w:left w:val="single" w:sz="8" w:space="0" w:color="000000"/>
              <w:bottom w:val="single" w:sz="8" w:space="0" w:color="000000"/>
              <w:right w:val="single" w:sz="8" w:space="0" w:color="auto"/>
            </w:tcBorders>
            <w:hideMark/>
          </w:tcPr>
          <w:p w14:paraId="6C42FD1E" w14:textId="77777777" w:rsidR="005110B3" w:rsidRPr="0026316F" w:rsidRDefault="005110B3" w:rsidP="0026316F">
            <w:pPr>
              <w:spacing w:line="276" w:lineRule="auto"/>
              <w:rPr>
                <w:szCs w:val="24"/>
                <w:lang w:eastAsia="lt-LT"/>
              </w:rPr>
            </w:pPr>
            <w:r w:rsidRPr="0026316F">
              <w:rPr>
                <w:szCs w:val="24"/>
                <w:lang w:eastAsia="lt-LT"/>
              </w:rPr>
              <w:t>19.4.</w:t>
            </w:r>
          </w:p>
        </w:tc>
        <w:tc>
          <w:tcPr>
            <w:tcW w:w="4390" w:type="dxa"/>
            <w:tcBorders>
              <w:top w:val="nil"/>
              <w:left w:val="nil"/>
              <w:bottom w:val="single" w:sz="8" w:space="0" w:color="000000"/>
              <w:right w:val="single" w:sz="8" w:space="0" w:color="000000"/>
            </w:tcBorders>
            <w:hideMark/>
          </w:tcPr>
          <w:p w14:paraId="60F56B95" w14:textId="77777777" w:rsidR="005110B3" w:rsidRPr="0026316F" w:rsidRDefault="005110B3" w:rsidP="0026316F">
            <w:pPr>
              <w:spacing w:line="276" w:lineRule="auto"/>
              <w:jc w:val="both"/>
              <w:rPr>
                <w:szCs w:val="24"/>
                <w:lang w:eastAsia="lt-LT"/>
              </w:rPr>
            </w:pPr>
            <w:r w:rsidRPr="0026316F">
              <w:rPr>
                <w:szCs w:val="24"/>
                <w:lang w:eastAsia="lt-LT"/>
              </w:rPr>
              <w:t>Įmonės ekonominės veiklos kodas</w:t>
            </w:r>
          </w:p>
        </w:tc>
        <w:tc>
          <w:tcPr>
            <w:tcW w:w="4389" w:type="dxa"/>
            <w:tcBorders>
              <w:top w:val="nil"/>
              <w:left w:val="nil"/>
              <w:bottom w:val="single" w:sz="8" w:space="0" w:color="000000"/>
              <w:right w:val="single" w:sz="8" w:space="0" w:color="000000"/>
            </w:tcBorders>
            <w:hideMark/>
          </w:tcPr>
          <w:p w14:paraId="422D2924" w14:textId="77777777" w:rsidR="005110B3" w:rsidRPr="0026316F" w:rsidRDefault="005110B3" w:rsidP="0026316F">
            <w:pPr>
              <w:spacing w:line="276" w:lineRule="auto"/>
              <w:jc w:val="both"/>
              <w:rPr>
                <w:szCs w:val="24"/>
                <w:lang w:eastAsia="lt-LT"/>
              </w:rPr>
            </w:pPr>
            <w:r w:rsidRPr="0026316F">
              <w:rPr>
                <w:szCs w:val="24"/>
                <w:lang w:eastAsia="lt-LT"/>
              </w:rPr>
              <w:t> </w:t>
            </w:r>
          </w:p>
        </w:tc>
      </w:tr>
      <w:tr w:rsidR="005110B3" w:rsidRPr="0026316F" w14:paraId="6FEE13E4" w14:textId="77777777" w:rsidTr="002B664A">
        <w:trPr>
          <w:trHeight w:val="699"/>
        </w:trPr>
        <w:tc>
          <w:tcPr>
            <w:tcW w:w="851" w:type="dxa"/>
            <w:tcBorders>
              <w:top w:val="nil"/>
              <w:left w:val="single" w:sz="8" w:space="0" w:color="000000"/>
              <w:bottom w:val="single" w:sz="8" w:space="0" w:color="000000"/>
              <w:right w:val="single" w:sz="8" w:space="0" w:color="auto"/>
            </w:tcBorders>
            <w:hideMark/>
          </w:tcPr>
          <w:p w14:paraId="6017E669" w14:textId="2EA73347" w:rsidR="005110B3" w:rsidRPr="0026316F" w:rsidRDefault="005110B3" w:rsidP="0026316F">
            <w:pPr>
              <w:spacing w:line="276" w:lineRule="auto"/>
              <w:rPr>
                <w:szCs w:val="24"/>
                <w:lang w:eastAsia="lt-LT"/>
              </w:rPr>
            </w:pPr>
            <w:r w:rsidRPr="0026316F">
              <w:rPr>
                <w:szCs w:val="24"/>
                <w:lang w:eastAsia="lt-LT"/>
              </w:rPr>
              <w:t>19.</w:t>
            </w:r>
            <w:r w:rsidR="002B664A" w:rsidRPr="0026316F">
              <w:rPr>
                <w:szCs w:val="24"/>
                <w:lang w:eastAsia="lt-LT"/>
              </w:rPr>
              <w:t>5</w:t>
            </w:r>
            <w:r w:rsidRPr="0026316F">
              <w:rPr>
                <w:szCs w:val="24"/>
                <w:lang w:eastAsia="lt-LT"/>
              </w:rPr>
              <w:t>.</w:t>
            </w:r>
          </w:p>
        </w:tc>
        <w:tc>
          <w:tcPr>
            <w:tcW w:w="4390" w:type="dxa"/>
            <w:tcBorders>
              <w:top w:val="nil"/>
              <w:left w:val="nil"/>
              <w:bottom w:val="single" w:sz="8" w:space="0" w:color="000000"/>
              <w:right w:val="single" w:sz="8" w:space="0" w:color="000000"/>
            </w:tcBorders>
            <w:hideMark/>
          </w:tcPr>
          <w:p w14:paraId="0FEF2ABB" w14:textId="77777777" w:rsidR="005110B3" w:rsidRPr="0026316F" w:rsidRDefault="005110B3" w:rsidP="0026316F">
            <w:pPr>
              <w:spacing w:line="276" w:lineRule="auto"/>
              <w:jc w:val="both"/>
              <w:rPr>
                <w:szCs w:val="24"/>
                <w:lang w:eastAsia="lt-LT"/>
              </w:rPr>
            </w:pPr>
            <w:r w:rsidRPr="0026316F">
              <w:rPr>
                <w:szCs w:val="24"/>
                <w:lang w:eastAsia="lt-LT"/>
              </w:rPr>
              <w:t>Informacija apie gautą kitą ES paramą projektui </w:t>
            </w:r>
            <w:r w:rsidRPr="0026316F">
              <w:rPr>
                <w:i/>
                <w:iCs/>
                <w:szCs w:val="24"/>
                <w:lang w:eastAsia="lt-LT"/>
              </w:rPr>
              <w:t>(jeigu TAIP, tuomet nurodyti apie gautą ar planuojamą gauti ES ar kitą paramą projektui, kuriam įgyvendinti imamas šis finansavimas. Kitu atveju nurodyti NE</w:t>
            </w:r>
            <w:r w:rsidRPr="0026316F">
              <w:rPr>
                <w:szCs w:val="24"/>
                <w:lang w:eastAsia="lt-LT"/>
              </w:rPr>
              <w:t>)</w:t>
            </w:r>
          </w:p>
        </w:tc>
        <w:tc>
          <w:tcPr>
            <w:tcW w:w="4389" w:type="dxa"/>
            <w:tcBorders>
              <w:top w:val="nil"/>
              <w:left w:val="nil"/>
              <w:bottom w:val="single" w:sz="8" w:space="0" w:color="000000"/>
              <w:right w:val="single" w:sz="8" w:space="0" w:color="000000"/>
            </w:tcBorders>
            <w:hideMark/>
          </w:tcPr>
          <w:p w14:paraId="65470094" w14:textId="77777777" w:rsidR="005110B3" w:rsidRPr="0026316F" w:rsidRDefault="005110B3" w:rsidP="0026316F">
            <w:pPr>
              <w:spacing w:line="276" w:lineRule="auto"/>
              <w:jc w:val="both"/>
              <w:rPr>
                <w:szCs w:val="24"/>
                <w:lang w:eastAsia="lt-LT"/>
              </w:rPr>
            </w:pPr>
            <w:r w:rsidRPr="0026316F">
              <w:rPr>
                <w:szCs w:val="24"/>
                <w:lang w:eastAsia="lt-LT"/>
              </w:rPr>
              <w:t> </w:t>
            </w:r>
          </w:p>
        </w:tc>
      </w:tr>
      <w:tr w:rsidR="005110B3" w:rsidRPr="0026316F" w14:paraId="2B2EAD8A" w14:textId="77777777" w:rsidTr="002B664A">
        <w:trPr>
          <w:trHeight w:val="1190"/>
        </w:trPr>
        <w:tc>
          <w:tcPr>
            <w:tcW w:w="851" w:type="dxa"/>
            <w:tcBorders>
              <w:top w:val="nil"/>
              <w:left w:val="single" w:sz="8" w:space="0" w:color="000000"/>
              <w:bottom w:val="single" w:sz="8" w:space="0" w:color="000000"/>
              <w:right w:val="single" w:sz="8" w:space="0" w:color="auto"/>
            </w:tcBorders>
            <w:hideMark/>
          </w:tcPr>
          <w:p w14:paraId="1B7E01C6" w14:textId="61A7F805" w:rsidR="005110B3" w:rsidRPr="0026316F" w:rsidRDefault="005110B3" w:rsidP="0026316F">
            <w:pPr>
              <w:spacing w:line="276" w:lineRule="auto"/>
              <w:rPr>
                <w:szCs w:val="24"/>
                <w:lang w:eastAsia="lt-LT"/>
              </w:rPr>
            </w:pPr>
            <w:r w:rsidRPr="0026316F">
              <w:rPr>
                <w:szCs w:val="24"/>
                <w:lang w:eastAsia="lt-LT"/>
              </w:rPr>
              <w:t>19.</w:t>
            </w:r>
            <w:r w:rsidR="002B664A" w:rsidRPr="0026316F">
              <w:rPr>
                <w:szCs w:val="24"/>
                <w:lang w:eastAsia="lt-LT"/>
              </w:rPr>
              <w:t>6</w:t>
            </w:r>
            <w:r w:rsidRPr="0026316F">
              <w:rPr>
                <w:szCs w:val="24"/>
                <w:lang w:eastAsia="lt-LT"/>
              </w:rPr>
              <w:t>.</w:t>
            </w:r>
          </w:p>
        </w:tc>
        <w:tc>
          <w:tcPr>
            <w:tcW w:w="4390" w:type="dxa"/>
            <w:tcBorders>
              <w:top w:val="nil"/>
              <w:left w:val="nil"/>
              <w:bottom w:val="single" w:sz="8" w:space="0" w:color="000000"/>
              <w:right w:val="single" w:sz="8" w:space="0" w:color="000000"/>
            </w:tcBorders>
            <w:hideMark/>
          </w:tcPr>
          <w:p w14:paraId="4C16CACB" w14:textId="77777777" w:rsidR="005110B3" w:rsidRPr="0026316F" w:rsidRDefault="005110B3" w:rsidP="0026316F">
            <w:pPr>
              <w:spacing w:line="276" w:lineRule="auto"/>
              <w:jc w:val="both"/>
              <w:rPr>
                <w:szCs w:val="24"/>
                <w:lang w:eastAsia="lt-LT"/>
              </w:rPr>
            </w:pPr>
            <w:r w:rsidRPr="0026316F">
              <w:rPr>
                <w:szCs w:val="24"/>
                <w:lang w:eastAsia="lt-LT"/>
              </w:rPr>
              <w:t>Finansų įstaigos darbuotojo kontaktiniai duomenys (</w:t>
            </w:r>
            <w:r w:rsidRPr="0026316F">
              <w:rPr>
                <w:i/>
                <w:iCs/>
                <w:szCs w:val="24"/>
                <w:lang w:eastAsia="lt-LT"/>
              </w:rPr>
              <w:t>PRIVALOMA NURODYTI: finansavimo sutartį išdavusios finansų įstaigos darbuotojo vardas, pavardė, el. paštas, tel. numeris</w:t>
            </w:r>
            <w:r w:rsidRPr="0026316F">
              <w:rPr>
                <w:szCs w:val="24"/>
                <w:lang w:eastAsia="lt-LT"/>
              </w:rPr>
              <w:t>)</w:t>
            </w:r>
          </w:p>
        </w:tc>
        <w:tc>
          <w:tcPr>
            <w:tcW w:w="4389" w:type="dxa"/>
            <w:tcBorders>
              <w:top w:val="nil"/>
              <w:left w:val="nil"/>
              <w:bottom w:val="single" w:sz="8" w:space="0" w:color="000000"/>
              <w:right w:val="single" w:sz="8" w:space="0" w:color="000000"/>
            </w:tcBorders>
            <w:hideMark/>
          </w:tcPr>
          <w:p w14:paraId="216E9AA0" w14:textId="77777777" w:rsidR="005110B3" w:rsidRPr="0026316F" w:rsidRDefault="005110B3" w:rsidP="0026316F">
            <w:pPr>
              <w:spacing w:line="276" w:lineRule="auto"/>
              <w:jc w:val="both"/>
              <w:rPr>
                <w:szCs w:val="24"/>
                <w:lang w:eastAsia="lt-LT"/>
              </w:rPr>
            </w:pPr>
            <w:r w:rsidRPr="0026316F">
              <w:rPr>
                <w:szCs w:val="24"/>
                <w:lang w:eastAsia="lt-LT"/>
              </w:rPr>
              <w:t> </w:t>
            </w:r>
          </w:p>
        </w:tc>
      </w:tr>
      <w:tr w:rsidR="005110B3" w:rsidRPr="0026316F" w14:paraId="24B80C0F" w14:textId="77777777" w:rsidTr="002B664A">
        <w:trPr>
          <w:trHeight w:val="433"/>
        </w:trPr>
        <w:tc>
          <w:tcPr>
            <w:tcW w:w="851" w:type="dxa"/>
            <w:tcBorders>
              <w:top w:val="nil"/>
              <w:left w:val="single" w:sz="8" w:space="0" w:color="000000"/>
              <w:bottom w:val="single" w:sz="8" w:space="0" w:color="000000"/>
              <w:right w:val="single" w:sz="8" w:space="0" w:color="auto"/>
            </w:tcBorders>
            <w:hideMark/>
          </w:tcPr>
          <w:p w14:paraId="38C45090" w14:textId="72596E07" w:rsidR="005110B3" w:rsidRPr="0026316F" w:rsidRDefault="005110B3" w:rsidP="0026316F">
            <w:pPr>
              <w:spacing w:line="276" w:lineRule="auto"/>
              <w:rPr>
                <w:szCs w:val="24"/>
                <w:lang w:eastAsia="lt-LT"/>
              </w:rPr>
            </w:pPr>
            <w:r w:rsidRPr="0026316F">
              <w:rPr>
                <w:szCs w:val="24"/>
                <w:lang w:eastAsia="lt-LT"/>
              </w:rPr>
              <w:t>19.</w:t>
            </w:r>
            <w:r w:rsidR="002B664A" w:rsidRPr="0026316F">
              <w:rPr>
                <w:szCs w:val="24"/>
                <w:lang w:eastAsia="lt-LT"/>
              </w:rPr>
              <w:t>7</w:t>
            </w:r>
            <w:r w:rsidRPr="0026316F">
              <w:rPr>
                <w:szCs w:val="24"/>
                <w:lang w:eastAsia="lt-LT"/>
              </w:rPr>
              <w:t>.</w:t>
            </w:r>
          </w:p>
        </w:tc>
        <w:tc>
          <w:tcPr>
            <w:tcW w:w="4390" w:type="dxa"/>
            <w:tcBorders>
              <w:top w:val="nil"/>
              <w:left w:val="nil"/>
              <w:bottom w:val="single" w:sz="8" w:space="0" w:color="000000"/>
              <w:right w:val="single" w:sz="8" w:space="0" w:color="000000"/>
            </w:tcBorders>
            <w:hideMark/>
          </w:tcPr>
          <w:p w14:paraId="5E537E73" w14:textId="002C1996" w:rsidR="005110B3" w:rsidRPr="0026316F" w:rsidRDefault="005110B3" w:rsidP="0026316F">
            <w:pPr>
              <w:spacing w:line="276" w:lineRule="auto"/>
              <w:jc w:val="both"/>
              <w:rPr>
                <w:szCs w:val="24"/>
                <w:lang w:eastAsia="lt-LT"/>
              </w:rPr>
            </w:pPr>
            <w:r w:rsidRPr="0026316F">
              <w:rPr>
                <w:szCs w:val="24"/>
                <w:lang w:eastAsia="lt-LT"/>
              </w:rPr>
              <w:t>Individualios veiklos pažymos ar verslo liudijimo numeris</w:t>
            </w:r>
            <w:r w:rsidRPr="0026316F">
              <w:rPr>
                <w:i/>
                <w:iCs/>
                <w:szCs w:val="24"/>
                <w:lang w:eastAsia="lt-LT"/>
              </w:rPr>
              <w:t> (taikoma tik fiziniams asmenims vykdantiems ūkinę ir (arba)  ekonominę veiklą)</w:t>
            </w:r>
            <w:r w:rsidR="00A05D85" w:rsidRPr="0026316F">
              <w:rPr>
                <w:i/>
                <w:iCs/>
                <w:szCs w:val="24"/>
                <w:lang w:eastAsia="lt-LT"/>
              </w:rPr>
              <w:t>“</w:t>
            </w:r>
          </w:p>
        </w:tc>
        <w:tc>
          <w:tcPr>
            <w:tcW w:w="4389" w:type="dxa"/>
            <w:tcBorders>
              <w:top w:val="nil"/>
              <w:left w:val="nil"/>
              <w:bottom w:val="single" w:sz="8" w:space="0" w:color="000000"/>
              <w:right w:val="single" w:sz="8" w:space="0" w:color="000000"/>
            </w:tcBorders>
            <w:hideMark/>
          </w:tcPr>
          <w:p w14:paraId="4426EF53" w14:textId="77777777" w:rsidR="005110B3" w:rsidRPr="0026316F" w:rsidRDefault="005110B3" w:rsidP="0026316F">
            <w:pPr>
              <w:spacing w:line="276" w:lineRule="auto"/>
              <w:jc w:val="both"/>
              <w:rPr>
                <w:szCs w:val="24"/>
                <w:lang w:eastAsia="lt-LT"/>
              </w:rPr>
            </w:pPr>
            <w:r w:rsidRPr="0026316F">
              <w:rPr>
                <w:szCs w:val="24"/>
                <w:lang w:eastAsia="lt-LT"/>
              </w:rPr>
              <w:t> </w:t>
            </w:r>
          </w:p>
        </w:tc>
      </w:tr>
      <w:tr w:rsidR="005110B3" w:rsidRPr="0026316F" w14:paraId="43100AAC" w14:textId="77777777" w:rsidTr="002B664A">
        <w:trPr>
          <w:trHeight w:val="398"/>
        </w:trPr>
        <w:tc>
          <w:tcPr>
            <w:tcW w:w="851" w:type="dxa"/>
            <w:tcBorders>
              <w:top w:val="nil"/>
              <w:left w:val="single" w:sz="8" w:space="0" w:color="000000"/>
              <w:bottom w:val="single" w:sz="8" w:space="0" w:color="000000"/>
              <w:right w:val="single" w:sz="8" w:space="0" w:color="auto"/>
            </w:tcBorders>
            <w:hideMark/>
          </w:tcPr>
          <w:p w14:paraId="43B36B2C" w14:textId="0C6702DE" w:rsidR="005110B3" w:rsidRPr="0026316F" w:rsidRDefault="005110B3" w:rsidP="0026316F">
            <w:pPr>
              <w:spacing w:line="276" w:lineRule="auto"/>
              <w:rPr>
                <w:szCs w:val="24"/>
                <w:lang w:eastAsia="lt-LT"/>
              </w:rPr>
            </w:pPr>
            <w:r w:rsidRPr="0026316F">
              <w:rPr>
                <w:szCs w:val="24"/>
                <w:lang w:eastAsia="lt-LT"/>
              </w:rPr>
              <w:t>19.</w:t>
            </w:r>
            <w:r w:rsidR="002B664A" w:rsidRPr="0026316F">
              <w:rPr>
                <w:szCs w:val="24"/>
                <w:lang w:eastAsia="lt-LT"/>
              </w:rPr>
              <w:t>8</w:t>
            </w:r>
            <w:r w:rsidRPr="0026316F">
              <w:rPr>
                <w:szCs w:val="24"/>
                <w:lang w:eastAsia="lt-LT"/>
              </w:rPr>
              <w:t>.</w:t>
            </w:r>
          </w:p>
        </w:tc>
        <w:tc>
          <w:tcPr>
            <w:tcW w:w="4390" w:type="dxa"/>
            <w:tcBorders>
              <w:top w:val="nil"/>
              <w:left w:val="nil"/>
              <w:bottom w:val="single" w:sz="8" w:space="0" w:color="000000"/>
              <w:right w:val="single" w:sz="8" w:space="0" w:color="000000"/>
            </w:tcBorders>
            <w:hideMark/>
          </w:tcPr>
          <w:p w14:paraId="55235B03" w14:textId="77777777" w:rsidR="005110B3" w:rsidRPr="0026316F" w:rsidRDefault="005110B3" w:rsidP="0026316F">
            <w:pPr>
              <w:spacing w:line="276" w:lineRule="auto"/>
              <w:jc w:val="both"/>
              <w:rPr>
                <w:szCs w:val="24"/>
                <w:lang w:eastAsia="lt-LT"/>
              </w:rPr>
            </w:pPr>
            <w:r w:rsidRPr="0026316F">
              <w:rPr>
                <w:szCs w:val="24"/>
                <w:lang w:eastAsia="lt-LT"/>
              </w:rPr>
              <w:t> </w:t>
            </w:r>
          </w:p>
        </w:tc>
        <w:tc>
          <w:tcPr>
            <w:tcW w:w="4389" w:type="dxa"/>
            <w:tcBorders>
              <w:top w:val="nil"/>
              <w:left w:val="nil"/>
              <w:bottom w:val="single" w:sz="8" w:space="0" w:color="000000"/>
              <w:right w:val="single" w:sz="8" w:space="0" w:color="000000"/>
            </w:tcBorders>
            <w:hideMark/>
          </w:tcPr>
          <w:p w14:paraId="48676EBC" w14:textId="77777777" w:rsidR="005110B3" w:rsidRPr="0026316F" w:rsidRDefault="005110B3" w:rsidP="0026316F">
            <w:pPr>
              <w:spacing w:line="276" w:lineRule="auto"/>
              <w:jc w:val="both"/>
              <w:rPr>
                <w:szCs w:val="24"/>
                <w:lang w:eastAsia="lt-LT"/>
              </w:rPr>
            </w:pPr>
            <w:r w:rsidRPr="0026316F">
              <w:rPr>
                <w:szCs w:val="24"/>
                <w:lang w:eastAsia="lt-LT"/>
              </w:rPr>
              <w:t> </w:t>
            </w:r>
          </w:p>
        </w:tc>
      </w:tr>
      <w:tr w:rsidR="005110B3" w:rsidRPr="0026316F" w14:paraId="329671DC" w14:textId="77777777" w:rsidTr="002B664A">
        <w:trPr>
          <w:trHeight w:val="417"/>
        </w:trPr>
        <w:tc>
          <w:tcPr>
            <w:tcW w:w="851" w:type="dxa"/>
            <w:tcBorders>
              <w:top w:val="nil"/>
              <w:left w:val="single" w:sz="8" w:space="0" w:color="000000"/>
              <w:bottom w:val="single" w:sz="8" w:space="0" w:color="000000"/>
              <w:right w:val="single" w:sz="8" w:space="0" w:color="auto"/>
            </w:tcBorders>
            <w:hideMark/>
          </w:tcPr>
          <w:p w14:paraId="5976434C" w14:textId="5130B59F" w:rsidR="005110B3" w:rsidRPr="0026316F" w:rsidRDefault="002B664A" w:rsidP="0026316F">
            <w:pPr>
              <w:spacing w:line="276" w:lineRule="auto"/>
              <w:rPr>
                <w:szCs w:val="24"/>
                <w:lang w:eastAsia="lt-LT"/>
              </w:rPr>
            </w:pPr>
            <w:r w:rsidRPr="0026316F">
              <w:rPr>
                <w:szCs w:val="24"/>
                <w:lang w:eastAsia="lt-LT"/>
              </w:rPr>
              <w:t>19.9</w:t>
            </w:r>
            <w:r w:rsidR="005110B3" w:rsidRPr="0026316F">
              <w:rPr>
                <w:szCs w:val="24"/>
                <w:lang w:eastAsia="lt-LT"/>
              </w:rPr>
              <w:t>.</w:t>
            </w:r>
          </w:p>
        </w:tc>
        <w:tc>
          <w:tcPr>
            <w:tcW w:w="4390" w:type="dxa"/>
            <w:tcBorders>
              <w:top w:val="nil"/>
              <w:left w:val="nil"/>
              <w:bottom w:val="single" w:sz="8" w:space="0" w:color="000000"/>
              <w:right w:val="single" w:sz="8" w:space="0" w:color="000000"/>
            </w:tcBorders>
            <w:hideMark/>
          </w:tcPr>
          <w:p w14:paraId="29009A25" w14:textId="77777777" w:rsidR="005110B3" w:rsidRPr="0026316F" w:rsidRDefault="005110B3" w:rsidP="0026316F">
            <w:pPr>
              <w:spacing w:line="276" w:lineRule="auto"/>
              <w:jc w:val="both"/>
              <w:rPr>
                <w:szCs w:val="24"/>
                <w:lang w:eastAsia="lt-LT"/>
              </w:rPr>
            </w:pPr>
            <w:r w:rsidRPr="0026316F">
              <w:rPr>
                <w:szCs w:val="24"/>
                <w:lang w:eastAsia="lt-LT"/>
              </w:rPr>
              <w:t> </w:t>
            </w:r>
          </w:p>
        </w:tc>
        <w:tc>
          <w:tcPr>
            <w:tcW w:w="4389" w:type="dxa"/>
            <w:tcBorders>
              <w:top w:val="nil"/>
              <w:left w:val="nil"/>
              <w:bottom w:val="single" w:sz="8" w:space="0" w:color="000000"/>
              <w:right w:val="single" w:sz="8" w:space="0" w:color="000000"/>
            </w:tcBorders>
            <w:hideMark/>
          </w:tcPr>
          <w:p w14:paraId="172647A0" w14:textId="77777777" w:rsidR="005110B3" w:rsidRPr="0026316F" w:rsidRDefault="005110B3" w:rsidP="0026316F">
            <w:pPr>
              <w:spacing w:line="276" w:lineRule="auto"/>
              <w:jc w:val="both"/>
              <w:rPr>
                <w:szCs w:val="24"/>
                <w:lang w:eastAsia="lt-LT"/>
              </w:rPr>
            </w:pPr>
            <w:r w:rsidRPr="0026316F">
              <w:rPr>
                <w:szCs w:val="24"/>
                <w:lang w:eastAsia="lt-LT"/>
              </w:rPr>
              <w:t> </w:t>
            </w:r>
          </w:p>
        </w:tc>
      </w:tr>
    </w:tbl>
    <w:p w14:paraId="509AC941" w14:textId="4C7EA12B" w:rsidR="005110B3" w:rsidRPr="0026316F" w:rsidRDefault="00D24B06" w:rsidP="0026316F">
      <w:pPr>
        <w:pStyle w:val="ListParagraph"/>
        <w:numPr>
          <w:ilvl w:val="0"/>
          <w:numId w:val="1"/>
        </w:numPr>
        <w:spacing w:line="276" w:lineRule="auto"/>
        <w:jc w:val="both"/>
        <w:rPr>
          <w:szCs w:val="24"/>
        </w:rPr>
      </w:pPr>
      <w:r w:rsidRPr="0026316F">
        <w:rPr>
          <w:szCs w:val="24"/>
        </w:rPr>
        <w:t>Pakeičiu 5 priedo 2.3 papunktį ir jį išdėstau taip:</w:t>
      </w:r>
    </w:p>
    <w:p w14:paraId="3B6ACFB1" w14:textId="7FF48205" w:rsidR="00D24B06" w:rsidRPr="0026316F" w:rsidRDefault="00D24B06" w:rsidP="0026316F">
      <w:pPr>
        <w:spacing w:line="276" w:lineRule="auto"/>
        <w:ind w:right="281" w:firstLine="567"/>
        <w:jc w:val="both"/>
        <w:rPr>
          <w:color w:val="000000" w:themeColor="text1"/>
          <w:szCs w:val="24"/>
        </w:rPr>
      </w:pPr>
      <w:r w:rsidRPr="0026316F">
        <w:rPr>
          <w:color w:val="000000" w:themeColor="text1"/>
          <w:szCs w:val="24"/>
        </w:rPr>
        <w:lastRenderedPageBreak/>
        <w:t xml:space="preserve">„2.3. Šalys </w:t>
      </w:r>
      <w:r w:rsidRPr="0026316F">
        <w:rPr>
          <w:color w:val="000000"/>
          <w:szCs w:val="24"/>
        </w:rPr>
        <w:t xml:space="preserve">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elektroniniu parašu. Visa kita su projekto įgyvendinimu </w:t>
      </w:r>
      <w:r w:rsidRPr="0026316F">
        <w:rPr>
          <w:color w:val="000000" w:themeColor="text1"/>
          <w:szCs w:val="24"/>
        </w:rPr>
        <w:t>susijusi informacija projekto vykdytojui siunčiama paraiškoje nurodytu elektroniniu paštu arba, esant techninėms</w:t>
      </w:r>
      <w:r w:rsidR="00464051" w:rsidRPr="0026316F">
        <w:rPr>
          <w:color w:val="000000" w:themeColor="text1"/>
          <w:szCs w:val="24"/>
        </w:rPr>
        <w:t xml:space="preserve"> </w:t>
      </w:r>
      <w:r w:rsidRPr="0026316F">
        <w:rPr>
          <w:color w:val="000000" w:themeColor="text1"/>
          <w:szCs w:val="24"/>
        </w:rPr>
        <w:t xml:space="preserve">galimybėms pateikiama tiesiogiai adresu </w:t>
      </w:r>
      <w:hyperlink r:id="rId11" w:history="1">
        <w:r w:rsidRPr="0026316F">
          <w:rPr>
            <w:rStyle w:val="Hyperlink"/>
            <w:color w:val="000000" w:themeColor="text1"/>
            <w:szCs w:val="24"/>
          </w:rPr>
          <w:t>https://epis.invega.lt</w:t>
        </w:r>
      </w:hyperlink>
      <w:r w:rsidR="00464051" w:rsidRPr="0026316F">
        <w:rPr>
          <w:color w:val="000000" w:themeColor="text1"/>
          <w:szCs w:val="24"/>
        </w:rPr>
        <w:t>.</w:t>
      </w:r>
      <w:r w:rsidRPr="0026316F">
        <w:rPr>
          <w:color w:val="000000" w:themeColor="text1"/>
          <w:szCs w:val="24"/>
        </w:rPr>
        <w:t>“</w:t>
      </w:r>
    </w:p>
    <w:p w14:paraId="1751E0BB" w14:textId="3A707FE5" w:rsidR="00D24B06" w:rsidRPr="0026316F" w:rsidRDefault="00D24B06" w:rsidP="0026316F">
      <w:pPr>
        <w:pStyle w:val="ListParagraph"/>
        <w:spacing w:line="276" w:lineRule="auto"/>
        <w:ind w:left="928"/>
        <w:jc w:val="both"/>
        <w:rPr>
          <w:color w:val="000000"/>
          <w:szCs w:val="24"/>
          <w:lang w:eastAsia="lt-LT"/>
        </w:rPr>
      </w:pPr>
    </w:p>
    <w:p w14:paraId="66481077" w14:textId="12F81407" w:rsidR="000E6A94" w:rsidRPr="0026316F" w:rsidRDefault="000E6A94" w:rsidP="0026316F">
      <w:pPr>
        <w:spacing w:line="276" w:lineRule="auto"/>
        <w:jc w:val="both"/>
        <w:rPr>
          <w:szCs w:val="24"/>
        </w:rPr>
      </w:pPr>
    </w:p>
    <w:tbl>
      <w:tblPr>
        <w:tblW w:w="9801" w:type="dxa"/>
        <w:tblLook w:val="01E0" w:firstRow="1" w:lastRow="1" w:firstColumn="1" w:lastColumn="1" w:noHBand="0" w:noVBand="0"/>
      </w:tblPr>
      <w:tblGrid>
        <w:gridCol w:w="6175"/>
        <w:gridCol w:w="3626"/>
      </w:tblGrid>
      <w:tr w:rsidR="000E6A94" w:rsidRPr="0026316F" w14:paraId="27664BC6" w14:textId="77777777" w:rsidTr="003B4D13">
        <w:trPr>
          <w:trHeight w:val="980"/>
        </w:trPr>
        <w:tc>
          <w:tcPr>
            <w:tcW w:w="6175" w:type="dxa"/>
          </w:tcPr>
          <w:p w14:paraId="3F736088" w14:textId="77777777" w:rsidR="00F5412E" w:rsidRPr="0026316F" w:rsidRDefault="00F5412E" w:rsidP="0026316F">
            <w:pPr>
              <w:spacing w:line="276" w:lineRule="auto"/>
              <w:rPr>
                <w:szCs w:val="24"/>
              </w:rPr>
            </w:pPr>
          </w:p>
          <w:p w14:paraId="1B31A9DF" w14:textId="77777777" w:rsidR="000E6A94" w:rsidRPr="0026316F" w:rsidRDefault="000E6A94" w:rsidP="0026316F">
            <w:pPr>
              <w:tabs>
                <w:tab w:val="left" w:pos="825"/>
              </w:tabs>
              <w:spacing w:line="276" w:lineRule="auto"/>
              <w:rPr>
                <w:szCs w:val="24"/>
              </w:rPr>
            </w:pPr>
            <w:r w:rsidRPr="0026316F">
              <w:rPr>
                <w:szCs w:val="24"/>
              </w:rPr>
              <w:t xml:space="preserve">Ūkio ministras </w:t>
            </w:r>
          </w:p>
        </w:tc>
        <w:tc>
          <w:tcPr>
            <w:tcW w:w="3626" w:type="dxa"/>
          </w:tcPr>
          <w:p w14:paraId="5CBF637B" w14:textId="77777777" w:rsidR="006013D9" w:rsidRPr="0026316F" w:rsidRDefault="006013D9" w:rsidP="0026316F">
            <w:pPr>
              <w:spacing w:line="276" w:lineRule="auto"/>
              <w:jc w:val="right"/>
              <w:rPr>
                <w:szCs w:val="24"/>
              </w:rPr>
            </w:pPr>
          </w:p>
          <w:p w14:paraId="703C2B61" w14:textId="77777777" w:rsidR="000E6A94" w:rsidRPr="0026316F" w:rsidRDefault="000E6A94" w:rsidP="0026316F">
            <w:pPr>
              <w:spacing w:line="276" w:lineRule="auto"/>
              <w:jc w:val="right"/>
              <w:rPr>
                <w:szCs w:val="24"/>
              </w:rPr>
            </w:pPr>
          </w:p>
          <w:p w14:paraId="4F591422" w14:textId="4DA3ACE4" w:rsidR="000E6A94" w:rsidRPr="0026316F" w:rsidRDefault="000E6A94" w:rsidP="0026316F">
            <w:pPr>
              <w:spacing w:line="276" w:lineRule="auto"/>
              <w:jc w:val="right"/>
              <w:rPr>
                <w:szCs w:val="24"/>
              </w:rPr>
            </w:pPr>
          </w:p>
        </w:tc>
      </w:tr>
    </w:tbl>
    <w:p w14:paraId="1E34AE4E" w14:textId="23410A11" w:rsidR="006E00CC" w:rsidRDefault="006E00CC" w:rsidP="0026316F">
      <w:pPr>
        <w:spacing w:line="276" w:lineRule="auto"/>
        <w:ind w:right="140"/>
        <w:jc w:val="both"/>
        <w:rPr>
          <w:szCs w:val="24"/>
        </w:rPr>
      </w:pPr>
    </w:p>
    <w:p w14:paraId="112BF9EE" w14:textId="4DC97E15" w:rsidR="007B2064" w:rsidRDefault="007B2064" w:rsidP="0026316F">
      <w:pPr>
        <w:spacing w:line="276" w:lineRule="auto"/>
        <w:ind w:right="140"/>
        <w:jc w:val="both"/>
        <w:rPr>
          <w:szCs w:val="24"/>
        </w:rPr>
      </w:pPr>
    </w:p>
    <w:p w14:paraId="45F6BD27" w14:textId="77777777" w:rsidR="007B2064" w:rsidRPr="0026316F" w:rsidRDefault="007B2064" w:rsidP="0026316F">
      <w:pPr>
        <w:spacing w:line="276" w:lineRule="auto"/>
        <w:ind w:right="140"/>
        <w:jc w:val="both"/>
        <w:rPr>
          <w:szCs w:val="24"/>
        </w:rPr>
      </w:pPr>
    </w:p>
    <w:p w14:paraId="198CDE28" w14:textId="77777777" w:rsidR="006B2D18" w:rsidRPr="0026316F" w:rsidRDefault="006B2D18" w:rsidP="0026316F">
      <w:pPr>
        <w:spacing w:line="276" w:lineRule="auto"/>
        <w:ind w:right="140"/>
        <w:jc w:val="both"/>
        <w:rPr>
          <w:szCs w:val="24"/>
        </w:rPr>
      </w:pPr>
    </w:p>
    <w:p w14:paraId="21BFCCF5" w14:textId="77777777" w:rsidR="000E6A94" w:rsidRPr="0026316F" w:rsidRDefault="000E6A94" w:rsidP="00D820FF">
      <w:pPr>
        <w:ind w:right="142"/>
        <w:jc w:val="both"/>
        <w:rPr>
          <w:szCs w:val="24"/>
        </w:rPr>
      </w:pPr>
      <w:r w:rsidRPr="0026316F">
        <w:rPr>
          <w:szCs w:val="24"/>
        </w:rPr>
        <w:t>SUDERINTA</w:t>
      </w:r>
    </w:p>
    <w:p w14:paraId="56268DF9" w14:textId="29F09B0E" w:rsidR="000E6A94" w:rsidRPr="0026316F" w:rsidRDefault="000E6A94" w:rsidP="00D820FF">
      <w:pPr>
        <w:ind w:right="142"/>
        <w:jc w:val="both"/>
        <w:rPr>
          <w:szCs w:val="24"/>
        </w:rPr>
      </w:pPr>
      <w:r w:rsidRPr="0026316F">
        <w:rPr>
          <w:szCs w:val="24"/>
        </w:rPr>
        <w:t>Lietuvos Respublikos</w:t>
      </w:r>
      <w:r w:rsidR="00911FB8" w:rsidRPr="0026316F">
        <w:rPr>
          <w:szCs w:val="24"/>
        </w:rPr>
        <w:t xml:space="preserve"> </w:t>
      </w:r>
      <w:r w:rsidRPr="0026316F">
        <w:rPr>
          <w:szCs w:val="24"/>
        </w:rPr>
        <w:t>finansų ministerijos</w:t>
      </w:r>
    </w:p>
    <w:p w14:paraId="2021616D" w14:textId="7AA7A173" w:rsidR="000E6A94" w:rsidRPr="0026316F" w:rsidRDefault="000E6A94" w:rsidP="00D820FF">
      <w:pPr>
        <w:ind w:right="142"/>
        <w:jc w:val="both"/>
        <w:rPr>
          <w:szCs w:val="24"/>
        </w:rPr>
      </w:pPr>
      <w:r w:rsidRPr="0026316F">
        <w:rPr>
          <w:szCs w:val="24"/>
        </w:rPr>
        <w:t>201</w:t>
      </w:r>
      <w:r w:rsidR="00221D21" w:rsidRPr="0026316F">
        <w:rPr>
          <w:szCs w:val="24"/>
        </w:rPr>
        <w:t>8-</w:t>
      </w:r>
      <w:r w:rsidR="00F65CE6" w:rsidRPr="0026316F">
        <w:rPr>
          <w:szCs w:val="24"/>
        </w:rPr>
        <w:t xml:space="preserve">                          </w:t>
      </w:r>
      <w:r w:rsidR="00221D21" w:rsidRPr="0026316F">
        <w:rPr>
          <w:szCs w:val="24"/>
        </w:rPr>
        <w:t xml:space="preserve"> </w:t>
      </w:r>
      <w:r w:rsidR="00CB6326" w:rsidRPr="0026316F">
        <w:rPr>
          <w:szCs w:val="24"/>
        </w:rPr>
        <w:t>raštu Nr. ((24.37)-5K-1804378)-6K-</w:t>
      </w:r>
    </w:p>
    <w:p w14:paraId="5B8AA088" w14:textId="0E79801A" w:rsidR="00746AC5" w:rsidRPr="0026316F" w:rsidRDefault="00746AC5" w:rsidP="00D820FF">
      <w:pPr>
        <w:pStyle w:val="Footer"/>
        <w:ind w:firstLine="0"/>
        <w:rPr>
          <w:rFonts w:ascii="Times New Roman" w:hAnsi="Times New Roman" w:cs="Times New Roman"/>
          <w:sz w:val="24"/>
        </w:rPr>
      </w:pPr>
    </w:p>
    <w:p w14:paraId="2B8C5FF5" w14:textId="5CC80131" w:rsidR="00F50348" w:rsidRPr="0026316F" w:rsidRDefault="00F50348" w:rsidP="00D820FF">
      <w:pPr>
        <w:pStyle w:val="Footer"/>
        <w:ind w:firstLine="0"/>
        <w:rPr>
          <w:rFonts w:ascii="Times New Roman" w:hAnsi="Times New Roman" w:cs="Times New Roman"/>
          <w:sz w:val="24"/>
        </w:rPr>
      </w:pPr>
    </w:p>
    <w:p w14:paraId="7958013C" w14:textId="688C86D8" w:rsidR="006B2D18" w:rsidRPr="0026316F" w:rsidRDefault="006B2D18" w:rsidP="0026316F">
      <w:pPr>
        <w:pStyle w:val="Footer"/>
        <w:spacing w:line="276" w:lineRule="auto"/>
        <w:ind w:firstLine="0"/>
        <w:rPr>
          <w:rFonts w:ascii="Times New Roman" w:hAnsi="Times New Roman" w:cs="Times New Roman"/>
          <w:sz w:val="24"/>
        </w:rPr>
      </w:pPr>
    </w:p>
    <w:p w14:paraId="721DF7B0" w14:textId="37C37019" w:rsidR="00B02E1D" w:rsidRDefault="00B02E1D" w:rsidP="0026316F">
      <w:pPr>
        <w:pStyle w:val="Footer"/>
        <w:spacing w:line="276" w:lineRule="auto"/>
        <w:ind w:firstLine="0"/>
        <w:rPr>
          <w:rFonts w:ascii="Times New Roman" w:hAnsi="Times New Roman" w:cs="Times New Roman"/>
          <w:sz w:val="24"/>
        </w:rPr>
      </w:pPr>
    </w:p>
    <w:p w14:paraId="5FB040D4" w14:textId="50E7CC91" w:rsidR="007B2064" w:rsidRDefault="007B2064" w:rsidP="0026316F">
      <w:pPr>
        <w:pStyle w:val="Footer"/>
        <w:spacing w:line="276" w:lineRule="auto"/>
        <w:ind w:firstLine="0"/>
        <w:rPr>
          <w:rFonts w:ascii="Times New Roman" w:hAnsi="Times New Roman" w:cs="Times New Roman"/>
          <w:sz w:val="24"/>
        </w:rPr>
      </w:pPr>
    </w:p>
    <w:p w14:paraId="679FAAF8" w14:textId="0BBF0A42" w:rsidR="007B2064" w:rsidRDefault="007B2064" w:rsidP="0026316F">
      <w:pPr>
        <w:pStyle w:val="Footer"/>
        <w:spacing w:line="276" w:lineRule="auto"/>
        <w:ind w:firstLine="0"/>
        <w:rPr>
          <w:rFonts w:ascii="Times New Roman" w:hAnsi="Times New Roman" w:cs="Times New Roman"/>
          <w:sz w:val="24"/>
        </w:rPr>
      </w:pPr>
    </w:p>
    <w:p w14:paraId="3AF94C09" w14:textId="2E77AD27" w:rsidR="007B2064" w:rsidRDefault="007B2064" w:rsidP="0026316F">
      <w:pPr>
        <w:pStyle w:val="Footer"/>
        <w:spacing w:line="276" w:lineRule="auto"/>
        <w:ind w:firstLine="0"/>
        <w:rPr>
          <w:rFonts w:ascii="Times New Roman" w:hAnsi="Times New Roman" w:cs="Times New Roman"/>
          <w:sz w:val="24"/>
        </w:rPr>
      </w:pPr>
    </w:p>
    <w:p w14:paraId="403A85EA" w14:textId="1E4C34DA" w:rsidR="007B2064" w:rsidRDefault="007B2064" w:rsidP="0026316F">
      <w:pPr>
        <w:pStyle w:val="Footer"/>
        <w:spacing w:line="276" w:lineRule="auto"/>
        <w:ind w:firstLine="0"/>
        <w:rPr>
          <w:rFonts w:ascii="Times New Roman" w:hAnsi="Times New Roman" w:cs="Times New Roman"/>
          <w:sz w:val="24"/>
        </w:rPr>
      </w:pPr>
    </w:p>
    <w:p w14:paraId="6C94643D" w14:textId="127F038B" w:rsidR="007B2064" w:rsidRDefault="007B2064" w:rsidP="0026316F">
      <w:pPr>
        <w:pStyle w:val="Footer"/>
        <w:spacing w:line="276" w:lineRule="auto"/>
        <w:ind w:firstLine="0"/>
        <w:rPr>
          <w:rFonts w:ascii="Times New Roman" w:hAnsi="Times New Roman" w:cs="Times New Roman"/>
          <w:sz w:val="24"/>
        </w:rPr>
      </w:pPr>
    </w:p>
    <w:p w14:paraId="2DB7AA36" w14:textId="50E7DCF4" w:rsidR="007B2064" w:rsidRDefault="007B2064" w:rsidP="0026316F">
      <w:pPr>
        <w:pStyle w:val="Footer"/>
        <w:spacing w:line="276" w:lineRule="auto"/>
        <w:ind w:firstLine="0"/>
        <w:rPr>
          <w:rFonts w:ascii="Times New Roman" w:hAnsi="Times New Roman" w:cs="Times New Roman"/>
          <w:sz w:val="24"/>
        </w:rPr>
      </w:pPr>
    </w:p>
    <w:p w14:paraId="6A145833" w14:textId="235F38AB" w:rsidR="007B2064" w:rsidRDefault="007B2064" w:rsidP="0026316F">
      <w:pPr>
        <w:pStyle w:val="Footer"/>
        <w:spacing w:line="276" w:lineRule="auto"/>
        <w:ind w:firstLine="0"/>
        <w:rPr>
          <w:rFonts w:ascii="Times New Roman" w:hAnsi="Times New Roman" w:cs="Times New Roman"/>
          <w:sz w:val="24"/>
        </w:rPr>
      </w:pPr>
    </w:p>
    <w:p w14:paraId="170DBFAE" w14:textId="068013EF" w:rsidR="007B2064" w:rsidRDefault="007B2064" w:rsidP="0026316F">
      <w:pPr>
        <w:pStyle w:val="Footer"/>
        <w:spacing w:line="276" w:lineRule="auto"/>
        <w:ind w:firstLine="0"/>
        <w:rPr>
          <w:rFonts w:ascii="Times New Roman" w:hAnsi="Times New Roman" w:cs="Times New Roman"/>
          <w:sz w:val="24"/>
        </w:rPr>
      </w:pPr>
    </w:p>
    <w:p w14:paraId="7A896C7F" w14:textId="57F23F17" w:rsidR="007B2064" w:rsidRDefault="007B2064" w:rsidP="0026316F">
      <w:pPr>
        <w:pStyle w:val="Footer"/>
        <w:spacing w:line="276" w:lineRule="auto"/>
        <w:ind w:firstLine="0"/>
        <w:rPr>
          <w:rFonts w:ascii="Times New Roman" w:hAnsi="Times New Roman" w:cs="Times New Roman"/>
          <w:sz w:val="24"/>
        </w:rPr>
      </w:pPr>
    </w:p>
    <w:p w14:paraId="036B2D66" w14:textId="1332B2B7" w:rsidR="007B2064" w:rsidRDefault="007B2064" w:rsidP="0026316F">
      <w:pPr>
        <w:pStyle w:val="Footer"/>
        <w:spacing w:line="276" w:lineRule="auto"/>
        <w:ind w:firstLine="0"/>
        <w:rPr>
          <w:rFonts w:ascii="Times New Roman" w:hAnsi="Times New Roman" w:cs="Times New Roman"/>
          <w:sz w:val="24"/>
        </w:rPr>
      </w:pPr>
    </w:p>
    <w:p w14:paraId="1AFEC3AA" w14:textId="660BC29B" w:rsidR="007B2064" w:rsidRDefault="007B2064" w:rsidP="0026316F">
      <w:pPr>
        <w:pStyle w:val="Footer"/>
        <w:spacing w:line="276" w:lineRule="auto"/>
        <w:ind w:firstLine="0"/>
        <w:rPr>
          <w:rFonts w:ascii="Times New Roman" w:hAnsi="Times New Roman" w:cs="Times New Roman"/>
          <w:sz w:val="24"/>
        </w:rPr>
      </w:pPr>
    </w:p>
    <w:p w14:paraId="6C359EEE" w14:textId="1E649F81" w:rsidR="007B2064" w:rsidRDefault="007B2064" w:rsidP="0026316F">
      <w:pPr>
        <w:pStyle w:val="Footer"/>
        <w:spacing w:line="276" w:lineRule="auto"/>
        <w:ind w:firstLine="0"/>
        <w:rPr>
          <w:rFonts w:ascii="Times New Roman" w:hAnsi="Times New Roman" w:cs="Times New Roman"/>
          <w:sz w:val="24"/>
        </w:rPr>
      </w:pPr>
    </w:p>
    <w:p w14:paraId="1547EC29" w14:textId="28B6651D" w:rsidR="007B2064" w:rsidRDefault="007B2064" w:rsidP="0026316F">
      <w:pPr>
        <w:pStyle w:val="Footer"/>
        <w:spacing w:line="276" w:lineRule="auto"/>
        <w:ind w:firstLine="0"/>
        <w:rPr>
          <w:rFonts w:ascii="Times New Roman" w:hAnsi="Times New Roman" w:cs="Times New Roman"/>
          <w:sz w:val="24"/>
        </w:rPr>
      </w:pPr>
    </w:p>
    <w:p w14:paraId="7851E458" w14:textId="3C6C9F0F" w:rsidR="007B2064" w:rsidRDefault="007B2064" w:rsidP="0026316F">
      <w:pPr>
        <w:pStyle w:val="Footer"/>
        <w:spacing w:line="276" w:lineRule="auto"/>
        <w:ind w:firstLine="0"/>
        <w:rPr>
          <w:rFonts w:ascii="Times New Roman" w:hAnsi="Times New Roman" w:cs="Times New Roman"/>
          <w:sz w:val="24"/>
        </w:rPr>
      </w:pPr>
    </w:p>
    <w:p w14:paraId="2E1EC9A2" w14:textId="2CA5568F" w:rsidR="007B2064" w:rsidRDefault="007B2064" w:rsidP="0026316F">
      <w:pPr>
        <w:pStyle w:val="Footer"/>
        <w:spacing w:line="276" w:lineRule="auto"/>
        <w:ind w:firstLine="0"/>
        <w:rPr>
          <w:rFonts w:ascii="Times New Roman" w:hAnsi="Times New Roman" w:cs="Times New Roman"/>
          <w:sz w:val="24"/>
        </w:rPr>
      </w:pPr>
    </w:p>
    <w:p w14:paraId="5DF6723B" w14:textId="2533E3A0" w:rsidR="007B2064" w:rsidRDefault="007B2064" w:rsidP="0026316F">
      <w:pPr>
        <w:pStyle w:val="Footer"/>
        <w:spacing w:line="276" w:lineRule="auto"/>
        <w:ind w:firstLine="0"/>
        <w:rPr>
          <w:rFonts w:ascii="Times New Roman" w:hAnsi="Times New Roman" w:cs="Times New Roman"/>
          <w:sz w:val="24"/>
        </w:rPr>
      </w:pPr>
    </w:p>
    <w:p w14:paraId="52B03B61" w14:textId="77777777" w:rsidR="007B2064" w:rsidRPr="0026316F" w:rsidRDefault="007B2064" w:rsidP="0026316F">
      <w:pPr>
        <w:pStyle w:val="Footer"/>
        <w:spacing w:line="276" w:lineRule="auto"/>
        <w:ind w:firstLine="0"/>
        <w:rPr>
          <w:rFonts w:ascii="Times New Roman" w:hAnsi="Times New Roman" w:cs="Times New Roman"/>
          <w:sz w:val="24"/>
        </w:rPr>
      </w:pPr>
    </w:p>
    <w:p w14:paraId="794C5E6C" w14:textId="77777777" w:rsidR="006B2D18" w:rsidRPr="0026316F" w:rsidRDefault="006B2D18" w:rsidP="0026316F">
      <w:pPr>
        <w:pStyle w:val="Footer"/>
        <w:spacing w:line="276" w:lineRule="auto"/>
        <w:ind w:firstLine="0"/>
        <w:rPr>
          <w:rFonts w:ascii="Times New Roman" w:hAnsi="Times New Roman" w:cs="Times New Roman"/>
          <w:sz w:val="24"/>
        </w:rPr>
      </w:pPr>
    </w:p>
    <w:p w14:paraId="1AA30D2C" w14:textId="77777777" w:rsidR="006B2D18" w:rsidRPr="0026316F" w:rsidRDefault="006B2D18" w:rsidP="0026316F">
      <w:pPr>
        <w:pStyle w:val="Footer"/>
        <w:spacing w:line="276" w:lineRule="auto"/>
        <w:ind w:firstLine="0"/>
        <w:rPr>
          <w:rFonts w:ascii="Times New Roman" w:hAnsi="Times New Roman" w:cs="Times New Roman"/>
          <w:sz w:val="24"/>
        </w:rPr>
      </w:pPr>
    </w:p>
    <w:p w14:paraId="58DC40B4" w14:textId="2720ED06" w:rsidR="000E6A94" w:rsidRPr="0026316F" w:rsidRDefault="000E6A94" w:rsidP="007B2064">
      <w:pPr>
        <w:pStyle w:val="Footer"/>
        <w:ind w:firstLine="0"/>
        <w:rPr>
          <w:rFonts w:ascii="Times New Roman" w:hAnsi="Times New Roman" w:cs="Times New Roman"/>
          <w:sz w:val="24"/>
        </w:rPr>
      </w:pPr>
      <w:r w:rsidRPr="0026316F">
        <w:rPr>
          <w:rFonts w:ascii="Times New Roman" w:hAnsi="Times New Roman" w:cs="Times New Roman"/>
          <w:sz w:val="24"/>
        </w:rPr>
        <w:t xml:space="preserve">Parengė </w:t>
      </w:r>
    </w:p>
    <w:p w14:paraId="063AE000" w14:textId="0E79412E" w:rsidR="000E6A94" w:rsidRPr="0026316F" w:rsidRDefault="000E6A94" w:rsidP="007B2064">
      <w:pPr>
        <w:pStyle w:val="Footer"/>
        <w:ind w:firstLine="0"/>
        <w:rPr>
          <w:rFonts w:ascii="Times New Roman" w:hAnsi="Times New Roman" w:cs="Times New Roman"/>
          <w:sz w:val="24"/>
        </w:rPr>
      </w:pPr>
      <w:r w:rsidRPr="0026316F">
        <w:rPr>
          <w:rFonts w:ascii="Times New Roman" w:hAnsi="Times New Roman" w:cs="Times New Roman"/>
          <w:sz w:val="24"/>
        </w:rPr>
        <w:t>Ūkio ministerijos Europos Sąjungos paramos koordinavimo departamento</w:t>
      </w:r>
    </w:p>
    <w:p w14:paraId="4D103F2E" w14:textId="5CC63410" w:rsidR="000E6A94" w:rsidRPr="0026316F" w:rsidRDefault="000E6A94" w:rsidP="007B2064">
      <w:pPr>
        <w:pStyle w:val="Footer"/>
        <w:ind w:firstLine="0"/>
        <w:rPr>
          <w:rFonts w:ascii="Times New Roman" w:hAnsi="Times New Roman" w:cs="Times New Roman"/>
          <w:sz w:val="24"/>
        </w:rPr>
      </w:pPr>
      <w:r w:rsidRPr="0026316F">
        <w:rPr>
          <w:rFonts w:ascii="Times New Roman" w:hAnsi="Times New Roman" w:cs="Times New Roman"/>
          <w:sz w:val="24"/>
        </w:rPr>
        <w:t>Finansinių priemonių skyriaus vyriausioji specialistė</w:t>
      </w:r>
    </w:p>
    <w:p w14:paraId="0354B423" w14:textId="77777777" w:rsidR="000E6A94" w:rsidRPr="0026316F" w:rsidRDefault="000E6A94" w:rsidP="007B2064">
      <w:pPr>
        <w:pStyle w:val="Footer"/>
        <w:ind w:firstLine="0"/>
        <w:rPr>
          <w:rFonts w:ascii="Times New Roman" w:hAnsi="Times New Roman" w:cs="Times New Roman"/>
          <w:sz w:val="24"/>
        </w:rPr>
      </w:pPr>
    </w:p>
    <w:p w14:paraId="1FAF4DB4" w14:textId="1543DAA0" w:rsidR="00BB68BE" w:rsidRPr="0026316F" w:rsidRDefault="006E00CC" w:rsidP="007B2064">
      <w:pPr>
        <w:pStyle w:val="Footer"/>
        <w:ind w:firstLine="0"/>
        <w:rPr>
          <w:rFonts w:ascii="Times New Roman" w:hAnsi="Times New Roman" w:cs="Times New Roman"/>
          <w:snapToGrid w:val="0"/>
          <w:sz w:val="24"/>
        </w:rPr>
      </w:pPr>
      <w:r w:rsidRPr="0026316F">
        <w:rPr>
          <w:rFonts w:ascii="Times New Roman" w:hAnsi="Times New Roman" w:cs="Times New Roman"/>
          <w:sz w:val="24"/>
        </w:rPr>
        <w:t>Viktorija Paplauskaitė</w:t>
      </w:r>
    </w:p>
    <w:sectPr w:rsidR="00BB68BE" w:rsidRPr="0026316F" w:rsidSect="00B02E1D">
      <w:headerReference w:type="default"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3843B" w14:textId="77777777" w:rsidR="0081451A" w:rsidRDefault="0081451A">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6E793FFC" w14:textId="77777777" w:rsidR="0081451A" w:rsidRDefault="0081451A">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0EE6" w14:textId="77777777" w:rsidR="008919DC" w:rsidRDefault="008919DC">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4C688" w14:textId="77777777" w:rsidR="0081451A" w:rsidRDefault="0081451A">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0A347A72" w14:textId="77777777" w:rsidR="0081451A" w:rsidRDefault="0081451A">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80C6" w14:textId="3FBFC92C" w:rsidR="008919DC" w:rsidRPr="005753B2" w:rsidRDefault="008919DC">
    <w:pPr>
      <w:tabs>
        <w:tab w:val="center" w:pos="4819"/>
        <w:tab w:val="right" w:pos="9638"/>
      </w:tabs>
      <w:ind w:firstLine="720"/>
      <w:jc w:val="center"/>
      <w:rPr>
        <w:szCs w:val="24"/>
        <w:lang w:eastAsia="lt-LT"/>
      </w:rPr>
    </w:pPr>
    <w:r w:rsidRPr="005753B2">
      <w:rPr>
        <w:szCs w:val="24"/>
        <w:lang w:eastAsia="lt-LT"/>
      </w:rPr>
      <w:fldChar w:fldCharType="begin"/>
    </w:r>
    <w:r w:rsidRPr="005753B2">
      <w:rPr>
        <w:szCs w:val="24"/>
        <w:lang w:eastAsia="lt-LT"/>
      </w:rPr>
      <w:instrText>PAGE   \* MERGEFORMAT</w:instrText>
    </w:r>
    <w:r w:rsidRPr="005753B2">
      <w:rPr>
        <w:szCs w:val="24"/>
        <w:lang w:eastAsia="lt-LT"/>
      </w:rPr>
      <w:fldChar w:fldCharType="separate"/>
    </w:r>
    <w:r w:rsidR="00BC1ED1">
      <w:rPr>
        <w:noProof/>
        <w:szCs w:val="24"/>
        <w:lang w:eastAsia="lt-LT"/>
      </w:rPr>
      <w:t>2</w:t>
    </w:r>
    <w:r w:rsidRPr="005753B2">
      <w:rPr>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C6FD" w14:textId="77777777" w:rsidR="008919DC" w:rsidRDefault="008919DC">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03E33"/>
    <w:rsid w:val="00004BA1"/>
    <w:rsid w:val="0001226B"/>
    <w:rsid w:val="0002001F"/>
    <w:rsid w:val="00027E99"/>
    <w:rsid w:val="000354B0"/>
    <w:rsid w:val="00035E35"/>
    <w:rsid w:val="00061231"/>
    <w:rsid w:val="00064323"/>
    <w:rsid w:val="00097D50"/>
    <w:rsid w:val="000A3AB2"/>
    <w:rsid w:val="000B4C66"/>
    <w:rsid w:val="000E30E6"/>
    <w:rsid w:val="000E4C05"/>
    <w:rsid w:val="000E69CD"/>
    <w:rsid w:val="000E6A94"/>
    <w:rsid w:val="00126C2F"/>
    <w:rsid w:val="00154696"/>
    <w:rsid w:val="00162B0A"/>
    <w:rsid w:val="00162F9B"/>
    <w:rsid w:val="001718CB"/>
    <w:rsid w:val="001A5327"/>
    <w:rsid w:val="001A5CD5"/>
    <w:rsid w:val="001D5D74"/>
    <w:rsid w:val="001D7284"/>
    <w:rsid w:val="001F7351"/>
    <w:rsid w:val="00221D21"/>
    <w:rsid w:val="002564D9"/>
    <w:rsid w:val="0026316F"/>
    <w:rsid w:val="002B664A"/>
    <w:rsid w:val="002C0015"/>
    <w:rsid w:val="002D2728"/>
    <w:rsid w:val="003013BD"/>
    <w:rsid w:val="003343EF"/>
    <w:rsid w:val="003801C2"/>
    <w:rsid w:val="00383BC8"/>
    <w:rsid w:val="003A6913"/>
    <w:rsid w:val="003D03C1"/>
    <w:rsid w:val="00412006"/>
    <w:rsid w:val="00413D93"/>
    <w:rsid w:val="0041502A"/>
    <w:rsid w:val="00453DC0"/>
    <w:rsid w:val="00464051"/>
    <w:rsid w:val="00471F5A"/>
    <w:rsid w:val="00480C1F"/>
    <w:rsid w:val="00480F83"/>
    <w:rsid w:val="004B2455"/>
    <w:rsid w:val="004C7D9C"/>
    <w:rsid w:val="004E5A6D"/>
    <w:rsid w:val="00510C41"/>
    <w:rsid w:val="005110B3"/>
    <w:rsid w:val="00523B76"/>
    <w:rsid w:val="00523CFB"/>
    <w:rsid w:val="00526A33"/>
    <w:rsid w:val="005315EA"/>
    <w:rsid w:val="005753B2"/>
    <w:rsid w:val="005D0C2C"/>
    <w:rsid w:val="005D2240"/>
    <w:rsid w:val="006013D9"/>
    <w:rsid w:val="00603433"/>
    <w:rsid w:val="00630CB3"/>
    <w:rsid w:val="00635168"/>
    <w:rsid w:val="00655EA8"/>
    <w:rsid w:val="00661BF9"/>
    <w:rsid w:val="00674EA4"/>
    <w:rsid w:val="00675628"/>
    <w:rsid w:val="006B2D18"/>
    <w:rsid w:val="006B362A"/>
    <w:rsid w:val="006B368C"/>
    <w:rsid w:val="006C61DD"/>
    <w:rsid w:val="006D691D"/>
    <w:rsid w:val="006E00CC"/>
    <w:rsid w:val="006F2AFE"/>
    <w:rsid w:val="006F3780"/>
    <w:rsid w:val="007110D2"/>
    <w:rsid w:val="007233DE"/>
    <w:rsid w:val="00746AC5"/>
    <w:rsid w:val="00750903"/>
    <w:rsid w:val="00772D6E"/>
    <w:rsid w:val="00776483"/>
    <w:rsid w:val="00786067"/>
    <w:rsid w:val="007A45C5"/>
    <w:rsid w:val="007B2064"/>
    <w:rsid w:val="007C3F1C"/>
    <w:rsid w:val="007C5B89"/>
    <w:rsid w:val="007C5F62"/>
    <w:rsid w:val="007E24EE"/>
    <w:rsid w:val="007E2B0A"/>
    <w:rsid w:val="007F4D41"/>
    <w:rsid w:val="007F56A1"/>
    <w:rsid w:val="008005AD"/>
    <w:rsid w:val="00811041"/>
    <w:rsid w:val="0081451A"/>
    <w:rsid w:val="00814E66"/>
    <w:rsid w:val="008411FB"/>
    <w:rsid w:val="00870B19"/>
    <w:rsid w:val="008919DC"/>
    <w:rsid w:val="00891BD0"/>
    <w:rsid w:val="008B2953"/>
    <w:rsid w:val="008C1856"/>
    <w:rsid w:val="008D308D"/>
    <w:rsid w:val="00911FB8"/>
    <w:rsid w:val="0094716E"/>
    <w:rsid w:val="00955AEB"/>
    <w:rsid w:val="0096668E"/>
    <w:rsid w:val="00993CB2"/>
    <w:rsid w:val="009B0B9D"/>
    <w:rsid w:val="009C1492"/>
    <w:rsid w:val="009C1AF3"/>
    <w:rsid w:val="009D071A"/>
    <w:rsid w:val="009E7D5D"/>
    <w:rsid w:val="00A05D85"/>
    <w:rsid w:val="00A06839"/>
    <w:rsid w:val="00A45AE2"/>
    <w:rsid w:val="00A71713"/>
    <w:rsid w:val="00A71FD4"/>
    <w:rsid w:val="00A72605"/>
    <w:rsid w:val="00A94972"/>
    <w:rsid w:val="00AC5486"/>
    <w:rsid w:val="00AC7398"/>
    <w:rsid w:val="00AD673D"/>
    <w:rsid w:val="00B02E1D"/>
    <w:rsid w:val="00B07D6D"/>
    <w:rsid w:val="00B12B12"/>
    <w:rsid w:val="00B33CA0"/>
    <w:rsid w:val="00B42348"/>
    <w:rsid w:val="00B46340"/>
    <w:rsid w:val="00B92F4C"/>
    <w:rsid w:val="00B943AB"/>
    <w:rsid w:val="00BB68BE"/>
    <w:rsid w:val="00BC1ED1"/>
    <w:rsid w:val="00BD6984"/>
    <w:rsid w:val="00BE2340"/>
    <w:rsid w:val="00BE340C"/>
    <w:rsid w:val="00BF3C77"/>
    <w:rsid w:val="00C05BCD"/>
    <w:rsid w:val="00C123F5"/>
    <w:rsid w:val="00C15BAD"/>
    <w:rsid w:val="00C21B64"/>
    <w:rsid w:val="00C265CC"/>
    <w:rsid w:val="00C5182C"/>
    <w:rsid w:val="00C75D69"/>
    <w:rsid w:val="00CB6326"/>
    <w:rsid w:val="00CB7C6E"/>
    <w:rsid w:val="00CB7D58"/>
    <w:rsid w:val="00CC6ECE"/>
    <w:rsid w:val="00CE02C6"/>
    <w:rsid w:val="00D040DD"/>
    <w:rsid w:val="00D24B06"/>
    <w:rsid w:val="00D30062"/>
    <w:rsid w:val="00D66576"/>
    <w:rsid w:val="00D820FF"/>
    <w:rsid w:val="00D96D23"/>
    <w:rsid w:val="00E00700"/>
    <w:rsid w:val="00E11B7C"/>
    <w:rsid w:val="00E17A05"/>
    <w:rsid w:val="00E22718"/>
    <w:rsid w:val="00E36C29"/>
    <w:rsid w:val="00E46A79"/>
    <w:rsid w:val="00E92D6C"/>
    <w:rsid w:val="00E94331"/>
    <w:rsid w:val="00EA2357"/>
    <w:rsid w:val="00EA5336"/>
    <w:rsid w:val="00F01180"/>
    <w:rsid w:val="00F10F06"/>
    <w:rsid w:val="00F1721A"/>
    <w:rsid w:val="00F23FF8"/>
    <w:rsid w:val="00F50348"/>
    <w:rsid w:val="00F5412E"/>
    <w:rsid w:val="00F577C8"/>
    <w:rsid w:val="00F65CE6"/>
    <w:rsid w:val="00F8373B"/>
    <w:rsid w:val="00F87543"/>
    <w:rsid w:val="00F94D0B"/>
    <w:rsid w:val="00FA5EF8"/>
    <w:rsid w:val="00FC2840"/>
    <w:rsid w:val="00FE2DDF"/>
    <w:rsid w:val="00FE31F8"/>
    <w:rsid w:val="00FF5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uiPriority w:val="99"/>
    <w:semiHidden/>
    <w:unhideWhenUsed/>
    <w:rsid w:val="00BE2340"/>
    <w:rPr>
      <w:sz w:val="16"/>
      <w:szCs w:val="16"/>
    </w:rPr>
  </w:style>
  <w:style w:type="paragraph" w:styleId="CommentText">
    <w:name w:val="annotation text"/>
    <w:basedOn w:val="Normal"/>
    <w:link w:val="CommentTextChar"/>
    <w:uiPriority w:val="99"/>
    <w:semiHidden/>
    <w:unhideWhenUsed/>
    <w:rsid w:val="00BE2340"/>
    <w:rPr>
      <w:sz w:val="20"/>
    </w:rPr>
  </w:style>
  <w:style w:type="character" w:customStyle="1" w:styleId="CommentTextChar">
    <w:name w:val="Comment Text Char"/>
    <w:basedOn w:val="DefaultParagraphFont"/>
    <w:link w:val="CommentText"/>
    <w:uiPriority w:val="99"/>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iPriority w:val="99"/>
    <w:unhideWhenUsed/>
    <w:rsid w:val="007F56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uiPriority w:val="99"/>
    <w:semiHidden/>
    <w:unhideWhenUsed/>
    <w:rsid w:val="00BE2340"/>
    <w:rPr>
      <w:sz w:val="16"/>
      <w:szCs w:val="16"/>
    </w:rPr>
  </w:style>
  <w:style w:type="paragraph" w:styleId="CommentText">
    <w:name w:val="annotation text"/>
    <w:basedOn w:val="Normal"/>
    <w:link w:val="CommentTextChar"/>
    <w:uiPriority w:val="99"/>
    <w:semiHidden/>
    <w:unhideWhenUsed/>
    <w:rsid w:val="00BE2340"/>
    <w:rPr>
      <w:sz w:val="20"/>
    </w:rPr>
  </w:style>
  <w:style w:type="character" w:customStyle="1" w:styleId="CommentTextChar">
    <w:name w:val="Comment Text Char"/>
    <w:basedOn w:val="DefaultParagraphFont"/>
    <w:link w:val="CommentText"/>
    <w:uiPriority w:val="99"/>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iPriority w:val="99"/>
    <w:unhideWhenUsed/>
    <w:rsid w:val="007F5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8836628">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39183689">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688826088">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is.invega.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pis.invega.lt" TargetMode="External"/><Relationship Id="rId4" Type="http://schemas.microsoft.com/office/2007/relationships/stylesWithEffects" Target="stylesWithEffects.xml"/><Relationship Id="rId9" Type="http://schemas.openxmlformats.org/officeDocument/2006/relationships/hyperlink" Target="https://epis.inveg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6F3B965-6478-4645-AEC0-F68AD7B4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4933</Characters>
  <Application>Microsoft Office Word</Application>
  <DocSecurity>4</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5631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Strolyte Alge</cp:lastModifiedBy>
  <cp:revision>2</cp:revision>
  <cp:lastPrinted>2018-05-24T11:10:00Z</cp:lastPrinted>
  <dcterms:created xsi:type="dcterms:W3CDTF">2018-05-28T11:20:00Z</dcterms:created>
  <dcterms:modified xsi:type="dcterms:W3CDTF">2018-05-28T11:20:00Z</dcterms:modified>
</cp:coreProperties>
</file>