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55" w:rsidRPr="00195EE8" w:rsidRDefault="00195EE8" w:rsidP="000C6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Verslo konsultantų tinklo veiklos organizavimo ir administravimo tvarkos aprašo</w:t>
      </w:r>
      <w:r w:rsidR="001F1E2A" w:rsidRPr="00195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F48" w:rsidRPr="00195EE8">
        <w:rPr>
          <w:rFonts w:ascii="Times New Roman" w:hAnsi="Times New Roman" w:cs="Times New Roman"/>
          <w:b/>
          <w:sz w:val="24"/>
          <w:szCs w:val="24"/>
        </w:rPr>
        <w:t>projektui</w:t>
      </w:r>
      <w:r w:rsidR="00F93045" w:rsidRPr="00195E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F69" w:rsidRPr="00195EE8" w:rsidRDefault="000C6855" w:rsidP="000C68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95EE8">
        <w:rPr>
          <w:rFonts w:ascii="Times New Roman" w:hAnsi="Times New Roman" w:cs="Times New Roman"/>
          <w:b/>
          <w:sz w:val="24"/>
          <w:szCs w:val="24"/>
        </w:rPr>
        <w:t xml:space="preserve">gautų socialinių ekonominių partnerių </w:t>
      </w:r>
      <w:r w:rsidR="00F93045" w:rsidRPr="00195EE8">
        <w:rPr>
          <w:rFonts w:ascii="Times New Roman" w:hAnsi="Times New Roman" w:cs="Times New Roman"/>
          <w:b/>
          <w:sz w:val="24"/>
          <w:szCs w:val="24"/>
        </w:rPr>
        <w:t>pastabų derinimo lentelė</w:t>
      </w:r>
    </w:p>
    <w:p w:rsidR="00F93045" w:rsidRPr="007E60D0" w:rsidRDefault="00F93045" w:rsidP="00F93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4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785"/>
        <w:gridCol w:w="1192"/>
        <w:gridCol w:w="5387"/>
        <w:gridCol w:w="1842"/>
        <w:gridCol w:w="4395"/>
      </w:tblGrid>
      <w:tr w:rsidR="00E07A69" w:rsidRPr="0010310B" w:rsidTr="00423D9D">
        <w:trPr>
          <w:trHeight w:val="550"/>
        </w:trPr>
        <w:tc>
          <w:tcPr>
            <w:tcW w:w="675" w:type="dxa"/>
          </w:tcPr>
          <w:p w:rsidR="00E07A69" w:rsidRPr="000C6855" w:rsidRDefault="00030E62" w:rsidP="00502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785" w:type="dxa"/>
          </w:tcPr>
          <w:p w:rsidR="00E07A69" w:rsidRDefault="00E07A69" w:rsidP="00E07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Pastabas/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pasiūlymus teikianti institucija/</w:t>
            </w:r>
          </w:p>
          <w:p w:rsidR="00E07A69" w:rsidRPr="00CE399E" w:rsidRDefault="00E07A69" w:rsidP="00E07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asmuo</w:t>
            </w:r>
          </w:p>
        </w:tc>
        <w:tc>
          <w:tcPr>
            <w:tcW w:w="1192" w:type="dxa"/>
          </w:tcPr>
          <w:p w:rsidR="00E07A69" w:rsidRPr="000C6855" w:rsidRDefault="00195EE8" w:rsidP="00E07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VKT aprašo</w:t>
            </w:r>
            <w:r w:rsidR="00E07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E07A69"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unkto numeris</w:t>
            </w:r>
          </w:p>
        </w:tc>
        <w:tc>
          <w:tcPr>
            <w:tcW w:w="5387" w:type="dxa"/>
          </w:tcPr>
          <w:p w:rsidR="00E07A69" w:rsidRPr="000C6855" w:rsidRDefault="00E07A69" w:rsidP="00502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>Pastabos ir (ar) pasiūlymai</w:t>
            </w:r>
          </w:p>
        </w:tc>
        <w:tc>
          <w:tcPr>
            <w:tcW w:w="1842" w:type="dxa"/>
          </w:tcPr>
          <w:p w:rsidR="00E07A69" w:rsidRPr="000C6855" w:rsidRDefault="00BD2500" w:rsidP="00502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  <w:r w:rsidR="00E07A69" w:rsidRPr="000C6855">
              <w:rPr>
                <w:rFonts w:ascii="Times New Roman" w:hAnsi="Times New Roman" w:cs="Times New Roman"/>
                <w:b/>
                <w:sz w:val="24"/>
                <w:szCs w:val="24"/>
              </w:rPr>
              <w:t>M pozicija</w:t>
            </w:r>
          </w:p>
        </w:tc>
        <w:tc>
          <w:tcPr>
            <w:tcW w:w="4395" w:type="dxa"/>
          </w:tcPr>
          <w:p w:rsidR="00E07A69" w:rsidRPr="000C6855" w:rsidRDefault="00BD2500" w:rsidP="00502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Ekonomikos ir inovacijų</w:t>
            </w:r>
            <w:r w:rsidR="00E07A69" w:rsidRPr="00CE3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ministerijos komentaras</w:t>
            </w:r>
          </w:p>
        </w:tc>
      </w:tr>
      <w:tr w:rsidR="003147AC" w:rsidRPr="0010310B" w:rsidTr="00423D9D">
        <w:trPr>
          <w:trHeight w:val="269"/>
        </w:trPr>
        <w:tc>
          <w:tcPr>
            <w:tcW w:w="675" w:type="dxa"/>
          </w:tcPr>
          <w:p w:rsidR="003147AC" w:rsidRPr="00534D35" w:rsidRDefault="003147AC" w:rsidP="00502BE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147AC" w:rsidRPr="00BD2500" w:rsidRDefault="00105C47" w:rsidP="00A04F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UAB „Investicijų ir verslo garantijos“</w:t>
            </w:r>
          </w:p>
        </w:tc>
        <w:tc>
          <w:tcPr>
            <w:tcW w:w="1192" w:type="dxa"/>
          </w:tcPr>
          <w:p w:rsidR="003147AC" w:rsidRPr="00885642" w:rsidRDefault="00105C47" w:rsidP="0050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5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493F5D" w:rsidRPr="00493F5D" w:rsidRDefault="00493F5D" w:rsidP="00493F5D">
            <w:pPr>
              <w:pStyle w:val="CommentText"/>
              <w:tabs>
                <w:tab w:val="left" w:pos="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17.13. papunkčio: „teikti ne ilgesnės trukmės negu 5 valandų konsultaciją vienam projektui“:</w:t>
            </w:r>
          </w:p>
          <w:p w:rsidR="00105C47" w:rsidRPr="00105C47" w:rsidRDefault="00105C47" w:rsidP="00105C47">
            <w:pPr>
              <w:pStyle w:val="CommentText"/>
              <w:numPr>
                <w:ilvl w:val="0"/>
                <w:numId w:val="24"/>
              </w:numPr>
              <w:tabs>
                <w:tab w:val="left" w:pos="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Konsultacijos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teikiamos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projektui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05C47" w:rsidRPr="00105C47" w:rsidRDefault="00105C47" w:rsidP="00105C47">
            <w:pPr>
              <w:pStyle w:val="CommentText"/>
              <w:numPr>
                <w:ilvl w:val="0"/>
                <w:numId w:val="24"/>
              </w:numPr>
              <w:tabs>
                <w:tab w:val="left" w:pos="4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Toks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parašymas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neapr</w:t>
            </w:r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iboti</w:t>
            </w:r>
            <w:proofErr w:type="spellEnd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konsultacijų</w:t>
            </w:r>
            <w:proofErr w:type="spellEnd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trukmės</w:t>
            </w:r>
            <w:proofErr w:type="spellEnd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pvz</w:t>
            </w:r>
            <w:proofErr w:type="spellEnd"/>
            <w:r w:rsidR="00B21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fiksuos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dvi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konsultacijas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dieną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val.</w:t>
            </w:r>
          </w:p>
          <w:p w:rsidR="00105C47" w:rsidRPr="00105C47" w:rsidRDefault="00105C47" w:rsidP="00105C47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</w:rPr>
              <w:t>ūloma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</w:rPr>
              <w:t xml:space="preserve"> formuluotė:</w:t>
            </w:r>
          </w:p>
          <w:p w:rsidR="003147AC" w:rsidRPr="004C4763" w:rsidRDefault="00105C47" w:rsidP="00105C47">
            <w:pPr>
              <w:tabs>
                <w:tab w:val="left" w:pos="0"/>
                <w:tab w:val="left" w:pos="389"/>
                <w:tab w:val="left" w:pos="8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C4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17.13. </w:t>
            </w:r>
            <w:proofErr w:type="gram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proofErr w:type="gram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vieną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dieną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teikti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ilgesnę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valand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trukmės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konsultaciją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vienam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vykdytojui</w:t>
            </w:r>
            <w:proofErr w:type="spellEnd"/>
            <w:r w:rsidRPr="0010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.”</w:t>
            </w:r>
          </w:p>
        </w:tc>
        <w:tc>
          <w:tcPr>
            <w:tcW w:w="1842" w:type="dxa"/>
          </w:tcPr>
          <w:p w:rsidR="003147AC" w:rsidRPr="001E5157" w:rsidRDefault="00550731" w:rsidP="00BD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147AC">
              <w:rPr>
                <w:rFonts w:ascii="Times New Roman" w:hAnsi="Times New Roman" w:cs="Times New Roman"/>
                <w:sz w:val="24"/>
                <w:szCs w:val="24"/>
              </w:rPr>
              <w:t>tsižvelgta</w:t>
            </w:r>
          </w:p>
        </w:tc>
        <w:tc>
          <w:tcPr>
            <w:tcW w:w="4395" w:type="dxa"/>
          </w:tcPr>
          <w:p w:rsidR="00550731" w:rsidRPr="00BD2500" w:rsidRDefault="00550731" w:rsidP="008E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Patikslinta Aprašo 17.13 papunkčio formuluotė į: </w:t>
            </w:r>
            <w:r w:rsidRPr="00B211E3">
              <w:rPr>
                <w:rFonts w:ascii="Times New Roman" w:hAnsi="Times New Roman" w:cs="Times New Roman"/>
                <w:i/>
                <w:sz w:val="24"/>
                <w:szCs w:val="24"/>
              </w:rPr>
              <w:t>teikti ne ilgesnės trukmės negu 5 valandų konsultaciją per dieną vienam konsultacijų gavėjui</w:t>
            </w:r>
            <w:r w:rsidR="00B211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F7236" w:rsidRPr="0010310B" w:rsidTr="00423D9D">
        <w:trPr>
          <w:trHeight w:val="269"/>
        </w:trPr>
        <w:tc>
          <w:tcPr>
            <w:tcW w:w="675" w:type="dxa"/>
            <w:vMerge w:val="restart"/>
          </w:tcPr>
          <w:p w:rsidR="000F7236" w:rsidRPr="00534D35" w:rsidRDefault="000F7236" w:rsidP="00502BE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0F7236" w:rsidRPr="00A04F17" w:rsidRDefault="000F7236" w:rsidP="00A0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VšĮ „Versli Lietuva“</w:t>
            </w:r>
          </w:p>
        </w:tc>
        <w:tc>
          <w:tcPr>
            <w:tcW w:w="1192" w:type="dxa"/>
          </w:tcPr>
          <w:p w:rsidR="000F7236" w:rsidRDefault="000F7236" w:rsidP="0050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</w:t>
            </w:r>
          </w:p>
        </w:tc>
        <w:tc>
          <w:tcPr>
            <w:tcW w:w="5387" w:type="dxa"/>
          </w:tcPr>
          <w:p w:rsidR="000F7236" w:rsidRPr="007B649B" w:rsidRDefault="000F7236" w:rsidP="00E4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>„17.13. teikti ne ilgesnės trukmės negu 5 valandų konsultaciją vienam projektui“:</w:t>
            </w:r>
          </w:p>
          <w:p w:rsidR="000F7236" w:rsidRPr="007B649B" w:rsidRDefault="000F7236" w:rsidP="00CD22FF">
            <w:pPr>
              <w:pStyle w:val="ListParagraph"/>
              <w:numPr>
                <w:ilvl w:val="0"/>
                <w:numId w:val="25"/>
              </w:numPr>
              <w:tabs>
                <w:tab w:val="left" w:pos="820"/>
              </w:tabs>
              <w:ind w:left="0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>Ką reiškia vienam projektui? Kas yra projektas apraše niekur neapibrėžiama ir tokia sąvoka apskritai nenaudojama, jeigu čia turima omenyje konsultacijų gavėjas, tai reikia vietoj žodžio „projektui“ rašyti „konsultacijų gavėjas“.</w:t>
            </w:r>
          </w:p>
          <w:p w:rsidR="000F7236" w:rsidRPr="007B649B" w:rsidRDefault="000F7236" w:rsidP="00E4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>Iš papunkčio neaišku per kiek laiko galima teikti konsultacijas, per dieną, per savaitę? Reiktų papildyti, kad „teikti ne ilgesnės trukmės negu 5 valandų konsultaciją per dieną vienam konsultacijų gavėjui“.</w:t>
            </w:r>
          </w:p>
          <w:p w:rsidR="000F7236" w:rsidRPr="007B649B" w:rsidRDefault="000F7236" w:rsidP="00CD22FF">
            <w:pPr>
              <w:pStyle w:val="ListParagraph"/>
              <w:numPr>
                <w:ilvl w:val="0"/>
                <w:numId w:val="25"/>
              </w:numPr>
              <w:tabs>
                <w:tab w:val="left" w:pos="908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 xml:space="preserve">Taip pat šis papunktis ir jo formuluotė apriboja ne konsultantą, o konsultacijos gavėją, t. y. jis konsultuotis gali tik 5 val., bet skirtingus konsultacijų gavėjus vienas konsultantas gali konsultuoti kad ir 15 val. per dieną, todėl </w:t>
            </w:r>
            <w:r w:rsidRPr="007B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būtinai</w:t>
            </w: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 xml:space="preserve"> turi atsirasti konsultacijų trukmės apribojimas patiems konsultantams, kitaip šis aprašo keitimas netenka prasmės. Reikia įtraukti tokį punktą:</w:t>
            </w:r>
          </w:p>
          <w:p w:rsidR="000F7236" w:rsidRPr="007B649B" w:rsidRDefault="000F7236" w:rsidP="00E4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7B649B">
              <w:rPr>
                <w:rFonts w:ascii="Times New Roman" w:hAnsi="Times New Roman" w:cs="Times New Roman"/>
                <w:i/>
                <w:sz w:val="24"/>
                <w:szCs w:val="24"/>
              </w:rPr>
              <w:t>Verslo konsultanto (kai verslo konsultantas yra fizinis asmuo) ir Verslo konsultanto darbuotojo (kai verslo konsultantas yra juridinis asmuo) bendra teikiamų konsultacijų trukmė negali būti ilgesnė nei 8 val. per dieną</w:t>
            </w:r>
            <w:r w:rsidRPr="007B649B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0F7236" w:rsidRPr="007B649B" w:rsidRDefault="000F7236" w:rsidP="00BD2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F7236" w:rsidRDefault="000F7236" w:rsidP="00BD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Atsižvelgta</w:t>
            </w:r>
          </w:p>
        </w:tc>
        <w:tc>
          <w:tcPr>
            <w:tcW w:w="4395" w:type="dxa"/>
          </w:tcPr>
          <w:p w:rsidR="000F7236" w:rsidRDefault="000F7236" w:rsidP="003D5EB4">
            <w:pPr>
              <w:pStyle w:val="Default"/>
              <w:numPr>
                <w:ilvl w:val="0"/>
                <w:numId w:val="26"/>
              </w:numPr>
              <w:tabs>
                <w:tab w:val="left" w:pos="321"/>
                <w:tab w:val="left" w:pos="730"/>
              </w:tabs>
              <w:ind w:left="0" w:firstLine="67"/>
              <w:jc w:val="both"/>
            </w:pPr>
            <w:proofErr w:type="spellStart"/>
            <w:r>
              <w:t>Patikslinta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17.13 </w:t>
            </w:r>
            <w:proofErr w:type="spellStart"/>
            <w:r>
              <w:t>papunkčio</w:t>
            </w:r>
            <w:proofErr w:type="spellEnd"/>
            <w:r>
              <w:t xml:space="preserve"> </w:t>
            </w:r>
            <w:proofErr w:type="spellStart"/>
            <w:r>
              <w:t>formuluotė</w:t>
            </w:r>
            <w:proofErr w:type="spellEnd"/>
            <w:r>
              <w:t xml:space="preserve"> į: </w:t>
            </w:r>
            <w:proofErr w:type="spellStart"/>
            <w:r w:rsidRPr="00B211E3">
              <w:rPr>
                <w:i/>
              </w:rPr>
              <w:t>teikti</w:t>
            </w:r>
            <w:proofErr w:type="spellEnd"/>
            <w:r w:rsidRPr="00B211E3">
              <w:rPr>
                <w:i/>
              </w:rPr>
              <w:t xml:space="preserve"> ne </w:t>
            </w:r>
            <w:proofErr w:type="spellStart"/>
            <w:r w:rsidRPr="00B211E3">
              <w:rPr>
                <w:i/>
              </w:rPr>
              <w:t>ilgesnės</w:t>
            </w:r>
            <w:proofErr w:type="spellEnd"/>
            <w:r w:rsidRPr="00B211E3">
              <w:rPr>
                <w:i/>
              </w:rPr>
              <w:t xml:space="preserve"> </w:t>
            </w:r>
            <w:proofErr w:type="spellStart"/>
            <w:r w:rsidRPr="00B211E3">
              <w:rPr>
                <w:i/>
              </w:rPr>
              <w:t>trukmės</w:t>
            </w:r>
            <w:proofErr w:type="spellEnd"/>
            <w:r w:rsidRPr="00B211E3">
              <w:rPr>
                <w:i/>
              </w:rPr>
              <w:t xml:space="preserve"> </w:t>
            </w:r>
            <w:proofErr w:type="spellStart"/>
            <w:r w:rsidRPr="00B211E3">
              <w:rPr>
                <w:i/>
              </w:rPr>
              <w:t>negu</w:t>
            </w:r>
            <w:proofErr w:type="spellEnd"/>
            <w:r w:rsidRPr="00B211E3">
              <w:rPr>
                <w:i/>
              </w:rPr>
              <w:t xml:space="preserve"> 5 </w:t>
            </w:r>
            <w:proofErr w:type="spellStart"/>
            <w:r w:rsidRPr="00B211E3">
              <w:rPr>
                <w:i/>
                <w:color w:val="auto"/>
              </w:rPr>
              <w:t>valandų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konsultaciją</w:t>
            </w:r>
            <w:proofErr w:type="spellEnd"/>
            <w:r w:rsidRPr="00B211E3">
              <w:rPr>
                <w:i/>
                <w:color w:val="auto"/>
              </w:rPr>
              <w:t xml:space="preserve"> per </w:t>
            </w:r>
            <w:proofErr w:type="spellStart"/>
            <w:r w:rsidRPr="00B211E3">
              <w:rPr>
                <w:i/>
                <w:color w:val="auto"/>
              </w:rPr>
              <w:t>dieną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vienam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konsultacijų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gavėjui</w:t>
            </w:r>
            <w:proofErr w:type="spellEnd"/>
            <w:r>
              <w:rPr>
                <w:lang w:eastAsia="lt-LT"/>
              </w:rPr>
              <w:t>.</w:t>
            </w:r>
          </w:p>
          <w:p w:rsidR="000F7236" w:rsidRDefault="000F7236" w:rsidP="003D5EB4">
            <w:pPr>
              <w:pStyle w:val="Default"/>
              <w:numPr>
                <w:ilvl w:val="0"/>
                <w:numId w:val="26"/>
              </w:numPr>
              <w:tabs>
                <w:tab w:val="left" w:pos="321"/>
                <w:tab w:val="left" w:pos="730"/>
              </w:tabs>
              <w:ind w:left="0" w:firstLine="67"/>
              <w:jc w:val="both"/>
            </w:pPr>
            <w:proofErr w:type="spellStart"/>
            <w:r>
              <w:rPr>
                <w:lang w:eastAsia="lt-LT"/>
              </w:rPr>
              <w:t>Įtrauktas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naujas</w:t>
            </w:r>
            <w:proofErr w:type="spellEnd"/>
            <w:r>
              <w:rPr>
                <w:lang w:eastAsia="lt-LT"/>
              </w:rPr>
              <w:t xml:space="preserve"> 17</w:t>
            </w:r>
            <w:r>
              <w:rPr>
                <w:vertAlign w:val="superscript"/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punktas</w:t>
            </w:r>
            <w:proofErr w:type="spellEnd"/>
            <w:r>
              <w:rPr>
                <w:lang w:eastAsia="lt-LT"/>
              </w:rPr>
              <w:t>: “</w:t>
            </w:r>
            <w:r w:rsidRPr="003D5EB4">
              <w:rPr>
                <w:i/>
                <w:color w:val="auto"/>
              </w:rPr>
              <w:t xml:space="preserve">Verslo </w:t>
            </w:r>
            <w:proofErr w:type="spellStart"/>
            <w:r w:rsidRPr="003D5EB4">
              <w:rPr>
                <w:i/>
                <w:color w:val="auto"/>
              </w:rPr>
              <w:t>konsultanto</w:t>
            </w:r>
            <w:proofErr w:type="spellEnd"/>
            <w:r w:rsidRPr="003D5EB4">
              <w:rPr>
                <w:i/>
                <w:color w:val="auto"/>
              </w:rPr>
              <w:t xml:space="preserve"> (kai verslo </w:t>
            </w:r>
            <w:proofErr w:type="spellStart"/>
            <w:r w:rsidRPr="003D5EB4">
              <w:rPr>
                <w:i/>
                <w:color w:val="auto"/>
              </w:rPr>
              <w:t>konsultantas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yra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fizinis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asmuo</w:t>
            </w:r>
            <w:proofErr w:type="spellEnd"/>
            <w:r w:rsidRPr="003D5EB4">
              <w:rPr>
                <w:i/>
                <w:color w:val="auto"/>
              </w:rPr>
              <w:t xml:space="preserve">) </w:t>
            </w:r>
            <w:proofErr w:type="spellStart"/>
            <w:r w:rsidRPr="003D5EB4">
              <w:rPr>
                <w:i/>
                <w:color w:val="auto"/>
              </w:rPr>
              <w:t>ir</w:t>
            </w:r>
            <w:proofErr w:type="spellEnd"/>
            <w:r w:rsidRPr="003D5EB4">
              <w:rPr>
                <w:i/>
                <w:color w:val="auto"/>
              </w:rPr>
              <w:t xml:space="preserve"> Verslo </w:t>
            </w:r>
            <w:proofErr w:type="spellStart"/>
            <w:r w:rsidRPr="003D5EB4">
              <w:rPr>
                <w:i/>
                <w:color w:val="auto"/>
              </w:rPr>
              <w:t>konsultanto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darbuotojo</w:t>
            </w:r>
            <w:proofErr w:type="spellEnd"/>
            <w:r w:rsidRPr="003D5EB4">
              <w:rPr>
                <w:i/>
                <w:color w:val="auto"/>
              </w:rPr>
              <w:t xml:space="preserve"> (kai verslo </w:t>
            </w:r>
            <w:proofErr w:type="spellStart"/>
            <w:r w:rsidRPr="003D5EB4">
              <w:rPr>
                <w:i/>
                <w:color w:val="auto"/>
              </w:rPr>
              <w:t>konsultantas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yra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juridinis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asmuo</w:t>
            </w:r>
            <w:proofErr w:type="spellEnd"/>
            <w:r w:rsidRPr="003D5EB4">
              <w:rPr>
                <w:i/>
                <w:color w:val="auto"/>
              </w:rPr>
              <w:t xml:space="preserve">) </w:t>
            </w:r>
            <w:proofErr w:type="spellStart"/>
            <w:r w:rsidRPr="003D5EB4">
              <w:rPr>
                <w:i/>
                <w:color w:val="auto"/>
              </w:rPr>
              <w:t>teikiamų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konsultacijų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trukmė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negali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būti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ilgesnė</w:t>
            </w:r>
            <w:proofErr w:type="spellEnd"/>
            <w:r w:rsidRPr="003D5EB4">
              <w:rPr>
                <w:i/>
                <w:color w:val="auto"/>
              </w:rPr>
              <w:t xml:space="preserve"> </w:t>
            </w:r>
            <w:proofErr w:type="spellStart"/>
            <w:r w:rsidRPr="003D5EB4">
              <w:rPr>
                <w:i/>
                <w:color w:val="auto"/>
              </w:rPr>
              <w:t>nei</w:t>
            </w:r>
            <w:proofErr w:type="spellEnd"/>
            <w:r w:rsidRPr="003D5EB4">
              <w:rPr>
                <w:i/>
                <w:color w:val="auto"/>
              </w:rPr>
              <w:t xml:space="preserve"> 8 val. per </w:t>
            </w:r>
            <w:proofErr w:type="spellStart"/>
            <w:r w:rsidRPr="003D5EB4">
              <w:rPr>
                <w:i/>
                <w:color w:val="auto"/>
              </w:rPr>
              <w:t>dieną</w:t>
            </w:r>
            <w:proofErr w:type="spellEnd"/>
            <w:r w:rsidRPr="003D5EB4">
              <w:rPr>
                <w:i/>
                <w:color w:val="auto"/>
              </w:rPr>
              <w:t>.</w:t>
            </w:r>
            <w:r w:rsidRPr="003D5EB4">
              <w:rPr>
                <w:color w:val="auto"/>
              </w:rPr>
              <w:t>”</w:t>
            </w:r>
          </w:p>
        </w:tc>
      </w:tr>
      <w:tr w:rsidR="000F7236" w:rsidRPr="0010310B" w:rsidTr="00423D9D">
        <w:trPr>
          <w:trHeight w:val="269"/>
        </w:trPr>
        <w:tc>
          <w:tcPr>
            <w:tcW w:w="675" w:type="dxa"/>
            <w:vMerge/>
          </w:tcPr>
          <w:p w:rsidR="000F7236" w:rsidRPr="00534D35" w:rsidRDefault="000F7236" w:rsidP="00502BE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0F7236" w:rsidRDefault="000F7236" w:rsidP="00A0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0F7236" w:rsidRDefault="000F7236" w:rsidP="0050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0F7236" w:rsidRPr="000F7236" w:rsidRDefault="000F7236" w:rsidP="000F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36">
              <w:rPr>
                <w:rFonts w:ascii="Times New Roman" w:hAnsi="Times New Roman" w:cs="Times New Roman"/>
                <w:sz w:val="24"/>
                <w:szCs w:val="24"/>
              </w:rPr>
              <w:t>Turime dar vieną pastebėjimą dėl 28 p.: „</w:t>
            </w:r>
            <w:r w:rsidRPr="000F7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 Aprašo 27 punkte nurodyti įsakymai yra skelbiami interneto svetainėje </w:t>
            </w:r>
            <w:hyperlink r:id="rId8" w:history="1">
              <w:proofErr w:type="spellStart"/>
              <w:r w:rsidRPr="000F72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vkt.verslilietuva.lt</w:t>
              </w:r>
              <w:proofErr w:type="spellEnd"/>
            </w:hyperlink>
            <w:r w:rsidRPr="000F7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F7236" w:rsidRPr="007B649B" w:rsidRDefault="000F7236" w:rsidP="000F7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F7236">
              <w:rPr>
                <w:rFonts w:ascii="Times New Roman" w:hAnsi="Times New Roman" w:cs="Times New Roman"/>
                <w:sz w:val="24"/>
                <w:szCs w:val="24"/>
              </w:rPr>
              <w:t>oks viešinimas pažeid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žia Bendrojo duomenų apsaugos reglamento</w:t>
            </w:r>
            <w:r w:rsidRPr="000F7236">
              <w:rPr>
                <w:rFonts w:ascii="Times New Roman" w:hAnsi="Times New Roman" w:cs="Times New Roman"/>
                <w:sz w:val="24"/>
                <w:szCs w:val="24"/>
              </w:rPr>
              <w:t xml:space="preserve"> nuostatas ir laikinai išbrauktųjų sąrašo neviešiname, todėl prašome šį punktą apskritai išbraukti iš Aprašo.</w:t>
            </w:r>
          </w:p>
        </w:tc>
        <w:tc>
          <w:tcPr>
            <w:tcW w:w="1842" w:type="dxa"/>
          </w:tcPr>
          <w:p w:rsidR="000F7236" w:rsidRDefault="000F7236" w:rsidP="00BD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</w:t>
            </w:r>
          </w:p>
        </w:tc>
        <w:tc>
          <w:tcPr>
            <w:tcW w:w="4395" w:type="dxa"/>
          </w:tcPr>
          <w:p w:rsidR="000F7236" w:rsidRDefault="000F7236" w:rsidP="000F7236">
            <w:pPr>
              <w:pStyle w:val="Default"/>
              <w:tabs>
                <w:tab w:val="left" w:pos="321"/>
                <w:tab w:val="left" w:pos="730"/>
              </w:tabs>
              <w:jc w:val="both"/>
            </w:pPr>
            <w:proofErr w:type="spellStart"/>
            <w:r>
              <w:t>Panaikintas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28 p.</w:t>
            </w:r>
          </w:p>
        </w:tc>
      </w:tr>
      <w:tr w:rsidR="00A04F17" w:rsidRPr="0010310B" w:rsidTr="00A04F17">
        <w:trPr>
          <w:trHeight w:val="3977"/>
        </w:trPr>
        <w:tc>
          <w:tcPr>
            <w:tcW w:w="675" w:type="dxa"/>
          </w:tcPr>
          <w:p w:rsidR="00A04F17" w:rsidRPr="00534D35" w:rsidRDefault="00A04F17" w:rsidP="00502BE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A04F17" w:rsidRPr="00A04F17" w:rsidRDefault="00A04F17" w:rsidP="00A0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b/>
                <w:sz w:val="24"/>
                <w:szCs w:val="24"/>
              </w:rPr>
              <w:t>UAB "</w:t>
            </w:r>
            <w:proofErr w:type="spellStart"/>
            <w:r w:rsidRPr="00A04F17">
              <w:rPr>
                <w:rFonts w:ascii="Times New Roman" w:hAnsi="Times New Roman" w:cs="Times New Roman"/>
                <w:b/>
                <w:sz w:val="24"/>
                <w:szCs w:val="24"/>
              </w:rPr>
              <w:t>Investment</w:t>
            </w:r>
            <w:proofErr w:type="spellEnd"/>
            <w:r w:rsidRPr="00A04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Financial </w:t>
            </w:r>
            <w:proofErr w:type="spellStart"/>
            <w:r w:rsidRPr="00A04F17">
              <w:rPr>
                <w:rFonts w:ascii="Times New Roman" w:hAnsi="Times New Roman" w:cs="Times New Roman"/>
                <w:b/>
                <w:sz w:val="24"/>
                <w:szCs w:val="24"/>
              </w:rPr>
              <w:t>Consultations</w:t>
            </w:r>
            <w:proofErr w:type="spellEnd"/>
            <w:r w:rsidRPr="00A04F1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A04F17" w:rsidRPr="00A04F17" w:rsidRDefault="00A04F17" w:rsidP="00A0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A04F17" w:rsidRDefault="00A04F17" w:rsidP="0050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</w:t>
            </w:r>
          </w:p>
        </w:tc>
        <w:tc>
          <w:tcPr>
            <w:tcW w:w="5387" w:type="dxa"/>
          </w:tcPr>
          <w:p w:rsidR="00A04F17" w:rsidRPr="00A04F17" w:rsidRDefault="00A04F17" w:rsidP="00A0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sz w:val="24"/>
                <w:szCs w:val="24"/>
              </w:rPr>
              <w:t>Pastaba būtų dėl </w:t>
            </w:r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17.13. punkto "teikti ne ilgesnės trukmės negu 5 valandų konsultaciją vienam projektui".</w:t>
            </w:r>
          </w:p>
          <w:p w:rsidR="00A04F17" w:rsidRPr="00A04F17" w:rsidRDefault="00A04F17" w:rsidP="00A0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Yra neaišku, kas yra projektas. Kaip apibrėžti projektą, kai teikiamos konsultacijos pvz. mokesčių klausimais ar teisiniais klausimais, ar personalo valdymo klausimais ir pan.</w:t>
            </w:r>
          </w:p>
          <w:p w:rsidR="00A04F17" w:rsidRPr="00A04F17" w:rsidRDefault="00A04F17" w:rsidP="00A0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Kodėl būtent 5 valandos? Kodėl tarkim ne 20 ar 30 val. Nepamirškim, kad kompensaciją gauna jauni ir pradedantys verslininkai, kuriems žinių ir taip trūksta, tad apriboti poreikį gauti tik 5 val. numatomam projektui, kuris gali įtakoti jo viso verslo sėkmę ir plėtrą, yra netikslinga.</w:t>
            </w:r>
          </w:p>
          <w:p w:rsidR="00A04F17" w:rsidRPr="00A04F17" w:rsidRDefault="00A04F17" w:rsidP="00A0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Manytume, </w:t>
            </w:r>
            <w:proofErr w:type="spellStart"/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</w:t>
            </w:r>
            <w:proofErr w:type="spellEnd"/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jaunas verslininkas turėtų ir galėtų pats nuspręsti kokios trukmės ir kokių konsultacijų jam reikia verslo pradžioje.</w:t>
            </w:r>
          </w:p>
          <w:p w:rsidR="00A04F17" w:rsidRPr="00BD2500" w:rsidRDefault="00A04F17" w:rsidP="00A0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Atsižvelgiant į aukščiau išdėstytus argumentus, siūlytume 17.13. punkto "teikti ne ilgesnės trukmės negu 5 valandų konsultaciją vienam projektui" - visai atsisakyti.</w:t>
            </w:r>
          </w:p>
        </w:tc>
        <w:tc>
          <w:tcPr>
            <w:tcW w:w="1842" w:type="dxa"/>
          </w:tcPr>
          <w:p w:rsidR="00A04F17" w:rsidRDefault="00105C47" w:rsidP="00BD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 dalinai.</w:t>
            </w:r>
          </w:p>
        </w:tc>
        <w:tc>
          <w:tcPr>
            <w:tcW w:w="4395" w:type="dxa"/>
          </w:tcPr>
          <w:p w:rsidR="00A04F17" w:rsidRDefault="00A614A2" w:rsidP="00342CCF">
            <w:pPr>
              <w:pStyle w:val="Default"/>
              <w:tabs>
                <w:tab w:val="left" w:pos="321"/>
              </w:tabs>
              <w:jc w:val="both"/>
              <w:rPr>
                <w:lang w:eastAsia="lt-LT"/>
              </w:rPr>
            </w:pPr>
            <w:proofErr w:type="spellStart"/>
            <w:r>
              <w:t>Patikslinta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17.13 </w:t>
            </w:r>
            <w:proofErr w:type="spellStart"/>
            <w:r>
              <w:t>papunkčio</w:t>
            </w:r>
            <w:proofErr w:type="spellEnd"/>
            <w:r>
              <w:t xml:space="preserve"> </w:t>
            </w:r>
            <w:proofErr w:type="spellStart"/>
            <w:r>
              <w:t>formuluotė</w:t>
            </w:r>
            <w:proofErr w:type="spellEnd"/>
            <w:r>
              <w:t xml:space="preserve"> į: </w:t>
            </w:r>
            <w:proofErr w:type="spellStart"/>
            <w:r w:rsidRPr="00B211E3">
              <w:rPr>
                <w:i/>
              </w:rPr>
              <w:t>teikti</w:t>
            </w:r>
            <w:proofErr w:type="spellEnd"/>
            <w:r w:rsidRPr="00B211E3">
              <w:rPr>
                <w:i/>
              </w:rPr>
              <w:t xml:space="preserve"> ne </w:t>
            </w:r>
            <w:proofErr w:type="spellStart"/>
            <w:r w:rsidRPr="00B211E3">
              <w:rPr>
                <w:i/>
              </w:rPr>
              <w:t>ilgesnės</w:t>
            </w:r>
            <w:proofErr w:type="spellEnd"/>
            <w:r w:rsidRPr="00B211E3">
              <w:rPr>
                <w:i/>
              </w:rPr>
              <w:t xml:space="preserve"> </w:t>
            </w:r>
            <w:proofErr w:type="spellStart"/>
            <w:r w:rsidRPr="00B211E3">
              <w:rPr>
                <w:i/>
              </w:rPr>
              <w:t>trukmės</w:t>
            </w:r>
            <w:proofErr w:type="spellEnd"/>
            <w:r w:rsidRPr="00B211E3">
              <w:rPr>
                <w:i/>
              </w:rPr>
              <w:t xml:space="preserve"> </w:t>
            </w:r>
            <w:proofErr w:type="spellStart"/>
            <w:r w:rsidRPr="00B211E3">
              <w:rPr>
                <w:i/>
              </w:rPr>
              <w:t>negu</w:t>
            </w:r>
            <w:proofErr w:type="spellEnd"/>
            <w:r w:rsidRPr="00B211E3">
              <w:rPr>
                <w:i/>
              </w:rPr>
              <w:t xml:space="preserve"> 5 </w:t>
            </w:r>
            <w:proofErr w:type="spellStart"/>
            <w:r w:rsidRPr="00B211E3">
              <w:rPr>
                <w:i/>
                <w:color w:val="auto"/>
              </w:rPr>
              <w:t>valandų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konsultaciją</w:t>
            </w:r>
            <w:proofErr w:type="spellEnd"/>
            <w:r w:rsidRPr="00B211E3">
              <w:rPr>
                <w:i/>
                <w:color w:val="auto"/>
              </w:rPr>
              <w:t xml:space="preserve"> per </w:t>
            </w:r>
            <w:proofErr w:type="spellStart"/>
            <w:r w:rsidRPr="00B211E3">
              <w:rPr>
                <w:i/>
                <w:color w:val="auto"/>
              </w:rPr>
              <w:t>dieną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vienam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konsultacijų</w:t>
            </w:r>
            <w:proofErr w:type="spellEnd"/>
            <w:r w:rsidRPr="00B211E3">
              <w:rPr>
                <w:i/>
                <w:color w:val="auto"/>
              </w:rPr>
              <w:t xml:space="preserve"> </w:t>
            </w:r>
            <w:proofErr w:type="spellStart"/>
            <w:r w:rsidRPr="00B211E3">
              <w:rPr>
                <w:i/>
                <w:color w:val="auto"/>
              </w:rPr>
              <w:t>gavėjui</w:t>
            </w:r>
            <w:proofErr w:type="spellEnd"/>
            <w:r>
              <w:rPr>
                <w:lang w:eastAsia="lt-LT"/>
              </w:rPr>
              <w:t>.</w:t>
            </w:r>
          </w:p>
          <w:p w:rsidR="00A614A2" w:rsidRDefault="00A614A2" w:rsidP="00B07917">
            <w:pPr>
              <w:pStyle w:val="Default"/>
              <w:tabs>
                <w:tab w:val="left" w:pos="321"/>
              </w:tabs>
              <w:jc w:val="both"/>
            </w:pPr>
            <w:proofErr w:type="spellStart"/>
            <w:r>
              <w:rPr>
                <w:lang w:eastAsia="lt-LT"/>
              </w:rPr>
              <w:t>Pažymime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kad</w:t>
            </w:r>
            <w:proofErr w:type="spellEnd"/>
            <w:r>
              <w:rPr>
                <w:lang w:eastAsia="lt-LT"/>
              </w:rPr>
              <w:t xml:space="preserve"> 5 </w:t>
            </w:r>
            <w:proofErr w:type="spellStart"/>
            <w:r>
              <w:rPr>
                <w:lang w:eastAsia="lt-LT"/>
              </w:rPr>
              <w:t>valandų</w:t>
            </w:r>
            <w:proofErr w:type="spellEnd"/>
            <w:r>
              <w:rPr>
                <w:lang w:eastAsia="lt-LT"/>
              </w:rPr>
              <w:t xml:space="preserve"> per </w:t>
            </w:r>
            <w:proofErr w:type="spellStart"/>
            <w:r>
              <w:rPr>
                <w:lang w:eastAsia="lt-LT"/>
              </w:rPr>
              <w:t>dieną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konsultacijų</w:t>
            </w:r>
            <w:proofErr w:type="spellEnd"/>
            <w:r w:rsidR="008E0A1C"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trukmės</w:t>
            </w:r>
            <w:proofErr w:type="spellEnd"/>
            <w:r w:rsidR="008E0A1C"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apribojimas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vienam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konsultacijų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gavėjui</w:t>
            </w:r>
            <w:proofErr w:type="spellEnd"/>
            <w:r w:rsidR="008E0A1C"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nustatytas</w:t>
            </w:r>
            <w:proofErr w:type="spellEnd"/>
            <w:r w:rsidR="008E0A1C">
              <w:rPr>
                <w:lang w:eastAsia="lt-LT"/>
              </w:rPr>
              <w:t xml:space="preserve">, </w:t>
            </w:r>
            <w:proofErr w:type="spellStart"/>
            <w:r w:rsidR="008E0A1C">
              <w:rPr>
                <w:lang w:eastAsia="lt-LT"/>
              </w:rPr>
              <w:t>siekiant</w:t>
            </w:r>
            <w:proofErr w:type="spellEnd"/>
            <w:r w:rsidR="008E0A1C">
              <w:rPr>
                <w:lang w:eastAsia="lt-LT"/>
              </w:rPr>
              <w:t xml:space="preserve"> </w:t>
            </w:r>
            <w:proofErr w:type="spellStart"/>
            <w:r w:rsidR="00B07917">
              <w:rPr>
                <w:lang w:eastAsia="lt-LT"/>
              </w:rPr>
              <w:t>užtikrinti</w:t>
            </w:r>
            <w:proofErr w:type="spellEnd"/>
            <w:r w:rsidR="00B07917">
              <w:rPr>
                <w:lang w:eastAsia="lt-LT"/>
              </w:rPr>
              <w:t xml:space="preserve"> </w:t>
            </w:r>
            <w:proofErr w:type="spellStart"/>
            <w:r w:rsidR="00B07917">
              <w:t>aukštos</w:t>
            </w:r>
            <w:proofErr w:type="spellEnd"/>
            <w:r w:rsidR="00B07917">
              <w:t xml:space="preserve"> </w:t>
            </w:r>
            <w:proofErr w:type="spellStart"/>
            <w:r w:rsidR="00B07917">
              <w:t>kokybės</w:t>
            </w:r>
            <w:proofErr w:type="spellEnd"/>
            <w:r w:rsidR="00B07917">
              <w:t xml:space="preserve"> </w:t>
            </w:r>
            <w:proofErr w:type="spellStart"/>
            <w:r w:rsidR="00B07917">
              <w:t>konsultacijų</w:t>
            </w:r>
            <w:proofErr w:type="spellEnd"/>
            <w:r w:rsidR="00B07917">
              <w:t xml:space="preserve"> verslo </w:t>
            </w:r>
            <w:proofErr w:type="spellStart"/>
            <w:r w:rsidR="00B07917">
              <w:t>pradžios</w:t>
            </w:r>
            <w:proofErr w:type="spellEnd"/>
            <w:r w:rsidR="00B07917">
              <w:t xml:space="preserve"> </w:t>
            </w:r>
            <w:proofErr w:type="spellStart"/>
            <w:r w:rsidR="00B07917">
              <w:t>ir</w:t>
            </w:r>
            <w:proofErr w:type="spellEnd"/>
            <w:r w:rsidR="00B07917">
              <w:t xml:space="preserve"> </w:t>
            </w:r>
            <w:proofErr w:type="spellStart"/>
            <w:r w:rsidR="00B07917">
              <w:t>plėtros</w:t>
            </w:r>
            <w:proofErr w:type="spellEnd"/>
            <w:r w:rsidR="00B07917">
              <w:t xml:space="preserve">, </w:t>
            </w:r>
            <w:proofErr w:type="spellStart"/>
            <w:r w:rsidR="00B07917">
              <w:t>eksporto</w:t>
            </w:r>
            <w:proofErr w:type="spellEnd"/>
            <w:r w:rsidR="00B07917">
              <w:t xml:space="preserve"> </w:t>
            </w:r>
            <w:proofErr w:type="spellStart"/>
            <w:r w:rsidR="00B07917">
              <w:t>ir</w:t>
            </w:r>
            <w:proofErr w:type="spellEnd"/>
            <w:r w:rsidR="00B07917">
              <w:t xml:space="preserve"> </w:t>
            </w:r>
            <w:proofErr w:type="spellStart"/>
            <w:r w:rsidR="00B07917">
              <w:t>ekoinovacijų</w:t>
            </w:r>
            <w:proofErr w:type="spellEnd"/>
            <w:r w:rsidR="00B07917">
              <w:t xml:space="preserve"> </w:t>
            </w:r>
            <w:proofErr w:type="spellStart"/>
            <w:r w:rsidR="00B07917">
              <w:t>klausimais</w:t>
            </w:r>
            <w:proofErr w:type="spellEnd"/>
            <w:r w:rsidR="00B07917">
              <w:t xml:space="preserve"> </w:t>
            </w:r>
            <w:proofErr w:type="spellStart"/>
            <w:r w:rsidR="00B07917">
              <w:rPr>
                <w:lang w:eastAsia="lt-LT"/>
              </w:rPr>
              <w:t>teikimą</w:t>
            </w:r>
            <w:proofErr w:type="spellEnd"/>
            <w:r w:rsidR="00B07917">
              <w:rPr>
                <w:lang w:eastAsia="lt-LT"/>
              </w:rPr>
              <w:t xml:space="preserve"> </w:t>
            </w:r>
            <w:proofErr w:type="spellStart"/>
            <w:r w:rsidR="00B07917">
              <w:rPr>
                <w:lang w:eastAsia="lt-LT"/>
              </w:rPr>
              <w:t>bei</w:t>
            </w:r>
            <w:proofErr w:type="spellEnd"/>
            <w:r w:rsidR="00B07917"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išvengti</w:t>
            </w:r>
            <w:proofErr w:type="spellEnd"/>
            <w:r w:rsidR="008E0A1C">
              <w:rPr>
                <w:lang w:eastAsia="lt-LT"/>
              </w:rPr>
              <w:t xml:space="preserve"> </w:t>
            </w:r>
            <w:proofErr w:type="spellStart"/>
            <w:r w:rsidR="008E0A1C">
              <w:rPr>
                <w:lang w:eastAsia="lt-LT"/>
              </w:rPr>
              <w:t>piktnaudžiavimo</w:t>
            </w:r>
            <w:proofErr w:type="spellEnd"/>
            <w:r w:rsidR="0035298C">
              <w:rPr>
                <w:lang w:eastAsia="lt-LT"/>
              </w:rPr>
              <w:t xml:space="preserve">, </w:t>
            </w:r>
            <w:r w:rsidR="0035298C" w:rsidRPr="000933CE">
              <w:rPr>
                <w:lang w:eastAsia="lt-LT"/>
              </w:rPr>
              <w:t xml:space="preserve">kai </w:t>
            </w:r>
            <w:proofErr w:type="spellStart"/>
            <w:r w:rsidR="0035298C" w:rsidRPr="000933CE">
              <w:rPr>
                <w:lang w:eastAsia="lt-LT"/>
              </w:rPr>
              <w:t>konsultacijos</w:t>
            </w:r>
            <w:proofErr w:type="spellEnd"/>
            <w:r w:rsidR="0035298C" w:rsidRPr="000933CE">
              <w:rPr>
                <w:lang w:eastAsia="lt-LT"/>
              </w:rPr>
              <w:t xml:space="preserve"> </w:t>
            </w:r>
            <w:proofErr w:type="spellStart"/>
            <w:r w:rsidR="0035298C" w:rsidRPr="000933CE">
              <w:rPr>
                <w:lang w:eastAsia="lt-LT"/>
              </w:rPr>
              <w:t>teikiamos</w:t>
            </w:r>
            <w:proofErr w:type="spellEnd"/>
            <w:r w:rsidR="0035298C" w:rsidRPr="000933CE">
              <w:rPr>
                <w:lang w:eastAsia="lt-LT"/>
              </w:rPr>
              <w:t xml:space="preserve"> </w:t>
            </w:r>
            <w:proofErr w:type="spellStart"/>
            <w:r w:rsidR="0035298C" w:rsidRPr="000933CE">
              <w:rPr>
                <w:lang w:eastAsia="lt-LT"/>
              </w:rPr>
              <w:t>nepagrįstai</w:t>
            </w:r>
            <w:proofErr w:type="spellEnd"/>
            <w:r w:rsidR="0035298C" w:rsidRPr="000933CE">
              <w:rPr>
                <w:lang w:eastAsia="lt-LT"/>
              </w:rPr>
              <w:t xml:space="preserve"> </w:t>
            </w:r>
            <w:proofErr w:type="spellStart"/>
            <w:r w:rsidR="0035298C" w:rsidRPr="000933CE">
              <w:rPr>
                <w:lang w:eastAsia="lt-LT"/>
              </w:rPr>
              <w:t>ilgą</w:t>
            </w:r>
            <w:proofErr w:type="spellEnd"/>
            <w:r w:rsidR="0035298C" w:rsidRPr="000933CE">
              <w:rPr>
                <w:lang w:eastAsia="lt-LT"/>
              </w:rPr>
              <w:t xml:space="preserve"> </w:t>
            </w:r>
            <w:proofErr w:type="spellStart"/>
            <w:r w:rsidR="0035298C" w:rsidRPr="000933CE">
              <w:rPr>
                <w:lang w:eastAsia="lt-LT"/>
              </w:rPr>
              <w:t>laiką</w:t>
            </w:r>
            <w:bookmarkStart w:id="0" w:name="_GoBack"/>
            <w:bookmarkEnd w:id="0"/>
            <w:proofErr w:type="spellEnd"/>
            <w:r w:rsidR="004531DF">
              <w:rPr>
                <w:lang w:eastAsia="lt-LT"/>
              </w:rPr>
              <w:t>.</w:t>
            </w:r>
            <w:r w:rsidR="0035298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</w:t>
            </w:r>
          </w:p>
        </w:tc>
      </w:tr>
    </w:tbl>
    <w:p w:rsidR="00DB0F69" w:rsidRPr="00733CD5" w:rsidRDefault="00DB0F69" w:rsidP="00DB0F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0F69" w:rsidRPr="00733CD5" w:rsidSect="00105C47">
      <w:headerReference w:type="default" r:id="rId9"/>
      <w:pgSz w:w="16838" w:h="11906" w:orient="landscape"/>
      <w:pgMar w:top="1134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25" w:rsidRDefault="00A16025" w:rsidP="00525AD9">
      <w:pPr>
        <w:spacing w:after="0" w:line="240" w:lineRule="auto"/>
      </w:pPr>
      <w:r>
        <w:separator/>
      </w:r>
    </w:p>
  </w:endnote>
  <w:endnote w:type="continuationSeparator" w:id="0">
    <w:p w:rsidR="00A16025" w:rsidRDefault="00A16025" w:rsidP="0052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25" w:rsidRDefault="00A16025" w:rsidP="00525AD9">
      <w:pPr>
        <w:spacing w:after="0" w:line="240" w:lineRule="auto"/>
      </w:pPr>
      <w:r>
        <w:separator/>
      </w:r>
    </w:p>
  </w:footnote>
  <w:footnote w:type="continuationSeparator" w:id="0">
    <w:p w:rsidR="00A16025" w:rsidRDefault="00A16025" w:rsidP="0052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1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25AD9" w:rsidRPr="00525AD9" w:rsidRDefault="00525AD9">
        <w:pPr>
          <w:pStyle w:val="Header"/>
          <w:jc w:val="center"/>
          <w:rPr>
            <w:rFonts w:ascii="Times New Roman" w:hAnsi="Times New Roman" w:cs="Times New Roman"/>
          </w:rPr>
        </w:pPr>
        <w:r w:rsidRPr="00525AD9">
          <w:rPr>
            <w:rFonts w:ascii="Times New Roman" w:hAnsi="Times New Roman" w:cs="Times New Roman"/>
          </w:rPr>
          <w:fldChar w:fldCharType="begin"/>
        </w:r>
        <w:r w:rsidRPr="00525AD9">
          <w:rPr>
            <w:rFonts w:ascii="Times New Roman" w:hAnsi="Times New Roman" w:cs="Times New Roman"/>
          </w:rPr>
          <w:instrText xml:space="preserve"> PAGE   \* MERGEFORMAT </w:instrText>
        </w:r>
        <w:r w:rsidRPr="00525AD9">
          <w:rPr>
            <w:rFonts w:ascii="Times New Roman" w:hAnsi="Times New Roman" w:cs="Times New Roman"/>
          </w:rPr>
          <w:fldChar w:fldCharType="separate"/>
        </w:r>
        <w:r w:rsidR="000933CE">
          <w:rPr>
            <w:rFonts w:ascii="Times New Roman" w:hAnsi="Times New Roman" w:cs="Times New Roman"/>
            <w:noProof/>
          </w:rPr>
          <w:t>2</w:t>
        </w:r>
        <w:r w:rsidRPr="00525AD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25AD9" w:rsidRDefault="00525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437"/>
    <w:multiLevelType w:val="hybridMultilevel"/>
    <w:tmpl w:val="6B0E7D4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80D"/>
    <w:multiLevelType w:val="hybridMultilevel"/>
    <w:tmpl w:val="7C9021CE"/>
    <w:lvl w:ilvl="0" w:tplc="F508CEA0">
      <w:start w:val="1"/>
      <w:numFmt w:val="decimal"/>
      <w:lvlText w:val="%1)"/>
      <w:lvlJc w:val="left"/>
      <w:pPr>
        <w:ind w:left="110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B0BCB"/>
    <w:multiLevelType w:val="multilevel"/>
    <w:tmpl w:val="3848A7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9F5226"/>
    <w:multiLevelType w:val="hybridMultilevel"/>
    <w:tmpl w:val="6406934E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F652C"/>
    <w:multiLevelType w:val="hybridMultilevel"/>
    <w:tmpl w:val="3BFCC05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3C44"/>
    <w:multiLevelType w:val="hybridMultilevel"/>
    <w:tmpl w:val="38A439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7098"/>
    <w:multiLevelType w:val="hybridMultilevel"/>
    <w:tmpl w:val="05EEF68A"/>
    <w:lvl w:ilvl="0" w:tplc="41BE8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150E5"/>
    <w:multiLevelType w:val="hybridMultilevel"/>
    <w:tmpl w:val="83167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2356"/>
    <w:multiLevelType w:val="hybridMultilevel"/>
    <w:tmpl w:val="58B0E2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74151"/>
    <w:multiLevelType w:val="hybridMultilevel"/>
    <w:tmpl w:val="64187F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21F"/>
    <w:multiLevelType w:val="hybridMultilevel"/>
    <w:tmpl w:val="30082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91C87"/>
    <w:multiLevelType w:val="hybridMultilevel"/>
    <w:tmpl w:val="6A8006B6"/>
    <w:lvl w:ilvl="0" w:tplc="45A41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6D6BCA"/>
    <w:multiLevelType w:val="hybridMultilevel"/>
    <w:tmpl w:val="30DE11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55B2E"/>
    <w:multiLevelType w:val="hybridMultilevel"/>
    <w:tmpl w:val="342AC0F0"/>
    <w:lvl w:ilvl="0" w:tplc="516868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7D91"/>
    <w:multiLevelType w:val="hybridMultilevel"/>
    <w:tmpl w:val="F5F8B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390F"/>
    <w:multiLevelType w:val="hybridMultilevel"/>
    <w:tmpl w:val="58B0E2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478C5"/>
    <w:multiLevelType w:val="hybridMultilevel"/>
    <w:tmpl w:val="455A0BA8"/>
    <w:lvl w:ilvl="0" w:tplc="0427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ECF"/>
    <w:multiLevelType w:val="hybridMultilevel"/>
    <w:tmpl w:val="D3B09FD4"/>
    <w:lvl w:ilvl="0" w:tplc="C5B444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E664A"/>
    <w:multiLevelType w:val="multilevel"/>
    <w:tmpl w:val="E048EB6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694F64"/>
    <w:multiLevelType w:val="hybridMultilevel"/>
    <w:tmpl w:val="D742849A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A30636"/>
    <w:multiLevelType w:val="hybridMultilevel"/>
    <w:tmpl w:val="B928D1E6"/>
    <w:lvl w:ilvl="0" w:tplc="0E622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22D54"/>
    <w:multiLevelType w:val="multilevel"/>
    <w:tmpl w:val="99E2E8E0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4E3D0D"/>
    <w:multiLevelType w:val="multilevel"/>
    <w:tmpl w:val="C012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1559E"/>
    <w:multiLevelType w:val="hybridMultilevel"/>
    <w:tmpl w:val="ADDA0D4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A7329"/>
    <w:multiLevelType w:val="hybridMultilevel"/>
    <w:tmpl w:val="6F42970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4"/>
  </w:num>
  <w:num w:numId="4">
    <w:abstractNumId w:val="6"/>
  </w:num>
  <w:num w:numId="5">
    <w:abstractNumId w:val="23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20"/>
  </w:num>
  <w:num w:numId="11">
    <w:abstractNumId w:val="24"/>
  </w:num>
  <w:num w:numId="12">
    <w:abstractNumId w:val="1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16"/>
  </w:num>
  <w:num w:numId="19">
    <w:abstractNumId w:val="9"/>
  </w:num>
  <w:num w:numId="20">
    <w:abstractNumId w:val="5"/>
  </w:num>
  <w:num w:numId="21">
    <w:abstractNumId w:val="15"/>
  </w:num>
  <w:num w:numId="22">
    <w:abstractNumId w:val="8"/>
  </w:num>
  <w:num w:numId="23">
    <w:abstractNumId w:val="1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9"/>
    <w:rsid w:val="000028BF"/>
    <w:rsid w:val="00024A0F"/>
    <w:rsid w:val="000306BD"/>
    <w:rsid w:val="00030E62"/>
    <w:rsid w:val="0004192C"/>
    <w:rsid w:val="0004364D"/>
    <w:rsid w:val="0005080C"/>
    <w:rsid w:val="000509BB"/>
    <w:rsid w:val="00074B80"/>
    <w:rsid w:val="0007778A"/>
    <w:rsid w:val="00081D95"/>
    <w:rsid w:val="000933CE"/>
    <w:rsid w:val="00093BBA"/>
    <w:rsid w:val="000A414B"/>
    <w:rsid w:val="000B4A4A"/>
    <w:rsid w:val="000C24EF"/>
    <w:rsid w:val="000C6855"/>
    <w:rsid w:val="000C7662"/>
    <w:rsid w:val="000D7A6B"/>
    <w:rsid w:val="000E15B9"/>
    <w:rsid w:val="000E2A9D"/>
    <w:rsid w:val="000E2AB6"/>
    <w:rsid w:val="000F58B5"/>
    <w:rsid w:val="000F62DE"/>
    <w:rsid w:val="000F7236"/>
    <w:rsid w:val="0010310B"/>
    <w:rsid w:val="00105C47"/>
    <w:rsid w:val="00142987"/>
    <w:rsid w:val="001576BA"/>
    <w:rsid w:val="00195EE8"/>
    <w:rsid w:val="00196936"/>
    <w:rsid w:val="001A44C2"/>
    <w:rsid w:val="001C2F7B"/>
    <w:rsid w:val="001C34F6"/>
    <w:rsid w:val="001D0216"/>
    <w:rsid w:val="001D4AE6"/>
    <w:rsid w:val="001D7806"/>
    <w:rsid w:val="001E1DB4"/>
    <w:rsid w:val="001E5157"/>
    <w:rsid w:val="001F1E2A"/>
    <w:rsid w:val="00212A85"/>
    <w:rsid w:val="0023242A"/>
    <w:rsid w:val="002407A4"/>
    <w:rsid w:val="0024410E"/>
    <w:rsid w:val="00255E1E"/>
    <w:rsid w:val="002671FC"/>
    <w:rsid w:val="0027792F"/>
    <w:rsid w:val="00281145"/>
    <w:rsid w:val="002A0E57"/>
    <w:rsid w:val="002C248B"/>
    <w:rsid w:val="002C6AE6"/>
    <w:rsid w:val="00312A12"/>
    <w:rsid w:val="003147AC"/>
    <w:rsid w:val="003410CB"/>
    <w:rsid w:val="00342687"/>
    <w:rsid w:val="00342CCF"/>
    <w:rsid w:val="0035298C"/>
    <w:rsid w:val="003A20D2"/>
    <w:rsid w:val="003B72FD"/>
    <w:rsid w:val="003C418D"/>
    <w:rsid w:val="003D056F"/>
    <w:rsid w:val="003D5EB4"/>
    <w:rsid w:val="003E242C"/>
    <w:rsid w:val="003E537D"/>
    <w:rsid w:val="003F0551"/>
    <w:rsid w:val="003F28E1"/>
    <w:rsid w:val="00406D1F"/>
    <w:rsid w:val="004158DE"/>
    <w:rsid w:val="00420A5F"/>
    <w:rsid w:val="00423A84"/>
    <w:rsid w:val="00423D9D"/>
    <w:rsid w:val="0042648F"/>
    <w:rsid w:val="004305F2"/>
    <w:rsid w:val="00432490"/>
    <w:rsid w:val="004531DF"/>
    <w:rsid w:val="00457591"/>
    <w:rsid w:val="004710DE"/>
    <w:rsid w:val="00474771"/>
    <w:rsid w:val="00474C62"/>
    <w:rsid w:val="00482B75"/>
    <w:rsid w:val="00487220"/>
    <w:rsid w:val="00487B4A"/>
    <w:rsid w:val="00493F5D"/>
    <w:rsid w:val="004C4763"/>
    <w:rsid w:val="004C6DB3"/>
    <w:rsid w:val="004C773F"/>
    <w:rsid w:val="004D6A89"/>
    <w:rsid w:val="004F794B"/>
    <w:rsid w:val="00501F9D"/>
    <w:rsid w:val="00502BE1"/>
    <w:rsid w:val="00506ABF"/>
    <w:rsid w:val="005204B2"/>
    <w:rsid w:val="00523D01"/>
    <w:rsid w:val="00525AD9"/>
    <w:rsid w:val="00534D35"/>
    <w:rsid w:val="00546E3A"/>
    <w:rsid w:val="00550731"/>
    <w:rsid w:val="005514A1"/>
    <w:rsid w:val="005616EC"/>
    <w:rsid w:val="00566771"/>
    <w:rsid w:val="005731F7"/>
    <w:rsid w:val="005A35DF"/>
    <w:rsid w:val="005B27F4"/>
    <w:rsid w:val="005C77A6"/>
    <w:rsid w:val="005E56FF"/>
    <w:rsid w:val="005E6250"/>
    <w:rsid w:val="005E6D63"/>
    <w:rsid w:val="005F4E17"/>
    <w:rsid w:val="005F5FE4"/>
    <w:rsid w:val="00605E45"/>
    <w:rsid w:val="00617586"/>
    <w:rsid w:val="00623221"/>
    <w:rsid w:val="006525C9"/>
    <w:rsid w:val="006564D1"/>
    <w:rsid w:val="006828A9"/>
    <w:rsid w:val="00686EC8"/>
    <w:rsid w:val="006A1500"/>
    <w:rsid w:val="006A2110"/>
    <w:rsid w:val="006B4F7A"/>
    <w:rsid w:val="006F0F48"/>
    <w:rsid w:val="0070730A"/>
    <w:rsid w:val="00707BD8"/>
    <w:rsid w:val="00716741"/>
    <w:rsid w:val="0072601E"/>
    <w:rsid w:val="0072641F"/>
    <w:rsid w:val="00733CD5"/>
    <w:rsid w:val="007411C2"/>
    <w:rsid w:val="00746014"/>
    <w:rsid w:val="00746C99"/>
    <w:rsid w:val="0075077C"/>
    <w:rsid w:val="00751CFF"/>
    <w:rsid w:val="007559F5"/>
    <w:rsid w:val="007835BB"/>
    <w:rsid w:val="00784C76"/>
    <w:rsid w:val="00786241"/>
    <w:rsid w:val="007959F8"/>
    <w:rsid w:val="007B1C6D"/>
    <w:rsid w:val="007B4A53"/>
    <w:rsid w:val="007B649B"/>
    <w:rsid w:val="007C7492"/>
    <w:rsid w:val="007D2A78"/>
    <w:rsid w:val="007E234D"/>
    <w:rsid w:val="007E5DFE"/>
    <w:rsid w:val="007E60D0"/>
    <w:rsid w:val="0080177C"/>
    <w:rsid w:val="00804C23"/>
    <w:rsid w:val="0083000C"/>
    <w:rsid w:val="00867AB9"/>
    <w:rsid w:val="00875931"/>
    <w:rsid w:val="00884263"/>
    <w:rsid w:val="0088458B"/>
    <w:rsid w:val="00885555"/>
    <w:rsid w:val="00885642"/>
    <w:rsid w:val="008A69E2"/>
    <w:rsid w:val="008B0D62"/>
    <w:rsid w:val="008D6039"/>
    <w:rsid w:val="008E0A1C"/>
    <w:rsid w:val="008E7C03"/>
    <w:rsid w:val="008F128D"/>
    <w:rsid w:val="0090216B"/>
    <w:rsid w:val="00902E86"/>
    <w:rsid w:val="00907033"/>
    <w:rsid w:val="00910A3B"/>
    <w:rsid w:val="00917747"/>
    <w:rsid w:val="00925DAE"/>
    <w:rsid w:val="00943509"/>
    <w:rsid w:val="00950A45"/>
    <w:rsid w:val="00950BC7"/>
    <w:rsid w:val="009661B9"/>
    <w:rsid w:val="00967C94"/>
    <w:rsid w:val="009767CF"/>
    <w:rsid w:val="00980F2F"/>
    <w:rsid w:val="009A4A0F"/>
    <w:rsid w:val="009A658C"/>
    <w:rsid w:val="009A66AE"/>
    <w:rsid w:val="009B695E"/>
    <w:rsid w:val="009C3EB6"/>
    <w:rsid w:val="00A04F17"/>
    <w:rsid w:val="00A05BFA"/>
    <w:rsid w:val="00A073AD"/>
    <w:rsid w:val="00A109D2"/>
    <w:rsid w:val="00A11507"/>
    <w:rsid w:val="00A1199B"/>
    <w:rsid w:val="00A16025"/>
    <w:rsid w:val="00A3583D"/>
    <w:rsid w:val="00A50119"/>
    <w:rsid w:val="00A51501"/>
    <w:rsid w:val="00A53029"/>
    <w:rsid w:val="00A614A2"/>
    <w:rsid w:val="00A63596"/>
    <w:rsid w:val="00A77614"/>
    <w:rsid w:val="00A805F3"/>
    <w:rsid w:val="00A823CB"/>
    <w:rsid w:val="00A90C1C"/>
    <w:rsid w:val="00AA7DAF"/>
    <w:rsid w:val="00AB5372"/>
    <w:rsid w:val="00AE1AA3"/>
    <w:rsid w:val="00AE64F6"/>
    <w:rsid w:val="00B01532"/>
    <w:rsid w:val="00B02965"/>
    <w:rsid w:val="00B07917"/>
    <w:rsid w:val="00B17F16"/>
    <w:rsid w:val="00B211E3"/>
    <w:rsid w:val="00B261F3"/>
    <w:rsid w:val="00B27343"/>
    <w:rsid w:val="00B612A2"/>
    <w:rsid w:val="00B63FAB"/>
    <w:rsid w:val="00B653D5"/>
    <w:rsid w:val="00B831A0"/>
    <w:rsid w:val="00B86AC9"/>
    <w:rsid w:val="00BB47F7"/>
    <w:rsid w:val="00BC4400"/>
    <w:rsid w:val="00BD2500"/>
    <w:rsid w:val="00BF62DD"/>
    <w:rsid w:val="00C053BE"/>
    <w:rsid w:val="00C230A2"/>
    <w:rsid w:val="00C25463"/>
    <w:rsid w:val="00C55566"/>
    <w:rsid w:val="00C66DAC"/>
    <w:rsid w:val="00C81F9B"/>
    <w:rsid w:val="00C82DB2"/>
    <w:rsid w:val="00C96856"/>
    <w:rsid w:val="00CA40B9"/>
    <w:rsid w:val="00CC22F5"/>
    <w:rsid w:val="00CD22FF"/>
    <w:rsid w:val="00CD2E6C"/>
    <w:rsid w:val="00CE76A2"/>
    <w:rsid w:val="00CE778A"/>
    <w:rsid w:val="00CF66F8"/>
    <w:rsid w:val="00D01311"/>
    <w:rsid w:val="00D35551"/>
    <w:rsid w:val="00D44476"/>
    <w:rsid w:val="00D50190"/>
    <w:rsid w:val="00D568FE"/>
    <w:rsid w:val="00D6410D"/>
    <w:rsid w:val="00D800E1"/>
    <w:rsid w:val="00DB0F69"/>
    <w:rsid w:val="00DC2218"/>
    <w:rsid w:val="00DC3E6A"/>
    <w:rsid w:val="00DE4E49"/>
    <w:rsid w:val="00E057C0"/>
    <w:rsid w:val="00E07A69"/>
    <w:rsid w:val="00E31A1C"/>
    <w:rsid w:val="00E441B1"/>
    <w:rsid w:val="00E5686B"/>
    <w:rsid w:val="00E71006"/>
    <w:rsid w:val="00E832CB"/>
    <w:rsid w:val="00E96A1B"/>
    <w:rsid w:val="00EA33B6"/>
    <w:rsid w:val="00EB0A5F"/>
    <w:rsid w:val="00EC08E2"/>
    <w:rsid w:val="00EF738E"/>
    <w:rsid w:val="00F21820"/>
    <w:rsid w:val="00F372B2"/>
    <w:rsid w:val="00F37A78"/>
    <w:rsid w:val="00F60845"/>
    <w:rsid w:val="00F815A9"/>
    <w:rsid w:val="00F93045"/>
    <w:rsid w:val="00F93EEF"/>
    <w:rsid w:val="00F95509"/>
    <w:rsid w:val="00F95D93"/>
    <w:rsid w:val="00FB3EC3"/>
    <w:rsid w:val="00FB7322"/>
    <w:rsid w:val="00FC00E8"/>
    <w:rsid w:val="00FD3F1E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47077-DF38-4715-9E71-CA87BCA4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F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59F5"/>
    <w:pPr>
      <w:spacing w:before="480" w:after="0" w:line="360" w:lineRule="auto"/>
      <w:ind w:left="862"/>
      <w:contextualSpacing/>
      <w:jc w:val="center"/>
      <w:outlineLvl w:val="0"/>
    </w:pPr>
    <w:rPr>
      <w:rFonts w:ascii="Times New Roman" w:hAnsi="Times New Roman"/>
      <w:caps/>
      <w:spacing w:val="5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59F5"/>
    <w:pPr>
      <w:numPr>
        <w:ilvl w:val="1"/>
        <w:numId w:val="2"/>
      </w:numPr>
      <w:spacing w:before="200" w:after="0" w:line="271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559F5"/>
    <w:pPr>
      <w:spacing w:before="200" w:after="0" w:line="271" w:lineRule="auto"/>
      <w:ind w:left="1080" w:hanging="720"/>
      <w:jc w:val="center"/>
      <w:outlineLvl w:val="2"/>
    </w:pPr>
    <w:rPr>
      <w:rFonts w:ascii="Times New Roman" w:hAnsi="Times New Roman"/>
      <w:iCs/>
      <w:spacing w:val="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F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F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F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F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F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F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EIKSLAI">
    <w:name w:val="PAVEIKSLAI"/>
    <w:basedOn w:val="Normal"/>
    <w:link w:val="PAVEIKSLAIChar"/>
    <w:autoRedefine/>
    <w:qFormat/>
    <w:rsid w:val="007559F5"/>
    <w:pPr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PAVEIKSLAIChar">
    <w:name w:val="PAVEIKSLAI Char"/>
    <w:basedOn w:val="DefaultParagraphFont"/>
    <w:link w:val="PAVEIKSLAI"/>
    <w:rsid w:val="007559F5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59F5"/>
    <w:rPr>
      <w:rFonts w:ascii="Times New Roman" w:hAnsi="Times New Roman"/>
      <w:caps/>
      <w:spacing w:val="5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559F5"/>
    <w:rPr>
      <w:rFonts w:ascii="Times New Roman" w:hAnsi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59F5"/>
    <w:rPr>
      <w:rFonts w:ascii="Times New Roman" w:hAnsi="Times New Roman"/>
      <w:iCs/>
      <w:spacing w:val="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F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F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F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F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F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F5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59F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9F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F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F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559F5"/>
    <w:rPr>
      <w:b/>
      <w:bCs/>
    </w:rPr>
  </w:style>
  <w:style w:type="character" w:styleId="Emphasis">
    <w:name w:val="Emphasis"/>
    <w:aliases w:val="LENTELES"/>
    <w:uiPriority w:val="20"/>
    <w:qFormat/>
    <w:rsid w:val="007559F5"/>
    <w:rPr>
      <w:rFonts w:ascii="Times New Roman" w:hAnsi="Times New Roman"/>
      <w:bCs/>
      <w:iCs/>
      <w:spacing w:val="10"/>
      <w:sz w:val="24"/>
    </w:rPr>
  </w:style>
  <w:style w:type="paragraph" w:styleId="NoSpacing">
    <w:name w:val="No Spacing"/>
    <w:basedOn w:val="Normal"/>
    <w:uiPriority w:val="1"/>
    <w:qFormat/>
    <w:rsid w:val="007559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59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59F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59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F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F5"/>
    <w:rPr>
      <w:i/>
      <w:iCs/>
    </w:rPr>
  </w:style>
  <w:style w:type="character" w:styleId="SubtleEmphasis">
    <w:name w:val="Subtle Emphasis"/>
    <w:uiPriority w:val="19"/>
    <w:qFormat/>
    <w:rsid w:val="007559F5"/>
    <w:rPr>
      <w:i/>
      <w:iCs/>
    </w:rPr>
  </w:style>
  <w:style w:type="character" w:styleId="IntenseEmphasis">
    <w:name w:val="Intense Emphasis"/>
    <w:uiPriority w:val="21"/>
    <w:qFormat/>
    <w:rsid w:val="007559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59F5"/>
    <w:rPr>
      <w:smallCaps/>
    </w:rPr>
  </w:style>
  <w:style w:type="character" w:styleId="IntenseReference">
    <w:name w:val="Intense Reference"/>
    <w:uiPriority w:val="32"/>
    <w:qFormat/>
    <w:rsid w:val="007559F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559F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559F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B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9A4A0F"/>
    <w:pPr>
      <w:spacing w:after="100"/>
    </w:pPr>
  </w:style>
  <w:style w:type="character" w:styleId="Hyperlink">
    <w:name w:val="Hyperlink"/>
    <w:uiPriority w:val="99"/>
    <w:unhideWhenUsed/>
    <w:rsid w:val="0007778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12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85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12A85"/>
    <w:rPr>
      <w:rFonts w:ascii="Times New Roman" w:hAnsi="Times New Roman" w:cs="Times New Roman" w:hint="default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8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A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D9"/>
  </w:style>
  <w:style w:type="paragraph" w:styleId="Footer">
    <w:name w:val="footer"/>
    <w:basedOn w:val="Normal"/>
    <w:link w:val="FooterChar"/>
    <w:uiPriority w:val="99"/>
    <w:unhideWhenUsed/>
    <w:rsid w:val="00525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D9"/>
  </w:style>
  <w:style w:type="character" w:customStyle="1" w:styleId="emphasischar">
    <w:name w:val="emphasis__char"/>
    <w:basedOn w:val="DefaultParagraphFont"/>
    <w:rsid w:val="007835BB"/>
  </w:style>
  <w:style w:type="character" w:customStyle="1" w:styleId="list0020paragraphchar">
    <w:name w:val="list_0020paragraph__char"/>
    <w:basedOn w:val="DefaultParagraphFont"/>
    <w:rsid w:val="007835BB"/>
  </w:style>
  <w:style w:type="character" w:styleId="FollowedHyperlink">
    <w:name w:val="FollowedHyperlink"/>
    <w:basedOn w:val="DefaultParagraphFont"/>
    <w:uiPriority w:val="99"/>
    <w:semiHidden/>
    <w:unhideWhenUsed/>
    <w:rsid w:val="00950A45"/>
    <w:rPr>
      <w:color w:val="800080" w:themeColor="followedHyperlink"/>
      <w:u w:val="single"/>
    </w:rPr>
  </w:style>
  <w:style w:type="character" w:customStyle="1" w:styleId="italic">
    <w:name w:val="italic"/>
    <w:basedOn w:val="DefaultParagraphFont"/>
    <w:rsid w:val="00967C94"/>
  </w:style>
  <w:style w:type="paragraph" w:customStyle="1" w:styleId="CM1">
    <w:name w:val="CM1"/>
    <w:basedOn w:val="Normal"/>
    <w:next w:val="Normal"/>
    <w:uiPriority w:val="99"/>
    <w:rsid w:val="001C2F7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1C2F7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customStyle="1" w:styleId="Default">
    <w:name w:val="Default"/>
    <w:rsid w:val="00342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t.verslilietuv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3887-015A-48B2-BC3A-E2DFA6DD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Vezeviciene Inga</dc:creator>
  <cp:lastModifiedBy>Bilotiene Zivile</cp:lastModifiedBy>
  <cp:revision>20</cp:revision>
  <cp:lastPrinted>2015-09-10T11:47:00Z</cp:lastPrinted>
  <dcterms:created xsi:type="dcterms:W3CDTF">2019-04-10T05:33:00Z</dcterms:created>
  <dcterms:modified xsi:type="dcterms:W3CDTF">2019-04-17T13:20:00Z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