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2DED" w14:textId="40C48559" w:rsidR="003F720C" w:rsidRDefault="001E4F50" w:rsidP="001E4F50">
      <w:pPr>
        <w:tabs>
          <w:tab w:val="left" w:pos="709"/>
        </w:tabs>
        <w:jc w:val="center"/>
        <w:rPr>
          <w:b/>
          <w:caps/>
          <w:szCs w:val="24"/>
        </w:rPr>
      </w:pPr>
      <w:r>
        <w:rPr>
          <w:noProof/>
          <w:lang w:eastAsia="lt-LT"/>
        </w:rPr>
        <w:drawing>
          <wp:inline distT="0" distB="0" distL="0" distR="0" wp14:anchorId="32EA46CD" wp14:editId="60AAF346">
            <wp:extent cx="541020" cy="594995"/>
            <wp:effectExtent l="38100" t="19050" r="30480" b="33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3AF097C4" w14:textId="77777777" w:rsidR="003F720C" w:rsidRPr="002D2728" w:rsidRDefault="003F720C" w:rsidP="00473E75">
      <w:pPr>
        <w:tabs>
          <w:tab w:val="left" w:pos="709"/>
        </w:tabs>
        <w:jc w:val="center"/>
        <w:rPr>
          <w:b/>
          <w:caps/>
          <w:szCs w:val="24"/>
        </w:rPr>
      </w:pPr>
      <w:r w:rsidRPr="002D2728">
        <w:rPr>
          <w:b/>
          <w:caps/>
          <w:szCs w:val="24"/>
        </w:rPr>
        <w:t>LIETUVOS RESPUBLIKOS ŪKIO MINISTRAS</w:t>
      </w:r>
    </w:p>
    <w:p w14:paraId="3AFB1CA9" w14:textId="77777777" w:rsidR="003F720C" w:rsidRPr="002D2728" w:rsidRDefault="003F720C" w:rsidP="00473E75">
      <w:pPr>
        <w:jc w:val="center"/>
        <w:rPr>
          <w:b/>
          <w:caps/>
          <w:szCs w:val="24"/>
        </w:rPr>
      </w:pPr>
    </w:p>
    <w:p w14:paraId="4E874CCB" w14:textId="77777777" w:rsidR="003F720C" w:rsidRPr="002D2728" w:rsidRDefault="003F720C" w:rsidP="00BD3A8E">
      <w:pPr>
        <w:pStyle w:val="centrbold"/>
        <w:spacing w:before="0" w:beforeAutospacing="0" w:after="0" w:afterAutospacing="0"/>
        <w:jc w:val="center"/>
        <w:rPr>
          <w:b/>
        </w:rPr>
      </w:pPr>
      <w:r w:rsidRPr="002D2728">
        <w:rPr>
          <w:b/>
        </w:rPr>
        <w:t>ĮSAKYMAS</w:t>
      </w:r>
    </w:p>
    <w:p w14:paraId="3799F9F0" w14:textId="367FBCE4" w:rsidR="003F720C" w:rsidRPr="002D2728" w:rsidRDefault="003F720C">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 xml:space="preserve">sausio 4 </w:t>
      </w:r>
      <w:r>
        <w:rPr>
          <w:b/>
          <w:szCs w:val="24"/>
        </w:rPr>
        <w:t>D. ĮSAKYMO NR. 4-1</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 xml:space="preserve">„mokslinių tyrimų, eksperimentinės plėtros ir inovacijų skatinimas“ priemonės </w:t>
      </w:r>
      <w:r w:rsidR="002C6CA7">
        <w:rPr>
          <w:b/>
          <w:bCs/>
          <w:caps/>
          <w:szCs w:val="24"/>
        </w:rPr>
        <w:t xml:space="preserve">                           </w:t>
      </w:r>
      <w:r w:rsidRPr="003F720C">
        <w:rPr>
          <w:b/>
          <w:bCs/>
          <w:caps/>
          <w:szCs w:val="24"/>
        </w:rPr>
        <w:t>nr. 01.2.1-lvpa-v-842 „INOGEB lt“ projektų finansavimo sąlygų aprašo nr. 1 patvirtinimo</w:t>
      </w:r>
      <w:r>
        <w:rPr>
          <w:rFonts w:eastAsia="Calibri"/>
          <w:b/>
          <w:szCs w:val="24"/>
        </w:rPr>
        <w:t>“</w:t>
      </w:r>
      <w:r>
        <w:rPr>
          <w:b/>
          <w:bCs/>
          <w:caps/>
          <w:szCs w:val="24"/>
        </w:rPr>
        <w:t xml:space="preserve"> </w:t>
      </w:r>
      <w:r w:rsidRPr="002D2728">
        <w:rPr>
          <w:b/>
          <w:caps/>
          <w:szCs w:val="24"/>
        </w:rPr>
        <w:t>PAKEITIMO</w:t>
      </w:r>
    </w:p>
    <w:p w14:paraId="29163F23" w14:textId="77777777" w:rsidR="003F720C" w:rsidRPr="002D2728" w:rsidRDefault="003F720C" w:rsidP="00473E75">
      <w:pPr>
        <w:rPr>
          <w:szCs w:val="24"/>
        </w:rPr>
      </w:pPr>
    </w:p>
    <w:p w14:paraId="5580D81D" w14:textId="53CF3B31" w:rsidR="003F720C" w:rsidRPr="002D2728" w:rsidRDefault="000A1DB4" w:rsidP="00473E75">
      <w:pPr>
        <w:jc w:val="center"/>
        <w:rPr>
          <w:szCs w:val="24"/>
        </w:rPr>
      </w:pPr>
      <w:r>
        <w:rPr>
          <w:szCs w:val="24"/>
        </w:rPr>
        <w:t xml:space="preserve">2018 m. lapkričio </w:t>
      </w:r>
      <w:r w:rsidR="00467D57">
        <w:rPr>
          <w:szCs w:val="24"/>
        </w:rPr>
        <w:t>8</w:t>
      </w:r>
      <w:r>
        <w:rPr>
          <w:szCs w:val="24"/>
        </w:rPr>
        <w:t xml:space="preserve"> </w:t>
      </w:r>
      <w:r w:rsidR="003F720C" w:rsidRPr="002D2728">
        <w:rPr>
          <w:szCs w:val="24"/>
        </w:rPr>
        <w:t xml:space="preserve">d. Nr. </w:t>
      </w:r>
      <w:r w:rsidR="00467D57">
        <w:rPr>
          <w:szCs w:val="24"/>
        </w:rPr>
        <w:t>4-690</w:t>
      </w:r>
      <w:bookmarkStart w:id="0" w:name="_GoBack"/>
      <w:bookmarkEnd w:id="0"/>
    </w:p>
    <w:p w14:paraId="4AEFA56E" w14:textId="77777777" w:rsidR="003F720C" w:rsidRPr="002D2728" w:rsidRDefault="003F720C" w:rsidP="00473E75">
      <w:pPr>
        <w:jc w:val="center"/>
        <w:rPr>
          <w:szCs w:val="24"/>
        </w:rPr>
      </w:pPr>
      <w:r w:rsidRPr="002D2728">
        <w:rPr>
          <w:szCs w:val="24"/>
        </w:rPr>
        <w:t>Vilnius</w:t>
      </w:r>
    </w:p>
    <w:p w14:paraId="66AA3F15" w14:textId="77777777" w:rsidR="003F720C" w:rsidRPr="002D2728" w:rsidRDefault="003F720C" w:rsidP="00473E75">
      <w:pPr>
        <w:jc w:val="center"/>
        <w:rPr>
          <w:szCs w:val="24"/>
        </w:rPr>
      </w:pPr>
    </w:p>
    <w:p w14:paraId="2C42E577" w14:textId="14754DB7" w:rsidR="003F720C" w:rsidRPr="002D2728" w:rsidRDefault="003F720C" w:rsidP="00473E75">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w:t>
      </w:r>
      <w:r w:rsidR="00214661">
        <w:rPr>
          <w:color w:val="auto"/>
          <w:sz w:val="24"/>
          <w:szCs w:val="24"/>
        </w:rPr>
        <w:t>vimo taisyklių patvirtinimo“, 89</w:t>
      </w:r>
      <w:r w:rsidRPr="002D2728">
        <w:rPr>
          <w:color w:val="auto"/>
          <w:sz w:val="24"/>
          <w:szCs w:val="24"/>
        </w:rPr>
        <w:t> punktu,</w:t>
      </w:r>
    </w:p>
    <w:p w14:paraId="16D7C7D0" w14:textId="549A438B" w:rsidR="00CF6808" w:rsidRDefault="003F720C" w:rsidP="00473E75">
      <w:pPr>
        <w:pStyle w:val="BodyText1"/>
        <w:spacing w:line="240" w:lineRule="auto"/>
        <w:ind w:firstLine="720"/>
        <w:rPr>
          <w:color w:val="auto"/>
          <w:sz w:val="24"/>
          <w:szCs w:val="24"/>
        </w:rPr>
      </w:pPr>
      <w:r>
        <w:rPr>
          <w:color w:val="auto"/>
          <w:sz w:val="24"/>
          <w:szCs w:val="24"/>
        </w:rPr>
        <w:t xml:space="preserve">p a k e i č i u </w:t>
      </w:r>
      <w:r w:rsidR="002C6CA7">
        <w:rPr>
          <w:color w:val="auto"/>
          <w:sz w:val="24"/>
          <w:szCs w:val="24"/>
        </w:rPr>
        <w:t xml:space="preserve"> </w:t>
      </w:r>
      <w:r w:rsidRPr="002D2728">
        <w:rPr>
          <w:color w:val="auto"/>
          <w:sz w:val="24"/>
          <w:szCs w:val="24"/>
        </w:rPr>
        <w:t>2014–2020 metų Europos Sąjungos fondų</w:t>
      </w:r>
      <w:r w:rsidR="001A0FD0">
        <w:rPr>
          <w:color w:val="auto"/>
          <w:sz w:val="24"/>
          <w:szCs w:val="24"/>
        </w:rPr>
        <w:t xml:space="preserve"> investicijų veiksmų programos 1</w:t>
      </w:r>
      <w:r w:rsidRPr="002D2728">
        <w:rPr>
          <w:color w:val="auto"/>
          <w:sz w:val="24"/>
          <w:szCs w:val="24"/>
        </w:rPr>
        <w:t> prioriteto „</w:t>
      </w:r>
      <w:r w:rsidR="001A0FD0" w:rsidRPr="001A0FD0">
        <w:rPr>
          <w:color w:val="auto"/>
          <w:sz w:val="24"/>
          <w:szCs w:val="24"/>
        </w:rPr>
        <w:t xml:space="preserve">Mokslinių tyrimų, eksperimentinės plėtros ir inovacijų skatinimas“ priemonės </w:t>
      </w:r>
      <w:r w:rsidR="00FD4322">
        <w:rPr>
          <w:color w:val="auto"/>
          <w:sz w:val="24"/>
          <w:szCs w:val="24"/>
        </w:rPr>
        <w:t xml:space="preserve">                              </w:t>
      </w:r>
      <w:r w:rsidR="001A0FD0" w:rsidRPr="001A0FD0">
        <w:rPr>
          <w:color w:val="auto"/>
          <w:sz w:val="24"/>
          <w:szCs w:val="24"/>
        </w:rPr>
        <w:t>N</w:t>
      </w:r>
      <w:r w:rsidR="007E4586">
        <w:rPr>
          <w:color w:val="auto"/>
          <w:sz w:val="24"/>
          <w:szCs w:val="24"/>
        </w:rPr>
        <w:t>r. 01.2.1-LVPA-V-842 „</w:t>
      </w:r>
      <w:proofErr w:type="spellStart"/>
      <w:r w:rsidR="007E4586">
        <w:rPr>
          <w:color w:val="auto"/>
          <w:sz w:val="24"/>
          <w:szCs w:val="24"/>
        </w:rPr>
        <w:t>Inogeb</w:t>
      </w:r>
      <w:proofErr w:type="spellEnd"/>
      <w:r w:rsidR="007E4586">
        <w:rPr>
          <w:color w:val="auto"/>
          <w:sz w:val="24"/>
          <w:szCs w:val="24"/>
        </w:rPr>
        <w:t xml:space="preserve"> 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aprašą</w:t>
      </w:r>
      <w:r w:rsidRPr="002D2728">
        <w:rPr>
          <w:color w:val="auto"/>
          <w:sz w:val="24"/>
          <w:szCs w:val="24"/>
        </w:rPr>
        <w:t>, patvirtintą Lietuvo</w:t>
      </w:r>
      <w:r w:rsidR="007E4586">
        <w:rPr>
          <w:color w:val="auto"/>
          <w:sz w:val="24"/>
          <w:szCs w:val="24"/>
        </w:rPr>
        <w:t>s Respublikos ūkio ministro 2016 m. sausio 4 d. įsakymu Nr. 4-1</w:t>
      </w:r>
      <w:r w:rsidRPr="002D2728">
        <w:rPr>
          <w:color w:val="auto"/>
          <w:sz w:val="24"/>
          <w:szCs w:val="24"/>
        </w:rPr>
        <w:t xml:space="preserve"> „Dėl 2014–2020 metų Europos Sąjungos fondų</w:t>
      </w:r>
      <w:r w:rsidR="007E4586">
        <w:rPr>
          <w:color w:val="auto"/>
          <w:sz w:val="24"/>
          <w:szCs w:val="24"/>
        </w:rPr>
        <w:t xml:space="preserve"> investicijų veiksmų programos 1</w:t>
      </w:r>
      <w:r w:rsidRPr="002D2728">
        <w:rPr>
          <w:color w:val="auto"/>
          <w:sz w:val="24"/>
          <w:szCs w:val="24"/>
        </w:rPr>
        <w:t> prioriteto „</w:t>
      </w:r>
      <w:r w:rsidR="007E4586" w:rsidRPr="007E4586">
        <w:rPr>
          <w:color w:val="auto"/>
          <w:sz w:val="24"/>
          <w:szCs w:val="24"/>
        </w:rPr>
        <w:t>Mokslinių tyrimų, eksperimentinės plėtros ir inovacijų skatinimas“ priemonės Nr. 01.2.1-LVPA-V-842 „</w:t>
      </w:r>
      <w:proofErr w:type="spellStart"/>
      <w:r w:rsidR="007E4586" w:rsidRPr="007E4586">
        <w:rPr>
          <w:color w:val="auto"/>
          <w:sz w:val="24"/>
          <w:szCs w:val="24"/>
        </w:rPr>
        <w:t>Inogeb</w:t>
      </w:r>
      <w:proofErr w:type="spellEnd"/>
      <w:r w:rsidR="007E4586" w:rsidRPr="007E4586">
        <w:rPr>
          <w:color w:val="auto"/>
          <w:sz w:val="24"/>
          <w:szCs w:val="24"/>
        </w:rPr>
        <w:t xml:space="preserve"> LT</w:t>
      </w:r>
      <w:r w:rsidRPr="007D250B">
        <w:rPr>
          <w:color w:val="auto"/>
          <w:sz w:val="24"/>
          <w:szCs w:val="24"/>
        </w:rPr>
        <w:t>“</w:t>
      </w:r>
      <w:r w:rsidRPr="002D2728">
        <w:rPr>
          <w:color w:val="auto"/>
          <w:sz w:val="24"/>
          <w:szCs w:val="24"/>
        </w:rPr>
        <w:t xml:space="preserve"> projektų finansav</w:t>
      </w:r>
      <w:r>
        <w:rPr>
          <w:color w:val="auto"/>
          <w:sz w:val="24"/>
          <w:szCs w:val="24"/>
        </w:rPr>
        <w:t>imo sąlygų aprašo patvirtinimo“</w:t>
      </w:r>
      <w:r w:rsidR="00CF6808">
        <w:rPr>
          <w:color w:val="auto"/>
          <w:sz w:val="24"/>
          <w:szCs w:val="24"/>
        </w:rPr>
        <w:t>:</w:t>
      </w:r>
    </w:p>
    <w:p w14:paraId="60F5C733" w14:textId="51F12419" w:rsidR="007D3829" w:rsidRDefault="007D3829" w:rsidP="00473E75">
      <w:pPr>
        <w:pStyle w:val="ListParagraph"/>
        <w:numPr>
          <w:ilvl w:val="0"/>
          <w:numId w:val="3"/>
        </w:numPr>
        <w:jc w:val="both"/>
        <w:rPr>
          <w:szCs w:val="24"/>
        </w:rPr>
      </w:pPr>
      <w:r>
        <w:rPr>
          <w:szCs w:val="24"/>
        </w:rPr>
        <w:t>Pakeičiu 31 punktą ir jį išdėstau taip:</w:t>
      </w:r>
    </w:p>
    <w:p w14:paraId="2B02B76A" w14:textId="3E51DE27" w:rsidR="007D3829" w:rsidRPr="007D3829" w:rsidRDefault="007D3829" w:rsidP="007D3829">
      <w:pPr>
        <w:ind w:firstLine="720"/>
        <w:jc w:val="both"/>
        <w:rPr>
          <w:szCs w:val="24"/>
        </w:rPr>
      </w:pPr>
      <w:r>
        <w:rPr>
          <w:szCs w:val="24"/>
        </w:rPr>
        <w:t xml:space="preserve">„31. </w:t>
      </w:r>
      <w:r w:rsidR="007D7BA5" w:rsidRPr="00B51DAA">
        <w:rPr>
          <w:szCs w:val="24"/>
        </w:rPr>
        <w:t>Tam tikrais atvejais dėl objektyvių priežasčių, kurių projekto vykdytojas negalėjo</w:t>
      </w:r>
      <w:r w:rsidR="007D7BA5">
        <w:rPr>
          <w:szCs w:val="24"/>
        </w:rPr>
        <w:t xml:space="preserve"> </w:t>
      </w:r>
      <w:r w:rsidR="007D7BA5" w:rsidRPr="00B51DAA">
        <w:rPr>
          <w:szCs w:val="24"/>
        </w:rPr>
        <w:t xml:space="preserve">numatyti paraiškos pateikimo ir vertinimo metu, projekto veiklų įgyvendinimo laikotarpis gali būti pratęstas </w:t>
      </w:r>
      <w:r w:rsidR="007D7BA5" w:rsidRPr="000023E4">
        <w:rPr>
          <w:szCs w:val="24"/>
        </w:rPr>
        <w:t>Projektų taisykl</w:t>
      </w:r>
      <w:r w:rsidR="007D5171" w:rsidRPr="0047659E">
        <w:rPr>
          <w:szCs w:val="24"/>
        </w:rPr>
        <w:t>ėse</w:t>
      </w:r>
      <w:r w:rsidR="007D7BA5" w:rsidRPr="00B51DAA">
        <w:rPr>
          <w:szCs w:val="24"/>
        </w:rPr>
        <w:t xml:space="preserve"> nustatyta tvarka, nepažeidžiant Projektų taisyklių 213.1 ir 213.5 papunkčiuose nustatytų terminų</w:t>
      </w:r>
      <w:r w:rsidR="007D7BA5">
        <w:rPr>
          <w:color w:val="000000" w:themeColor="text1"/>
          <w:szCs w:val="24"/>
        </w:rPr>
        <w:t>.</w:t>
      </w:r>
      <w:r>
        <w:rPr>
          <w:color w:val="000000" w:themeColor="text1"/>
          <w:szCs w:val="24"/>
        </w:rPr>
        <w:t>“</w:t>
      </w:r>
    </w:p>
    <w:p w14:paraId="613D41EF" w14:textId="5EC5AFCA" w:rsidR="00387FC1" w:rsidRPr="00387FC1" w:rsidRDefault="00387FC1" w:rsidP="00473E75">
      <w:pPr>
        <w:pStyle w:val="ListParagraph"/>
        <w:numPr>
          <w:ilvl w:val="0"/>
          <w:numId w:val="3"/>
        </w:numPr>
        <w:jc w:val="both"/>
        <w:rPr>
          <w:szCs w:val="24"/>
        </w:rPr>
      </w:pPr>
      <w:r w:rsidRPr="00387FC1">
        <w:rPr>
          <w:szCs w:val="24"/>
        </w:rPr>
        <w:t>Pakeičiu 32 punktą ir jį išdėstau taip:</w:t>
      </w:r>
    </w:p>
    <w:p w14:paraId="531AB753" w14:textId="6650EDAF" w:rsidR="00387FC1" w:rsidRDefault="00387FC1" w:rsidP="00473E75">
      <w:pPr>
        <w:pStyle w:val="BodyText1"/>
        <w:spacing w:line="240" w:lineRule="auto"/>
        <w:ind w:firstLine="720"/>
        <w:rPr>
          <w:sz w:val="24"/>
          <w:szCs w:val="24"/>
        </w:rPr>
      </w:pPr>
      <w:r>
        <w:rPr>
          <w:szCs w:val="24"/>
        </w:rPr>
        <w:t>„</w:t>
      </w:r>
      <w:r w:rsidRPr="00473E75">
        <w:rPr>
          <w:sz w:val="24"/>
          <w:szCs w:val="24"/>
        </w:rPr>
        <w:t xml:space="preserve">32. </w:t>
      </w:r>
      <w:r w:rsidRPr="00473E75">
        <w:rPr>
          <w:rFonts w:eastAsia="Calibri"/>
          <w:sz w:val="24"/>
          <w:szCs w:val="24"/>
        </w:rPr>
        <w:t xml:space="preserve">Projekto veiklos turi būti vykdomos Lietuvos Respublikoje arba kitose ES valstybėse narėse, jei jas vykdant sukurti produktai, rezultatai ir nauda (ar jų dalis, proporcinga Lietuvos Respublikos finansiniam įnašui) atitenka Lietuvos Respublikai. Jeigu projekto veiklos vykdomos ne Lietuvos Respublikoje, tokių veiklų išlaidos neturi viršyti 15 proc. projekto tinkamų finansuoti išlaidų sumos. Projekto veiklų vykdymo vieta yra laikoma vieta, kurioje projekto veiklą vykdo projektą vykdantis personalas, kaip jis apibrėžtas </w:t>
      </w:r>
      <w:r w:rsidRPr="00473E75">
        <w:rPr>
          <w:sz w:val="24"/>
          <w:szCs w:val="24"/>
          <w:lang w:eastAsia="lt-LT"/>
        </w:rPr>
        <w:t>Rekomendacijose dėl projektų išlaidų atitikties Europos Sąjungos struktūrinių fondų reikalavimams (toliau – projektą vykdantis personalas) (</w:t>
      </w:r>
      <w:r w:rsidR="001F6E21">
        <w:rPr>
          <w:sz w:val="24"/>
          <w:szCs w:val="24"/>
          <w:lang w:eastAsia="lt-LT"/>
        </w:rPr>
        <w:t xml:space="preserve">Šis Aprašo </w:t>
      </w:r>
      <w:r w:rsidRPr="001478C6">
        <w:rPr>
          <w:sz w:val="24"/>
          <w:szCs w:val="24"/>
          <w:lang w:eastAsia="lt-LT"/>
        </w:rPr>
        <w:t>punktas taikomas visoms projekto veikloms, išskyrus reprezentacijai skirtas projekto veiklas</w:t>
      </w:r>
      <w:r w:rsidRPr="00473E75">
        <w:rPr>
          <w:sz w:val="24"/>
          <w:szCs w:val="24"/>
          <w:lang w:eastAsia="lt-LT"/>
        </w:rPr>
        <w:t>)</w:t>
      </w:r>
      <w:r w:rsidR="007D3829">
        <w:rPr>
          <w:sz w:val="24"/>
          <w:szCs w:val="24"/>
          <w:lang w:eastAsia="lt-LT"/>
        </w:rPr>
        <w:t>.</w:t>
      </w:r>
      <w:r w:rsidR="007D3829">
        <w:rPr>
          <w:sz w:val="24"/>
          <w:szCs w:val="24"/>
        </w:rPr>
        <w:t>“</w:t>
      </w:r>
    </w:p>
    <w:p w14:paraId="64BC3C74" w14:textId="4A0F7589" w:rsidR="00387FC1" w:rsidRPr="00473E75" w:rsidRDefault="00387FC1" w:rsidP="00473E75">
      <w:pPr>
        <w:pStyle w:val="BodyText1"/>
        <w:numPr>
          <w:ilvl w:val="0"/>
          <w:numId w:val="3"/>
        </w:numPr>
        <w:spacing w:line="240" w:lineRule="auto"/>
        <w:rPr>
          <w:color w:val="auto"/>
          <w:sz w:val="24"/>
          <w:szCs w:val="24"/>
        </w:rPr>
      </w:pPr>
      <w:r w:rsidRPr="00473E75">
        <w:rPr>
          <w:sz w:val="24"/>
          <w:szCs w:val="24"/>
        </w:rPr>
        <w:t>Papildau 32</w:t>
      </w:r>
      <w:r w:rsidRPr="00473E75">
        <w:rPr>
          <w:sz w:val="24"/>
          <w:szCs w:val="24"/>
          <w:vertAlign w:val="superscript"/>
        </w:rPr>
        <w:t xml:space="preserve">1 </w:t>
      </w:r>
      <w:r w:rsidRPr="00473E75">
        <w:rPr>
          <w:sz w:val="24"/>
          <w:szCs w:val="24"/>
        </w:rPr>
        <w:t>punktu:</w:t>
      </w:r>
    </w:p>
    <w:p w14:paraId="4311BE76" w14:textId="2ED5AD31" w:rsidR="00525418" w:rsidRPr="00473E75" w:rsidRDefault="00525418" w:rsidP="00473E75">
      <w:pPr>
        <w:pStyle w:val="BodyText1"/>
        <w:spacing w:line="240" w:lineRule="auto"/>
        <w:ind w:firstLine="709"/>
        <w:rPr>
          <w:sz w:val="24"/>
          <w:szCs w:val="24"/>
        </w:rPr>
      </w:pPr>
      <w:r w:rsidRPr="00473E75">
        <w:rPr>
          <w:sz w:val="24"/>
          <w:szCs w:val="24"/>
        </w:rPr>
        <w:t>„32</w:t>
      </w:r>
      <w:r w:rsidR="008942F6" w:rsidRPr="00473E75">
        <w:rPr>
          <w:sz w:val="24"/>
          <w:szCs w:val="24"/>
          <w:vertAlign w:val="superscript"/>
        </w:rPr>
        <w:t>1</w:t>
      </w:r>
      <w:r w:rsidR="00A20032" w:rsidRPr="00473E75">
        <w:rPr>
          <w:sz w:val="24"/>
          <w:szCs w:val="24"/>
        </w:rPr>
        <w:t xml:space="preserve">. </w:t>
      </w:r>
      <w:r w:rsidRPr="00473E75">
        <w:rPr>
          <w:sz w:val="24"/>
          <w:szCs w:val="24"/>
        </w:rPr>
        <w:t>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w:t>
      </w:r>
    </w:p>
    <w:p w14:paraId="493231E2" w14:textId="1355EEA0" w:rsidR="00D434EB" w:rsidRDefault="00D434EB" w:rsidP="00473E75">
      <w:pPr>
        <w:pStyle w:val="BodyText1"/>
        <w:numPr>
          <w:ilvl w:val="0"/>
          <w:numId w:val="3"/>
        </w:numPr>
        <w:spacing w:line="240" w:lineRule="auto"/>
        <w:rPr>
          <w:szCs w:val="24"/>
        </w:rPr>
      </w:pPr>
      <w:r w:rsidRPr="00473E75">
        <w:rPr>
          <w:sz w:val="24"/>
          <w:szCs w:val="24"/>
        </w:rPr>
        <w:t>Pakeičiu</w:t>
      </w:r>
      <w:r>
        <w:rPr>
          <w:sz w:val="24"/>
          <w:szCs w:val="24"/>
        </w:rPr>
        <w:t xml:space="preserve"> 1 priedo 8.1 papunktį ir jį išdėstau taip: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402"/>
        <w:gridCol w:w="709"/>
        <w:gridCol w:w="1701"/>
      </w:tblGrid>
      <w:tr w:rsidR="00D434EB" w14:paraId="0BBEFB7A" w14:textId="77777777" w:rsidTr="00473E75">
        <w:trPr>
          <w:trHeight w:val="20"/>
        </w:trPr>
        <w:tc>
          <w:tcPr>
            <w:tcW w:w="3686" w:type="dxa"/>
            <w:tcBorders>
              <w:top w:val="single" w:sz="4" w:space="0" w:color="000000"/>
              <w:left w:val="single" w:sz="4" w:space="0" w:color="000000"/>
              <w:bottom w:val="single" w:sz="4" w:space="0" w:color="auto"/>
              <w:right w:val="single" w:sz="4" w:space="0" w:color="000000"/>
            </w:tcBorders>
            <w:hideMark/>
          </w:tcPr>
          <w:p w14:paraId="1C3CC934" w14:textId="7EF75B1B" w:rsidR="00D434EB" w:rsidRDefault="00D434EB" w:rsidP="00DB1770">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w:t>
            </w:r>
            <w:r>
              <w:rPr>
                <w:szCs w:val="24"/>
                <w:lang w:eastAsia="lt-LT"/>
              </w:rPr>
              <w:lastRenderedPageBreak/>
              <w:t>finansiniam įnašui) atitenka Lietuvos Respublikai ir projektas atitinka bent vieną iš šių sąlygų:</w:t>
            </w:r>
          </w:p>
          <w:p w14:paraId="62FF8071" w14:textId="635C0B98" w:rsidR="00D434EB" w:rsidRDefault="001F6E21" w:rsidP="00DB1770">
            <w:pPr>
              <w:jc w:val="both"/>
              <w:rPr>
                <w:szCs w:val="24"/>
                <w:lang w:eastAsia="lt-LT"/>
              </w:rPr>
            </w:pPr>
            <w:r>
              <w:rPr>
                <w:szCs w:val="24"/>
                <w:lang w:eastAsia="lt-LT"/>
              </w:rPr>
              <w:t>8.1.1.</w:t>
            </w:r>
            <w:r w:rsidR="00D434EB">
              <w:rPr>
                <w:szCs w:val="24"/>
                <w:lang w:eastAsia="lt-LT"/>
              </w:rPr>
              <w:t xml:space="preserve">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7EEF63DC" w14:textId="6DD42AE9" w:rsidR="00D434EB" w:rsidRDefault="001F6E21" w:rsidP="00DB1770">
            <w:pPr>
              <w:jc w:val="both"/>
              <w:rPr>
                <w:szCs w:val="24"/>
                <w:lang w:eastAsia="lt-LT"/>
              </w:rPr>
            </w:pPr>
            <w:r>
              <w:rPr>
                <w:szCs w:val="24"/>
                <w:lang w:eastAsia="lt-LT"/>
              </w:rPr>
              <w:t>8.1.2.</w:t>
            </w:r>
            <w:r w:rsidR="00D434EB">
              <w:rPr>
                <w:szCs w:val="24"/>
                <w:lang w:eastAsia="lt-LT"/>
              </w:rPr>
              <w:t xml:space="preserve"> iš ESF bendrai finansuojamo projekto veiklos vykdomos: </w:t>
            </w:r>
          </w:p>
          <w:p w14:paraId="40D6F5F1" w14:textId="48411ACA" w:rsidR="00D434EB" w:rsidRDefault="00EC0063" w:rsidP="00DB1770">
            <w:pPr>
              <w:jc w:val="both"/>
              <w:rPr>
                <w:szCs w:val="24"/>
                <w:lang w:eastAsia="lt-LT"/>
              </w:rPr>
            </w:pPr>
            <w:r>
              <w:rPr>
                <w:szCs w:val="24"/>
                <w:lang w:eastAsia="lt-LT"/>
              </w:rPr>
              <w:t xml:space="preserve">8.1.2.1. </w:t>
            </w:r>
            <w:r w:rsidR="00D434EB">
              <w:rPr>
                <w:szCs w:val="24"/>
                <w:lang w:eastAsia="lt-LT"/>
              </w:rPr>
              <w:t>ES teritorijoje;</w:t>
            </w:r>
          </w:p>
          <w:p w14:paraId="11A604AE" w14:textId="6EC36DA2" w:rsidR="00D434EB" w:rsidRDefault="00EC0063" w:rsidP="00DB1770">
            <w:pPr>
              <w:jc w:val="both"/>
              <w:rPr>
                <w:szCs w:val="24"/>
                <w:lang w:eastAsia="lt-LT"/>
              </w:rPr>
            </w:pPr>
            <w:r>
              <w:rPr>
                <w:szCs w:val="24"/>
                <w:lang w:eastAsia="lt-LT"/>
              </w:rPr>
              <w:t xml:space="preserve">8.1.2.2. </w:t>
            </w:r>
            <w:r w:rsidR="00D434EB">
              <w:rPr>
                <w:szCs w:val="24"/>
                <w:lang w:eastAsia="lt-LT"/>
              </w:rPr>
              <w:t>ne ES teritorijoje, bet tokių veiklų išlaidos neviršija procento, nustatyto projektų finansavimo sąlygų apraše</w:t>
            </w:r>
            <w:r>
              <w:rPr>
                <w:szCs w:val="24"/>
                <w:lang w:eastAsia="lt-LT"/>
              </w:rPr>
              <w:t>;</w:t>
            </w:r>
          </w:p>
          <w:p w14:paraId="290E50CB" w14:textId="4BF11DB3" w:rsidR="005C6202" w:rsidRDefault="001F6E21" w:rsidP="001F6E21">
            <w:pPr>
              <w:jc w:val="both"/>
              <w:rPr>
                <w:szCs w:val="24"/>
                <w:lang w:eastAsia="lt-LT"/>
              </w:rPr>
            </w:pPr>
            <w:r>
              <w:rPr>
                <w:szCs w:val="24"/>
                <w:lang w:eastAsia="lt-LT"/>
              </w:rPr>
              <w:t>8.1.3</w:t>
            </w:r>
            <w:r w:rsidR="00D434EB">
              <w:rPr>
                <w:szCs w:val="24"/>
                <w:lang w:eastAsia="lt-LT"/>
              </w:rPr>
              <w:t xml:space="preserve"> vykdomos techninės paramos projektų veiklos. </w:t>
            </w:r>
          </w:p>
        </w:tc>
        <w:tc>
          <w:tcPr>
            <w:tcW w:w="3402" w:type="dxa"/>
            <w:tcBorders>
              <w:top w:val="single" w:sz="4" w:space="0" w:color="000000"/>
              <w:left w:val="single" w:sz="4" w:space="0" w:color="000000"/>
              <w:bottom w:val="single" w:sz="4" w:space="0" w:color="auto"/>
              <w:right w:val="single" w:sz="4" w:space="0" w:color="000000"/>
            </w:tcBorders>
          </w:tcPr>
          <w:p w14:paraId="253E3D76" w14:textId="77777777" w:rsidR="00D434EB" w:rsidRDefault="00D434EB" w:rsidP="00DB1770">
            <w:pPr>
              <w:jc w:val="both"/>
              <w:rPr>
                <w:szCs w:val="24"/>
                <w:lang w:eastAsia="lt-LT"/>
              </w:rPr>
            </w:pPr>
            <w:r>
              <w:rPr>
                <w:rFonts w:eastAsia="Calibri"/>
                <w:szCs w:val="24"/>
              </w:rPr>
              <w:lastRenderedPageBreak/>
              <w:t>Projekto veiklų vykdymo teritorija turi atitikti Aprašo 32 ir 32</w:t>
            </w:r>
            <w:r>
              <w:rPr>
                <w:rFonts w:eastAsia="Calibri"/>
                <w:szCs w:val="24"/>
                <w:vertAlign w:val="superscript"/>
              </w:rPr>
              <w:t>1</w:t>
            </w:r>
            <w:r>
              <w:rPr>
                <w:rFonts w:eastAsia="Calibri"/>
                <w:szCs w:val="24"/>
              </w:rPr>
              <w:t xml:space="preserve"> punktuose nustatytus  reikalavimus.</w:t>
            </w:r>
            <w:r>
              <w:rPr>
                <w:szCs w:val="24"/>
                <w:lang w:eastAsia="lt-LT"/>
              </w:rPr>
              <w:t xml:space="preserve"> </w:t>
            </w:r>
          </w:p>
          <w:p w14:paraId="1600BDF0" w14:textId="4074C2AA" w:rsidR="007D3829" w:rsidRDefault="007D3829" w:rsidP="00DB1770">
            <w:pPr>
              <w:jc w:val="both"/>
              <w:rPr>
                <w:szCs w:val="24"/>
                <w:lang w:eastAsia="lt-LT"/>
              </w:rPr>
            </w:pPr>
          </w:p>
          <w:p w14:paraId="2D4E4CDB" w14:textId="09D0B8FF" w:rsidR="00D434EB" w:rsidRDefault="00D434EB" w:rsidP="00DB1770">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p w14:paraId="2FE7363E" w14:textId="77777777" w:rsidR="00D434EB" w:rsidRDefault="00D434EB" w:rsidP="00DB1770">
            <w:pPr>
              <w:jc w:val="both"/>
              <w:rPr>
                <w:rFonts w:eastAsia="Calibri"/>
                <w:szCs w:val="24"/>
              </w:rPr>
            </w:pPr>
          </w:p>
          <w:p w14:paraId="5418A357" w14:textId="77777777" w:rsidR="00D434EB" w:rsidRDefault="00D434EB" w:rsidP="00DB1770">
            <w:pPr>
              <w:jc w:val="both"/>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03F30FF" w14:textId="77777777" w:rsidR="00D434EB" w:rsidRDefault="00D434EB" w:rsidP="00DB1770">
            <w:pPr>
              <w:jc w:val="both"/>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23479229" w14:textId="77777777" w:rsidR="00D434EB" w:rsidRDefault="00D434EB" w:rsidP="00DB1770">
            <w:pPr>
              <w:jc w:val="both"/>
              <w:rPr>
                <w:szCs w:val="24"/>
                <w:lang w:eastAsia="lt-LT"/>
              </w:rPr>
            </w:pPr>
          </w:p>
        </w:tc>
      </w:tr>
    </w:tbl>
    <w:p w14:paraId="62B019EF" w14:textId="3E555CB0" w:rsidR="00D434EB" w:rsidRDefault="00D434EB" w:rsidP="00473E75">
      <w:pPr>
        <w:pStyle w:val="BodyText1"/>
        <w:spacing w:line="240" w:lineRule="auto"/>
        <w:ind w:firstLine="0"/>
        <w:rPr>
          <w:szCs w:val="24"/>
        </w:rPr>
      </w:pPr>
    </w:p>
    <w:p w14:paraId="6BD1A912" w14:textId="77777777" w:rsidR="00473E75" w:rsidRDefault="00473E75" w:rsidP="00473E75">
      <w:pPr>
        <w:pStyle w:val="BodyText1"/>
        <w:spacing w:line="240" w:lineRule="auto"/>
        <w:ind w:firstLine="0"/>
        <w:rPr>
          <w:szCs w:val="24"/>
        </w:rPr>
      </w:pPr>
    </w:p>
    <w:p w14:paraId="23428176" w14:textId="509EB286" w:rsidR="00E94275" w:rsidRDefault="00E94275" w:rsidP="00473E75">
      <w:pPr>
        <w:pStyle w:val="BodyText1"/>
        <w:spacing w:line="240" w:lineRule="auto"/>
        <w:ind w:firstLine="567"/>
        <w:rPr>
          <w:color w:val="auto"/>
          <w:sz w:val="24"/>
          <w:szCs w:val="24"/>
        </w:rPr>
      </w:pPr>
    </w:p>
    <w:p w14:paraId="73339E36" w14:textId="77777777" w:rsidR="00473E75" w:rsidRDefault="00473E75" w:rsidP="00473E75">
      <w:pPr>
        <w:pStyle w:val="BodyText1"/>
        <w:spacing w:line="240" w:lineRule="auto"/>
        <w:ind w:firstLine="567"/>
        <w:rPr>
          <w:color w:val="auto"/>
          <w:sz w:val="24"/>
          <w:szCs w:val="24"/>
        </w:rPr>
      </w:pPr>
    </w:p>
    <w:p w14:paraId="29FF2469" w14:textId="77777777" w:rsidR="000A2765" w:rsidRDefault="000A2765" w:rsidP="00BD3A8E">
      <w:pPr>
        <w:pStyle w:val="Footer"/>
        <w:ind w:firstLine="0"/>
        <w:rPr>
          <w:rFonts w:ascii="Times New Roman" w:hAnsi="Times New Roman" w:cs="Times New Roman"/>
          <w:sz w:val="24"/>
        </w:rPr>
      </w:pPr>
      <w:r>
        <w:rPr>
          <w:rFonts w:ascii="Times New Roman" w:hAnsi="Times New Roman" w:cs="Times New Roman"/>
          <w:sz w:val="24"/>
        </w:rPr>
        <w:t xml:space="preserve">Energetikos ministras, </w:t>
      </w:r>
    </w:p>
    <w:p w14:paraId="0B928DDA" w14:textId="3AC2840E" w:rsidR="00B9703B" w:rsidRDefault="000A2765" w:rsidP="00D90B72">
      <w:pPr>
        <w:pStyle w:val="Footer"/>
        <w:tabs>
          <w:tab w:val="clear" w:pos="9638"/>
          <w:tab w:val="right" w:pos="9498"/>
        </w:tabs>
        <w:ind w:firstLine="0"/>
        <w:rPr>
          <w:rFonts w:ascii="Times New Roman" w:hAnsi="Times New Roman" w:cs="Times New Roman"/>
          <w:sz w:val="24"/>
        </w:rPr>
      </w:pPr>
      <w:r>
        <w:rPr>
          <w:rFonts w:ascii="Times New Roman" w:hAnsi="Times New Roman" w:cs="Times New Roman"/>
          <w:sz w:val="24"/>
        </w:rPr>
        <w:t>pavaduojantis ūkio ministrą</w:t>
      </w:r>
      <w:r w:rsidR="00B9703B" w:rsidRPr="000A547B">
        <w:rPr>
          <w:rFonts w:ascii="Times New Roman" w:hAnsi="Times New Roman" w:cs="Times New Roman"/>
          <w:sz w:val="24"/>
        </w:rPr>
        <w:t xml:space="preserve"> </w:t>
      </w:r>
      <w:r w:rsidR="00F2098C">
        <w:rPr>
          <w:rFonts w:ascii="Times New Roman" w:hAnsi="Times New Roman" w:cs="Times New Roman"/>
          <w:sz w:val="24"/>
        </w:rPr>
        <w:t xml:space="preserve">              </w:t>
      </w:r>
      <w:r w:rsidR="00D90B72">
        <w:rPr>
          <w:rFonts w:ascii="Times New Roman" w:hAnsi="Times New Roman" w:cs="Times New Roman"/>
          <w:sz w:val="24"/>
        </w:rPr>
        <w:tab/>
      </w:r>
      <w:r w:rsidR="00D90B72">
        <w:rPr>
          <w:rFonts w:ascii="Times New Roman" w:hAnsi="Times New Roman" w:cs="Times New Roman"/>
          <w:sz w:val="24"/>
        </w:rPr>
        <w:tab/>
      </w:r>
      <w:r w:rsidR="00F2098C">
        <w:rPr>
          <w:rFonts w:ascii="Times New Roman" w:hAnsi="Times New Roman" w:cs="Times New Roman"/>
          <w:sz w:val="24"/>
        </w:rPr>
        <w:t xml:space="preserve"> </w:t>
      </w:r>
      <w:r w:rsidR="00D90B72">
        <w:rPr>
          <w:rFonts w:ascii="Times New Roman" w:hAnsi="Times New Roman"/>
          <w:bCs/>
          <w:sz w:val="24"/>
        </w:rPr>
        <w:t>Žygimantas Vaičiūnas</w:t>
      </w:r>
      <w:r w:rsidR="00F2098C">
        <w:rPr>
          <w:rFonts w:ascii="Times New Roman" w:hAnsi="Times New Roman" w:cs="Times New Roman"/>
          <w:sz w:val="24"/>
        </w:rPr>
        <w:t xml:space="preserve">                                                                                    </w:t>
      </w:r>
    </w:p>
    <w:p w14:paraId="1EE823DD" w14:textId="4AB495A6" w:rsidR="00E94275" w:rsidRDefault="00E94275">
      <w:pPr>
        <w:pStyle w:val="Footer"/>
        <w:ind w:firstLine="0"/>
        <w:rPr>
          <w:rFonts w:ascii="Times New Roman" w:hAnsi="Times New Roman" w:cs="Times New Roman"/>
          <w:sz w:val="24"/>
        </w:rPr>
      </w:pPr>
    </w:p>
    <w:p w14:paraId="0CDDDC45" w14:textId="36580A2D" w:rsidR="00E94275" w:rsidRDefault="00E94275">
      <w:pPr>
        <w:pStyle w:val="Footer"/>
        <w:ind w:firstLine="0"/>
        <w:rPr>
          <w:rFonts w:ascii="Times New Roman" w:hAnsi="Times New Roman" w:cs="Times New Roman"/>
          <w:sz w:val="24"/>
        </w:rPr>
      </w:pPr>
    </w:p>
    <w:p w14:paraId="3C0180EB" w14:textId="20BB8812" w:rsidR="00E94275" w:rsidRDefault="00E94275">
      <w:pPr>
        <w:pStyle w:val="Footer"/>
        <w:ind w:firstLine="0"/>
        <w:rPr>
          <w:rFonts w:ascii="Times New Roman" w:hAnsi="Times New Roman" w:cs="Times New Roman"/>
          <w:sz w:val="24"/>
        </w:rPr>
      </w:pPr>
    </w:p>
    <w:p w14:paraId="555FE611" w14:textId="5B09F79C" w:rsidR="00E94275" w:rsidRDefault="00E94275">
      <w:pPr>
        <w:pStyle w:val="Footer"/>
        <w:ind w:firstLine="0"/>
        <w:rPr>
          <w:rFonts w:ascii="Times New Roman" w:hAnsi="Times New Roman" w:cs="Times New Roman"/>
          <w:sz w:val="24"/>
        </w:rPr>
      </w:pPr>
    </w:p>
    <w:p w14:paraId="79B50363" w14:textId="1D5BE6F4" w:rsidR="00E94275" w:rsidRDefault="00E94275">
      <w:pPr>
        <w:pStyle w:val="Footer"/>
        <w:ind w:firstLine="0"/>
        <w:rPr>
          <w:rFonts w:ascii="Times New Roman" w:hAnsi="Times New Roman" w:cs="Times New Roman"/>
          <w:sz w:val="24"/>
        </w:rPr>
      </w:pPr>
    </w:p>
    <w:p w14:paraId="69B7DAE1" w14:textId="1B866DEA" w:rsidR="002A7667" w:rsidRDefault="002A7667">
      <w:pPr>
        <w:pStyle w:val="Footer"/>
        <w:ind w:firstLine="0"/>
        <w:rPr>
          <w:rFonts w:ascii="Times New Roman" w:hAnsi="Times New Roman" w:cs="Times New Roman"/>
          <w:sz w:val="24"/>
        </w:rPr>
      </w:pPr>
    </w:p>
    <w:p w14:paraId="0F33595E" w14:textId="6B05B3DE" w:rsidR="002A7667" w:rsidRDefault="002A7667">
      <w:pPr>
        <w:pStyle w:val="Footer"/>
        <w:ind w:firstLine="0"/>
        <w:rPr>
          <w:rFonts w:ascii="Times New Roman" w:hAnsi="Times New Roman" w:cs="Times New Roman"/>
          <w:sz w:val="24"/>
        </w:rPr>
      </w:pPr>
    </w:p>
    <w:p w14:paraId="54D23FA3" w14:textId="6CA1F5CE" w:rsidR="002A7667" w:rsidRDefault="002A7667">
      <w:pPr>
        <w:pStyle w:val="Footer"/>
        <w:ind w:firstLine="0"/>
        <w:rPr>
          <w:rFonts w:ascii="Times New Roman" w:hAnsi="Times New Roman" w:cs="Times New Roman"/>
          <w:sz w:val="24"/>
        </w:rPr>
      </w:pPr>
    </w:p>
    <w:p w14:paraId="1C5FD088" w14:textId="409D91D3" w:rsidR="002A7667" w:rsidRDefault="002A7667">
      <w:pPr>
        <w:pStyle w:val="Footer"/>
        <w:ind w:firstLine="0"/>
        <w:rPr>
          <w:rFonts w:ascii="Times New Roman" w:hAnsi="Times New Roman" w:cs="Times New Roman"/>
          <w:sz w:val="24"/>
        </w:rPr>
      </w:pPr>
    </w:p>
    <w:p w14:paraId="77F0177A" w14:textId="3146B104" w:rsidR="002A7667" w:rsidRDefault="002A7667">
      <w:pPr>
        <w:pStyle w:val="Footer"/>
        <w:ind w:firstLine="0"/>
        <w:rPr>
          <w:rFonts w:ascii="Times New Roman" w:hAnsi="Times New Roman" w:cs="Times New Roman"/>
          <w:sz w:val="24"/>
        </w:rPr>
      </w:pPr>
    </w:p>
    <w:p w14:paraId="0001B475" w14:textId="2D2822E4" w:rsidR="002A7667" w:rsidRDefault="002A7667">
      <w:pPr>
        <w:pStyle w:val="Footer"/>
        <w:ind w:firstLine="0"/>
        <w:rPr>
          <w:rFonts w:ascii="Times New Roman" w:hAnsi="Times New Roman" w:cs="Times New Roman"/>
          <w:sz w:val="24"/>
        </w:rPr>
      </w:pPr>
    </w:p>
    <w:p w14:paraId="77CF54B3" w14:textId="41EBFE68" w:rsidR="002A7667" w:rsidRDefault="002A7667">
      <w:pPr>
        <w:pStyle w:val="Footer"/>
        <w:ind w:firstLine="0"/>
        <w:rPr>
          <w:rFonts w:ascii="Times New Roman" w:hAnsi="Times New Roman" w:cs="Times New Roman"/>
          <w:sz w:val="24"/>
        </w:rPr>
      </w:pPr>
    </w:p>
    <w:p w14:paraId="158BAF7B" w14:textId="7F674F13" w:rsidR="002A7667" w:rsidRDefault="002A7667">
      <w:pPr>
        <w:pStyle w:val="Footer"/>
        <w:ind w:firstLine="0"/>
        <w:rPr>
          <w:rFonts w:ascii="Times New Roman" w:hAnsi="Times New Roman" w:cs="Times New Roman"/>
          <w:sz w:val="24"/>
        </w:rPr>
      </w:pPr>
    </w:p>
    <w:p w14:paraId="39519240" w14:textId="65332AA5" w:rsidR="002A7667" w:rsidRDefault="002A7667">
      <w:pPr>
        <w:pStyle w:val="Footer"/>
        <w:ind w:firstLine="0"/>
        <w:rPr>
          <w:rFonts w:ascii="Times New Roman" w:hAnsi="Times New Roman" w:cs="Times New Roman"/>
          <w:sz w:val="24"/>
        </w:rPr>
      </w:pPr>
    </w:p>
    <w:p w14:paraId="76F7DA46" w14:textId="21C9346A" w:rsidR="002A7667" w:rsidRDefault="002A7667">
      <w:pPr>
        <w:pStyle w:val="Footer"/>
        <w:ind w:firstLine="0"/>
        <w:rPr>
          <w:rFonts w:ascii="Times New Roman" w:hAnsi="Times New Roman" w:cs="Times New Roman"/>
          <w:sz w:val="24"/>
        </w:rPr>
      </w:pPr>
    </w:p>
    <w:p w14:paraId="7E20354A" w14:textId="5B61D0FF" w:rsidR="002A7667" w:rsidRDefault="002A7667">
      <w:pPr>
        <w:pStyle w:val="Footer"/>
        <w:ind w:firstLine="0"/>
        <w:rPr>
          <w:rFonts w:ascii="Times New Roman" w:hAnsi="Times New Roman" w:cs="Times New Roman"/>
          <w:sz w:val="24"/>
        </w:rPr>
      </w:pPr>
    </w:p>
    <w:p w14:paraId="529B9AA1" w14:textId="03E43E2C" w:rsidR="002A7667" w:rsidRDefault="002A7667">
      <w:pPr>
        <w:pStyle w:val="Footer"/>
        <w:ind w:firstLine="0"/>
        <w:rPr>
          <w:rFonts w:ascii="Times New Roman" w:hAnsi="Times New Roman" w:cs="Times New Roman"/>
          <w:sz w:val="24"/>
        </w:rPr>
      </w:pPr>
    </w:p>
    <w:p w14:paraId="6631C984" w14:textId="77777777" w:rsidR="002A7667" w:rsidRPr="000A547B" w:rsidRDefault="002A7667">
      <w:pPr>
        <w:pStyle w:val="Footer"/>
        <w:ind w:firstLine="0"/>
        <w:rPr>
          <w:rFonts w:ascii="Times New Roman" w:hAnsi="Times New Roman" w:cs="Times New Roman"/>
          <w:sz w:val="24"/>
        </w:rPr>
      </w:pPr>
    </w:p>
    <w:p w14:paraId="14684BEC" w14:textId="5E2F52F7" w:rsidR="00F833F7" w:rsidRDefault="00F833F7">
      <w:pPr>
        <w:pStyle w:val="Footer"/>
        <w:ind w:firstLine="0"/>
        <w:rPr>
          <w:rFonts w:ascii="Times New Roman" w:hAnsi="Times New Roman" w:cs="Times New Roman"/>
          <w:sz w:val="24"/>
        </w:rPr>
      </w:pPr>
    </w:p>
    <w:p w14:paraId="7B8A09A3" w14:textId="35019D8F" w:rsidR="00B9703B" w:rsidRPr="00002147" w:rsidRDefault="00B9703B">
      <w:pPr>
        <w:pStyle w:val="Footer"/>
        <w:ind w:firstLine="0"/>
        <w:rPr>
          <w:rFonts w:ascii="Times New Roman" w:hAnsi="Times New Roman" w:cs="Times New Roman"/>
          <w:sz w:val="22"/>
          <w:szCs w:val="22"/>
        </w:rPr>
      </w:pPr>
      <w:r w:rsidRPr="00002147">
        <w:rPr>
          <w:rFonts w:ascii="Times New Roman" w:hAnsi="Times New Roman" w:cs="Times New Roman"/>
          <w:sz w:val="22"/>
          <w:szCs w:val="22"/>
        </w:rPr>
        <w:t xml:space="preserve">Parengė </w:t>
      </w:r>
    </w:p>
    <w:p w14:paraId="79A0AAC5" w14:textId="51955649" w:rsidR="00B9703B" w:rsidRPr="00002147" w:rsidRDefault="00FA338E">
      <w:pPr>
        <w:pStyle w:val="Footer"/>
        <w:ind w:firstLine="0"/>
        <w:rPr>
          <w:rFonts w:ascii="Times New Roman" w:hAnsi="Times New Roman" w:cs="Times New Roman"/>
          <w:sz w:val="22"/>
          <w:szCs w:val="22"/>
        </w:rPr>
      </w:pPr>
      <w:r w:rsidRPr="00002147">
        <w:rPr>
          <w:rFonts w:ascii="Times New Roman" w:hAnsi="Times New Roman" w:cs="Times New Roman"/>
          <w:sz w:val="22"/>
          <w:szCs w:val="22"/>
        </w:rPr>
        <w:t>Lietuvos Respublikos ū</w:t>
      </w:r>
      <w:r w:rsidR="00B9703B" w:rsidRPr="00002147">
        <w:rPr>
          <w:rFonts w:ascii="Times New Roman" w:hAnsi="Times New Roman" w:cs="Times New Roman"/>
          <w:sz w:val="22"/>
          <w:szCs w:val="22"/>
        </w:rPr>
        <w:t xml:space="preserve">kio ministerijos Europos Sąjungos </w:t>
      </w:r>
    </w:p>
    <w:p w14:paraId="23C451D0" w14:textId="77777777" w:rsidR="00B9703B" w:rsidRPr="00002147" w:rsidRDefault="00B9703B">
      <w:pPr>
        <w:pStyle w:val="Footer"/>
        <w:ind w:firstLine="0"/>
        <w:rPr>
          <w:rFonts w:ascii="Times New Roman" w:hAnsi="Times New Roman" w:cs="Times New Roman"/>
          <w:sz w:val="22"/>
          <w:szCs w:val="22"/>
        </w:rPr>
      </w:pPr>
      <w:r w:rsidRPr="00002147">
        <w:rPr>
          <w:rFonts w:ascii="Times New Roman" w:hAnsi="Times New Roman" w:cs="Times New Roman"/>
          <w:sz w:val="22"/>
          <w:szCs w:val="22"/>
        </w:rPr>
        <w:t>paramos koordinavimo departamento</w:t>
      </w:r>
    </w:p>
    <w:p w14:paraId="3D8350FC" w14:textId="4F0EE9AB" w:rsidR="00B9703B" w:rsidRPr="00002147" w:rsidRDefault="00AF2565">
      <w:pPr>
        <w:pStyle w:val="Footer"/>
        <w:ind w:firstLine="0"/>
        <w:rPr>
          <w:rFonts w:ascii="Times New Roman" w:hAnsi="Times New Roman" w:cs="Times New Roman"/>
          <w:sz w:val="22"/>
          <w:szCs w:val="22"/>
        </w:rPr>
      </w:pPr>
      <w:r w:rsidRPr="00002147">
        <w:rPr>
          <w:rFonts w:ascii="Times New Roman" w:hAnsi="Times New Roman" w:cs="Times New Roman"/>
          <w:sz w:val="22"/>
          <w:szCs w:val="22"/>
        </w:rPr>
        <w:t>Struktūrinės paramos valdymo</w:t>
      </w:r>
      <w:r w:rsidR="00B9703B" w:rsidRPr="00002147">
        <w:rPr>
          <w:rFonts w:ascii="Times New Roman" w:hAnsi="Times New Roman" w:cs="Times New Roman"/>
          <w:sz w:val="22"/>
          <w:szCs w:val="22"/>
        </w:rPr>
        <w:t xml:space="preserve"> skyriaus </w:t>
      </w:r>
    </w:p>
    <w:p w14:paraId="71C6A4C4" w14:textId="1359641E" w:rsidR="00B9703B" w:rsidRPr="00002147" w:rsidRDefault="00B9703B">
      <w:pPr>
        <w:pStyle w:val="Footer"/>
        <w:ind w:firstLine="0"/>
        <w:rPr>
          <w:rFonts w:ascii="Times New Roman" w:hAnsi="Times New Roman" w:cs="Times New Roman"/>
          <w:sz w:val="22"/>
          <w:szCs w:val="22"/>
        </w:rPr>
      </w:pPr>
      <w:r w:rsidRPr="00002147">
        <w:rPr>
          <w:rFonts w:ascii="Times New Roman" w:hAnsi="Times New Roman" w:cs="Times New Roman"/>
          <w:sz w:val="22"/>
          <w:szCs w:val="22"/>
        </w:rPr>
        <w:t>vyriausioji specialistė</w:t>
      </w:r>
    </w:p>
    <w:p w14:paraId="67629356" w14:textId="77777777" w:rsidR="00FA338E" w:rsidRPr="00002147" w:rsidRDefault="00FA338E">
      <w:pPr>
        <w:pStyle w:val="Footer"/>
        <w:ind w:firstLine="0"/>
        <w:rPr>
          <w:rFonts w:ascii="Times New Roman" w:hAnsi="Times New Roman" w:cs="Times New Roman"/>
          <w:sz w:val="22"/>
          <w:szCs w:val="22"/>
        </w:rPr>
      </w:pPr>
    </w:p>
    <w:p w14:paraId="57D7CF29" w14:textId="1838F779" w:rsidR="001973B9" w:rsidRPr="00D90B72" w:rsidRDefault="00E94275" w:rsidP="00D90B72">
      <w:pPr>
        <w:pStyle w:val="Footer"/>
        <w:ind w:firstLine="0"/>
        <w:rPr>
          <w:rFonts w:ascii="Times New Roman" w:hAnsi="Times New Roman" w:cs="Times New Roman"/>
          <w:snapToGrid w:val="0"/>
          <w:sz w:val="22"/>
          <w:szCs w:val="22"/>
        </w:rPr>
      </w:pPr>
      <w:r w:rsidRPr="00002147">
        <w:rPr>
          <w:rFonts w:ascii="Times New Roman" w:hAnsi="Times New Roman" w:cs="Times New Roman"/>
          <w:sz w:val="22"/>
          <w:szCs w:val="22"/>
        </w:rPr>
        <w:t xml:space="preserve">Edita </w:t>
      </w:r>
      <w:proofErr w:type="spellStart"/>
      <w:r w:rsidRPr="00002147">
        <w:rPr>
          <w:rFonts w:ascii="Times New Roman" w:hAnsi="Times New Roman" w:cs="Times New Roman"/>
          <w:sz w:val="22"/>
          <w:szCs w:val="22"/>
        </w:rPr>
        <w:t>Rudakaitė-Šaukštel</w:t>
      </w:r>
      <w:proofErr w:type="spellEnd"/>
    </w:p>
    <w:sectPr w:rsidR="001973B9" w:rsidRPr="00D90B72" w:rsidSect="00473E7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96460" w14:textId="77777777" w:rsidR="00F863BF" w:rsidRDefault="00F863BF" w:rsidP="00E53AAC">
      <w:r>
        <w:separator/>
      </w:r>
    </w:p>
  </w:endnote>
  <w:endnote w:type="continuationSeparator" w:id="0">
    <w:p w14:paraId="7E8546B4" w14:textId="77777777" w:rsidR="00F863BF" w:rsidRDefault="00F863BF" w:rsidP="00E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40FD0" w14:textId="77777777" w:rsidR="00F863BF" w:rsidRDefault="00F863BF" w:rsidP="00E53AAC">
      <w:r>
        <w:separator/>
      </w:r>
    </w:p>
  </w:footnote>
  <w:footnote w:type="continuationSeparator" w:id="0">
    <w:p w14:paraId="16760BF5" w14:textId="77777777" w:rsidR="00F863BF" w:rsidRDefault="00F863BF" w:rsidP="00E5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82545"/>
      <w:docPartObj>
        <w:docPartGallery w:val="Page Numbers (Top of Page)"/>
        <w:docPartUnique/>
      </w:docPartObj>
    </w:sdtPr>
    <w:sdtEndPr/>
    <w:sdtContent>
      <w:p w14:paraId="6CD9DED1" w14:textId="34C3EB3F" w:rsidR="00E53AAC" w:rsidRDefault="00E53AAC">
        <w:pPr>
          <w:pStyle w:val="Header"/>
          <w:jc w:val="center"/>
        </w:pPr>
        <w:r>
          <w:fldChar w:fldCharType="begin"/>
        </w:r>
        <w:r>
          <w:instrText>PAGE   \* MERGEFORMAT</w:instrText>
        </w:r>
        <w:r>
          <w:fldChar w:fldCharType="separate"/>
        </w:r>
        <w:r w:rsidR="00467D57">
          <w:rPr>
            <w:noProof/>
          </w:rPr>
          <w:t>2</w:t>
        </w:r>
        <w:r>
          <w:fldChar w:fldCharType="end"/>
        </w:r>
      </w:p>
    </w:sdtContent>
  </w:sdt>
  <w:p w14:paraId="6D72BBE1" w14:textId="77777777" w:rsidR="00E53AAC" w:rsidRDefault="00E53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328D"/>
    <w:multiLevelType w:val="multilevel"/>
    <w:tmpl w:val="45C05DD6"/>
    <w:lvl w:ilvl="0">
      <w:start w:val="1"/>
      <w:numFmt w:val="decimal"/>
      <w:lvlText w:val="%1."/>
      <w:lvlJc w:val="left"/>
      <w:pPr>
        <w:ind w:left="786" w:hanging="360"/>
      </w:pPr>
      <w:rPr>
        <w:rFonts w:hint="default"/>
      </w:rPr>
    </w:lvl>
    <w:lvl w:ilvl="1">
      <w:start w:val="2"/>
      <w:numFmt w:val="decimal"/>
      <w:isLgl/>
      <w:lvlText w:val="%1.%2."/>
      <w:lvlJc w:val="left"/>
      <w:pPr>
        <w:ind w:left="787"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1" w15:restartNumberingAfterBreak="0">
    <w:nsid w:val="5B644B2A"/>
    <w:multiLevelType w:val="hybridMultilevel"/>
    <w:tmpl w:val="0EFADCAE"/>
    <w:lvl w:ilvl="0" w:tplc="BB6CBD0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2147"/>
    <w:rsid w:val="000023E4"/>
    <w:rsid w:val="000146BC"/>
    <w:rsid w:val="00033F0D"/>
    <w:rsid w:val="0005054E"/>
    <w:rsid w:val="00063250"/>
    <w:rsid w:val="00063749"/>
    <w:rsid w:val="00066B14"/>
    <w:rsid w:val="00087FAE"/>
    <w:rsid w:val="000A1DB4"/>
    <w:rsid w:val="000A2765"/>
    <w:rsid w:val="000A3C28"/>
    <w:rsid w:val="000A55E1"/>
    <w:rsid w:val="000B7335"/>
    <w:rsid w:val="000C240E"/>
    <w:rsid w:val="000D62BF"/>
    <w:rsid w:val="000E2851"/>
    <w:rsid w:val="000E2912"/>
    <w:rsid w:val="000E39E4"/>
    <w:rsid w:val="000E6CCD"/>
    <w:rsid w:val="000F1E86"/>
    <w:rsid w:val="001007C0"/>
    <w:rsid w:val="0010548E"/>
    <w:rsid w:val="00132579"/>
    <w:rsid w:val="00144050"/>
    <w:rsid w:val="001478C6"/>
    <w:rsid w:val="001509E1"/>
    <w:rsid w:val="001973B9"/>
    <w:rsid w:val="00197C49"/>
    <w:rsid w:val="001A0FD0"/>
    <w:rsid w:val="001A62B5"/>
    <w:rsid w:val="001B24B7"/>
    <w:rsid w:val="001B34E1"/>
    <w:rsid w:val="001C3596"/>
    <w:rsid w:val="001C4727"/>
    <w:rsid w:val="001D0504"/>
    <w:rsid w:val="001D3CF8"/>
    <w:rsid w:val="001D4DF4"/>
    <w:rsid w:val="001E0517"/>
    <w:rsid w:val="001E4F50"/>
    <w:rsid w:val="001E770C"/>
    <w:rsid w:val="001F0C28"/>
    <w:rsid w:val="001F6E21"/>
    <w:rsid w:val="00214661"/>
    <w:rsid w:val="00246A46"/>
    <w:rsid w:val="00252300"/>
    <w:rsid w:val="00274271"/>
    <w:rsid w:val="002933E0"/>
    <w:rsid w:val="00294573"/>
    <w:rsid w:val="00296768"/>
    <w:rsid w:val="002A5170"/>
    <w:rsid w:val="002A7667"/>
    <w:rsid w:val="002B5076"/>
    <w:rsid w:val="002C25EA"/>
    <w:rsid w:val="002C283D"/>
    <w:rsid w:val="002C6CA7"/>
    <w:rsid w:val="002D2D79"/>
    <w:rsid w:val="002F1313"/>
    <w:rsid w:val="002F1646"/>
    <w:rsid w:val="00300924"/>
    <w:rsid w:val="00302FE2"/>
    <w:rsid w:val="00326C23"/>
    <w:rsid w:val="003324B1"/>
    <w:rsid w:val="00340669"/>
    <w:rsid w:val="00341803"/>
    <w:rsid w:val="00387FC1"/>
    <w:rsid w:val="003B643D"/>
    <w:rsid w:val="003C2943"/>
    <w:rsid w:val="003C302E"/>
    <w:rsid w:val="003D3E42"/>
    <w:rsid w:val="003D501A"/>
    <w:rsid w:val="003E2E57"/>
    <w:rsid w:val="003F6A7C"/>
    <w:rsid w:val="003F720C"/>
    <w:rsid w:val="00401D94"/>
    <w:rsid w:val="00414615"/>
    <w:rsid w:val="00423B5F"/>
    <w:rsid w:val="0043326F"/>
    <w:rsid w:val="00467D57"/>
    <w:rsid w:val="00473271"/>
    <w:rsid w:val="00473E75"/>
    <w:rsid w:val="0047659E"/>
    <w:rsid w:val="00481DB1"/>
    <w:rsid w:val="00486925"/>
    <w:rsid w:val="004A30B5"/>
    <w:rsid w:val="004B1A48"/>
    <w:rsid w:val="004D1750"/>
    <w:rsid w:val="004E671D"/>
    <w:rsid w:val="004F0D1F"/>
    <w:rsid w:val="00525418"/>
    <w:rsid w:val="00536ED7"/>
    <w:rsid w:val="00575687"/>
    <w:rsid w:val="0059164D"/>
    <w:rsid w:val="005C5A3E"/>
    <w:rsid w:val="005C6202"/>
    <w:rsid w:val="005D0258"/>
    <w:rsid w:val="005D1359"/>
    <w:rsid w:val="005D7FF5"/>
    <w:rsid w:val="005E402F"/>
    <w:rsid w:val="005F167D"/>
    <w:rsid w:val="00646ACA"/>
    <w:rsid w:val="0065749C"/>
    <w:rsid w:val="006667A5"/>
    <w:rsid w:val="00681791"/>
    <w:rsid w:val="00684427"/>
    <w:rsid w:val="00697146"/>
    <w:rsid w:val="006A5408"/>
    <w:rsid w:val="006C675D"/>
    <w:rsid w:val="006E52E4"/>
    <w:rsid w:val="006F3B2F"/>
    <w:rsid w:val="00750B75"/>
    <w:rsid w:val="007733E1"/>
    <w:rsid w:val="007762C6"/>
    <w:rsid w:val="00784109"/>
    <w:rsid w:val="00797DB2"/>
    <w:rsid w:val="007A03E8"/>
    <w:rsid w:val="007B534D"/>
    <w:rsid w:val="007C617B"/>
    <w:rsid w:val="007D3829"/>
    <w:rsid w:val="007D42F5"/>
    <w:rsid w:val="007D4F50"/>
    <w:rsid w:val="007D5171"/>
    <w:rsid w:val="007D76FE"/>
    <w:rsid w:val="007D7BA5"/>
    <w:rsid w:val="007E4586"/>
    <w:rsid w:val="00803A48"/>
    <w:rsid w:val="0080677C"/>
    <w:rsid w:val="008403A3"/>
    <w:rsid w:val="00840D4B"/>
    <w:rsid w:val="00850CC5"/>
    <w:rsid w:val="00874A2B"/>
    <w:rsid w:val="00875B92"/>
    <w:rsid w:val="0088126D"/>
    <w:rsid w:val="008942F6"/>
    <w:rsid w:val="00895C9E"/>
    <w:rsid w:val="008A4374"/>
    <w:rsid w:val="008B381E"/>
    <w:rsid w:val="008D42B0"/>
    <w:rsid w:val="008F77A1"/>
    <w:rsid w:val="00913B37"/>
    <w:rsid w:val="00917D05"/>
    <w:rsid w:val="00927567"/>
    <w:rsid w:val="00937A1D"/>
    <w:rsid w:val="00941A0F"/>
    <w:rsid w:val="00944AE2"/>
    <w:rsid w:val="00952A4E"/>
    <w:rsid w:val="00982A68"/>
    <w:rsid w:val="009964B2"/>
    <w:rsid w:val="009B3D16"/>
    <w:rsid w:val="00A10491"/>
    <w:rsid w:val="00A20032"/>
    <w:rsid w:val="00A53E0E"/>
    <w:rsid w:val="00A6743E"/>
    <w:rsid w:val="00A84E83"/>
    <w:rsid w:val="00A864C1"/>
    <w:rsid w:val="00A86C0D"/>
    <w:rsid w:val="00A92DF8"/>
    <w:rsid w:val="00AA21D9"/>
    <w:rsid w:val="00AD79C0"/>
    <w:rsid w:val="00AE3F59"/>
    <w:rsid w:val="00AF2565"/>
    <w:rsid w:val="00AF669A"/>
    <w:rsid w:val="00B27D8F"/>
    <w:rsid w:val="00B538D3"/>
    <w:rsid w:val="00B9094C"/>
    <w:rsid w:val="00B9703B"/>
    <w:rsid w:val="00BB3C48"/>
    <w:rsid w:val="00BC27BF"/>
    <w:rsid w:val="00BC7096"/>
    <w:rsid w:val="00BC760F"/>
    <w:rsid w:val="00BD3A8E"/>
    <w:rsid w:val="00BE31C1"/>
    <w:rsid w:val="00BE4524"/>
    <w:rsid w:val="00BF7DA8"/>
    <w:rsid w:val="00C03222"/>
    <w:rsid w:val="00C07245"/>
    <w:rsid w:val="00C35CAB"/>
    <w:rsid w:val="00C648EF"/>
    <w:rsid w:val="00C77B3B"/>
    <w:rsid w:val="00C808A7"/>
    <w:rsid w:val="00C81393"/>
    <w:rsid w:val="00C975B7"/>
    <w:rsid w:val="00CA200D"/>
    <w:rsid w:val="00CA5775"/>
    <w:rsid w:val="00CB4B74"/>
    <w:rsid w:val="00CD2552"/>
    <w:rsid w:val="00CD4C6F"/>
    <w:rsid w:val="00CD6D6C"/>
    <w:rsid w:val="00CE3DCA"/>
    <w:rsid w:val="00CF6808"/>
    <w:rsid w:val="00D22B9E"/>
    <w:rsid w:val="00D42C6C"/>
    <w:rsid w:val="00D434EB"/>
    <w:rsid w:val="00D56C5E"/>
    <w:rsid w:val="00D653FE"/>
    <w:rsid w:val="00D713CF"/>
    <w:rsid w:val="00D873A0"/>
    <w:rsid w:val="00D903C6"/>
    <w:rsid w:val="00D90B72"/>
    <w:rsid w:val="00D97760"/>
    <w:rsid w:val="00DA753F"/>
    <w:rsid w:val="00DB4D5B"/>
    <w:rsid w:val="00DC472D"/>
    <w:rsid w:val="00DC6E81"/>
    <w:rsid w:val="00DF20A7"/>
    <w:rsid w:val="00E2217F"/>
    <w:rsid w:val="00E26762"/>
    <w:rsid w:val="00E27BF0"/>
    <w:rsid w:val="00E524F2"/>
    <w:rsid w:val="00E53AAC"/>
    <w:rsid w:val="00E53FE4"/>
    <w:rsid w:val="00E74E23"/>
    <w:rsid w:val="00E94275"/>
    <w:rsid w:val="00EA4948"/>
    <w:rsid w:val="00EA5246"/>
    <w:rsid w:val="00EB5194"/>
    <w:rsid w:val="00EC0063"/>
    <w:rsid w:val="00ED1856"/>
    <w:rsid w:val="00EE3ED7"/>
    <w:rsid w:val="00F019D0"/>
    <w:rsid w:val="00F03A29"/>
    <w:rsid w:val="00F2098C"/>
    <w:rsid w:val="00F34B9F"/>
    <w:rsid w:val="00F433C2"/>
    <w:rsid w:val="00F44F14"/>
    <w:rsid w:val="00F46455"/>
    <w:rsid w:val="00F52485"/>
    <w:rsid w:val="00F54A66"/>
    <w:rsid w:val="00F57DC9"/>
    <w:rsid w:val="00F66DD1"/>
    <w:rsid w:val="00F82627"/>
    <w:rsid w:val="00F82F4E"/>
    <w:rsid w:val="00F833F7"/>
    <w:rsid w:val="00F863BF"/>
    <w:rsid w:val="00FA338E"/>
    <w:rsid w:val="00FC1B2E"/>
    <w:rsid w:val="00FC3A82"/>
    <w:rsid w:val="00FD0033"/>
    <w:rsid w:val="00FD4322"/>
    <w:rsid w:val="00FF7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EFCEA"/>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DA7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53F"/>
    <w:rPr>
      <w:rFonts w:ascii="Segoe UI" w:eastAsia="Times New Roman" w:hAnsi="Segoe UI" w:cs="Segoe UI"/>
      <w:sz w:val="18"/>
      <w:szCs w:val="18"/>
    </w:rPr>
  </w:style>
  <w:style w:type="character" w:styleId="CommentReference">
    <w:name w:val="annotation reference"/>
    <w:basedOn w:val="DefaultParagraphFont"/>
    <w:semiHidden/>
    <w:unhideWhenUsed/>
    <w:rsid w:val="00A84E83"/>
    <w:rPr>
      <w:sz w:val="16"/>
      <w:szCs w:val="16"/>
    </w:rPr>
  </w:style>
  <w:style w:type="paragraph" w:styleId="CommentText">
    <w:name w:val="annotation text"/>
    <w:aliases w:val=" Char"/>
    <w:basedOn w:val="Normal"/>
    <w:link w:val="CommentTextChar"/>
    <w:unhideWhenUsed/>
    <w:rsid w:val="00A84E83"/>
    <w:rPr>
      <w:sz w:val="20"/>
    </w:rPr>
  </w:style>
  <w:style w:type="character" w:customStyle="1" w:styleId="CommentTextChar">
    <w:name w:val="Comment Text Char"/>
    <w:aliases w:val=" Char Char"/>
    <w:basedOn w:val="DefaultParagraphFont"/>
    <w:link w:val="CommentText"/>
    <w:rsid w:val="00A84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E83"/>
    <w:rPr>
      <w:b/>
      <w:bCs/>
    </w:rPr>
  </w:style>
  <w:style w:type="character" w:customStyle="1" w:styleId="CommentSubjectChar">
    <w:name w:val="Comment Subject Char"/>
    <w:basedOn w:val="CommentTextChar"/>
    <w:link w:val="CommentSubject"/>
    <w:uiPriority w:val="99"/>
    <w:semiHidden/>
    <w:rsid w:val="00A84E83"/>
    <w:rPr>
      <w:rFonts w:ascii="Times New Roman" w:eastAsia="Times New Roman" w:hAnsi="Times New Roman" w:cs="Times New Roman"/>
      <w:b/>
      <w:bCs/>
      <w:sz w:val="20"/>
      <w:szCs w:val="20"/>
    </w:rPr>
  </w:style>
  <w:style w:type="paragraph" w:customStyle="1" w:styleId="2">
    <w:name w:val="2"/>
    <w:basedOn w:val="Normal"/>
    <w:rsid w:val="00F34B9F"/>
    <w:pPr>
      <w:spacing w:after="160" w:line="240" w:lineRule="exact"/>
    </w:pPr>
    <w:rPr>
      <w:rFonts w:ascii="Tahoma" w:hAnsi="Tahoma"/>
      <w:sz w:val="20"/>
      <w:lang w:val="en-US"/>
    </w:rPr>
  </w:style>
  <w:style w:type="paragraph" w:styleId="Header">
    <w:name w:val="header"/>
    <w:basedOn w:val="Normal"/>
    <w:link w:val="HeaderChar"/>
    <w:uiPriority w:val="99"/>
    <w:unhideWhenUsed/>
    <w:rsid w:val="00E53AAC"/>
    <w:pPr>
      <w:tabs>
        <w:tab w:val="center" w:pos="4819"/>
        <w:tab w:val="right" w:pos="9638"/>
      </w:tabs>
    </w:pPr>
  </w:style>
  <w:style w:type="character" w:customStyle="1" w:styleId="HeaderChar">
    <w:name w:val="Header Char"/>
    <w:basedOn w:val="DefaultParagraphFont"/>
    <w:link w:val="Header"/>
    <w:uiPriority w:val="99"/>
    <w:rsid w:val="00E53A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E486-46E2-4A68-8FF8-AFE8BC39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2691</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3</cp:revision>
  <cp:lastPrinted>2018-10-26T08:12:00Z</cp:lastPrinted>
  <dcterms:created xsi:type="dcterms:W3CDTF">2018-11-05T09:17:00Z</dcterms:created>
  <dcterms:modified xsi:type="dcterms:W3CDTF">2018-11-09T06:00:00Z</dcterms:modified>
</cp:coreProperties>
</file>