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D2" w:rsidRPr="0014619A" w:rsidRDefault="00D01ED2" w:rsidP="003117A7">
      <w:pPr>
        <w:spacing w:after="0" w:line="240" w:lineRule="auto"/>
        <w:jc w:val="center"/>
        <w:rPr>
          <w:rFonts w:ascii="Times New Roman" w:eastAsia="Calibri" w:hAnsi="Times New Roman" w:cs="Times New Roman"/>
          <w:b/>
          <w:caps/>
          <w:sz w:val="24"/>
          <w:szCs w:val="24"/>
        </w:rPr>
      </w:pPr>
      <w:r w:rsidRPr="0014619A">
        <w:rPr>
          <w:rFonts w:ascii="Times New Roman" w:eastAsia="Calibri" w:hAnsi="Times New Roman" w:cs="Times New Roman"/>
          <w:b/>
          <w:caps/>
          <w:sz w:val="24"/>
          <w:szCs w:val="24"/>
        </w:rPr>
        <w:t xml:space="preserve">2014–2020 metų Europos Sąjungos fondų investicijų veiksmų programos 9 prioriteto „Visuomenės švietimas ir žmogiškųjų išteklių potencialo didinimas“ priemonės </w:t>
      </w:r>
      <w:r w:rsidR="0014619A" w:rsidRPr="0014619A">
        <w:rPr>
          <w:rFonts w:ascii="Times New Roman" w:eastAsia="Calibri" w:hAnsi="Times New Roman" w:cs="Times New Roman"/>
          <w:b/>
          <w:caps/>
          <w:sz w:val="24"/>
          <w:szCs w:val="24"/>
        </w:rPr>
        <w:t>Nr. 09.4.3-ESFA-T-846 „Mokymai užsi</w:t>
      </w:r>
      <w:r w:rsidR="0044526D">
        <w:rPr>
          <w:rFonts w:ascii="Times New Roman" w:eastAsia="Calibri" w:hAnsi="Times New Roman" w:cs="Times New Roman"/>
          <w:b/>
          <w:caps/>
          <w:sz w:val="24"/>
          <w:szCs w:val="24"/>
        </w:rPr>
        <w:t>enio investuotojų darbuotojams“</w:t>
      </w:r>
      <w:r w:rsidRPr="0014619A">
        <w:rPr>
          <w:rFonts w:ascii="Times New Roman" w:eastAsia="Calibri" w:hAnsi="Times New Roman" w:cs="Times New Roman"/>
          <w:b/>
          <w:caps/>
          <w:sz w:val="24"/>
          <w:szCs w:val="24"/>
        </w:rPr>
        <w:t xml:space="preserve"> projektų </w:t>
      </w:r>
      <w:r w:rsidR="003117A7" w:rsidRPr="0014619A">
        <w:rPr>
          <w:rFonts w:ascii="Times New Roman" w:eastAsia="Calibri" w:hAnsi="Times New Roman" w:cs="Times New Roman"/>
          <w:b/>
          <w:caps/>
          <w:sz w:val="24"/>
          <w:szCs w:val="24"/>
        </w:rPr>
        <w:t>finansavimo sąlygų aprašo</w:t>
      </w:r>
      <w:r w:rsidRPr="0014619A">
        <w:rPr>
          <w:rFonts w:ascii="Times New Roman" w:eastAsia="Calibri" w:hAnsi="Times New Roman" w:cs="Times New Roman"/>
          <w:b/>
          <w:caps/>
          <w:sz w:val="24"/>
          <w:szCs w:val="24"/>
        </w:rPr>
        <w:t xml:space="preserve"> derinimo lentelė</w:t>
      </w:r>
    </w:p>
    <w:tbl>
      <w:tblPr>
        <w:tblStyle w:val="TableGrid"/>
        <w:tblpPr w:leftFromText="180" w:rightFromText="180" w:vertAnchor="page" w:horzAnchor="margin" w:tblpXSpec="center" w:tblpY="3330"/>
        <w:tblW w:w="15032" w:type="dxa"/>
        <w:tblLayout w:type="fixed"/>
        <w:tblLook w:val="04A0" w:firstRow="1" w:lastRow="0" w:firstColumn="1" w:lastColumn="0" w:noHBand="0" w:noVBand="1"/>
      </w:tblPr>
      <w:tblGrid>
        <w:gridCol w:w="2211"/>
        <w:gridCol w:w="4588"/>
        <w:gridCol w:w="3544"/>
        <w:gridCol w:w="1701"/>
        <w:gridCol w:w="2988"/>
      </w:tblGrid>
      <w:tr w:rsidR="00745DC2" w:rsidRPr="000C424D" w:rsidTr="00FF7166">
        <w:tc>
          <w:tcPr>
            <w:tcW w:w="2211" w:type="dxa"/>
          </w:tcPr>
          <w:p w:rsidR="00E26AB0" w:rsidRPr="000C424D" w:rsidRDefault="00E26AB0" w:rsidP="00BA4AA2">
            <w:pPr>
              <w:jc w:val="center"/>
              <w:rPr>
                <w:rFonts w:ascii="Times New Roman" w:hAnsi="Times New Roman" w:cs="Times New Roman"/>
                <w:b/>
                <w:sz w:val="24"/>
                <w:szCs w:val="24"/>
              </w:rPr>
            </w:pPr>
            <w:r w:rsidRPr="000C424D">
              <w:rPr>
                <w:rFonts w:ascii="Times New Roman" w:hAnsi="Times New Roman" w:cs="Times New Roman"/>
                <w:b/>
                <w:sz w:val="24"/>
                <w:szCs w:val="24"/>
              </w:rPr>
              <w:t>Juridinis arba fizinis asmuo</w:t>
            </w:r>
          </w:p>
        </w:tc>
        <w:tc>
          <w:tcPr>
            <w:tcW w:w="4588" w:type="dxa"/>
          </w:tcPr>
          <w:p w:rsidR="00E26AB0" w:rsidRPr="000C424D" w:rsidRDefault="00E26AB0" w:rsidP="00BA4AA2">
            <w:pPr>
              <w:jc w:val="center"/>
              <w:rPr>
                <w:rFonts w:ascii="Times New Roman" w:hAnsi="Times New Roman" w:cs="Times New Roman"/>
                <w:b/>
                <w:sz w:val="24"/>
                <w:szCs w:val="24"/>
              </w:rPr>
            </w:pPr>
            <w:r>
              <w:rPr>
                <w:rFonts w:ascii="Times New Roman" w:hAnsi="Times New Roman" w:cs="Times New Roman"/>
                <w:b/>
                <w:sz w:val="24"/>
                <w:szCs w:val="24"/>
              </w:rPr>
              <w:t>Aprašo punktas</w:t>
            </w:r>
          </w:p>
        </w:tc>
        <w:tc>
          <w:tcPr>
            <w:tcW w:w="3544" w:type="dxa"/>
          </w:tcPr>
          <w:p w:rsidR="00E26AB0" w:rsidRPr="000C424D" w:rsidRDefault="00E26AB0" w:rsidP="00BA4AA2">
            <w:pPr>
              <w:jc w:val="center"/>
              <w:rPr>
                <w:rFonts w:ascii="Times New Roman" w:hAnsi="Times New Roman" w:cs="Times New Roman"/>
                <w:b/>
                <w:sz w:val="24"/>
                <w:szCs w:val="24"/>
              </w:rPr>
            </w:pPr>
            <w:r w:rsidRPr="00E26AB0">
              <w:rPr>
                <w:rFonts w:ascii="Times New Roman" w:hAnsi="Times New Roman" w:cs="Times New Roman"/>
                <w:b/>
                <w:sz w:val="24"/>
                <w:szCs w:val="24"/>
              </w:rPr>
              <w:t>Pastabos</w:t>
            </w:r>
          </w:p>
        </w:tc>
        <w:tc>
          <w:tcPr>
            <w:tcW w:w="1701" w:type="dxa"/>
          </w:tcPr>
          <w:p w:rsidR="00E26AB0" w:rsidRPr="000C424D" w:rsidRDefault="00E26AB0" w:rsidP="00BA4AA2">
            <w:pPr>
              <w:jc w:val="center"/>
              <w:rPr>
                <w:rFonts w:ascii="Times New Roman" w:hAnsi="Times New Roman" w:cs="Times New Roman"/>
                <w:b/>
                <w:sz w:val="24"/>
                <w:szCs w:val="24"/>
              </w:rPr>
            </w:pPr>
            <w:r>
              <w:rPr>
                <w:rFonts w:ascii="Times New Roman" w:hAnsi="Times New Roman" w:cs="Times New Roman"/>
                <w:b/>
                <w:sz w:val="24"/>
                <w:szCs w:val="24"/>
              </w:rPr>
              <w:t>EIM</w:t>
            </w:r>
            <w:r w:rsidRPr="000C424D">
              <w:rPr>
                <w:rFonts w:ascii="Times New Roman" w:hAnsi="Times New Roman" w:cs="Times New Roman"/>
                <w:b/>
                <w:sz w:val="24"/>
                <w:szCs w:val="24"/>
              </w:rPr>
              <w:t xml:space="preserve"> pozicija</w:t>
            </w:r>
          </w:p>
        </w:tc>
        <w:tc>
          <w:tcPr>
            <w:tcW w:w="2988" w:type="dxa"/>
          </w:tcPr>
          <w:p w:rsidR="00E26AB0" w:rsidRPr="000C424D" w:rsidRDefault="00E26AB0" w:rsidP="00BA4AA2">
            <w:pPr>
              <w:jc w:val="center"/>
              <w:rPr>
                <w:rFonts w:ascii="Times New Roman" w:hAnsi="Times New Roman" w:cs="Times New Roman"/>
                <w:b/>
                <w:sz w:val="24"/>
                <w:szCs w:val="24"/>
              </w:rPr>
            </w:pPr>
            <w:r>
              <w:rPr>
                <w:rFonts w:ascii="Times New Roman" w:hAnsi="Times New Roman" w:cs="Times New Roman"/>
                <w:b/>
                <w:sz w:val="24"/>
                <w:szCs w:val="24"/>
              </w:rPr>
              <w:t>EI</w:t>
            </w:r>
            <w:r w:rsidRPr="000C424D">
              <w:rPr>
                <w:rFonts w:ascii="Times New Roman" w:hAnsi="Times New Roman" w:cs="Times New Roman"/>
                <w:b/>
                <w:sz w:val="24"/>
                <w:szCs w:val="24"/>
              </w:rPr>
              <w:t>M argumentai</w:t>
            </w:r>
          </w:p>
        </w:tc>
      </w:tr>
      <w:tr w:rsidR="00745DC2" w:rsidRPr="000C424D" w:rsidTr="00FF7166">
        <w:tc>
          <w:tcPr>
            <w:tcW w:w="2211" w:type="dxa"/>
          </w:tcPr>
          <w:p w:rsidR="003C4FC2" w:rsidRPr="000C424D" w:rsidRDefault="00E401CD" w:rsidP="00BA4AA2">
            <w:pPr>
              <w:jc w:val="both"/>
              <w:rPr>
                <w:rFonts w:ascii="Times New Roman" w:hAnsi="Times New Roman" w:cs="Times New Roman"/>
                <w:sz w:val="24"/>
                <w:szCs w:val="24"/>
              </w:rPr>
            </w:pPr>
            <w:r>
              <w:rPr>
                <w:rFonts w:ascii="Times New Roman" w:hAnsi="Times New Roman" w:cs="Times New Roman"/>
                <w:sz w:val="24"/>
                <w:szCs w:val="24"/>
              </w:rPr>
              <w:t>Saulius Dekaminavičius, UAB „ADVANCED ADVICE“</w:t>
            </w:r>
          </w:p>
        </w:tc>
        <w:tc>
          <w:tcPr>
            <w:tcW w:w="4588" w:type="dxa"/>
          </w:tcPr>
          <w:p w:rsidR="003C4FC2" w:rsidRDefault="0014619A" w:rsidP="00BA4AA2">
            <w:pPr>
              <w:jc w:val="both"/>
              <w:rPr>
                <w:rFonts w:ascii="Times New Roman" w:hAnsi="Times New Roman" w:cs="Times New Roman"/>
                <w:sz w:val="24"/>
                <w:szCs w:val="24"/>
              </w:rPr>
            </w:pPr>
            <w:r w:rsidRPr="0014619A">
              <w:rPr>
                <w:rFonts w:ascii="Times New Roman" w:hAnsi="Times New Roman" w:cs="Times New Roman"/>
                <w:sz w:val="24"/>
                <w:szCs w:val="24"/>
              </w:rPr>
              <w:t>8. Pagal Aprašą projektams įgyvendinti</w:t>
            </w:r>
            <w:r w:rsidR="00745DC2">
              <w:rPr>
                <w:rFonts w:ascii="Times New Roman" w:hAnsi="Times New Roman" w:cs="Times New Roman"/>
                <w:sz w:val="24"/>
                <w:szCs w:val="24"/>
              </w:rPr>
              <w:t xml:space="preserve"> numatoma skirti iki 25 230 778</w:t>
            </w:r>
            <w:r w:rsidRPr="0014619A">
              <w:rPr>
                <w:rFonts w:ascii="Times New Roman" w:hAnsi="Times New Roman" w:cs="Times New Roman"/>
                <w:sz w:val="24"/>
                <w:szCs w:val="24"/>
              </w:rPr>
              <w:t xml:space="preserve"> </w:t>
            </w:r>
            <w:proofErr w:type="spellStart"/>
            <w:r w:rsidRPr="0014619A">
              <w:rPr>
                <w:rFonts w:ascii="Times New Roman" w:hAnsi="Times New Roman" w:cs="Times New Roman"/>
                <w:sz w:val="24"/>
                <w:szCs w:val="24"/>
              </w:rPr>
              <w:t>Eur</w:t>
            </w:r>
            <w:proofErr w:type="spellEnd"/>
            <w:r w:rsidRPr="0014619A">
              <w:rPr>
                <w:rFonts w:ascii="Times New Roman" w:hAnsi="Times New Roman" w:cs="Times New Roman"/>
                <w:sz w:val="24"/>
                <w:szCs w:val="24"/>
              </w:rPr>
              <w:t xml:space="preserve"> (dvidešimt penkių milijonų dviejų šimtų trisdešimt tūkstančių septynių šimtų septyniasdešimt aštuonių eurų) ES struktūrinių fondų (Europos socialinio fondo) lėšų.</w:t>
            </w:r>
          </w:p>
        </w:tc>
        <w:tc>
          <w:tcPr>
            <w:tcW w:w="3544" w:type="dxa"/>
          </w:tcPr>
          <w:p w:rsidR="003C4FC2" w:rsidRDefault="0014619A" w:rsidP="00BA4AA2">
            <w:pPr>
              <w:jc w:val="both"/>
              <w:rPr>
                <w:rFonts w:ascii="Times New Roman" w:hAnsi="Times New Roman" w:cs="Times New Roman"/>
                <w:sz w:val="24"/>
                <w:szCs w:val="24"/>
              </w:rPr>
            </w:pPr>
            <w:r w:rsidRPr="0014619A">
              <w:rPr>
                <w:rFonts w:ascii="Times New Roman" w:hAnsi="Times New Roman" w:cs="Times New Roman"/>
                <w:sz w:val="24"/>
                <w:szCs w:val="24"/>
              </w:rPr>
              <w:t xml:space="preserve">Atkreipiame dėmesį, kad analogišką lėšų suma numatyta ankstesnio šios priemonės kvietimo apraše. Tačiau, remiantis LR Ekonomikos ir inovacijų ministerijos 2019-2020 m. kvietimų planu (2019 m. kovo 27 d. redakcija), šiai priemonei numatoma skirti 10.962.625,31 </w:t>
            </w:r>
            <w:proofErr w:type="spellStart"/>
            <w:r w:rsidRPr="0014619A">
              <w:rPr>
                <w:rFonts w:ascii="Times New Roman" w:hAnsi="Times New Roman" w:cs="Times New Roman"/>
                <w:sz w:val="24"/>
                <w:szCs w:val="24"/>
              </w:rPr>
              <w:t>Eur</w:t>
            </w:r>
            <w:proofErr w:type="spellEnd"/>
            <w:r w:rsidRPr="0014619A">
              <w:rPr>
                <w:rFonts w:ascii="Times New Roman" w:hAnsi="Times New Roman" w:cs="Times New Roman"/>
                <w:sz w:val="24"/>
                <w:szCs w:val="24"/>
              </w:rPr>
              <w:t>.</w:t>
            </w:r>
          </w:p>
        </w:tc>
        <w:tc>
          <w:tcPr>
            <w:tcW w:w="1701" w:type="dxa"/>
          </w:tcPr>
          <w:p w:rsidR="003C4FC2" w:rsidRPr="000C424D" w:rsidRDefault="0014619A" w:rsidP="00BA4AA2">
            <w:pPr>
              <w:jc w:val="both"/>
              <w:rPr>
                <w:rFonts w:ascii="Times New Roman" w:hAnsi="Times New Roman" w:cs="Times New Roman"/>
                <w:sz w:val="24"/>
                <w:szCs w:val="24"/>
              </w:rPr>
            </w:pPr>
            <w:r>
              <w:rPr>
                <w:rFonts w:ascii="Times New Roman" w:hAnsi="Times New Roman" w:cs="Times New Roman"/>
                <w:sz w:val="24"/>
                <w:szCs w:val="24"/>
              </w:rPr>
              <w:t>Atsižvelgta</w:t>
            </w:r>
          </w:p>
        </w:tc>
        <w:tc>
          <w:tcPr>
            <w:tcW w:w="2988" w:type="dxa"/>
          </w:tcPr>
          <w:p w:rsidR="003C4FC2" w:rsidRPr="000C424D" w:rsidRDefault="00990065" w:rsidP="00F247DD">
            <w:pPr>
              <w:jc w:val="both"/>
              <w:rPr>
                <w:rFonts w:ascii="Times New Roman" w:hAnsi="Times New Roman" w:cs="Times New Roman"/>
                <w:sz w:val="24"/>
                <w:szCs w:val="24"/>
              </w:rPr>
            </w:pPr>
            <w:r>
              <w:rPr>
                <w:rFonts w:ascii="Times New Roman" w:hAnsi="Times New Roman" w:cs="Times New Roman"/>
                <w:sz w:val="24"/>
                <w:szCs w:val="24"/>
              </w:rPr>
              <w:t xml:space="preserve">Punktas patikslintas, projektams įgyvendinti numatoma skirti </w:t>
            </w:r>
            <w:r w:rsidRPr="00990065">
              <w:rPr>
                <w:rFonts w:ascii="Times New Roman" w:hAnsi="Times New Roman" w:cs="Times New Roman"/>
                <w:sz w:val="24"/>
                <w:szCs w:val="24"/>
              </w:rPr>
              <w:t xml:space="preserve">10 281 494 </w:t>
            </w:r>
            <w:proofErr w:type="spellStart"/>
            <w:r w:rsidRPr="00990065">
              <w:rPr>
                <w:rFonts w:ascii="Times New Roman" w:hAnsi="Times New Roman" w:cs="Times New Roman"/>
                <w:sz w:val="24"/>
                <w:szCs w:val="24"/>
              </w:rPr>
              <w:t>Eur</w:t>
            </w:r>
            <w:proofErr w:type="spellEnd"/>
            <w:r>
              <w:rPr>
                <w:rFonts w:ascii="Times New Roman" w:hAnsi="Times New Roman" w:cs="Times New Roman"/>
                <w:sz w:val="24"/>
                <w:szCs w:val="24"/>
              </w:rPr>
              <w:t>.</w:t>
            </w:r>
          </w:p>
        </w:tc>
      </w:tr>
      <w:tr w:rsidR="00745DC2" w:rsidRPr="000C424D" w:rsidTr="00FF7166">
        <w:tc>
          <w:tcPr>
            <w:tcW w:w="2211" w:type="dxa"/>
          </w:tcPr>
          <w:p w:rsidR="003C4FC2" w:rsidRDefault="003C4FC2" w:rsidP="00BA4AA2">
            <w:pPr>
              <w:jc w:val="both"/>
              <w:rPr>
                <w:rFonts w:ascii="Times New Roman" w:hAnsi="Times New Roman" w:cs="Times New Roman"/>
                <w:sz w:val="24"/>
                <w:szCs w:val="24"/>
              </w:rPr>
            </w:pPr>
          </w:p>
        </w:tc>
        <w:tc>
          <w:tcPr>
            <w:tcW w:w="4588" w:type="dxa"/>
          </w:tcPr>
          <w:p w:rsidR="003C4FC2" w:rsidRPr="005D2446" w:rsidRDefault="0014619A" w:rsidP="00BA4AA2">
            <w:pPr>
              <w:jc w:val="both"/>
              <w:rPr>
                <w:rFonts w:ascii="Times New Roman" w:hAnsi="Times New Roman" w:cs="Times New Roman"/>
                <w:sz w:val="24"/>
                <w:szCs w:val="24"/>
              </w:rPr>
            </w:pPr>
            <w:r w:rsidRPr="0014619A">
              <w:rPr>
                <w:rFonts w:ascii="Times New Roman" w:hAnsi="Times New Roman" w:cs="Times New Roman"/>
                <w:sz w:val="24"/>
                <w:szCs w:val="24"/>
              </w:rPr>
              <w:t xml:space="preserve">16. Pareiškėjas, gavęs finansavimą pagal Priemonę ir (ar) 2014–2020 metų Europos Sąjungos fondų investicijų veiksmų programos 9 prioriteto „Visuomenės švietimas ir žmogiškųjų išteklių potencialo didinimas“ priemonę Nr. 09.4.3-ESFA-K-805 „Žmogiškieji ištekliai </w:t>
            </w:r>
            <w:proofErr w:type="spellStart"/>
            <w:r w:rsidRPr="0014619A">
              <w:rPr>
                <w:rFonts w:ascii="Times New Roman" w:hAnsi="Times New Roman" w:cs="Times New Roman"/>
                <w:sz w:val="24"/>
                <w:szCs w:val="24"/>
              </w:rPr>
              <w:t>Invest</w:t>
            </w:r>
            <w:proofErr w:type="spellEnd"/>
            <w:r w:rsidRPr="0014619A">
              <w:rPr>
                <w:rFonts w:ascii="Times New Roman" w:hAnsi="Times New Roman" w:cs="Times New Roman"/>
                <w:sz w:val="24"/>
                <w:szCs w:val="24"/>
              </w:rPr>
              <w:t xml:space="preserve"> LT+“, pareiškėjas ar partneris gavęs finansavimą pagal priemonę Nr. 09.4.3-ESFA-K-814 „Kompetencijos LT“ (2016-08-30 paskelbtą kvietimą Nr. 1, 2018-11-15 paskelbtą kvietimą Nr. 2), priemonę Nr. 09.4.3-ESFA-K-827 „Pameistrystė ir kvalifikacijos tobulinimas darbo vietoje“ (2016-11-21 paskelbtą kvietimą Nr. 1, 2017-09-22 paskelbtą Nr. 2 ir 2018-12-28 paskelbtą </w:t>
            </w:r>
            <w:r w:rsidRPr="0014619A">
              <w:rPr>
                <w:rFonts w:ascii="Times New Roman" w:hAnsi="Times New Roman" w:cs="Times New Roman"/>
                <w:sz w:val="24"/>
                <w:szCs w:val="24"/>
              </w:rPr>
              <w:lastRenderedPageBreak/>
              <w:t>kvietimą Nr. 3) paraiškos pagal Aprašą teikti negali.</w:t>
            </w:r>
          </w:p>
        </w:tc>
        <w:tc>
          <w:tcPr>
            <w:tcW w:w="3544" w:type="dxa"/>
          </w:tcPr>
          <w:p w:rsidR="003C4FC2" w:rsidRPr="005D2446" w:rsidRDefault="0014619A" w:rsidP="00BA4AA2">
            <w:pPr>
              <w:jc w:val="both"/>
              <w:rPr>
                <w:rFonts w:ascii="Times New Roman" w:hAnsi="Times New Roman" w:cs="Times New Roman"/>
                <w:sz w:val="24"/>
                <w:szCs w:val="24"/>
              </w:rPr>
            </w:pPr>
            <w:r w:rsidRPr="0014619A">
              <w:rPr>
                <w:rFonts w:ascii="Times New Roman" w:hAnsi="Times New Roman" w:cs="Times New Roman"/>
                <w:sz w:val="24"/>
                <w:szCs w:val="24"/>
              </w:rPr>
              <w:lastRenderedPageBreak/>
              <w:t>Manytume, kad šis reikalavimas dirbtinai diskriminuoja subjektus gavusius finansavimą mokymų projektams, kurie jau yra įgyvendinti. Todėl siūlytume numatyta apribojimą tik tiems pareiškėjams, kurie dar nėra baigę įgyvendinti mokymų projekto (arba savo mokymų dalies projekte, grupės įmonių projektų atveju), kaip tai buvo numatyta ankstesnio kvietimo apraše.</w:t>
            </w:r>
          </w:p>
        </w:tc>
        <w:tc>
          <w:tcPr>
            <w:tcW w:w="1701" w:type="dxa"/>
          </w:tcPr>
          <w:p w:rsidR="003C4FC2" w:rsidRDefault="0044526D" w:rsidP="00BA4AA2">
            <w:pPr>
              <w:jc w:val="both"/>
              <w:rPr>
                <w:rFonts w:ascii="Times New Roman" w:hAnsi="Times New Roman" w:cs="Times New Roman"/>
                <w:sz w:val="24"/>
                <w:szCs w:val="24"/>
              </w:rPr>
            </w:pPr>
            <w:r>
              <w:rPr>
                <w:rFonts w:ascii="Times New Roman" w:hAnsi="Times New Roman" w:cs="Times New Roman"/>
                <w:sz w:val="24"/>
                <w:szCs w:val="24"/>
              </w:rPr>
              <w:t>Neatsižvelgta</w:t>
            </w:r>
          </w:p>
        </w:tc>
        <w:tc>
          <w:tcPr>
            <w:tcW w:w="2988" w:type="dxa"/>
          </w:tcPr>
          <w:p w:rsidR="008A3429" w:rsidRDefault="003A323D" w:rsidP="00C76317">
            <w:pPr>
              <w:jc w:val="both"/>
              <w:rPr>
                <w:rFonts w:ascii="Times New Roman" w:hAnsi="Times New Roman" w:cs="Times New Roman"/>
                <w:sz w:val="24"/>
                <w:szCs w:val="24"/>
              </w:rPr>
            </w:pPr>
            <w:r>
              <w:rPr>
                <w:rFonts w:ascii="Times New Roman" w:hAnsi="Times New Roman" w:cs="Times New Roman"/>
                <w:sz w:val="24"/>
                <w:szCs w:val="24"/>
              </w:rPr>
              <w:t>P</w:t>
            </w:r>
            <w:r w:rsidR="0044526D">
              <w:rPr>
                <w:rFonts w:ascii="Times New Roman" w:hAnsi="Times New Roman" w:cs="Times New Roman"/>
                <w:sz w:val="24"/>
                <w:szCs w:val="24"/>
              </w:rPr>
              <w:t>lanuojamam kvietimui numatoma skirti suma</w:t>
            </w:r>
            <w:r w:rsidR="00C76317">
              <w:rPr>
                <w:rFonts w:ascii="Times New Roman" w:hAnsi="Times New Roman" w:cs="Times New Roman"/>
                <w:sz w:val="24"/>
                <w:szCs w:val="24"/>
              </w:rPr>
              <w:t xml:space="preserve"> yra nepakankama visų užsienio investuotojų</w:t>
            </w:r>
            <w:r>
              <w:t xml:space="preserve"> </w:t>
            </w:r>
            <w:r w:rsidRPr="003A323D">
              <w:rPr>
                <w:rFonts w:ascii="Times New Roman" w:hAnsi="Times New Roman" w:cs="Times New Roman"/>
                <w:sz w:val="24"/>
                <w:szCs w:val="24"/>
              </w:rPr>
              <w:t>darbuotojų mokymams finansuoti</w:t>
            </w:r>
            <w:r w:rsidR="00C76317">
              <w:rPr>
                <w:rFonts w:ascii="Times New Roman" w:hAnsi="Times New Roman" w:cs="Times New Roman"/>
                <w:sz w:val="24"/>
                <w:szCs w:val="24"/>
              </w:rPr>
              <w:t xml:space="preserve">, </w:t>
            </w:r>
            <w:r>
              <w:rPr>
                <w:rFonts w:ascii="Times New Roman" w:hAnsi="Times New Roman" w:cs="Times New Roman"/>
                <w:sz w:val="24"/>
                <w:szCs w:val="24"/>
              </w:rPr>
              <w:t xml:space="preserve">todėl </w:t>
            </w:r>
            <w:r w:rsidR="00C76317">
              <w:rPr>
                <w:rFonts w:ascii="Times New Roman" w:hAnsi="Times New Roman" w:cs="Times New Roman"/>
                <w:sz w:val="24"/>
                <w:szCs w:val="24"/>
              </w:rPr>
              <w:t xml:space="preserve">taikomi griežtesni reikalavimai pareiškėjams ir </w:t>
            </w:r>
            <w:r>
              <w:rPr>
                <w:rFonts w:ascii="Times New Roman" w:hAnsi="Times New Roman" w:cs="Times New Roman"/>
                <w:sz w:val="24"/>
                <w:szCs w:val="24"/>
              </w:rPr>
              <w:t>prioritetas teikiamas naujiems užsienio investuotojams. Būtent šių investuotojų darbuotojų mokymo poreikis yra didžiausias</w:t>
            </w:r>
            <w:r w:rsidR="00FF7166">
              <w:rPr>
                <w:rFonts w:ascii="Times New Roman" w:hAnsi="Times New Roman" w:cs="Times New Roman"/>
                <w:sz w:val="24"/>
                <w:szCs w:val="24"/>
              </w:rPr>
              <w:t xml:space="preserve"> ir skirti finansavimą jau įgyvendinusiems projektus pareiškėjams, turint ribotas </w:t>
            </w:r>
            <w:r w:rsidR="00FF7166">
              <w:rPr>
                <w:rFonts w:ascii="Times New Roman" w:hAnsi="Times New Roman" w:cs="Times New Roman"/>
                <w:sz w:val="24"/>
                <w:szCs w:val="24"/>
              </w:rPr>
              <w:lastRenderedPageBreak/>
              <w:t>projektų finansavimo galimybes, būtų netikslinga.</w:t>
            </w:r>
          </w:p>
          <w:p w:rsidR="003C4FC2" w:rsidRPr="000C424D" w:rsidRDefault="003C4FC2" w:rsidP="00C76317">
            <w:pPr>
              <w:jc w:val="both"/>
              <w:rPr>
                <w:rFonts w:ascii="Times New Roman" w:hAnsi="Times New Roman" w:cs="Times New Roman"/>
                <w:sz w:val="24"/>
                <w:szCs w:val="24"/>
              </w:rPr>
            </w:pPr>
          </w:p>
        </w:tc>
      </w:tr>
      <w:tr w:rsidR="00745DC2" w:rsidRPr="000C424D" w:rsidTr="00FF7166">
        <w:tc>
          <w:tcPr>
            <w:tcW w:w="2211" w:type="dxa"/>
          </w:tcPr>
          <w:p w:rsidR="003C4FC2" w:rsidRDefault="003C4FC2" w:rsidP="00BA4AA2">
            <w:pPr>
              <w:jc w:val="both"/>
              <w:rPr>
                <w:rFonts w:ascii="Times New Roman" w:hAnsi="Times New Roman" w:cs="Times New Roman"/>
                <w:sz w:val="24"/>
                <w:szCs w:val="24"/>
              </w:rPr>
            </w:pPr>
          </w:p>
        </w:tc>
        <w:tc>
          <w:tcPr>
            <w:tcW w:w="4588" w:type="dxa"/>
          </w:tcPr>
          <w:p w:rsidR="003C4FC2" w:rsidRPr="001E5EA1" w:rsidRDefault="001E5EA1" w:rsidP="00BA4AA2">
            <w:pPr>
              <w:jc w:val="both"/>
              <w:rPr>
                <w:rFonts w:ascii="Times New Roman" w:hAnsi="Times New Roman" w:cs="Times New Roman"/>
                <w:sz w:val="24"/>
                <w:szCs w:val="24"/>
              </w:rPr>
            </w:pPr>
            <w:r w:rsidRPr="001E5EA1">
              <w:rPr>
                <w:rFonts w:ascii="Times New Roman" w:hAnsi="Times New Roman" w:cs="Times New Roman"/>
                <w:sz w:val="24"/>
                <w:szCs w:val="24"/>
              </w:rPr>
              <w:t>20. Teikiamų pagal Aprašą projektų veiklų įgyvendinimo trukmė turi būti ne ilgesnė kaip 18 mėnesių nuo projekto sutarties pasirašymo dienos.</w:t>
            </w:r>
          </w:p>
        </w:tc>
        <w:tc>
          <w:tcPr>
            <w:tcW w:w="3544" w:type="dxa"/>
          </w:tcPr>
          <w:p w:rsidR="001E5EA1" w:rsidRPr="001E5EA1" w:rsidRDefault="001E5EA1" w:rsidP="001E5EA1">
            <w:pPr>
              <w:jc w:val="both"/>
              <w:rPr>
                <w:rFonts w:ascii="Times New Roman" w:hAnsi="Times New Roman" w:cs="Times New Roman"/>
                <w:sz w:val="24"/>
                <w:szCs w:val="24"/>
              </w:rPr>
            </w:pPr>
            <w:r w:rsidRPr="001E5EA1">
              <w:rPr>
                <w:rFonts w:ascii="Times New Roman" w:hAnsi="Times New Roman" w:cs="Times New Roman"/>
                <w:sz w:val="24"/>
                <w:szCs w:val="24"/>
              </w:rPr>
              <w:t xml:space="preserve">Numatytas 18 mėnesių laikotarpis yra aiškiai per trumpas projekto įgyvendinimui. Vien mokymo paslaugų pirkimo procedūros gali užtrukti iki 6 mėnesių, o likęs 12 mėnesių laikotarpis yra nepakankamas tinkamam ir kokybiškam suplanuotų mokymų įgyvendinimui. Taip pat atkreipiame dėmesį, kad pagal Aprašą tinkamas pareiškėjas yra ir pats užsienio investuotojas, kuris paraiškos pateikimo metu dar nėra įsteigęs įmonės Lietuvoje ir ketina pradėti vykdyti veiklą Lietuvoje. Tokiu atveju projekto metu būtų apmokomi ne esami, o būsimi užsienio investuotojo kontroliuojamos įmonės darbuotojai. Darbuotojų paieškos ir įdarbinimo procesas gali užtrukti, be to neretai naujai įsteigtos įmonės darbuotojus samdo etapais (iš pradžių administracija, vėliau gamybos personalas), todėl per 18 mėnesių laikotarpį būtų sudėtinga surasti, įdarbinti ir apmokyti visus projekte suplanuotus darbuotojus. Atsižvelgiant į tai, siūlome netrumpinti projekto </w:t>
            </w:r>
            <w:r w:rsidRPr="001E5EA1">
              <w:rPr>
                <w:rFonts w:ascii="Times New Roman" w:hAnsi="Times New Roman" w:cs="Times New Roman"/>
                <w:sz w:val="24"/>
                <w:szCs w:val="24"/>
              </w:rPr>
              <w:lastRenderedPageBreak/>
              <w:t>įgyvendinimo laikotarpio ir numatyti, kad veiklų įgyvendinimo trukmė turi būti ne ilgesnė kaip 36 mėnesiais nuo projekto sutarties pasirašymo dienos.</w:t>
            </w:r>
          </w:p>
          <w:p w:rsidR="003C4FC2" w:rsidRPr="00C0149C" w:rsidRDefault="001E5EA1" w:rsidP="001E5EA1">
            <w:pPr>
              <w:jc w:val="both"/>
              <w:rPr>
                <w:rFonts w:ascii="Times New Roman" w:hAnsi="Times New Roman" w:cs="Times New Roman"/>
                <w:sz w:val="24"/>
                <w:szCs w:val="24"/>
              </w:rPr>
            </w:pPr>
            <w:r w:rsidRPr="001E5EA1">
              <w:rPr>
                <w:rFonts w:ascii="Times New Roman" w:hAnsi="Times New Roman" w:cs="Times New Roman"/>
                <w:sz w:val="24"/>
                <w:szCs w:val="24"/>
              </w:rPr>
              <w:t>Atkreipiame dėmesį, kad sutrumpinus projekto veiklų įgyvendinimo laikotarpį iki 18 mėnesių dingtų koreliacija su Aprašo 18.3 punktu, kur numatoma planuojamo investicijų projekto trukmė yra 36 mėnesiai nuo projekto sutarties pasirašymo dienos.</w:t>
            </w:r>
          </w:p>
        </w:tc>
        <w:tc>
          <w:tcPr>
            <w:tcW w:w="1701" w:type="dxa"/>
          </w:tcPr>
          <w:p w:rsidR="003C4FC2" w:rsidRDefault="00FF7166" w:rsidP="00BA4AA2">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988" w:type="dxa"/>
          </w:tcPr>
          <w:p w:rsidR="004C5302" w:rsidRDefault="001D198D" w:rsidP="004C5302">
            <w:pPr>
              <w:jc w:val="both"/>
              <w:rPr>
                <w:rFonts w:ascii="Times New Roman" w:hAnsi="Times New Roman" w:cs="Times New Roman"/>
                <w:sz w:val="24"/>
                <w:szCs w:val="24"/>
              </w:rPr>
            </w:pPr>
            <w:r>
              <w:rPr>
                <w:rFonts w:ascii="Times New Roman" w:hAnsi="Times New Roman" w:cs="Times New Roman"/>
                <w:sz w:val="24"/>
                <w:szCs w:val="24"/>
              </w:rPr>
              <w:t xml:space="preserve">Projektų veiklų įgyvendinimo </w:t>
            </w:r>
            <w:r w:rsidR="004C5302">
              <w:rPr>
                <w:rFonts w:ascii="Times New Roman" w:hAnsi="Times New Roman" w:cs="Times New Roman"/>
                <w:sz w:val="24"/>
                <w:szCs w:val="24"/>
              </w:rPr>
              <w:t xml:space="preserve">laikotarpis nustatytas atsižvelgiant į VšĮ „Investuok Lietuvoje“ pateiktą pasiūlymą, kuris grindžiamas šiais argumentais: </w:t>
            </w:r>
          </w:p>
          <w:p w:rsidR="009B130D" w:rsidRPr="009B130D" w:rsidRDefault="001D198D" w:rsidP="009B130D">
            <w:pPr>
              <w:pStyle w:val="ListParagraph"/>
              <w:numPr>
                <w:ilvl w:val="0"/>
                <w:numId w:val="5"/>
              </w:numPr>
              <w:jc w:val="both"/>
              <w:rPr>
                <w:rFonts w:ascii="Times New Roman" w:hAnsi="Times New Roman" w:cs="Times New Roman"/>
                <w:sz w:val="24"/>
                <w:szCs w:val="24"/>
              </w:rPr>
            </w:pPr>
            <w:r w:rsidRPr="009B130D">
              <w:rPr>
                <w:rFonts w:ascii="Times New Roman" w:hAnsi="Times New Roman" w:cs="Times New Roman"/>
                <w:sz w:val="24"/>
                <w:szCs w:val="24"/>
              </w:rPr>
              <w:t xml:space="preserve">detalus mokymų poreikis įmonėse </w:t>
            </w:r>
            <w:r w:rsidR="009B130D">
              <w:rPr>
                <w:rFonts w:ascii="Times New Roman" w:hAnsi="Times New Roman" w:cs="Times New Roman"/>
                <w:sz w:val="24"/>
                <w:szCs w:val="24"/>
              </w:rPr>
              <w:t xml:space="preserve">įprastai </w:t>
            </w:r>
            <w:r w:rsidRPr="009B130D">
              <w:rPr>
                <w:rFonts w:ascii="Times New Roman" w:hAnsi="Times New Roman" w:cs="Times New Roman"/>
                <w:sz w:val="24"/>
                <w:szCs w:val="24"/>
              </w:rPr>
              <w:t>numatomas 12-18 mėn. į priekį</w:t>
            </w:r>
            <w:r w:rsidR="009B130D">
              <w:rPr>
                <w:rFonts w:ascii="Times New Roman" w:hAnsi="Times New Roman" w:cs="Times New Roman"/>
                <w:sz w:val="24"/>
                <w:szCs w:val="24"/>
              </w:rPr>
              <w:t>;</w:t>
            </w:r>
          </w:p>
          <w:p w:rsidR="009B130D" w:rsidRPr="009B130D" w:rsidRDefault="004C5302" w:rsidP="009B130D">
            <w:pPr>
              <w:pStyle w:val="ListParagraph"/>
              <w:numPr>
                <w:ilvl w:val="0"/>
                <w:numId w:val="5"/>
              </w:numPr>
              <w:jc w:val="both"/>
              <w:rPr>
                <w:rFonts w:ascii="Times New Roman" w:hAnsi="Times New Roman" w:cs="Times New Roman"/>
                <w:sz w:val="24"/>
                <w:szCs w:val="24"/>
              </w:rPr>
            </w:pPr>
            <w:r w:rsidRPr="009B130D">
              <w:rPr>
                <w:rFonts w:ascii="Times New Roman" w:hAnsi="Times New Roman" w:cs="Times New Roman"/>
                <w:sz w:val="24"/>
                <w:szCs w:val="24"/>
              </w:rPr>
              <w:t>pagal priemonę</w:t>
            </w:r>
            <w:r w:rsidR="001D198D" w:rsidRPr="009B130D">
              <w:rPr>
                <w:rFonts w:ascii="Times New Roman" w:hAnsi="Times New Roman" w:cs="Times New Roman"/>
                <w:sz w:val="24"/>
                <w:szCs w:val="24"/>
              </w:rPr>
              <w:t xml:space="preserve"> įgyvendinamuose projektuose mokymų poreikio pakeitimai yra įprasta, tačiau papildomą administracinę naštą Europos socialinio fond</w:t>
            </w:r>
            <w:r w:rsidR="009B130D" w:rsidRPr="009B130D">
              <w:rPr>
                <w:rFonts w:ascii="Times New Roman" w:hAnsi="Times New Roman" w:cs="Times New Roman"/>
                <w:sz w:val="24"/>
                <w:szCs w:val="24"/>
              </w:rPr>
              <w:t>o agentūrai sukurianti praktika</w:t>
            </w:r>
            <w:r w:rsidR="009B130D">
              <w:rPr>
                <w:rFonts w:ascii="Times New Roman" w:hAnsi="Times New Roman" w:cs="Times New Roman"/>
                <w:sz w:val="24"/>
                <w:szCs w:val="24"/>
              </w:rPr>
              <w:t>;</w:t>
            </w:r>
          </w:p>
          <w:p w:rsidR="003C4FC2" w:rsidRPr="009B130D" w:rsidRDefault="001D198D" w:rsidP="009B130D">
            <w:pPr>
              <w:pStyle w:val="ListParagraph"/>
              <w:numPr>
                <w:ilvl w:val="0"/>
                <w:numId w:val="5"/>
              </w:numPr>
              <w:jc w:val="both"/>
              <w:rPr>
                <w:rFonts w:ascii="Times New Roman" w:hAnsi="Times New Roman" w:cs="Times New Roman"/>
                <w:sz w:val="24"/>
                <w:szCs w:val="24"/>
              </w:rPr>
            </w:pPr>
            <w:r w:rsidRPr="009B130D">
              <w:rPr>
                <w:rFonts w:ascii="Times New Roman" w:hAnsi="Times New Roman" w:cs="Times New Roman"/>
                <w:sz w:val="24"/>
                <w:szCs w:val="24"/>
              </w:rPr>
              <w:t>projekto įgyvendinimo termino sutrumpinimas užtikrintų ne tik tikslesnį mokymų poreikio prognozavimą, tačiau ir efektyvesnį finansavimo lėšų naudojimą, kuris šiuo metu</w:t>
            </w:r>
            <w:r w:rsidR="004C5302" w:rsidRPr="009B130D">
              <w:rPr>
                <w:rFonts w:ascii="Times New Roman" w:hAnsi="Times New Roman" w:cs="Times New Roman"/>
                <w:sz w:val="24"/>
                <w:szCs w:val="24"/>
              </w:rPr>
              <w:t xml:space="preserve"> nėra pakankamai spartus.</w:t>
            </w:r>
          </w:p>
        </w:tc>
      </w:tr>
      <w:tr w:rsidR="00745DC2" w:rsidRPr="000C424D" w:rsidTr="00FF7166">
        <w:tc>
          <w:tcPr>
            <w:tcW w:w="2211" w:type="dxa"/>
          </w:tcPr>
          <w:p w:rsidR="003C4FC2" w:rsidRDefault="003C4FC2" w:rsidP="00BA4AA2">
            <w:pPr>
              <w:jc w:val="both"/>
              <w:rPr>
                <w:rFonts w:ascii="Times New Roman" w:hAnsi="Times New Roman" w:cs="Times New Roman"/>
                <w:sz w:val="24"/>
                <w:szCs w:val="24"/>
              </w:rPr>
            </w:pPr>
          </w:p>
        </w:tc>
        <w:tc>
          <w:tcPr>
            <w:tcW w:w="4588" w:type="dxa"/>
          </w:tcPr>
          <w:p w:rsidR="003C4FC2" w:rsidRPr="00765D15" w:rsidRDefault="001E5EA1" w:rsidP="00BA4AA2">
            <w:pPr>
              <w:jc w:val="both"/>
              <w:rPr>
                <w:rFonts w:ascii="Times New Roman" w:hAnsi="Times New Roman" w:cs="Times New Roman"/>
                <w:sz w:val="24"/>
                <w:szCs w:val="24"/>
              </w:rPr>
            </w:pPr>
            <w:r w:rsidRPr="001E5EA1">
              <w:rPr>
                <w:rFonts w:ascii="Times New Roman" w:hAnsi="Times New Roman" w:cs="Times New Roman"/>
                <w:sz w:val="24"/>
                <w:szCs w:val="24"/>
              </w:rPr>
              <w:t xml:space="preserve">32. Didžiausia projektui galima skirti finansavimo lėšų suma yra 250 000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(du šimtai penkiasdešimt tūkstančių eurų), bet ne daugiau kaip 70 procentų visų tinkamų finansuoti projekto išlaidų. Vidutiniškai vienam projekte dalyvaujančiam asmeniui – mokomam asmeniui – galima skirti tiesioginių projekto išlaidų finansavimo lėšų suma yra 3 000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(trys tūkstančiai eurų). Mažiausia projektui galima skirti finansavimo lėšų suma yra 10 000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(dešimt tūkstančių eurų).</w:t>
            </w:r>
          </w:p>
        </w:tc>
        <w:tc>
          <w:tcPr>
            <w:tcW w:w="3544" w:type="dxa"/>
          </w:tcPr>
          <w:p w:rsidR="001E5EA1" w:rsidRPr="001E5EA1" w:rsidRDefault="001E5EA1" w:rsidP="001E5EA1">
            <w:pPr>
              <w:jc w:val="both"/>
              <w:rPr>
                <w:rFonts w:ascii="Times New Roman" w:hAnsi="Times New Roman" w:cs="Times New Roman"/>
                <w:sz w:val="24"/>
                <w:szCs w:val="24"/>
              </w:rPr>
            </w:pPr>
            <w:r w:rsidRPr="001E5EA1">
              <w:rPr>
                <w:rFonts w:ascii="Times New Roman" w:hAnsi="Times New Roman" w:cs="Times New Roman"/>
                <w:sz w:val="24"/>
                <w:szCs w:val="24"/>
              </w:rPr>
              <w:t xml:space="preserve">Atsižvelgiant į ankstesnio kvietimo patirtį, kurio metu beveik 50 proc. pareiškėjų gavo didesnį nei 250 tūkst.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finansavimą, siūlome maksimalios finansavimo sumos nemažinti, </w:t>
            </w:r>
            <w:proofErr w:type="spellStart"/>
            <w:r w:rsidRPr="001E5EA1">
              <w:rPr>
                <w:rFonts w:ascii="Times New Roman" w:hAnsi="Times New Roman" w:cs="Times New Roman"/>
                <w:sz w:val="24"/>
                <w:szCs w:val="24"/>
              </w:rPr>
              <w:t>t.y</w:t>
            </w:r>
            <w:proofErr w:type="spellEnd"/>
            <w:r w:rsidRPr="001E5EA1">
              <w:rPr>
                <w:rFonts w:ascii="Times New Roman" w:hAnsi="Times New Roman" w:cs="Times New Roman"/>
                <w:sz w:val="24"/>
                <w:szCs w:val="24"/>
              </w:rPr>
              <w:t xml:space="preserve">. numatyti, kad didžiausia projektui galima skirti finansavimo lėšų suma yra 500 000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Tai sudarytų sąlygas investuotojams pagal savo realius poreikius susiplanuoti mokymų biudžetą, ką parodo ankstesnis kvietimas, kurio metu didžiausia skirta subsidija siekė 500 tūkst.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mažiausia – vos 22 tūkst.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o vidurkis – 245 tūkst.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Didesnė subsidijos suma taip pat sudarys sąlygas į Lietuvą pritraukti stambius užsienio investuotojus. Stambiems investuotojams, </w:t>
            </w:r>
            <w:r w:rsidRPr="001E5EA1">
              <w:rPr>
                <w:rFonts w:ascii="Times New Roman" w:hAnsi="Times New Roman" w:cs="Times New Roman"/>
                <w:sz w:val="24"/>
                <w:szCs w:val="24"/>
              </w:rPr>
              <w:lastRenderedPageBreak/>
              <w:t xml:space="preserve">planuojantiems sukurti 200 ir daugiau darbo vietų, 250 tūkst.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subsidija mokymams yra aiškiai per maža.</w:t>
            </w:r>
          </w:p>
          <w:p w:rsidR="003C4FC2" w:rsidRPr="00380B23" w:rsidRDefault="001E5EA1" w:rsidP="001E5EA1">
            <w:pPr>
              <w:jc w:val="both"/>
              <w:rPr>
                <w:rFonts w:ascii="Times New Roman" w:hAnsi="Times New Roman" w:cs="Times New Roman"/>
                <w:sz w:val="24"/>
                <w:szCs w:val="24"/>
              </w:rPr>
            </w:pPr>
            <w:r w:rsidRPr="001E5EA1">
              <w:rPr>
                <w:rFonts w:ascii="Times New Roman" w:hAnsi="Times New Roman" w:cs="Times New Roman"/>
                <w:sz w:val="24"/>
                <w:szCs w:val="24"/>
              </w:rPr>
              <w:t xml:space="preserve">Taip pat atkreipiame dėmesį, kad atsiradus papildomiems esminiams apribojimams (pareiškėjas/ investuotojas veiklą Lietuvoje turi būti pradėjęs vykdyti ne anksčiau kaip prieš 3 metus iki paraiškos pateikimo), per likusį finansavimo laikotarpį gali nepavykti paskirstyti viso suplanuoto priemonės biudžeto (~11 mln.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jeigu bus ženkliai apribota maksimali subsidijos suma. Ankstesnio kvietimo metu, kuriame nebuvo apribojimo dėl užsienio investuotojo veiklos Lietuvoje trukmės ir kuriame maksimali finansavimo suma siekė 500 tūkst.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xml:space="preserve">, suplanuotą priemonės biudžetą (~25 mln. </w:t>
            </w:r>
            <w:proofErr w:type="spellStart"/>
            <w:r w:rsidRPr="001E5EA1">
              <w:rPr>
                <w:rFonts w:ascii="Times New Roman" w:hAnsi="Times New Roman" w:cs="Times New Roman"/>
                <w:sz w:val="24"/>
                <w:szCs w:val="24"/>
              </w:rPr>
              <w:t>Eur</w:t>
            </w:r>
            <w:proofErr w:type="spellEnd"/>
            <w:r w:rsidRPr="001E5EA1">
              <w:rPr>
                <w:rFonts w:ascii="Times New Roman" w:hAnsi="Times New Roman" w:cs="Times New Roman"/>
                <w:sz w:val="24"/>
                <w:szCs w:val="24"/>
              </w:rPr>
              <w:t>) pavyko paskirstyti tik per maždaug 1,5 metų laikotarpį, o nemažą priemonės biudžeto dalį gavo ilgiau nei 3 metus Lietuvoje veikiantys investuotojai.</w:t>
            </w:r>
          </w:p>
        </w:tc>
        <w:tc>
          <w:tcPr>
            <w:tcW w:w="1701" w:type="dxa"/>
          </w:tcPr>
          <w:p w:rsidR="003C4FC2" w:rsidRDefault="0058244C" w:rsidP="00BA4AA2">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988" w:type="dxa"/>
          </w:tcPr>
          <w:p w:rsidR="003C4FC2" w:rsidRPr="000C424D" w:rsidRDefault="0058244C" w:rsidP="00ED2F3B">
            <w:pPr>
              <w:jc w:val="both"/>
              <w:rPr>
                <w:rFonts w:ascii="Times New Roman" w:hAnsi="Times New Roman" w:cs="Times New Roman"/>
                <w:sz w:val="24"/>
                <w:szCs w:val="24"/>
              </w:rPr>
            </w:pPr>
            <w:r w:rsidRPr="0058244C">
              <w:rPr>
                <w:rFonts w:ascii="Times New Roman" w:hAnsi="Times New Roman" w:cs="Times New Roman"/>
                <w:sz w:val="24"/>
                <w:szCs w:val="24"/>
              </w:rPr>
              <w:t>Didžiausia projektui galima skirti finansavimo lėšų suma</w:t>
            </w:r>
            <w:r w:rsidR="00A32E6A">
              <w:rPr>
                <w:rFonts w:ascii="Times New Roman" w:hAnsi="Times New Roman" w:cs="Times New Roman"/>
                <w:sz w:val="24"/>
                <w:szCs w:val="24"/>
              </w:rPr>
              <w:t xml:space="preserve"> nustatyta atsižvelgiant į šiuo metu įgyvendinamiems projektams vidutiniškai skiriamą sumą.</w:t>
            </w:r>
            <w:r w:rsidR="004A6EB6">
              <w:rPr>
                <w:rFonts w:ascii="Times New Roman" w:hAnsi="Times New Roman" w:cs="Times New Roman"/>
                <w:sz w:val="24"/>
                <w:szCs w:val="24"/>
              </w:rPr>
              <w:t xml:space="preserve"> Sumažinant didžiausią galimą skirti sumą, siekiama </w:t>
            </w:r>
            <w:r w:rsidR="004E4B39">
              <w:rPr>
                <w:rFonts w:ascii="Times New Roman" w:hAnsi="Times New Roman" w:cs="Times New Roman"/>
                <w:sz w:val="24"/>
                <w:szCs w:val="24"/>
              </w:rPr>
              <w:t>užtikrinti spartesnį projektų įgyvendinimą ir išvengti atvejų, kai dėl didelės projektų apimties ir sudėtingo administravimo</w:t>
            </w:r>
            <w:r w:rsidR="00ED2F3B">
              <w:rPr>
                <w:rFonts w:ascii="Times New Roman" w:hAnsi="Times New Roman" w:cs="Times New Roman"/>
                <w:sz w:val="24"/>
                <w:szCs w:val="24"/>
              </w:rPr>
              <w:t xml:space="preserve"> iki nustatyto termino</w:t>
            </w:r>
            <w:r w:rsidR="004E4B39">
              <w:rPr>
                <w:rFonts w:ascii="Times New Roman" w:hAnsi="Times New Roman" w:cs="Times New Roman"/>
                <w:sz w:val="24"/>
                <w:szCs w:val="24"/>
              </w:rPr>
              <w:t xml:space="preserve"> </w:t>
            </w:r>
            <w:r w:rsidR="00ED2F3B">
              <w:rPr>
                <w:rFonts w:ascii="Times New Roman" w:hAnsi="Times New Roman" w:cs="Times New Roman"/>
                <w:sz w:val="24"/>
                <w:szCs w:val="24"/>
              </w:rPr>
              <w:t>yra</w:t>
            </w:r>
            <w:r w:rsidR="004E4B39">
              <w:rPr>
                <w:rFonts w:ascii="Times New Roman" w:hAnsi="Times New Roman" w:cs="Times New Roman"/>
                <w:sz w:val="24"/>
                <w:szCs w:val="24"/>
              </w:rPr>
              <w:t xml:space="preserve"> nepanaudo</w:t>
            </w:r>
            <w:r w:rsidR="00ED2F3B">
              <w:rPr>
                <w:rFonts w:ascii="Times New Roman" w:hAnsi="Times New Roman" w:cs="Times New Roman"/>
                <w:sz w:val="24"/>
                <w:szCs w:val="24"/>
              </w:rPr>
              <w:t>jamos projektams</w:t>
            </w:r>
            <w:r w:rsidR="004E4B39">
              <w:rPr>
                <w:rFonts w:ascii="Times New Roman" w:hAnsi="Times New Roman" w:cs="Times New Roman"/>
                <w:sz w:val="24"/>
                <w:szCs w:val="24"/>
              </w:rPr>
              <w:t xml:space="preserve"> skirtos lėšos.</w:t>
            </w:r>
            <w:r w:rsidR="00543902">
              <w:rPr>
                <w:rFonts w:ascii="Times New Roman" w:hAnsi="Times New Roman" w:cs="Times New Roman"/>
                <w:sz w:val="24"/>
                <w:szCs w:val="24"/>
              </w:rPr>
              <w:t xml:space="preserve"> </w:t>
            </w:r>
          </w:p>
        </w:tc>
      </w:tr>
      <w:tr w:rsidR="00745DC2" w:rsidRPr="000C424D" w:rsidTr="00FF7166">
        <w:tc>
          <w:tcPr>
            <w:tcW w:w="2211" w:type="dxa"/>
          </w:tcPr>
          <w:p w:rsidR="003C4FC2" w:rsidRDefault="003C4FC2" w:rsidP="00BA4AA2">
            <w:pPr>
              <w:jc w:val="both"/>
              <w:rPr>
                <w:rFonts w:ascii="Times New Roman" w:hAnsi="Times New Roman" w:cs="Times New Roman"/>
                <w:sz w:val="24"/>
                <w:szCs w:val="24"/>
              </w:rPr>
            </w:pPr>
          </w:p>
        </w:tc>
        <w:tc>
          <w:tcPr>
            <w:tcW w:w="4588" w:type="dxa"/>
          </w:tcPr>
          <w:p w:rsidR="003C4FC2" w:rsidRPr="00E26AB0" w:rsidRDefault="001E5EA1" w:rsidP="00E26AB0">
            <w:pPr>
              <w:jc w:val="both"/>
              <w:rPr>
                <w:rFonts w:ascii="Times New Roman" w:eastAsia="Times New Roman" w:hAnsi="Times New Roman" w:cs="Times New Roman"/>
                <w:sz w:val="24"/>
                <w:szCs w:val="24"/>
              </w:rPr>
            </w:pPr>
            <w:r w:rsidRPr="001E5EA1">
              <w:rPr>
                <w:rFonts w:ascii="Times New Roman" w:eastAsia="Times New Roman" w:hAnsi="Times New Roman" w:cs="Times New Roman"/>
                <w:sz w:val="24"/>
                <w:szCs w:val="24"/>
              </w:rPr>
              <w:t>36. Aprašo 5.1 papunktyje nurodytos išlaidos apmokamos taikant privačių juridinių asmenų projektų vykdančiojo personalo bei dalyvių darbo užmokesčio fiksuotuosius įkainius,</w:t>
            </w:r>
            <w:r w:rsidR="00ED2F3B">
              <w:rPr>
                <w:rFonts w:ascii="Times New Roman" w:eastAsia="Times New Roman" w:hAnsi="Times New Roman" w:cs="Times New Roman"/>
                <w:sz w:val="24"/>
                <w:szCs w:val="24"/>
              </w:rPr>
              <w:t xml:space="preserve"> kurie nustatomi vadovaujantis </w:t>
            </w:r>
            <w:r w:rsidRPr="001E5EA1">
              <w:rPr>
                <w:rFonts w:ascii="Times New Roman" w:eastAsia="Times New Roman" w:hAnsi="Times New Roman" w:cs="Times New Roman"/>
                <w:sz w:val="24"/>
                <w:szCs w:val="24"/>
              </w:rPr>
              <w:t xml:space="preserve">„Privačių juridinių asmenų projektų vykdančiojo </w:t>
            </w:r>
            <w:r w:rsidRPr="001E5EA1">
              <w:rPr>
                <w:rFonts w:ascii="Times New Roman" w:eastAsia="Times New Roman" w:hAnsi="Times New Roman" w:cs="Times New Roman"/>
                <w:sz w:val="24"/>
                <w:szCs w:val="24"/>
              </w:rPr>
              <w:lastRenderedPageBreak/>
              <w:t>personalo bei dalyvių darbo užmokesčio fiksuotųjų įkainių nustatymo tyrimo ataskaita“, skelbiama ES struktūrinių fondų svetainėje http://www.esinvesticijos.lt/lt/dokumentai/supaprastinto-islaidu-apmokejimo-tyrimai.</w:t>
            </w:r>
          </w:p>
        </w:tc>
        <w:tc>
          <w:tcPr>
            <w:tcW w:w="3544" w:type="dxa"/>
          </w:tcPr>
          <w:p w:rsidR="003C4FC2" w:rsidRPr="0008237C" w:rsidRDefault="001E5EA1" w:rsidP="00BA4AA2">
            <w:pPr>
              <w:jc w:val="both"/>
              <w:rPr>
                <w:rFonts w:ascii="Times New Roman" w:hAnsi="Times New Roman" w:cs="Times New Roman"/>
                <w:sz w:val="24"/>
                <w:szCs w:val="24"/>
              </w:rPr>
            </w:pPr>
            <w:r w:rsidRPr="001E5EA1">
              <w:rPr>
                <w:rFonts w:ascii="Times New Roman" w:hAnsi="Times New Roman" w:cs="Times New Roman"/>
                <w:sz w:val="24"/>
                <w:szCs w:val="24"/>
              </w:rPr>
              <w:lastRenderedPageBreak/>
              <w:t>Vidiniai įmonių lektoriai, vedantys mokymus kitiems įmonės darbuotojams, paprastai turi aukštesnę kvalifikaciją ir jų darbo užmokestis yra didesnis nei ki</w:t>
            </w:r>
            <w:r w:rsidR="00745DC2">
              <w:rPr>
                <w:rFonts w:ascii="Times New Roman" w:hAnsi="Times New Roman" w:cs="Times New Roman"/>
                <w:sz w:val="24"/>
                <w:szCs w:val="24"/>
              </w:rPr>
              <w:t xml:space="preserve">tų darbuotojų. </w:t>
            </w:r>
            <w:r w:rsidRPr="001E5EA1">
              <w:rPr>
                <w:rFonts w:ascii="Times New Roman" w:hAnsi="Times New Roman" w:cs="Times New Roman"/>
                <w:sz w:val="24"/>
                <w:szCs w:val="24"/>
              </w:rPr>
              <w:t xml:space="preserve">Be to užsienio </w:t>
            </w:r>
            <w:r w:rsidRPr="001E5EA1">
              <w:rPr>
                <w:rFonts w:ascii="Times New Roman" w:hAnsi="Times New Roman" w:cs="Times New Roman"/>
                <w:sz w:val="24"/>
                <w:szCs w:val="24"/>
              </w:rPr>
              <w:lastRenderedPageBreak/>
              <w:t>investuotojų įmonės savo darbuotojams paprastai moka didesnį nei vidutinis darbo užmokestis. Todėl nelogiška ir netikslinga mokytojų darbo užmokesčio išlaidas apskaičiuoti pagal įkainius nustatytus vadovaujantis darbo užmokesčio Lietuvos Respublikos privačiame sektoriuje vidutiniais dydžiais. Atsižvelgiant į tai, siūlome šio reikalavimo atsisakyti ir mokytojų darbo užmokesčio išlaidas apskaičiuoti pagal faktines sąnaudas, kaip buvo numatyta ankstesnio šios priemonės kvietimo apraše.</w:t>
            </w:r>
          </w:p>
        </w:tc>
        <w:tc>
          <w:tcPr>
            <w:tcW w:w="1701" w:type="dxa"/>
          </w:tcPr>
          <w:p w:rsidR="003C4FC2" w:rsidRDefault="00ED2F3B" w:rsidP="00BA4AA2">
            <w:pPr>
              <w:jc w:val="both"/>
              <w:rPr>
                <w:rFonts w:ascii="Times New Roman" w:hAnsi="Times New Roman" w:cs="Times New Roman"/>
                <w:sz w:val="24"/>
                <w:szCs w:val="24"/>
              </w:rPr>
            </w:pPr>
            <w:r w:rsidRPr="00ED2F3B">
              <w:rPr>
                <w:rFonts w:ascii="Times New Roman" w:hAnsi="Times New Roman" w:cs="Times New Roman"/>
                <w:sz w:val="24"/>
                <w:szCs w:val="24"/>
              </w:rPr>
              <w:lastRenderedPageBreak/>
              <w:t>Neatsižvelgta</w:t>
            </w:r>
          </w:p>
        </w:tc>
        <w:tc>
          <w:tcPr>
            <w:tcW w:w="2988" w:type="dxa"/>
          </w:tcPr>
          <w:p w:rsidR="003C4FC2" w:rsidRPr="000C424D" w:rsidRDefault="002537ED" w:rsidP="008C34EE">
            <w:pPr>
              <w:jc w:val="both"/>
              <w:rPr>
                <w:rFonts w:ascii="Times New Roman" w:hAnsi="Times New Roman" w:cs="Times New Roman"/>
                <w:sz w:val="24"/>
                <w:szCs w:val="24"/>
              </w:rPr>
            </w:pPr>
            <w:r>
              <w:rPr>
                <w:rFonts w:ascii="Times New Roman" w:hAnsi="Times New Roman" w:cs="Times New Roman"/>
                <w:sz w:val="24"/>
                <w:szCs w:val="24"/>
              </w:rPr>
              <w:t xml:space="preserve">Fiksuotieji įkainiai taikomi siekiant </w:t>
            </w:r>
            <w:r w:rsidR="008C34EE">
              <w:rPr>
                <w:rFonts w:ascii="Times New Roman" w:hAnsi="Times New Roman" w:cs="Times New Roman"/>
                <w:sz w:val="24"/>
                <w:szCs w:val="24"/>
              </w:rPr>
              <w:t>sumažinti</w:t>
            </w:r>
            <w:r>
              <w:rPr>
                <w:rFonts w:ascii="Times New Roman" w:hAnsi="Times New Roman" w:cs="Times New Roman"/>
                <w:sz w:val="24"/>
                <w:szCs w:val="24"/>
              </w:rPr>
              <w:t xml:space="preserve"> administracinę naštą VšĮ Europos socialinio fondo </w:t>
            </w:r>
            <w:r w:rsidR="0051387E">
              <w:rPr>
                <w:rFonts w:ascii="Times New Roman" w:hAnsi="Times New Roman" w:cs="Times New Roman"/>
                <w:sz w:val="24"/>
                <w:szCs w:val="24"/>
              </w:rPr>
              <w:t xml:space="preserve">agentūrai ir </w:t>
            </w:r>
            <w:r>
              <w:rPr>
                <w:rFonts w:ascii="Times New Roman" w:hAnsi="Times New Roman" w:cs="Times New Roman"/>
                <w:sz w:val="24"/>
                <w:szCs w:val="24"/>
              </w:rPr>
              <w:t>projektų vykdytojams.</w:t>
            </w:r>
            <w:r w:rsidR="0051387E">
              <w:rPr>
                <w:rFonts w:ascii="Times New Roman" w:hAnsi="Times New Roman" w:cs="Times New Roman"/>
                <w:sz w:val="24"/>
                <w:szCs w:val="24"/>
              </w:rPr>
              <w:t xml:space="preserve"> Esant </w:t>
            </w:r>
            <w:r w:rsidR="0051387E">
              <w:rPr>
                <w:rFonts w:ascii="Times New Roman" w:hAnsi="Times New Roman" w:cs="Times New Roman"/>
                <w:sz w:val="24"/>
                <w:szCs w:val="24"/>
              </w:rPr>
              <w:lastRenderedPageBreak/>
              <w:t>poreikiui, t</w:t>
            </w:r>
            <w:r w:rsidR="00E653F5">
              <w:rPr>
                <w:rFonts w:ascii="Times New Roman" w:hAnsi="Times New Roman" w:cs="Times New Roman"/>
                <w:sz w:val="24"/>
                <w:szCs w:val="24"/>
              </w:rPr>
              <w:t>rūkstamą darbo užmokesčio dalį įmonių lektoriams gali mokėti įmonės, kuriose minėti lektoriai dirba.</w:t>
            </w:r>
            <w:r w:rsidR="0051387E">
              <w:rPr>
                <w:rFonts w:ascii="Times New Roman" w:hAnsi="Times New Roman" w:cs="Times New Roman"/>
                <w:sz w:val="24"/>
                <w:szCs w:val="24"/>
              </w:rPr>
              <w:t xml:space="preserve"> </w:t>
            </w:r>
          </w:p>
        </w:tc>
      </w:tr>
      <w:tr w:rsidR="00745DC2" w:rsidRPr="000C424D" w:rsidTr="00FF7166">
        <w:tc>
          <w:tcPr>
            <w:tcW w:w="2211" w:type="dxa"/>
          </w:tcPr>
          <w:p w:rsidR="003C4FC2" w:rsidRDefault="003C4FC2" w:rsidP="00BA4AA2">
            <w:pPr>
              <w:jc w:val="both"/>
              <w:rPr>
                <w:rFonts w:ascii="Times New Roman" w:hAnsi="Times New Roman" w:cs="Times New Roman"/>
                <w:sz w:val="24"/>
                <w:szCs w:val="24"/>
              </w:rPr>
            </w:pPr>
          </w:p>
        </w:tc>
        <w:tc>
          <w:tcPr>
            <w:tcW w:w="4588" w:type="dxa"/>
          </w:tcPr>
          <w:p w:rsidR="003C4FC2" w:rsidRPr="0008237C" w:rsidRDefault="00745DC2" w:rsidP="00BA4AA2">
            <w:pPr>
              <w:jc w:val="both"/>
              <w:rPr>
                <w:rFonts w:ascii="Times New Roman" w:hAnsi="Times New Roman" w:cs="Times New Roman"/>
                <w:sz w:val="24"/>
                <w:szCs w:val="24"/>
              </w:rPr>
            </w:pPr>
            <w:r w:rsidRPr="00745DC2">
              <w:rPr>
                <w:rFonts w:ascii="Times New Roman" w:hAnsi="Times New Roman" w:cs="Times New Roman"/>
                <w:sz w:val="24"/>
                <w:szCs w:val="24"/>
              </w:rPr>
              <w:t>43.6. aukščiausio lygio vadovų (įmonės generalinis, vykdantysis dir</w:t>
            </w:r>
            <w:r>
              <w:rPr>
                <w:rFonts w:ascii="Times New Roman" w:hAnsi="Times New Roman" w:cs="Times New Roman"/>
                <w:sz w:val="24"/>
                <w:szCs w:val="24"/>
              </w:rPr>
              <w:t>ektorius) ir pagrindinių veiklų</w:t>
            </w:r>
            <w:r w:rsidRPr="00745DC2">
              <w:rPr>
                <w:rFonts w:ascii="Times New Roman" w:hAnsi="Times New Roman" w:cs="Times New Roman"/>
                <w:sz w:val="24"/>
                <w:szCs w:val="24"/>
              </w:rPr>
              <w:t xml:space="preserve"> (gamybos, pardavimų, finansų, personalo valdymo, klientų aptarnavimo, informacinių technologijų ir pan.) vadovų mokymų išlaidos.</w:t>
            </w:r>
          </w:p>
        </w:tc>
        <w:tc>
          <w:tcPr>
            <w:tcW w:w="3544" w:type="dxa"/>
          </w:tcPr>
          <w:p w:rsidR="00745DC2" w:rsidRPr="00745DC2" w:rsidRDefault="00745DC2" w:rsidP="00745DC2">
            <w:pPr>
              <w:jc w:val="both"/>
              <w:rPr>
                <w:rFonts w:ascii="Times New Roman" w:hAnsi="Times New Roman" w:cs="Times New Roman"/>
                <w:sz w:val="24"/>
                <w:szCs w:val="24"/>
              </w:rPr>
            </w:pPr>
            <w:r w:rsidRPr="00745DC2">
              <w:rPr>
                <w:rFonts w:ascii="Times New Roman" w:hAnsi="Times New Roman" w:cs="Times New Roman"/>
                <w:sz w:val="24"/>
                <w:szCs w:val="24"/>
              </w:rPr>
              <w:t>Siūlome patikslinti šį punktą, numatant, kad mokymuose negali dalyvauti tik aukščiausio lygio vadovams tiesiogiai pavaldūs (atskaitingi) pagrindinių veiklų vadovai. Priešingu atveju toks reikalavimas apribos galimybę mokymuose dalyvauti žemiausios grandies vadovams, kuriems kvalifikacijos tobulinimas ir specifinių kompetencijų įgijimas yra labai aktualus.</w:t>
            </w:r>
          </w:p>
          <w:p w:rsidR="003C4FC2" w:rsidRPr="00F0094E" w:rsidRDefault="00745DC2" w:rsidP="00745DC2">
            <w:pPr>
              <w:jc w:val="both"/>
              <w:rPr>
                <w:rFonts w:ascii="Times New Roman" w:hAnsi="Times New Roman" w:cs="Times New Roman"/>
                <w:sz w:val="24"/>
                <w:szCs w:val="24"/>
              </w:rPr>
            </w:pPr>
            <w:r w:rsidRPr="00745DC2">
              <w:rPr>
                <w:rFonts w:ascii="Times New Roman" w:hAnsi="Times New Roman" w:cs="Times New Roman"/>
                <w:sz w:val="24"/>
                <w:szCs w:val="24"/>
              </w:rPr>
              <w:t xml:space="preserve">Taip pat siūlome numatyti, kad vadovų (įskaitant ir aukščiausio lygio) mokymų išlaidos yra tinkamos, jeigu šie darbuotojai įmonėje turi ir kitas pareigybes ir </w:t>
            </w:r>
            <w:r w:rsidRPr="00745DC2">
              <w:rPr>
                <w:rFonts w:ascii="Times New Roman" w:hAnsi="Times New Roman" w:cs="Times New Roman"/>
                <w:sz w:val="24"/>
                <w:szCs w:val="24"/>
              </w:rPr>
              <w:lastRenderedPageBreak/>
              <w:t>mokymai susiję su šioms papildomoms pareigoms atlikti reikalingų specifinių kompetencijų įgijimu.</w:t>
            </w:r>
          </w:p>
        </w:tc>
        <w:tc>
          <w:tcPr>
            <w:tcW w:w="1701" w:type="dxa"/>
          </w:tcPr>
          <w:p w:rsidR="003C4FC2" w:rsidRDefault="00702203" w:rsidP="00BA4AA2">
            <w:pPr>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988" w:type="dxa"/>
          </w:tcPr>
          <w:p w:rsidR="003C4FC2" w:rsidRPr="000C424D" w:rsidRDefault="00702203" w:rsidP="00E53E12">
            <w:pPr>
              <w:jc w:val="both"/>
              <w:rPr>
                <w:rFonts w:ascii="Times New Roman" w:hAnsi="Times New Roman" w:cs="Times New Roman"/>
                <w:sz w:val="24"/>
                <w:szCs w:val="24"/>
              </w:rPr>
            </w:pPr>
            <w:r>
              <w:rPr>
                <w:rFonts w:ascii="Times New Roman" w:hAnsi="Times New Roman" w:cs="Times New Roman"/>
                <w:sz w:val="24"/>
                <w:szCs w:val="24"/>
              </w:rPr>
              <w:t>Reikalavimas nustatytas vadovaujantis Europos Komisijos audito</w:t>
            </w:r>
            <w:r w:rsidR="00357B41">
              <w:rPr>
                <w:rFonts w:ascii="Times New Roman" w:hAnsi="Times New Roman" w:cs="Times New Roman"/>
                <w:sz w:val="24"/>
                <w:szCs w:val="24"/>
              </w:rPr>
              <w:t xml:space="preserve"> metu gautomis rekomendacijomis</w:t>
            </w:r>
            <w:r w:rsidR="00DD3611">
              <w:rPr>
                <w:rFonts w:ascii="Times New Roman" w:hAnsi="Times New Roman" w:cs="Times New Roman"/>
                <w:sz w:val="24"/>
                <w:szCs w:val="24"/>
              </w:rPr>
              <w:t xml:space="preserve"> dėl priemonės „Žmogiškieji ištekliai LT+“, pagal kurias vadovų m</w:t>
            </w:r>
            <w:r w:rsidR="00EC1AD9">
              <w:rPr>
                <w:rFonts w:ascii="Times New Roman" w:hAnsi="Times New Roman" w:cs="Times New Roman"/>
                <w:sz w:val="24"/>
                <w:szCs w:val="24"/>
              </w:rPr>
              <w:t>okymus įmonės turėtų finansuoti</w:t>
            </w:r>
            <w:r w:rsidR="00DD3611">
              <w:rPr>
                <w:rFonts w:ascii="Times New Roman" w:hAnsi="Times New Roman" w:cs="Times New Roman"/>
                <w:sz w:val="24"/>
                <w:szCs w:val="24"/>
              </w:rPr>
              <w:t xml:space="preserve"> savomis lėšomis.</w:t>
            </w:r>
            <w:r w:rsidR="00357B41">
              <w:rPr>
                <w:rFonts w:ascii="Times New Roman" w:hAnsi="Times New Roman" w:cs="Times New Roman"/>
                <w:sz w:val="24"/>
                <w:szCs w:val="24"/>
              </w:rPr>
              <w:t xml:space="preserve"> </w:t>
            </w:r>
            <w:r w:rsidR="00256F7F" w:rsidRPr="00256F7F">
              <w:rPr>
                <w:rFonts w:ascii="Times New Roman" w:hAnsi="Times New Roman" w:cs="Times New Roman"/>
                <w:sz w:val="24"/>
                <w:szCs w:val="24"/>
              </w:rPr>
              <w:t xml:space="preserve">Be to, Ekonomikos ir inovacijų ministerijos užsakymu atliktame Europos Sąjungos fondų investicijų veiksmų programos 9 prioriteto konkretaus uždavinio „Padidinti dirbančių žmogiškųjų išteklių konkurencingumą, </w:t>
            </w:r>
            <w:r w:rsidR="00256F7F" w:rsidRPr="00256F7F">
              <w:rPr>
                <w:rFonts w:ascii="Times New Roman" w:hAnsi="Times New Roman" w:cs="Times New Roman"/>
                <w:sz w:val="24"/>
                <w:szCs w:val="24"/>
              </w:rPr>
              <w:lastRenderedPageBreak/>
              <w:t>užtikrinant galimybes prisitaikyti prie ūkio poreikių“ įgyvendinimo pažangos vertinime pabrėžiama, kad ir be ES struktūrinių fondų paramos Lietuvoje veikiančios užsienio investuotojų įmonės investuotų į savo darbuotojų mokymą</w:t>
            </w:r>
            <w:r w:rsidR="00256F7F">
              <w:rPr>
                <w:rFonts w:ascii="Times New Roman" w:hAnsi="Times New Roman" w:cs="Times New Roman"/>
                <w:sz w:val="24"/>
                <w:szCs w:val="24"/>
              </w:rPr>
              <w:t xml:space="preserve">. </w:t>
            </w:r>
            <w:r w:rsidR="00EC1AD9">
              <w:rPr>
                <w:rFonts w:ascii="Times New Roman" w:hAnsi="Times New Roman" w:cs="Times New Roman"/>
                <w:sz w:val="24"/>
                <w:szCs w:val="24"/>
              </w:rPr>
              <w:t>Taip pat norėtume atkreipti dėmesį, kad vertinant pirmojo kvietimo</w:t>
            </w:r>
            <w:r w:rsidR="00E53E12">
              <w:rPr>
                <w:rFonts w:ascii="Times New Roman" w:hAnsi="Times New Roman" w:cs="Times New Roman"/>
                <w:sz w:val="24"/>
                <w:szCs w:val="24"/>
              </w:rPr>
              <w:t xml:space="preserve"> metu</w:t>
            </w:r>
            <w:r w:rsidR="00EC1AD9">
              <w:rPr>
                <w:rFonts w:ascii="Times New Roman" w:hAnsi="Times New Roman" w:cs="Times New Roman"/>
                <w:sz w:val="24"/>
                <w:szCs w:val="24"/>
              </w:rPr>
              <w:t xml:space="preserve"> gautas paraiškas, </w:t>
            </w:r>
            <w:r w:rsidR="00E53E12">
              <w:rPr>
                <w:rFonts w:ascii="Times New Roman" w:hAnsi="Times New Roman" w:cs="Times New Roman"/>
                <w:sz w:val="24"/>
                <w:szCs w:val="24"/>
              </w:rPr>
              <w:t>pasitaikė</w:t>
            </w:r>
            <w:r w:rsidR="00EC1AD9">
              <w:rPr>
                <w:rFonts w:ascii="Times New Roman" w:hAnsi="Times New Roman" w:cs="Times New Roman"/>
                <w:sz w:val="24"/>
                <w:szCs w:val="24"/>
              </w:rPr>
              <w:t xml:space="preserve"> nemažai atvejų, kai dėl </w:t>
            </w:r>
            <w:r w:rsidR="002D023E">
              <w:rPr>
                <w:rFonts w:ascii="Times New Roman" w:hAnsi="Times New Roman" w:cs="Times New Roman"/>
                <w:sz w:val="24"/>
                <w:szCs w:val="24"/>
              </w:rPr>
              <w:t xml:space="preserve">netipinės įmonių struktūros vadovų pavaldumą objektyviai įvertinti </w:t>
            </w:r>
            <w:r w:rsidR="00E53E12">
              <w:rPr>
                <w:rFonts w:ascii="Times New Roman" w:hAnsi="Times New Roman" w:cs="Times New Roman"/>
                <w:sz w:val="24"/>
                <w:szCs w:val="24"/>
              </w:rPr>
              <w:t xml:space="preserve">buvo labai sudėtinga, todėl </w:t>
            </w:r>
            <w:r w:rsidR="00D10C38">
              <w:rPr>
                <w:rFonts w:ascii="Times New Roman" w:hAnsi="Times New Roman" w:cs="Times New Roman"/>
                <w:sz w:val="24"/>
                <w:szCs w:val="24"/>
              </w:rPr>
              <w:t>siekiama, kad nepriklausomai nuo įmonės struktūros visiems pareiškėjams būtų taikomos vienodos projektų finan</w:t>
            </w:r>
            <w:bookmarkStart w:id="0" w:name="_GoBack"/>
            <w:bookmarkEnd w:id="0"/>
            <w:r w:rsidR="00D10C38">
              <w:rPr>
                <w:rFonts w:ascii="Times New Roman" w:hAnsi="Times New Roman" w:cs="Times New Roman"/>
                <w:sz w:val="24"/>
                <w:szCs w:val="24"/>
              </w:rPr>
              <w:t>savimo sąlygos.</w:t>
            </w:r>
          </w:p>
        </w:tc>
      </w:tr>
    </w:tbl>
    <w:p w:rsidR="008567F7" w:rsidRPr="00D01ED2" w:rsidRDefault="008567F7" w:rsidP="00745DC2"/>
    <w:sectPr w:rsidR="008567F7" w:rsidRPr="00D01ED2" w:rsidSect="00D01ED2">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561B"/>
    <w:multiLevelType w:val="hybridMultilevel"/>
    <w:tmpl w:val="300833D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0E51692"/>
    <w:multiLevelType w:val="hybridMultilevel"/>
    <w:tmpl w:val="BC1E6526"/>
    <w:lvl w:ilvl="0" w:tplc="F798144A">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C42C31"/>
    <w:multiLevelType w:val="hybridMultilevel"/>
    <w:tmpl w:val="42B232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83D7E30"/>
    <w:multiLevelType w:val="hybridMultilevel"/>
    <w:tmpl w:val="29F62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AA5F56"/>
    <w:multiLevelType w:val="hybridMultilevel"/>
    <w:tmpl w:val="6A58503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D2"/>
    <w:rsid w:val="00000D4E"/>
    <w:rsid w:val="0008237C"/>
    <w:rsid w:val="00112821"/>
    <w:rsid w:val="001409D9"/>
    <w:rsid w:val="0014619A"/>
    <w:rsid w:val="001D198D"/>
    <w:rsid w:val="001E5EA1"/>
    <w:rsid w:val="00203A91"/>
    <w:rsid w:val="002537ED"/>
    <w:rsid w:val="00256F7F"/>
    <w:rsid w:val="002D023E"/>
    <w:rsid w:val="003117A7"/>
    <w:rsid w:val="00325AF3"/>
    <w:rsid w:val="00357B41"/>
    <w:rsid w:val="00380B23"/>
    <w:rsid w:val="003A323D"/>
    <w:rsid w:val="003C4FC2"/>
    <w:rsid w:val="0044526D"/>
    <w:rsid w:val="0048437B"/>
    <w:rsid w:val="004A6EB6"/>
    <w:rsid w:val="004C5302"/>
    <w:rsid w:val="004E4B39"/>
    <w:rsid w:val="004F7BBA"/>
    <w:rsid w:val="0051387E"/>
    <w:rsid w:val="00537A5C"/>
    <w:rsid w:val="00543902"/>
    <w:rsid w:val="005670D8"/>
    <w:rsid w:val="00580D88"/>
    <w:rsid w:val="0058244C"/>
    <w:rsid w:val="005D2446"/>
    <w:rsid w:val="005D5899"/>
    <w:rsid w:val="0069041C"/>
    <w:rsid w:val="006F13E9"/>
    <w:rsid w:val="00702203"/>
    <w:rsid w:val="00716B6E"/>
    <w:rsid w:val="00745DC2"/>
    <w:rsid w:val="00765D15"/>
    <w:rsid w:val="007D0036"/>
    <w:rsid w:val="008567F7"/>
    <w:rsid w:val="008A3429"/>
    <w:rsid w:val="008C34EE"/>
    <w:rsid w:val="008C4785"/>
    <w:rsid w:val="008E7AE0"/>
    <w:rsid w:val="00916ACD"/>
    <w:rsid w:val="00990065"/>
    <w:rsid w:val="009B0558"/>
    <w:rsid w:val="009B130D"/>
    <w:rsid w:val="00A32E6A"/>
    <w:rsid w:val="00A379F4"/>
    <w:rsid w:val="00A436E8"/>
    <w:rsid w:val="00AA21FF"/>
    <w:rsid w:val="00AB7CF8"/>
    <w:rsid w:val="00B00F9E"/>
    <w:rsid w:val="00B404C5"/>
    <w:rsid w:val="00B87FE4"/>
    <w:rsid w:val="00BE2FEA"/>
    <w:rsid w:val="00C0149C"/>
    <w:rsid w:val="00C25AA4"/>
    <w:rsid w:val="00C76317"/>
    <w:rsid w:val="00CF2049"/>
    <w:rsid w:val="00D01ED2"/>
    <w:rsid w:val="00D10C38"/>
    <w:rsid w:val="00D23E74"/>
    <w:rsid w:val="00D80C59"/>
    <w:rsid w:val="00DD3611"/>
    <w:rsid w:val="00E00830"/>
    <w:rsid w:val="00E26AB0"/>
    <w:rsid w:val="00E401CD"/>
    <w:rsid w:val="00E53E12"/>
    <w:rsid w:val="00E653F5"/>
    <w:rsid w:val="00E97723"/>
    <w:rsid w:val="00EA477D"/>
    <w:rsid w:val="00EC1AD9"/>
    <w:rsid w:val="00ED2F3B"/>
    <w:rsid w:val="00F0094E"/>
    <w:rsid w:val="00F247DD"/>
    <w:rsid w:val="00F71917"/>
    <w:rsid w:val="00FE448A"/>
    <w:rsid w:val="00FF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608A"/>
  <w15:chartTrackingRefBased/>
  <w15:docId w15:val="{98C7B13F-BDC7-49BA-B64D-8F6F9FAB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6478</Words>
  <Characters>3694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3</cp:revision>
  <dcterms:created xsi:type="dcterms:W3CDTF">2019-05-06T10:58:00Z</dcterms:created>
  <dcterms:modified xsi:type="dcterms:W3CDTF">2019-05-07T07:48:00Z</dcterms:modified>
</cp:coreProperties>
</file>