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18275" w14:textId="04ABD041" w:rsidR="00792899" w:rsidRPr="00A9198C" w:rsidRDefault="00792899" w:rsidP="00792899">
      <w:pPr>
        <w:pStyle w:val="prastasis"/>
        <w:jc w:val="center"/>
        <w:rPr>
          <w:rFonts w:ascii="Times New Roman" w:hAnsi="Times New Roman" w:cs="Times New Roman"/>
          <w:b/>
          <w:sz w:val="24"/>
          <w:szCs w:val="24"/>
          <w:lang w:val="lt-LT"/>
        </w:rPr>
      </w:pPr>
      <w:bookmarkStart w:id="0" w:name="_GoBack"/>
      <w:bookmarkEnd w:id="0"/>
      <w:r w:rsidRPr="00A9198C">
        <w:rPr>
          <w:rFonts w:ascii="Times New Roman" w:hAnsi="Times New Roman" w:cs="Times New Roman"/>
          <w:b/>
          <w:sz w:val="24"/>
          <w:szCs w:val="24"/>
          <w:lang w:val="lt-LT"/>
        </w:rPr>
        <w:t>SOCIALINIŲ IR EKONOMINIŲ PARTNERIŲ PATEIK</w:t>
      </w:r>
      <w:r w:rsidR="008E26C8">
        <w:rPr>
          <w:rFonts w:ascii="Times New Roman" w:hAnsi="Times New Roman" w:cs="Times New Roman"/>
          <w:b/>
          <w:sz w:val="24"/>
          <w:szCs w:val="24"/>
          <w:lang w:val="lt-LT"/>
        </w:rPr>
        <w:t>TŲ PASTABŲ IR PASIŪLYMŲ KEIČIAMAM</w:t>
      </w:r>
      <w:r w:rsidRPr="00A9198C">
        <w:rPr>
          <w:rFonts w:ascii="Times New Roman" w:hAnsi="Times New Roman" w:cs="Times New Roman"/>
          <w:b/>
          <w:sz w:val="24"/>
          <w:szCs w:val="24"/>
          <w:lang w:val="lt-LT"/>
        </w:rPr>
        <w:t xml:space="preserve"> </w:t>
      </w:r>
    </w:p>
    <w:p w14:paraId="60F6B72A" w14:textId="77777777" w:rsidR="00792899" w:rsidRPr="00A9198C" w:rsidRDefault="00792899" w:rsidP="00792899">
      <w:pPr>
        <w:pStyle w:val="prastasis"/>
        <w:jc w:val="center"/>
        <w:rPr>
          <w:rFonts w:ascii="Times New Roman" w:hAnsi="Times New Roman" w:cs="Times New Roman"/>
          <w:b/>
          <w:sz w:val="24"/>
          <w:szCs w:val="24"/>
          <w:lang w:val="lt-LT"/>
        </w:rPr>
      </w:pPr>
      <w:r w:rsidRPr="00A9198C">
        <w:rPr>
          <w:rFonts w:ascii="Times New Roman" w:hAnsi="Times New Roman" w:cs="Times New Roman"/>
          <w:b/>
          <w:sz w:val="24"/>
          <w:szCs w:val="24"/>
          <w:lang w:val="lt-LT"/>
        </w:rPr>
        <w:t xml:space="preserve">2014–2020 METŲ EUROPOS SĄJUNGOS FONDŲ INVESTICIJŲ VEIKSMŲ PROGRAMOS </w:t>
      </w:r>
    </w:p>
    <w:p w14:paraId="73DDBF6A" w14:textId="77777777" w:rsidR="00792899" w:rsidRPr="00A9198C" w:rsidRDefault="00792899" w:rsidP="00792899">
      <w:pPr>
        <w:pStyle w:val="prastasis"/>
        <w:jc w:val="center"/>
        <w:rPr>
          <w:rFonts w:ascii="Times New Roman" w:hAnsi="Times New Roman" w:cs="Times New Roman"/>
          <w:b/>
          <w:caps/>
          <w:sz w:val="24"/>
          <w:szCs w:val="24"/>
          <w:lang w:val="lt-LT"/>
        </w:rPr>
      </w:pPr>
      <w:r w:rsidRPr="00A9198C">
        <w:rPr>
          <w:rFonts w:ascii="Times New Roman" w:hAnsi="Times New Roman" w:cs="Times New Roman"/>
          <w:b/>
          <w:sz w:val="24"/>
          <w:szCs w:val="24"/>
          <w:lang w:val="lt-LT"/>
        </w:rPr>
        <w:t>1 PRIORITETO</w:t>
      </w:r>
      <w:r w:rsidRPr="00A9198C">
        <w:rPr>
          <w:rFonts w:ascii="Times New Roman" w:hAnsi="Times New Roman" w:cs="Times New Roman"/>
          <w:b/>
          <w:caps/>
          <w:sz w:val="24"/>
          <w:szCs w:val="24"/>
          <w:lang w:val="lt-LT"/>
        </w:rPr>
        <w:t xml:space="preserve"> „Mokslinių tyrimų, eksperimentinės plėtros ir inovacijų skatinimas“ </w:t>
      </w:r>
    </w:p>
    <w:p w14:paraId="1D053AB3" w14:textId="1487A034" w:rsidR="00792899" w:rsidRPr="003C180C" w:rsidRDefault="00792899" w:rsidP="00792899">
      <w:pPr>
        <w:pStyle w:val="prastasis"/>
        <w:jc w:val="center"/>
        <w:rPr>
          <w:rFonts w:ascii="Times New Roman" w:hAnsi="Times New Roman" w:cs="Times New Roman"/>
          <w:b/>
          <w:sz w:val="24"/>
          <w:szCs w:val="24"/>
          <w:lang w:val="de-DE"/>
        </w:rPr>
      </w:pPr>
      <w:r w:rsidRPr="00A9198C">
        <w:rPr>
          <w:rFonts w:ascii="Times New Roman" w:hAnsi="Times New Roman" w:cs="Times New Roman"/>
          <w:b/>
          <w:caps/>
          <w:sz w:val="24"/>
          <w:szCs w:val="24"/>
          <w:lang w:val="lt-LT"/>
        </w:rPr>
        <w:t>PRIEMONĖS NR. 01.2.1-LVPA-T-848 „smart fdi“ P</w:t>
      </w:r>
      <w:r w:rsidRPr="00A9198C">
        <w:rPr>
          <w:rFonts w:ascii="Times New Roman" w:hAnsi="Times New Roman" w:cs="Times New Roman"/>
          <w:b/>
          <w:sz w:val="24"/>
          <w:szCs w:val="24"/>
          <w:lang w:val="lt-LT"/>
        </w:rPr>
        <w:t xml:space="preserve">ROJEKTŲ </w:t>
      </w:r>
      <w:r w:rsidR="008E26C8">
        <w:rPr>
          <w:rFonts w:ascii="Times New Roman" w:hAnsi="Times New Roman" w:cs="Times New Roman"/>
          <w:b/>
          <w:sz w:val="24"/>
          <w:szCs w:val="24"/>
          <w:lang w:val="lt-LT"/>
        </w:rPr>
        <w:t>FINANSAVIMO SĄLYGŲ APRAŠUI</w:t>
      </w:r>
    </w:p>
    <w:p w14:paraId="6CA99BCC" w14:textId="303D2BD6" w:rsidR="00792899" w:rsidRDefault="00792899" w:rsidP="00792899">
      <w:pPr>
        <w:pStyle w:val="prastasis"/>
        <w:jc w:val="center"/>
        <w:rPr>
          <w:rFonts w:ascii="Times New Roman" w:hAnsi="Times New Roman" w:cs="Times New Roman"/>
          <w:b/>
          <w:sz w:val="24"/>
          <w:szCs w:val="24"/>
        </w:rPr>
      </w:pPr>
      <w:r w:rsidRPr="00A9198C">
        <w:rPr>
          <w:rFonts w:ascii="Times New Roman" w:hAnsi="Times New Roman" w:cs="Times New Roman"/>
          <w:b/>
          <w:sz w:val="24"/>
          <w:szCs w:val="24"/>
        </w:rPr>
        <w:t>VERTINIMAS</w:t>
      </w:r>
    </w:p>
    <w:p w14:paraId="35C7759A" w14:textId="3FF76C03" w:rsidR="00001E08" w:rsidRDefault="00001E08" w:rsidP="00792899">
      <w:pPr>
        <w:pStyle w:val="prastasis"/>
        <w:jc w:val="center"/>
        <w:rPr>
          <w:rFonts w:ascii="Times New Roman" w:hAnsi="Times New Roman" w:cs="Times New Roman"/>
          <w:b/>
          <w:sz w:val="24"/>
          <w:szCs w:val="24"/>
        </w:rPr>
      </w:pPr>
    </w:p>
    <w:tbl>
      <w:tblPr>
        <w:tblStyle w:val="TableGrid"/>
        <w:tblpPr w:leftFromText="180" w:rightFromText="180" w:vertAnchor="text" w:horzAnchor="margin" w:tblpY="94"/>
        <w:tblW w:w="15276" w:type="dxa"/>
        <w:tblLayout w:type="fixed"/>
        <w:tblLook w:val="04A0" w:firstRow="1" w:lastRow="0" w:firstColumn="1" w:lastColumn="0" w:noHBand="0" w:noVBand="1"/>
      </w:tblPr>
      <w:tblGrid>
        <w:gridCol w:w="675"/>
        <w:gridCol w:w="1785"/>
        <w:gridCol w:w="1192"/>
        <w:gridCol w:w="5387"/>
        <w:gridCol w:w="1842"/>
        <w:gridCol w:w="4395"/>
      </w:tblGrid>
      <w:tr w:rsidR="00001E08" w:rsidRPr="000C6855" w14:paraId="3F55373B" w14:textId="77777777" w:rsidTr="00FE70E3">
        <w:trPr>
          <w:trHeight w:val="550"/>
        </w:trPr>
        <w:tc>
          <w:tcPr>
            <w:tcW w:w="675" w:type="dxa"/>
          </w:tcPr>
          <w:p w14:paraId="60AE9FBC" w14:textId="77777777" w:rsidR="00001E08" w:rsidRPr="000C6855" w:rsidRDefault="00001E08" w:rsidP="00FE70E3">
            <w:pPr>
              <w:rPr>
                <w:rFonts w:ascii="Times New Roman" w:hAnsi="Times New Roman" w:cs="Times New Roman"/>
                <w:b/>
                <w:sz w:val="24"/>
                <w:szCs w:val="24"/>
              </w:rPr>
            </w:pPr>
            <w:r>
              <w:rPr>
                <w:rFonts w:ascii="Times New Roman" w:hAnsi="Times New Roman" w:cs="Times New Roman"/>
                <w:b/>
                <w:sz w:val="24"/>
                <w:szCs w:val="24"/>
              </w:rPr>
              <w:t>Nr.</w:t>
            </w:r>
          </w:p>
        </w:tc>
        <w:tc>
          <w:tcPr>
            <w:tcW w:w="1785" w:type="dxa"/>
          </w:tcPr>
          <w:p w14:paraId="2632D607" w14:textId="77777777" w:rsidR="00001E08" w:rsidRDefault="00001E08" w:rsidP="00FE70E3">
            <w:pPr>
              <w:rPr>
                <w:rFonts w:ascii="Times New Roman" w:hAnsi="Times New Roman" w:cs="Times New Roman"/>
                <w:b/>
                <w:sz w:val="24"/>
                <w:szCs w:val="24"/>
              </w:rPr>
            </w:pPr>
            <w:r w:rsidRPr="00CE399E">
              <w:rPr>
                <w:rFonts w:ascii="Times New Roman" w:hAnsi="Times New Roman" w:cs="Times New Roman"/>
                <w:b/>
                <w:sz w:val="24"/>
                <w:szCs w:val="24"/>
              </w:rPr>
              <w:t>Pastabas/</w:t>
            </w:r>
            <w:r>
              <w:rPr>
                <w:rFonts w:ascii="Times New Roman" w:hAnsi="Times New Roman" w:cs="Times New Roman"/>
                <w:b/>
                <w:sz w:val="24"/>
                <w:szCs w:val="24"/>
              </w:rPr>
              <w:t xml:space="preserve"> </w:t>
            </w:r>
            <w:r w:rsidRPr="00CE399E">
              <w:rPr>
                <w:rFonts w:ascii="Times New Roman" w:hAnsi="Times New Roman" w:cs="Times New Roman"/>
                <w:b/>
                <w:sz w:val="24"/>
                <w:szCs w:val="24"/>
              </w:rPr>
              <w:t>pasiūlymus teikianti institucija/</w:t>
            </w:r>
          </w:p>
          <w:p w14:paraId="07497F25" w14:textId="77777777" w:rsidR="00001E08" w:rsidRPr="00CE399E" w:rsidRDefault="00001E08" w:rsidP="00FE70E3">
            <w:pPr>
              <w:rPr>
                <w:rFonts w:ascii="Times New Roman" w:hAnsi="Times New Roman" w:cs="Times New Roman"/>
                <w:b/>
                <w:sz w:val="24"/>
                <w:szCs w:val="24"/>
              </w:rPr>
            </w:pPr>
            <w:r w:rsidRPr="00CE399E">
              <w:rPr>
                <w:rFonts w:ascii="Times New Roman" w:hAnsi="Times New Roman" w:cs="Times New Roman"/>
                <w:b/>
                <w:sz w:val="24"/>
                <w:szCs w:val="24"/>
              </w:rPr>
              <w:t>asmuo</w:t>
            </w:r>
          </w:p>
        </w:tc>
        <w:tc>
          <w:tcPr>
            <w:tcW w:w="1192" w:type="dxa"/>
          </w:tcPr>
          <w:p w14:paraId="299F758D" w14:textId="77777777" w:rsidR="00001E08" w:rsidRPr="000C6855" w:rsidRDefault="00001E08" w:rsidP="00FE70E3">
            <w:pPr>
              <w:rPr>
                <w:rFonts w:ascii="Times New Roman" w:hAnsi="Times New Roman" w:cs="Times New Roman"/>
                <w:b/>
                <w:sz w:val="24"/>
                <w:szCs w:val="24"/>
              </w:rPr>
            </w:pPr>
            <w:r>
              <w:rPr>
                <w:rFonts w:ascii="Times New Roman" w:hAnsi="Times New Roman" w:cs="Times New Roman"/>
                <w:b/>
                <w:sz w:val="24"/>
                <w:szCs w:val="24"/>
              </w:rPr>
              <w:t>PFSA p</w:t>
            </w:r>
            <w:r w:rsidRPr="00CE399E">
              <w:rPr>
                <w:rFonts w:ascii="Times New Roman" w:hAnsi="Times New Roman" w:cs="Times New Roman"/>
                <w:b/>
                <w:sz w:val="24"/>
                <w:szCs w:val="24"/>
              </w:rPr>
              <w:t>unkto numeris</w:t>
            </w:r>
          </w:p>
        </w:tc>
        <w:tc>
          <w:tcPr>
            <w:tcW w:w="5387" w:type="dxa"/>
          </w:tcPr>
          <w:p w14:paraId="656D6428" w14:textId="77777777" w:rsidR="00001E08" w:rsidRPr="000C6855" w:rsidRDefault="00001E08" w:rsidP="00FE70E3">
            <w:pPr>
              <w:rPr>
                <w:rFonts w:ascii="Times New Roman" w:hAnsi="Times New Roman" w:cs="Times New Roman"/>
                <w:b/>
                <w:sz w:val="24"/>
                <w:szCs w:val="24"/>
              </w:rPr>
            </w:pPr>
            <w:r w:rsidRPr="00CE399E">
              <w:rPr>
                <w:rFonts w:ascii="Times New Roman" w:hAnsi="Times New Roman" w:cs="Times New Roman"/>
                <w:b/>
                <w:sz w:val="24"/>
                <w:szCs w:val="24"/>
              </w:rPr>
              <w:t>Pastabos ir (ar) pasiūlymai</w:t>
            </w:r>
          </w:p>
        </w:tc>
        <w:tc>
          <w:tcPr>
            <w:tcW w:w="1842" w:type="dxa"/>
          </w:tcPr>
          <w:p w14:paraId="30A84CBE" w14:textId="314D12B1" w:rsidR="00001E08" w:rsidRPr="000C6855" w:rsidRDefault="00001E08" w:rsidP="00FE70E3">
            <w:pPr>
              <w:rPr>
                <w:rFonts w:ascii="Times New Roman" w:hAnsi="Times New Roman" w:cs="Times New Roman"/>
                <w:b/>
                <w:sz w:val="24"/>
                <w:szCs w:val="24"/>
              </w:rPr>
            </w:pPr>
            <w:r>
              <w:rPr>
                <w:rFonts w:ascii="Times New Roman" w:hAnsi="Times New Roman" w:cs="Times New Roman"/>
                <w:b/>
                <w:sz w:val="24"/>
                <w:szCs w:val="24"/>
              </w:rPr>
              <w:t>Ekonomikos ir inovacijų ministerijos (toliau – EIM) pozicija</w:t>
            </w:r>
          </w:p>
        </w:tc>
        <w:tc>
          <w:tcPr>
            <w:tcW w:w="4395" w:type="dxa"/>
          </w:tcPr>
          <w:p w14:paraId="4394D251" w14:textId="13BCC056" w:rsidR="00001E08" w:rsidRPr="000C6855" w:rsidRDefault="00001E08" w:rsidP="00FE70E3">
            <w:pPr>
              <w:rPr>
                <w:rFonts w:ascii="Times New Roman" w:hAnsi="Times New Roman" w:cs="Times New Roman"/>
                <w:b/>
                <w:sz w:val="24"/>
                <w:szCs w:val="24"/>
              </w:rPr>
            </w:pPr>
            <w:r>
              <w:rPr>
                <w:rFonts w:ascii="Times New Roman" w:hAnsi="Times New Roman" w:cs="Times New Roman"/>
                <w:b/>
                <w:sz w:val="24"/>
                <w:szCs w:val="24"/>
              </w:rPr>
              <w:t>EIM komentaras</w:t>
            </w:r>
          </w:p>
        </w:tc>
      </w:tr>
      <w:tr w:rsidR="00001E08" w:rsidRPr="000C6855" w14:paraId="49BADE68" w14:textId="77777777" w:rsidTr="00C309D2">
        <w:trPr>
          <w:trHeight w:val="3838"/>
        </w:trPr>
        <w:tc>
          <w:tcPr>
            <w:tcW w:w="675" w:type="dxa"/>
          </w:tcPr>
          <w:p w14:paraId="4A74A145" w14:textId="5A7B38D6" w:rsidR="00001E08" w:rsidRPr="00C309D2" w:rsidRDefault="00001E08" w:rsidP="00FE70E3">
            <w:pPr>
              <w:rPr>
                <w:rFonts w:ascii="Times New Roman" w:hAnsi="Times New Roman" w:cs="Times New Roman"/>
                <w:sz w:val="24"/>
                <w:szCs w:val="24"/>
              </w:rPr>
            </w:pPr>
            <w:r w:rsidRPr="00C309D2">
              <w:rPr>
                <w:rFonts w:ascii="Times New Roman" w:hAnsi="Times New Roman" w:cs="Times New Roman"/>
                <w:sz w:val="24"/>
                <w:szCs w:val="24"/>
              </w:rPr>
              <w:t xml:space="preserve">1. </w:t>
            </w:r>
          </w:p>
        </w:tc>
        <w:tc>
          <w:tcPr>
            <w:tcW w:w="1785" w:type="dxa"/>
          </w:tcPr>
          <w:p w14:paraId="775BA01E" w14:textId="281B9E7B" w:rsidR="00001E08" w:rsidRPr="00001E08" w:rsidRDefault="00001E08" w:rsidP="00FE70E3">
            <w:pPr>
              <w:rPr>
                <w:rFonts w:ascii="Times New Roman" w:hAnsi="Times New Roman" w:cs="Times New Roman"/>
                <w:sz w:val="24"/>
                <w:szCs w:val="24"/>
              </w:rPr>
            </w:pPr>
            <w:r w:rsidRPr="00001E08">
              <w:rPr>
                <w:rFonts w:ascii="Times New Roman" w:hAnsi="Times New Roman" w:cs="Times New Roman"/>
                <w:sz w:val="24"/>
                <w:szCs w:val="24"/>
              </w:rPr>
              <w:t>Romas Ramanauskas</w:t>
            </w:r>
          </w:p>
        </w:tc>
        <w:tc>
          <w:tcPr>
            <w:tcW w:w="1192" w:type="dxa"/>
          </w:tcPr>
          <w:p w14:paraId="111A86C1" w14:textId="1B0F0F92" w:rsidR="00001E08" w:rsidRPr="00761813" w:rsidRDefault="00761813" w:rsidP="00FE70E3">
            <w:pPr>
              <w:rPr>
                <w:rFonts w:ascii="Times New Roman" w:hAnsi="Times New Roman" w:cs="Times New Roman"/>
                <w:sz w:val="24"/>
                <w:szCs w:val="24"/>
              </w:rPr>
            </w:pPr>
            <w:r w:rsidRPr="00761813">
              <w:rPr>
                <w:rFonts w:ascii="Times New Roman" w:hAnsi="Times New Roman" w:cs="Times New Roman"/>
                <w:sz w:val="24"/>
                <w:szCs w:val="24"/>
              </w:rPr>
              <w:t>23.4</w:t>
            </w:r>
          </w:p>
        </w:tc>
        <w:tc>
          <w:tcPr>
            <w:tcW w:w="5387" w:type="dxa"/>
          </w:tcPr>
          <w:p w14:paraId="39938C68" w14:textId="32507176" w:rsidR="00761813" w:rsidRPr="00761813" w:rsidRDefault="003E2A8D" w:rsidP="00761813">
            <w:pPr>
              <w:jc w:val="both"/>
              <w:rPr>
                <w:rFonts w:ascii="Times New Roman" w:hAnsi="Times New Roman" w:cs="Times New Roman"/>
                <w:sz w:val="24"/>
                <w:szCs w:val="24"/>
              </w:rPr>
            </w:pPr>
            <w:r>
              <w:rPr>
                <w:rFonts w:ascii="Times New Roman" w:hAnsi="Times New Roman" w:cs="Times New Roman"/>
                <w:sz w:val="24"/>
                <w:szCs w:val="24"/>
              </w:rPr>
              <w:t>Manome, kad ankstesnių</w:t>
            </w:r>
            <w:r w:rsidR="00761813" w:rsidRPr="00761813">
              <w:rPr>
                <w:rFonts w:ascii="Times New Roman" w:hAnsi="Times New Roman" w:cs="Times New Roman"/>
                <w:sz w:val="24"/>
                <w:szCs w:val="24"/>
              </w:rPr>
              <w:t xml:space="preserve"> potencialaus parei</w:t>
            </w:r>
            <w:r w:rsidR="00BF746F">
              <w:rPr>
                <w:rFonts w:ascii="Times New Roman" w:hAnsi="Times New Roman" w:cs="Times New Roman"/>
                <w:sz w:val="24"/>
                <w:szCs w:val="24"/>
              </w:rPr>
              <w:t>š</w:t>
            </w:r>
            <w:r w:rsidR="00761813" w:rsidRPr="00761813">
              <w:rPr>
                <w:rFonts w:ascii="Times New Roman" w:hAnsi="Times New Roman" w:cs="Times New Roman"/>
                <w:sz w:val="24"/>
                <w:szCs w:val="24"/>
              </w:rPr>
              <w:t>k</w:t>
            </w:r>
            <w:r w:rsidR="00BF746F">
              <w:rPr>
                <w:rFonts w:ascii="Times New Roman" w:hAnsi="Times New Roman" w:cs="Times New Roman"/>
                <w:sz w:val="24"/>
                <w:szCs w:val="24"/>
              </w:rPr>
              <w:t>ėjo investicijų</w:t>
            </w:r>
            <w:r w:rsidR="00761813" w:rsidRPr="00761813">
              <w:rPr>
                <w:rFonts w:ascii="Times New Roman" w:hAnsi="Times New Roman" w:cs="Times New Roman"/>
                <w:sz w:val="24"/>
                <w:szCs w:val="24"/>
              </w:rPr>
              <w:t xml:space="preserve"> laikotarpio apriboj</w:t>
            </w:r>
            <w:r w:rsidR="00BF746F">
              <w:rPr>
                <w:rFonts w:ascii="Times New Roman" w:hAnsi="Times New Roman" w:cs="Times New Roman"/>
                <w:sz w:val="24"/>
                <w:szCs w:val="24"/>
              </w:rPr>
              <w:t>imas ir reikalavimas, kad pareiškėjas nebūtų vykdęs MTEP veiklų</w:t>
            </w:r>
            <w:r w:rsidR="00761813" w:rsidRPr="00761813">
              <w:rPr>
                <w:rFonts w:ascii="Times New Roman" w:hAnsi="Times New Roman" w:cs="Times New Roman"/>
                <w:sz w:val="24"/>
                <w:szCs w:val="24"/>
              </w:rPr>
              <w:t xml:space="preserve"> Lietuvoje, diskriminuoja Lietuvoje ilgus metus veikian</w:t>
            </w:r>
            <w:r w:rsidR="00BF746F">
              <w:rPr>
                <w:rFonts w:ascii="Times New Roman" w:hAnsi="Times New Roman" w:cs="Times New Roman"/>
                <w:sz w:val="24"/>
                <w:szCs w:val="24"/>
              </w:rPr>
              <w:t>č</w:t>
            </w:r>
            <w:r w:rsidR="00761813" w:rsidRPr="00761813">
              <w:rPr>
                <w:rFonts w:ascii="Times New Roman" w:hAnsi="Times New Roman" w:cs="Times New Roman"/>
                <w:sz w:val="24"/>
                <w:szCs w:val="24"/>
              </w:rPr>
              <w:t>ias u</w:t>
            </w:r>
            <w:r w:rsidR="00BF746F">
              <w:rPr>
                <w:rFonts w:ascii="Times New Roman" w:hAnsi="Times New Roman" w:cs="Times New Roman"/>
                <w:sz w:val="24"/>
                <w:szCs w:val="24"/>
              </w:rPr>
              <w:t>ž</w:t>
            </w:r>
            <w:r w:rsidR="00761813" w:rsidRPr="00761813">
              <w:rPr>
                <w:rFonts w:ascii="Times New Roman" w:hAnsi="Times New Roman" w:cs="Times New Roman"/>
                <w:sz w:val="24"/>
                <w:szCs w:val="24"/>
              </w:rPr>
              <w:t xml:space="preserve">sienio </w:t>
            </w:r>
            <w:r w:rsidR="00BF746F">
              <w:rPr>
                <w:rFonts w:ascii="Times New Roman" w:hAnsi="Times New Roman" w:cs="Times New Roman"/>
                <w:sz w:val="24"/>
                <w:szCs w:val="24"/>
              </w:rPr>
              <w:t>į</w:t>
            </w:r>
            <w:r w:rsidR="00761813" w:rsidRPr="00761813">
              <w:rPr>
                <w:rFonts w:ascii="Times New Roman" w:hAnsi="Times New Roman" w:cs="Times New Roman"/>
                <w:sz w:val="24"/>
                <w:szCs w:val="24"/>
              </w:rPr>
              <w:t xml:space="preserve">mones, </w:t>
            </w:r>
            <w:r w:rsidR="00BF746F">
              <w:rPr>
                <w:rFonts w:ascii="Times New Roman" w:hAnsi="Times New Roman" w:cs="Times New Roman"/>
                <w:sz w:val="24"/>
                <w:szCs w:val="24"/>
              </w:rPr>
              <w:t>kurios savo investicijomis jau į</w:t>
            </w:r>
            <w:r w:rsidR="00761813" w:rsidRPr="00761813">
              <w:rPr>
                <w:rFonts w:ascii="Times New Roman" w:hAnsi="Times New Roman" w:cs="Times New Roman"/>
                <w:sz w:val="24"/>
                <w:szCs w:val="24"/>
              </w:rPr>
              <w:t>rod</w:t>
            </w:r>
            <w:r w:rsidR="00BF746F">
              <w:rPr>
                <w:rFonts w:ascii="Times New Roman" w:hAnsi="Times New Roman" w:cs="Times New Roman"/>
                <w:sz w:val="24"/>
                <w:szCs w:val="24"/>
              </w:rPr>
              <w:t>ė</w:t>
            </w:r>
            <w:r w:rsidR="00761813" w:rsidRPr="00761813">
              <w:rPr>
                <w:rFonts w:ascii="Times New Roman" w:hAnsi="Times New Roman" w:cs="Times New Roman"/>
                <w:sz w:val="24"/>
                <w:szCs w:val="24"/>
              </w:rPr>
              <w:t>, kad tvariai investavo Lietuvoje ir prakti</w:t>
            </w:r>
            <w:r w:rsidR="00BF746F">
              <w:rPr>
                <w:rFonts w:ascii="Times New Roman" w:hAnsi="Times New Roman" w:cs="Times New Roman"/>
                <w:sz w:val="24"/>
                <w:szCs w:val="24"/>
              </w:rPr>
              <w:t>š</w:t>
            </w:r>
            <w:r w:rsidR="00761813" w:rsidRPr="00761813">
              <w:rPr>
                <w:rFonts w:ascii="Times New Roman" w:hAnsi="Times New Roman" w:cs="Times New Roman"/>
                <w:sz w:val="24"/>
                <w:szCs w:val="24"/>
              </w:rPr>
              <w:t>kai demonstruoja realiai vykdomas MTEP ir gamybos veiklas Lietuvoje.</w:t>
            </w:r>
          </w:p>
          <w:p w14:paraId="6C7E51E9" w14:textId="35C43BDC" w:rsidR="00761813" w:rsidRPr="00761813" w:rsidRDefault="00761813" w:rsidP="00BF746F">
            <w:pPr>
              <w:jc w:val="both"/>
              <w:rPr>
                <w:rFonts w:ascii="Times New Roman" w:hAnsi="Times New Roman" w:cs="Times New Roman"/>
                <w:sz w:val="24"/>
                <w:szCs w:val="24"/>
              </w:rPr>
            </w:pPr>
            <w:r w:rsidRPr="00761813">
              <w:rPr>
                <w:rFonts w:ascii="Times New Roman" w:hAnsi="Times New Roman" w:cs="Times New Roman"/>
                <w:sz w:val="24"/>
                <w:szCs w:val="24"/>
              </w:rPr>
              <w:t xml:space="preserve">Yra </w:t>
            </w:r>
            <w:r w:rsidR="00BF746F">
              <w:rPr>
                <w:rFonts w:ascii="Times New Roman" w:hAnsi="Times New Roman" w:cs="Times New Roman"/>
                <w:sz w:val="24"/>
                <w:szCs w:val="24"/>
              </w:rPr>
              <w:t>įmonių</w:t>
            </w:r>
            <w:r w:rsidRPr="00761813">
              <w:rPr>
                <w:rFonts w:ascii="Times New Roman" w:hAnsi="Times New Roman" w:cs="Times New Roman"/>
                <w:sz w:val="24"/>
                <w:szCs w:val="24"/>
              </w:rPr>
              <w:t xml:space="preserve"> Lietuvoje, kurios pasirengusios pasinaudoti </w:t>
            </w:r>
            <w:r w:rsidR="00BF746F">
              <w:rPr>
                <w:rFonts w:ascii="Times New Roman" w:hAnsi="Times New Roman" w:cs="Times New Roman"/>
                <w:sz w:val="24"/>
                <w:szCs w:val="24"/>
              </w:rPr>
              <w:t>š</w:t>
            </w:r>
            <w:r w:rsidRPr="00761813">
              <w:rPr>
                <w:rFonts w:ascii="Times New Roman" w:hAnsi="Times New Roman" w:cs="Times New Roman"/>
                <w:sz w:val="24"/>
                <w:szCs w:val="24"/>
              </w:rPr>
              <w:t xml:space="preserve">ia priemone ir investuoti ne viena ir ne </w:t>
            </w:r>
            <w:r w:rsidR="00BF746F">
              <w:rPr>
                <w:rFonts w:ascii="Times New Roman" w:hAnsi="Times New Roman" w:cs="Times New Roman"/>
                <w:sz w:val="24"/>
                <w:szCs w:val="24"/>
              </w:rPr>
              <w:t>kelis milijonus eurų</w:t>
            </w:r>
            <w:r w:rsidRPr="00761813">
              <w:rPr>
                <w:rFonts w:ascii="Times New Roman" w:hAnsi="Times New Roman" w:cs="Times New Roman"/>
                <w:sz w:val="24"/>
                <w:szCs w:val="24"/>
              </w:rPr>
              <w:t xml:space="preserve"> ilgalaik</w:t>
            </w:r>
            <w:r w:rsidR="00BF746F">
              <w:rPr>
                <w:rFonts w:ascii="Times New Roman" w:hAnsi="Times New Roman" w:cs="Times New Roman"/>
                <w:sz w:val="24"/>
                <w:szCs w:val="24"/>
              </w:rPr>
              <w:t>ė</w:t>
            </w:r>
            <w:r w:rsidRPr="00761813">
              <w:rPr>
                <w:rFonts w:ascii="Times New Roman" w:hAnsi="Times New Roman" w:cs="Times New Roman"/>
                <w:sz w:val="24"/>
                <w:szCs w:val="24"/>
              </w:rPr>
              <w:t>ms MTEP veikloms Lietuvoje, ta</w:t>
            </w:r>
            <w:r w:rsidR="00BF746F">
              <w:rPr>
                <w:rFonts w:ascii="Times New Roman" w:hAnsi="Times New Roman" w:cs="Times New Roman"/>
                <w:sz w:val="24"/>
                <w:szCs w:val="24"/>
              </w:rPr>
              <w:t>č</w:t>
            </w:r>
            <w:r w:rsidRPr="00761813">
              <w:rPr>
                <w:rFonts w:ascii="Times New Roman" w:hAnsi="Times New Roman" w:cs="Times New Roman"/>
                <w:sz w:val="24"/>
                <w:szCs w:val="24"/>
              </w:rPr>
              <w:t>iau toks apribojimas u</w:t>
            </w:r>
            <w:r w:rsidR="00BF746F">
              <w:rPr>
                <w:rFonts w:ascii="Times New Roman" w:hAnsi="Times New Roman" w:cs="Times New Roman"/>
                <w:sz w:val="24"/>
                <w:szCs w:val="24"/>
              </w:rPr>
              <w:t>ž</w:t>
            </w:r>
            <w:r w:rsidRPr="00761813">
              <w:rPr>
                <w:rFonts w:ascii="Times New Roman" w:hAnsi="Times New Roman" w:cs="Times New Roman"/>
                <w:sz w:val="24"/>
                <w:szCs w:val="24"/>
              </w:rPr>
              <w:t>kerta joms keli</w:t>
            </w:r>
            <w:r w:rsidR="00BF746F">
              <w:rPr>
                <w:rFonts w:ascii="Times New Roman" w:hAnsi="Times New Roman" w:cs="Times New Roman"/>
                <w:sz w:val="24"/>
                <w:szCs w:val="24"/>
              </w:rPr>
              <w:t>ą</w:t>
            </w:r>
            <w:r w:rsidRPr="00761813">
              <w:rPr>
                <w:rFonts w:ascii="Times New Roman" w:hAnsi="Times New Roman" w:cs="Times New Roman"/>
                <w:sz w:val="24"/>
                <w:szCs w:val="24"/>
              </w:rPr>
              <w:t xml:space="preserve"> dalyvauti tokiuose projektuose.</w:t>
            </w:r>
          </w:p>
          <w:p w14:paraId="41B0444C" w14:textId="2A55C98E" w:rsidR="00001E08" w:rsidRPr="00761813" w:rsidRDefault="00BF746F" w:rsidP="00C309D2">
            <w:pPr>
              <w:rPr>
                <w:rFonts w:ascii="Times New Roman" w:hAnsi="Times New Roman" w:cs="Times New Roman"/>
                <w:sz w:val="24"/>
                <w:szCs w:val="24"/>
              </w:rPr>
            </w:pPr>
            <w:r>
              <w:rPr>
                <w:rFonts w:ascii="Times New Roman" w:hAnsi="Times New Roman" w:cs="Times New Roman"/>
                <w:sz w:val="24"/>
                <w:szCs w:val="24"/>
              </w:rPr>
              <w:t>Mūsų</w:t>
            </w:r>
            <w:r w:rsidR="00761813" w:rsidRPr="00761813">
              <w:rPr>
                <w:rFonts w:ascii="Times New Roman" w:hAnsi="Times New Roman" w:cs="Times New Roman"/>
                <w:sz w:val="24"/>
                <w:szCs w:val="24"/>
              </w:rPr>
              <w:t xml:space="preserve"> nuomone</w:t>
            </w:r>
            <w:r>
              <w:rPr>
                <w:rFonts w:ascii="Times New Roman" w:hAnsi="Times New Roman" w:cs="Times New Roman"/>
                <w:sz w:val="24"/>
                <w:szCs w:val="24"/>
              </w:rPr>
              <w:t>, šį punktą reikėtų</w:t>
            </w:r>
            <w:r w:rsidR="00761813" w:rsidRPr="00761813">
              <w:rPr>
                <w:rFonts w:ascii="Times New Roman" w:hAnsi="Times New Roman" w:cs="Times New Roman"/>
                <w:sz w:val="24"/>
                <w:szCs w:val="24"/>
              </w:rPr>
              <w:t xml:space="preserve"> visai panaikinti.</w:t>
            </w:r>
          </w:p>
        </w:tc>
        <w:tc>
          <w:tcPr>
            <w:tcW w:w="1842" w:type="dxa"/>
          </w:tcPr>
          <w:p w14:paraId="2238FB91" w14:textId="647C8DD1" w:rsidR="00001E08" w:rsidRPr="00AC245F" w:rsidRDefault="001B53F3" w:rsidP="00FE70E3">
            <w:pPr>
              <w:rPr>
                <w:rFonts w:ascii="Times New Roman" w:hAnsi="Times New Roman" w:cs="Times New Roman"/>
                <w:sz w:val="24"/>
                <w:szCs w:val="24"/>
              </w:rPr>
            </w:pPr>
            <w:r>
              <w:rPr>
                <w:rFonts w:ascii="Times New Roman" w:hAnsi="Times New Roman" w:cs="Times New Roman"/>
                <w:sz w:val="24"/>
                <w:szCs w:val="24"/>
              </w:rPr>
              <w:t>Neatsižvelgta.</w:t>
            </w:r>
          </w:p>
        </w:tc>
        <w:tc>
          <w:tcPr>
            <w:tcW w:w="4395" w:type="dxa"/>
          </w:tcPr>
          <w:p w14:paraId="7F17A8FD" w14:textId="6EAB4C5D" w:rsidR="00001E08" w:rsidRPr="001B53F3" w:rsidRDefault="001B53F3" w:rsidP="009155F2">
            <w:pPr>
              <w:jc w:val="both"/>
              <w:rPr>
                <w:rFonts w:ascii="Times New Roman" w:hAnsi="Times New Roman" w:cs="Times New Roman"/>
                <w:sz w:val="24"/>
                <w:szCs w:val="24"/>
              </w:rPr>
            </w:pPr>
            <w:r>
              <w:rPr>
                <w:rFonts w:ascii="Times New Roman" w:hAnsi="Times New Roman" w:cs="Times New Roman"/>
                <w:sz w:val="24"/>
                <w:szCs w:val="24"/>
              </w:rPr>
              <w:t xml:space="preserve">Atkreiptinas dėmesys, kad </w:t>
            </w:r>
            <w:r w:rsidR="0010538D">
              <w:rPr>
                <w:rFonts w:ascii="Times New Roman" w:hAnsi="Times New Roman" w:cs="Times New Roman"/>
                <w:sz w:val="24"/>
                <w:szCs w:val="24"/>
              </w:rPr>
              <w:t xml:space="preserve">priemonės tikslas yra </w:t>
            </w:r>
            <w:r w:rsidR="0010538D" w:rsidRPr="0010538D">
              <w:rPr>
                <w:rFonts w:ascii="Times New Roman" w:hAnsi="Times New Roman" w:cs="Times New Roman"/>
                <w:sz w:val="24"/>
                <w:szCs w:val="24"/>
              </w:rPr>
              <w:t>pritraukti į Lietuvos Respubliką mokslinių tyrimų ir (ar) eksperimentinės plėtros ir inovacijų (toliau – MTE</w:t>
            </w:r>
            <w:r w:rsidR="0010538D">
              <w:rPr>
                <w:rFonts w:ascii="Times New Roman" w:hAnsi="Times New Roman" w:cs="Times New Roman"/>
                <w:sz w:val="24"/>
                <w:szCs w:val="24"/>
              </w:rPr>
              <w:t xml:space="preserve">PI) srities užsienio investicijas. Dėl šios priežasties priemonė yra orientuota į </w:t>
            </w:r>
            <w:r w:rsidR="0010538D" w:rsidRPr="009155F2">
              <w:rPr>
                <w:rFonts w:ascii="Times New Roman" w:hAnsi="Times New Roman" w:cs="Times New Roman"/>
                <w:b/>
                <w:sz w:val="24"/>
                <w:szCs w:val="24"/>
              </w:rPr>
              <w:t>nauj</w:t>
            </w:r>
            <w:r w:rsidR="009155F2" w:rsidRPr="009155F2">
              <w:rPr>
                <w:rFonts w:ascii="Times New Roman" w:hAnsi="Times New Roman" w:cs="Times New Roman"/>
                <w:b/>
                <w:sz w:val="24"/>
                <w:szCs w:val="24"/>
              </w:rPr>
              <w:t>as</w:t>
            </w:r>
            <w:r w:rsidR="009155F2" w:rsidRPr="009155F2">
              <w:rPr>
                <w:rFonts w:ascii="Times New Roman" w:hAnsi="Times New Roman" w:cs="Times New Roman"/>
                <w:sz w:val="24"/>
                <w:szCs w:val="24"/>
                <w:u w:val="single"/>
              </w:rPr>
              <w:t xml:space="preserve"> </w:t>
            </w:r>
            <w:r w:rsidR="009155F2">
              <w:rPr>
                <w:rFonts w:ascii="Times New Roman" w:hAnsi="Times New Roman" w:cs="Times New Roman"/>
                <w:sz w:val="24"/>
                <w:szCs w:val="24"/>
              </w:rPr>
              <w:t>investicijas MTEPI srityje.</w:t>
            </w:r>
            <w:r w:rsidR="0010538D">
              <w:rPr>
                <w:rFonts w:ascii="Times New Roman" w:hAnsi="Times New Roman" w:cs="Times New Roman"/>
                <w:sz w:val="24"/>
                <w:szCs w:val="24"/>
              </w:rPr>
              <w:t xml:space="preserve"> </w:t>
            </w:r>
            <w:r w:rsidR="009155F2">
              <w:rPr>
                <w:rFonts w:ascii="Times New Roman" w:hAnsi="Times New Roman" w:cs="Times New Roman"/>
                <w:sz w:val="24"/>
                <w:szCs w:val="24"/>
              </w:rPr>
              <w:t>Įmonės, kurios jau yra investavusios Lietuvoje į MTEPI sritį, gali dalyvauti kitų 1 priemonių kvietimuose (pvz., priemonė „Intelektas. Bendri mokslo–verslo projektai“</w:t>
            </w:r>
            <w:r w:rsidR="00E62A4E">
              <w:rPr>
                <w:rFonts w:ascii="Times New Roman" w:hAnsi="Times New Roman" w:cs="Times New Roman"/>
                <w:sz w:val="24"/>
                <w:szCs w:val="24"/>
              </w:rPr>
              <w:t>, būsima priemonė „Eksperimentas“</w:t>
            </w:r>
            <w:r w:rsidR="009155F2">
              <w:rPr>
                <w:rFonts w:ascii="Times New Roman" w:hAnsi="Times New Roman" w:cs="Times New Roman"/>
                <w:sz w:val="24"/>
                <w:szCs w:val="24"/>
              </w:rPr>
              <w:t xml:space="preserve"> savo veiklomis</w:t>
            </w:r>
            <w:r w:rsidR="00E62A4E">
              <w:rPr>
                <w:rFonts w:ascii="Times New Roman" w:hAnsi="Times New Roman" w:cs="Times New Roman"/>
                <w:sz w:val="24"/>
                <w:szCs w:val="24"/>
              </w:rPr>
              <w:t xml:space="preserve"> yra analogiškos priemonei „</w:t>
            </w:r>
            <w:proofErr w:type="spellStart"/>
            <w:r w:rsidR="00E62A4E">
              <w:rPr>
                <w:rFonts w:ascii="Times New Roman" w:hAnsi="Times New Roman" w:cs="Times New Roman"/>
                <w:sz w:val="24"/>
                <w:szCs w:val="24"/>
              </w:rPr>
              <w:t>Smart</w:t>
            </w:r>
            <w:proofErr w:type="spellEnd"/>
            <w:r w:rsidR="00E62A4E">
              <w:rPr>
                <w:rFonts w:ascii="Times New Roman" w:hAnsi="Times New Roman" w:cs="Times New Roman"/>
                <w:sz w:val="24"/>
                <w:szCs w:val="24"/>
              </w:rPr>
              <w:t xml:space="preserve"> FDI“). Su visomis EIM administruojamomis priemonėmis galite susipažinti ministerijos interneto svetainėje </w:t>
            </w:r>
            <w:hyperlink r:id="rId6" w:history="1">
              <w:r w:rsidR="00E62A4E" w:rsidRPr="00836458">
                <w:rPr>
                  <w:rStyle w:val="Hyperlink"/>
                  <w:rFonts w:ascii="Times New Roman" w:hAnsi="Times New Roman" w:cs="Times New Roman"/>
                  <w:sz w:val="24"/>
                  <w:szCs w:val="24"/>
                </w:rPr>
                <w:t>www.eimin.lt</w:t>
              </w:r>
            </w:hyperlink>
            <w:r w:rsidR="00E62A4E">
              <w:rPr>
                <w:rFonts w:ascii="Times New Roman" w:hAnsi="Times New Roman" w:cs="Times New Roman"/>
                <w:sz w:val="24"/>
                <w:szCs w:val="24"/>
              </w:rPr>
              <w:t xml:space="preserve">. </w:t>
            </w:r>
            <w:r w:rsidR="009155F2">
              <w:rPr>
                <w:rFonts w:ascii="Times New Roman" w:hAnsi="Times New Roman" w:cs="Times New Roman"/>
                <w:sz w:val="24"/>
                <w:szCs w:val="24"/>
              </w:rPr>
              <w:t xml:space="preserve"> </w:t>
            </w:r>
          </w:p>
        </w:tc>
      </w:tr>
      <w:tr w:rsidR="00C309D2" w:rsidRPr="000C6855" w14:paraId="71CEC8D5" w14:textId="77777777" w:rsidTr="00FE70E3">
        <w:trPr>
          <w:trHeight w:val="550"/>
        </w:trPr>
        <w:tc>
          <w:tcPr>
            <w:tcW w:w="675" w:type="dxa"/>
          </w:tcPr>
          <w:p w14:paraId="4F6410E6" w14:textId="0E06F95B" w:rsidR="00C309D2" w:rsidRPr="00C309D2" w:rsidRDefault="00C309D2" w:rsidP="00FE70E3">
            <w:pPr>
              <w:rPr>
                <w:rFonts w:ascii="Times New Roman" w:hAnsi="Times New Roman" w:cs="Times New Roman"/>
                <w:sz w:val="24"/>
                <w:szCs w:val="24"/>
              </w:rPr>
            </w:pPr>
            <w:r w:rsidRPr="00C309D2">
              <w:rPr>
                <w:rFonts w:ascii="Times New Roman" w:hAnsi="Times New Roman" w:cs="Times New Roman"/>
                <w:sz w:val="24"/>
                <w:szCs w:val="24"/>
              </w:rPr>
              <w:t>2.</w:t>
            </w:r>
          </w:p>
        </w:tc>
        <w:tc>
          <w:tcPr>
            <w:tcW w:w="1785" w:type="dxa"/>
          </w:tcPr>
          <w:p w14:paraId="26A9877D" w14:textId="77777777" w:rsidR="00C309D2" w:rsidRDefault="00C309D2" w:rsidP="00FE70E3">
            <w:pPr>
              <w:rPr>
                <w:rFonts w:ascii="Times New Roman" w:hAnsi="Times New Roman" w:cs="Times New Roman"/>
                <w:sz w:val="24"/>
                <w:szCs w:val="24"/>
              </w:rPr>
            </w:pPr>
            <w:r>
              <w:rPr>
                <w:rFonts w:ascii="Times New Roman" w:hAnsi="Times New Roman" w:cs="Times New Roman"/>
                <w:sz w:val="24"/>
                <w:szCs w:val="24"/>
              </w:rPr>
              <w:t>UAB „</w:t>
            </w:r>
            <w:proofErr w:type="spellStart"/>
            <w:r>
              <w:rPr>
                <w:rFonts w:ascii="Times New Roman" w:hAnsi="Times New Roman" w:cs="Times New Roman"/>
                <w:sz w:val="24"/>
                <w:szCs w:val="24"/>
              </w:rPr>
              <w:t>Valoe</w:t>
            </w:r>
            <w:proofErr w:type="spellEnd"/>
            <w:r>
              <w:rPr>
                <w:rFonts w:ascii="Times New Roman" w:hAnsi="Times New Roman" w:cs="Times New Roman"/>
                <w:sz w:val="24"/>
                <w:szCs w:val="24"/>
              </w:rPr>
              <w:t>“</w:t>
            </w:r>
          </w:p>
          <w:p w14:paraId="4CE91ABA" w14:textId="3D66AA8C" w:rsidR="00C309D2" w:rsidRPr="00001E08" w:rsidRDefault="00C309D2" w:rsidP="00C309D2">
            <w:pPr>
              <w:rPr>
                <w:rFonts w:ascii="Times New Roman" w:hAnsi="Times New Roman" w:cs="Times New Roman"/>
                <w:sz w:val="24"/>
                <w:szCs w:val="24"/>
              </w:rPr>
            </w:pPr>
          </w:p>
        </w:tc>
        <w:tc>
          <w:tcPr>
            <w:tcW w:w="1192" w:type="dxa"/>
          </w:tcPr>
          <w:p w14:paraId="25B31CE0" w14:textId="1990503B" w:rsidR="00C309D2" w:rsidRPr="00761813" w:rsidRDefault="00C309D2" w:rsidP="00FE70E3">
            <w:pPr>
              <w:rPr>
                <w:rFonts w:ascii="Times New Roman" w:hAnsi="Times New Roman" w:cs="Times New Roman"/>
                <w:sz w:val="24"/>
                <w:szCs w:val="24"/>
              </w:rPr>
            </w:pPr>
            <w:r>
              <w:rPr>
                <w:rFonts w:ascii="Times New Roman" w:hAnsi="Times New Roman" w:cs="Times New Roman"/>
                <w:sz w:val="24"/>
                <w:szCs w:val="24"/>
              </w:rPr>
              <w:t>23.6</w:t>
            </w:r>
          </w:p>
        </w:tc>
        <w:tc>
          <w:tcPr>
            <w:tcW w:w="5387" w:type="dxa"/>
          </w:tcPr>
          <w:p w14:paraId="6B1B777B" w14:textId="2D6BCFFF" w:rsidR="00C309D2" w:rsidRPr="00887BED" w:rsidRDefault="00C309D2" w:rsidP="00887BED">
            <w:pPr>
              <w:jc w:val="both"/>
              <w:rPr>
                <w:rFonts w:ascii="Times New Roman" w:hAnsi="Times New Roman" w:cs="Times New Roman"/>
                <w:sz w:val="24"/>
                <w:szCs w:val="24"/>
              </w:rPr>
            </w:pPr>
            <w:r w:rsidRPr="00887BED">
              <w:rPr>
                <w:rFonts w:ascii="Times New Roman" w:hAnsi="Times New Roman" w:cs="Times New Roman"/>
                <w:sz w:val="24"/>
                <w:szCs w:val="24"/>
              </w:rPr>
              <w:t>Manome, kad šis punktas diskriminuoja tas įmones, kurios nors būdamos ir mažesnės</w:t>
            </w:r>
            <w:r w:rsidR="00887BED">
              <w:rPr>
                <w:rFonts w:ascii="Times New Roman" w:hAnsi="Times New Roman" w:cs="Times New Roman"/>
                <w:sz w:val="24"/>
                <w:szCs w:val="24"/>
              </w:rPr>
              <w:t>,</w:t>
            </w:r>
            <w:r w:rsidRPr="00887BED">
              <w:rPr>
                <w:rFonts w:ascii="Times New Roman" w:hAnsi="Times New Roman" w:cs="Times New Roman"/>
                <w:sz w:val="24"/>
                <w:szCs w:val="24"/>
              </w:rPr>
              <w:t xml:space="preserve"> vykdo realias investicijas Lietuvoje. Pagal aprašą gaunasi situacija, kad užsienio investuotojas</w:t>
            </w:r>
            <w:r w:rsidR="00887BED">
              <w:rPr>
                <w:rFonts w:ascii="Times New Roman" w:hAnsi="Times New Roman" w:cs="Times New Roman"/>
                <w:sz w:val="24"/>
                <w:szCs w:val="24"/>
              </w:rPr>
              <w:t>,</w:t>
            </w:r>
            <w:r w:rsidRPr="00887BED">
              <w:rPr>
                <w:rFonts w:ascii="Times New Roman" w:hAnsi="Times New Roman" w:cs="Times New Roman"/>
                <w:sz w:val="24"/>
                <w:szCs w:val="24"/>
              </w:rPr>
              <w:t xml:space="preserve"> turėdamas didelę apyvartą ir įsteigęs įmonę, su minimaliu įstatiniu kapitalu, yra svarbesnis už tą užsienio investuotoją, kuris MTEP išlaidoms skiria daug didesnes sumas, tačiau galbūt dar nėra pasiekęs 1 000 000 </w:t>
            </w:r>
            <w:proofErr w:type="spellStart"/>
            <w:r w:rsidRPr="00887BED">
              <w:rPr>
                <w:rFonts w:ascii="Times New Roman" w:hAnsi="Times New Roman" w:cs="Times New Roman"/>
                <w:sz w:val="24"/>
                <w:szCs w:val="24"/>
              </w:rPr>
              <w:t>Eur</w:t>
            </w:r>
            <w:proofErr w:type="spellEnd"/>
            <w:r w:rsidRPr="00887BED">
              <w:rPr>
                <w:rFonts w:ascii="Times New Roman" w:hAnsi="Times New Roman" w:cs="Times New Roman"/>
                <w:sz w:val="24"/>
                <w:szCs w:val="24"/>
              </w:rPr>
              <w:t xml:space="preserve"> apyvartos, bet realiai Lietuvoje jau yra investavęs keletą milijonų </w:t>
            </w:r>
            <w:proofErr w:type="spellStart"/>
            <w:r w:rsidRPr="00887BED">
              <w:rPr>
                <w:rFonts w:ascii="Times New Roman" w:hAnsi="Times New Roman" w:cs="Times New Roman"/>
                <w:sz w:val="24"/>
                <w:szCs w:val="24"/>
              </w:rPr>
              <w:t>Eur</w:t>
            </w:r>
            <w:proofErr w:type="spellEnd"/>
            <w:r w:rsidRPr="00887BED">
              <w:rPr>
                <w:rFonts w:ascii="Times New Roman" w:hAnsi="Times New Roman" w:cs="Times New Roman"/>
                <w:sz w:val="24"/>
                <w:szCs w:val="24"/>
              </w:rPr>
              <w:t>.</w:t>
            </w:r>
          </w:p>
          <w:p w14:paraId="471189F4" w14:textId="77777777" w:rsidR="00C309D2" w:rsidRPr="00887BED" w:rsidRDefault="00C309D2" w:rsidP="00887BED">
            <w:pPr>
              <w:jc w:val="both"/>
              <w:rPr>
                <w:rFonts w:ascii="Times New Roman" w:hAnsi="Times New Roman" w:cs="Times New Roman"/>
                <w:sz w:val="24"/>
                <w:szCs w:val="24"/>
              </w:rPr>
            </w:pPr>
            <w:r w:rsidRPr="00887BED">
              <w:rPr>
                <w:rFonts w:ascii="Times New Roman" w:hAnsi="Times New Roman" w:cs="Times New Roman"/>
                <w:sz w:val="24"/>
                <w:szCs w:val="24"/>
              </w:rPr>
              <w:t>Norime pabrėžti, kad vasario mėnesį pateiktame viešam aptarimui priemonės „</w:t>
            </w:r>
            <w:proofErr w:type="spellStart"/>
            <w:r w:rsidRPr="00887BED">
              <w:rPr>
                <w:rFonts w:ascii="Times New Roman" w:hAnsi="Times New Roman" w:cs="Times New Roman"/>
                <w:sz w:val="24"/>
                <w:szCs w:val="24"/>
              </w:rPr>
              <w:t>Smart</w:t>
            </w:r>
            <w:proofErr w:type="spellEnd"/>
            <w:r w:rsidRPr="00887BED">
              <w:rPr>
                <w:rFonts w:ascii="Times New Roman" w:hAnsi="Times New Roman" w:cs="Times New Roman"/>
                <w:sz w:val="24"/>
                <w:szCs w:val="24"/>
              </w:rPr>
              <w:t xml:space="preserve"> FDI“ projektų </w:t>
            </w:r>
            <w:r w:rsidRPr="00887BED">
              <w:rPr>
                <w:rFonts w:ascii="Times New Roman" w:hAnsi="Times New Roman" w:cs="Times New Roman"/>
                <w:sz w:val="24"/>
                <w:szCs w:val="24"/>
              </w:rPr>
              <w:lastRenderedPageBreak/>
              <w:t xml:space="preserve">atrankos kriterijų pakeitimo projekte, buvo atsižvelgta į realias užsienio investicijas Lietuvoje. </w:t>
            </w:r>
          </w:p>
          <w:p w14:paraId="4A1C97CF" w14:textId="77777777" w:rsidR="00C309D2" w:rsidRPr="00887BED" w:rsidRDefault="00C309D2" w:rsidP="00887BED">
            <w:pPr>
              <w:jc w:val="both"/>
              <w:rPr>
                <w:rFonts w:ascii="Times New Roman" w:hAnsi="Times New Roman" w:cs="Times New Roman"/>
                <w:sz w:val="24"/>
                <w:szCs w:val="24"/>
              </w:rPr>
            </w:pPr>
            <w:r w:rsidRPr="00887BED">
              <w:rPr>
                <w:rFonts w:ascii="Times New Roman" w:hAnsi="Times New Roman" w:cs="Times New Roman"/>
                <w:sz w:val="24"/>
                <w:szCs w:val="24"/>
              </w:rPr>
              <w:t>Manome, kad žemiau nurodytas pareiškėjų tinkamumo reikalavimas:</w:t>
            </w:r>
          </w:p>
          <w:p w14:paraId="72A3FC30" w14:textId="1D71BC95" w:rsidR="00C309D2" w:rsidRPr="00887BED" w:rsidRDefault="00887BED" w:rsidP="00887BED">
            <w:pPr>
              <w:jc w:val="both"/>
              <w:rPr>
                <w:rFonts w:ascii="Times New Roman" w:hAnsi="Times New Roman" w:cs="Times New Roman"/>
                <w:b/>
                <w:bCs/>
                <w:sz w:val="24"/>
                <w:szCs w:val="24"/>
              </w:rPr>
            </w:pPr>
            <w:r>
              <w:rPr>
                <w:rFonts w:ascii="Times New Roman" w:hAnsi="Times New Roman" w:cs="Times New Roman"/>
                <w:sz w:val="24"/>
                <w:szCs w:val="24"/>
              </w:rPr>
              <w:t>„</w:t>
            </w:r>
            <w:r w:rsidR="00C309D2" w:rsidRPr="00887BED">
              <w:rPr>
                <w:rFonts w:ascii="Times New Roman" w:hAnsi="Times New Roman" w:cs="Times New Roman"/>
                <w:sz w:val="24"/>
                <w:szCs w:val="24"/>
              </w:rPr>
              <w:t xml:space="preserve">Pareiškėjo metinės pajamos (įskaitant pareiškėjo įmonių grupės pajamas) bent vienais finansiniais metais per paskutinius 3 finansinius metus iki paraiškos pateikimo buvo ne mažesnės kaip 1  000  000 eurų </w:t>
            </w:r>
            <w:r w:rsidR="00C309D2" w:rsidRPr="00887BED">
              <w:rPr>
                <w:rFonts w:ascii="Times New Roman" w:hAnsi="Times New Roman" w:cs="Times New Roman"/>
                <w:b/>
                <w:bCs/>
                <w:sz w:val="24"/>
                <w:szCs w:val="24"/>
              </w:rPr>
              <w:t>arba per paskutinius 3 metus iki paraiškos pateikimo į pareiškėją investuota (t. y. Lietuvos Respublikos investicijų įstatymo nustatytais būdais atlikti investuotojo veiksmai, kuriais įgyjama nuosavybės teisė į investavimo objektą arba teisė šį objektą valdyti ir naudoti) ne mažiau kaip 1 000 000 eurų.</w:t>
            </w:r>
            <w:r>
              <w:rPr>
                <w:rFonts w:ascii="Times New Roman" w:hAnsi="Times New Roman" w:cs="Times New Roman"/>
                <w:b/>
                <w:bCs/>
                <w:sz w:val="24"/>
                <w:szCs w:val="24"/>
              </w:rPr>
              <w:t>“</w:t>
            </w:r>
          </w:p>
          <w:p w14:paraId="0903E8F4" w14:textId="629E604D" w:rsidR="00C309D2" w:rsidRPr="00887BED" w:rsidRDefault="0007785E" w:rsidP="00887BED">
            <w:pPr>
              <w:jc w:val="both"/>
              <w:rPr>
                <w:rFonts w:ascii="Times New Roman" w:hAnsi="Times New Roman" w:cs="Times New Roman"/>
                <w:sz w:val="24"/>
                <w:szCs w:val="24"/>
              </w:rPr>
            </w:pPr>
            <w:r>
              <w:rPr>
                <w:rFonts w:ascii="Times New Roman" w:hAnsi="Times New Roman" w:cs="Times New Roman"/>
                <w:sz w:val="24"/>
                <w:szCs w:val="24"/>
              </w:rPr>
              <w:t>b</w:t>
            </w:r>
            <w:r w:rsidR="00C309D2" w:rsidRPr="00887BED">
              <w:rPr>
                <w:rFonts w:ascii="Times New Roman" w:hAnsi="Times New Roman" w:cs="Times New Roman"/>
                <w:sz w:val="24"/>
                <w:szCs w:val="24"/>
              </w:rPr>
              <w:t>uvo daug objektyvesnis ir atsižvelgia į tas įmones, kurios realiai daro investicijas Lietuvoje. Žinoma, kad visiškai nediskriminuoti mažesnių įmonių, pareiškėjo tinkamumo reikalavimuose gali likti ir pasiūlyta išimtis: „</w:t>
            </w:r>
            <w:r w:rsidR="00C309D2" w:rsidRPr="00887BED">
              <w:rPr>
                <w:rFonts w:ascii="Times New Roman" w:hAnsi="Times New Roman" w:cs="Times New Roman"/>
                <w:i/>
                <w:iCs/>
                <w:sz w:val="24"/>
                <w:szCs w:val="24"/>
              </w:rPr>
              <w:t xml:space="preserve">Jeigu prašoma finansavimo suma mažesnė arba lygi 1 000 000 </w:t>
            </w:r>
            <w:proofErr w:type="spellStart"/>
            <w:r w:rsidR="00C309D2" w:rsidRPr="00887BED">
              <w:rPr>
                <w:rFonts w:ascii="Times New Roman" w:hAnsi="Times New Roman" w:cs="Times New Roman"/>
                <w:i/>
                <w:iCs/>
                <w:sz w:val="24"/>
                <w:szCs w:val="24"/>
              </w:rPr>
              <w:t>Eur</w:t>
            </w:r>
            <w:proofErr w:type="spellEnd"/>
            <w:r w:rsidR="00C309D2" w:rsidRPr="00887BED">
              <w:rPr>
                <w:rFonts w:ascii="Times New Roman" w:hAnsi="Times New Roman" w:cs="Times New Roman"/>
                <w:i/>
                <w:iCs/>
                <w:sz w:val="24"/>
                <w:szCs w:val="24"/>
              </w:rPr>
              <w:t>, pareiškėjo metinės pajamos (įskaitant pareiškėjo įmonių grupės pajamas) bent vienais finansiniais metais per paskutinius 3 finansinius metus iki paraiškos pateikimo buvo ne mažesnės nei prašoma finansavimo suma</w:t>
            </w:r>
            <w:r w:rsidR="00C309D2" w:rsidRPr="00887BED">
              <w:rPr>
                <w:rFonts w:ascii="Times New Roman" w:hAnsi="Times New Roman" w:cs="Times New Roman"/>
                <w:sz w:val="24"/>
                <w:szCs w:val="24"/>
              </w:rPr>
              <w:t>.“</w:t>
            </w:r>
          </w:p>
          <w:p w14:paraId="636785E7" w14:textId="55218D8B" w:rsidR="00C309D2" w:rsidRPr="00887BED" w:rsidRDefault="00C309D2" w:rsidP="0007785E">
            <w:pPr>
              <w:jc w:val="both"/>
              <w:rPr>
                <w:rFonts w:ascii="Times New Roman" w:hAnsi="Times New Roman" w:cs="Times New Roman"/>
                <w:sz w:val="24"/>
                <w:szCs w:val="24"/>
              </w:rPr>
            </w:pPr>
            <w:r w:rsidRPr="00887BED">
              <w:rPr>
                <w:rFonts w:ascii="Times New Roman" w:hAnsi="Times New Roman" w:cs="Times New Roman"/>
                <w:sz w:val="24"/>
                <w:szCs w:val="24"/>
              </w:rPr>
              <w:t>Savo argumentuose Ekonomikos ir Inovacijų ministerija nurodo</w:t>
            </w:r>
            <w:r w:rsidRPr="0007785E">
              <w:rPr>
                <w:rFonts w:ascii="Times New Roman" w:hAnsi="Times New Roman" w:cs="Times New Roman"/>
                <w:sz w:val="24"/>
                <w:szCs w:val="24"/>
              </w:rPr>
              <w:t xml:space="preserve">: </w:t>
            </w:r>
            <w:r w:rsidR="0007785E" w:rsidRPr="0007785E">
              <w:rPr>
                <w:rFonts w:ascii="Times New Roman" w:hAnsi="Times New Roman" w:cs="Times New Roman"/>
                <w:sz w:val="24"/>
                <w:szCs w:val="24"/>
              </w:rPr>
              <w:t>„</w:t>
            </w:r>
            <w:r w:rsidRPr="0007785E">
              <w:rPr>
                <w:rFonts w:ascii="Times New Roman" w:hAnsi="Times New Roman" w:cs="Times New Roman"/>
                <w:i/>
                <w:iCs/>
                <w:sz w:val="24"/>
                <w:szCs w:val="24"/>
              </w:rPr>
              <w:t>Norime pabrėžti, kad Priemonės tikslas – pritraukti į Lietuvą mokslinių tyrimų ir (ar) eksperimentinės plėtros ir inovacijų (toliau – MTEPI) srities užsienio investicijų. Priemonės biudžetas yra ribotas, todėl dėmesys sutelkiamas į investicijas vykdančius potencialius pareiškėjus</w:t>
            </w:r>
            <w:r w:rsidRPr="00887BED">
              <w:rPr>
                <w:rFonts w:ascii="Times New Roman" w:hAnsi="Times New Roman" w:cs="Times New Roman"/>
                <w:i/>
                <w:iCs/>
                <w:color w:val="595959"/>
                <w:sz w:val="24"/>
                <w:szCs w:val="24"/>
              </w:rPr>
              <w:t>.</w:t>
            </w:r>
            <w:r w:rsidR="0007785E">
              <w:rPr>
                <w:rFonts w:ascii="Times New Roman" w:hAnsi="Times New Roman" w:cs="Times New Roman"/>
                <w:color w:val="595959"/>
                <w:sz w:val="24"/>
                <w:szCs w:val="24"/>
              </w:rPr>
              <w:t xml:space="preserve">“. </w:t>
            </w:r>
            <w:r w:rsidRPr="00887BED">
              <w:rPr>
                <w:rFonts w:ascii="Times New Roman" w:hAnsi="Times New Roman" w:cs="Times New Roman"/>
                <w:sz w:val="24"/>
                <w:szCs w:val="24"/>
              </w:rPr>
              <w:t xml:space="preserve">Tačiau didelė užsienio investuotojo apyvarta nėra garantija, kad pareiškėjas yra </w:t>
            </w:r>
            <w:r w:rsidRPr="00887BED">
              <w:rPr>
                <w:rFonts w:ascii="Times New Roman" w:hAnsi="Times New Roman" w:cs="Times New Roman"/>
                <w:b/>
                <w:bCs/>
                <w:sz w:val="24"/>
                <w:szCs w:val="24"/>
              </w:rPr>
              <w:t xml:space="preserve">vykdantis </w:t>
            </w:r>
            <w:r w:rsidRPr="00887BED">
              <w:rPr>
                <w:rFonts w:ascii="Times New Roman" w:hAnsi="Times New Roman" w:cs="Times New Roman"/>
                <w:sz w:val="24"/>
                <w:szCs w:val="24"/>
              </w:rPr>
              <w:t xml:space="preserve">investicijas MTEPI srityje. Manome, kad priemonė pirmiausia turėtų būti orientuota į realiai investicijas </w:t>
            </w:r>
            <w:r w:rsidRPr="00887BED">
              <w:rPr>
                <w:rFonts w:ascii="Times New Roman" w:hAnsi="Times New Roman" w:cs="Times New Roman"/>
                <w:b/>
                <w:bCs/>
                <w:sz w:val="24"/>
                <w:szCs w:val="24"/>
              </w:rPr>
              <w:t xml:space="preserve">vykdančius </w:t>
            </w:r>
            <w:r w:rsidRPr="00887BED">
              <w:rPr>
                <w:rFonts w:ascii="Times New Roman" w:hAnsi="Times New Roman" w:cs="Times New Roman"/>
                <w:sz w:val="24"/>
                <w:szCs w:val="24"/>
              </w:rPr>
              <w:t>užsienio investuotojus.</w:t>
            </w:r>
          </w:p>
        </w:tc>
        <w:tc>
          <w:tcPr>
            <w:tcW w:w="1842" w:type="dxa"/>
          </w:tcPr>
          <w:p w14:paraId="1588E888" w14:textId="3D50FDA9" w:rsidR="00C309D2" w:rsidRPr="00E62A4E" w:rsidRDefault="00E62A4E" w:rsidP="00FE70E3">
            <w:pPr>
              <w:rPr>
                <w:rFonts w:ascii="Times New Roman" w:hAnsi="Times New Roman" w:cs="Times New Roman"/>
                <w:sz w:val="24"/>
                <w:szCs w:val="24"/>
              </w:rPr>
            </w:pPr>
            <w:r w:rsidRPr="00E62A4E">
              <w:rPr>
                <w:rFonts w:ascii="Times New Roman" w:hAnsi="Times New Roman" w:cs="Times New Roman"/>
                <w:sz w:val="24"/>
                <w:szCs w:val="24"/>
              </w:rPr>
              <w:lastRenderedPageBreak/>
              <w:t>Neatsižvelgta.</w:t>
            </w:r>
          </w:p>
        </w:tc>
        <w:tc>
          <w:tcPr>
            <w:tcW w:w="4395" w:type="dxa"/>
          </w:tcPr>
          <w:p w14:paraId="19BC1E9D" w14:textId="77777777" w:rsidR="00C309D2" w:rsidRDefault="00E62A4E" w:rsidP="007F5A72">
            <w:pPr>
              <w:jc w:val="both"/>
              <w:rPr>
                <w:rFonts w:ascii="Times New Roman" w:hAnsi="Times New Roman" w:cs="Times New Roman"/>
                <w:sz w:val="24"/>
                <w:szCs w:val="24"/>
              </w:rPr>
            </w:pPr>
            <w:r w:rsidRPr="00E62A4E">
              <w:rPr>
                <w:rFonts w:ascii="Times New Roman" w:hAnsi="Times New Roman" w:cs="Times New Roman"/>
                <w:sz w:val="24"/>
                <w:szCs w:val="24"/>
              </w:rPr>
              <w:t xml:space="preserve">Atkreiptinas dėmesys, kad </w:t>
            </w:r>
            <w:r w:rsidR="00760652">
              <w:rPr>
                <w:rFonts w:ascii="Times New Roman" w:hAnsi="Times New Roman" w:cs="Times New Roman"/>
                <w:sz w:val="24"/>
                <w:szCs w:val="24"/>
              </w:rPr>
              <w:t>kriterijaus formuluotė buvo pakoreguota sulaukus pastabų kriterijų viešojo aptarimo metu</w:t>
            </w:r>
            <w:r w:rsidR="0004784A">
              <w:rPr>
                <w:rFonts w:ascii="Times New Roman" w:hAnsi="Times New Roman" w:cs="Times New Roman"/>
                <w:sz w:val="24"/>
                <w:szCs w:val="24"/>
              </w:rPr>
              <w:t>. Patikslinta</w:t>
            </w:r>
            <w:r w:rsidR="006C7798">
              <w:rPr>
                <w:rFonts w:ascii="Times New Roman" w:hAnsi="Times New Roman" w:cs="Times New Roman"/>
                <w:sz w:val="24"/>
                <w:szCs w:val="24"/>
              </w:rPr>
              <w:t xml:space="preserve"> kriterijaus formuluotė patvirtinta 2</w:t>
            </w:r>
            <w:r w:rsidR="006C7798" w:rsidRPr="006C7798">
              <w:rPr>
                <w:rFonts w:ascii="Times New Roman" w:hAnsi="Times New Roman" w:cs="Times New Roman"/>
                <w:sz w:val="24"/>
                <w:szCs w:val="24"/>
              </w:rPr>
              <w:t>014–2020 metų Europos Sąjungos fondų investicijų veiksmų programos stebėsenos komiteto</w:t>
            </w:r>
            <w:r w:rsidR="0004784A">
              <w:rPr>
                <w:rFonts w:ascii="Times New Roman" w:hAnsi="Times New Roman" w:cs="Times New Roman"/>
                <w:sz w:val="24"/>
                <w:szCs w:val="24"/>
              </w:rPr>
              <w:t xml:space="preserve"> (toliau – Stebėsenos komitetas)</w:t>
            </w:r>
            <w:r w:rsidR="006C7798">
              <w:rPr>
                <w:rFonts w:ascii="Times New Roman" w:hAnsi="Times New Roman" w:cs="Times New Roman"/>
                <w:sz w:val="24"/>
                <w:szCs w:val="24"/>
              </w:rPr>
              <w:t xml:space="preserve"> </w:t>
            </w:r>
            <w:r w:rsidRPr="00E62A4E">
              <w:rPr>
                <w:rFonts w:ascii="Times New Roman" w:hAnsi="Times New Roman" w:cs="Times New Roman"/>
                <w:sz w:val="24"/>
                <w:szCs w:val="24"/>
              </w:rPr>
              <w:t>2019 m. kovo 28 d. nutarimu Nr. 44 (P)-3(39)</w:t>
            </w:r>
            <w:r w:rsidR="0004784A">
              <w:rPr>
                <w:rFonts w:ascii="Times New Roman" w:hAnsi="Times New Roman" w:cs="Times New Roman"/>
                <w:sz w:val="24"/>
                <w:szCs w:val="24"/>
              </w:rPr>
              <w:t xml:space="preserve">. Pažymime, kad Stebėsenos komitete dalyvauja ir socialiniai ekonominiai partneriai. </w:t>
            </w:r>
          </w:p>
          <w:p w14:paraId="404D5551" w14:textId="5A704D01" w:rsidR="007F5A72" w:rsidRDefault="007F5A72" w:rsidP="007F5A72">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Stebėsenos komiteto patvirtinti kriterijai apraše negali būti koreguojami. </w:t>
            </w:r>
          </w:p>
        </w:tc>
      </w:tr>
      <w:tr w:rsidR="00C77435" w:rsidRPr="000C6855" w14:paraId="354C7283" w14:textId="77777777" w:rsidTr="00FE70E3">
        <w:trPr>
          <w:trHeight w:val="550"/>
        </w:trPr>
        <w:tc>
          <w:tcPr>
            <w:tcW w:w="675" w:type="dxa"/>
          </w:tcPr>
          <w:p w14:paraId="7F7E8AE6" w14:textId="1EF9C308" w:rsidR="00C77435" w:rsidRPr="00C309D2" w:rsidRDefault="00C77435" w:rsidP="00C77435">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785" w:type="dxa"/>
          </w:tcPr>
          <w:p w14:paraId="34A39590" w14:textId="24789A74" w:rsidR="00C77435" w:rsidRDefault="00C77435" w:rsidP="00C77435">
            <w:pPr>
              <w:rPr>
                <w:rFonts w:ascii="Times New Roman" w:hAnsi="Times New Roman" w:cs="Times New Roman"/>
                <w:sz w:val="24"/>
                <w:szCs w:val="24"/>
              </w:rPr>
            </w:pPr>
            <w:r w:rsidRPr="00283EAE">
              <w:rPr>
                <w:rFonts w:ascii="Times New Roman" w:hAnsi="Times New Roman" w:cs="Times New Roman"/>
                <w:sz w:val="24"/>
                <w:szCs w:val="24"/>
              </w:rPr>
              <w:t>Lietuvos pramonininkų konfederacija</w:t>
            </w:r>
          </w:p>
        </w:tc>
        <w:tc>
          <w:tcPr>
            <w:tcW w:w="1192" w:type="dxa"/>
          </w:tcPr>
          <w:p w14:paraId="02AD8078" w14:textId="1452EE19" w:rsidR="00C77435" w:rsidRDefault="00C77435" w:rsidP="00C77435">
            <w:pPr>
              <w:rPr>
                <w:rFonts w:ascii="Times New Roman" w:hAnsi="Times New Roman" w:cs="Times New Roman"/>
                <w:sz w:val="24"/>
                <w:szCs w:val="24"/>
              </w:rPr>
            </w:pPr>
            <w:r>
              <w:rPr>
                <w:rFonts w:ascii="Times New Roman" w:hAnsi="Times New Roman" w:cs="Times New Roman"/>
                <w:sz w:val="24"/>
                <w:szCs w:val="24"/>
              </w:rPr>
              <w:t>23.6</w:t>
            </w:r>
          </w:p>
        </w:tc>
        <w:tc>
          <w:tcPr>
            <w:tcW w:w="5387" w:type="dxa"/>
          </w:tcPr>
          <w:p w14:paraId="55263630" w14:textId="087C4382" w:rsidR="00C77435" w:rsidRPr="00283EAE" w:rsidRDefault="00C77435" w:rsidP="00C77435">
            <w:pPr>
              <w:jc w:val="both"/>
              <w:rPr>
                <w:rFonts w:ascii="Times New Roman" w:hAnsi="Times New Roman" w:cs="Times New Roman"/>
                <w:sz w:val="24"/>
                <w:szCs w:val="24"/>
              </w:rPr>
            </w:pPr>
            <w:r w:rsidRPr="00283EAE">
              <w:rPr>
                <w:rFonts w:ascii="Times New Roman" w:hAnsi="Times New Roman" w:cs="Times New Roman"/>
                <w:sz w:val="24"/>
                <w:szCs w:val="24"/>
              </w:rPr>
              <w:t>Susipažinę su E</w:t>
            </w:r>
            <w:r w:rsidRPr="00283EAE">
              <w:rPr>
                <w:rFonts w:ascii="Times New Roman" w:hAnsi="Times New Roman" w:cs="Times New Roman"/>
                <w:spacing w:val="2"/>
                <w:sz w:val="24"/>
                <w:szCs w:val="24"/>
              </w:rPr>
              <w:t>konomikos ir inovacijų ministerijos viešam aptarimui teiktos priemonės „</w:t>
            </w:r>
            <w:proofErr w:type="spellStart"/>
            <w:r w:rsidRPr="00283EAE">
              <w:rPr>
                <w:rFonts w:ascii="Times New Roman" w:hAnsi="Times New Roman" w:cs="Times New Roman"/>
                <w:spacing w:val="2"/>
                <w:sz w:val="24"/>
                <w:szCs w:val="24"/>
              </w:rPr>
              <w:t>Smart</w:t>
            </w:r>
            <w:proofErr w:type="spellEnd"/>
            <w:r w:rsidRPr="00283EAE">
              <w:rPr>
                <w:rFonts w:ascii="Times New Roman" w:hAnsi="Times New Roman" w:cs="Times New Roman"/>
                <w:spacing w:val="2"/>
                <w:sz w:val="24"/>
                <w:szCs w:val="24"/>
              </w:rPr>
              <w:t xml:space="preserve"> FDI“ projektų finansavimo sąlygų aprašo pakeitimo projektu, atkreipiame dėmesį, kad minėto projekto 23.6 punktas skiriasi nuo jau suderintų </w:t>
            </w:r>
            <w:r w:rsidRPr="00283EAE">
              <w:rPr>
                <w:rFonts w:ascii="Times New Roman" w:hAnsi="Times New Roman" w:cs="Times New Roman"/>
                <w:sz w:val="24"/>
                <w:szCs w:val="24"/>
              </w:rPr>
              <w:t>SMART FDI p</w:t>
            </w:r>
            <w:r w:rsidRPr="00283EAE">
              <w:rPr>
                <w:rFonts w:ascii="Times New Roman" w:hAnsi="Times New Roman" w:cs="Times New Roman"/>
                <w:spacing w:val="2"/>
                <w:sz w:val="24"/>
                <w:szCs w:val="24"/>
              </w:rPr>
              <w:t>riemonės projektų atrankos kriterijų, kurie jau buvo suderinti 2019 m. vasario 22 d., pagal  Ekonomikos ir inovacijų</w:t>
            </w:r>
            <w:r w:rsidRPr="00283EAE">
              <w:rPr>
                <w:rFonts w:ascii="Times New Roman" w:hAnsi="Times New Roman" w:cs="Times New Roman"/>
                <w:sz w:val="24"/>
                <w:szCs w:val="24"/>
              </w:rPr>
              <w:t> </w:t>
            </w:r>
            <w:r w:rsidRPr="00283EAE">
              <w:rPr>
                <w:rFonts w:ascii="Times New Roman" w:hAnsi="Times New Roman" w:cs="Times New Roman"/>
                <w:spacing w:val="2"/>
                <w:sz w:val="24"/>
                <w:szCs w:val="24"/>
              </w:rPr>
              <w:t>ministerijos iniciatyva pasiūlytus pakeitimus investuotojams. Mums kelia abejonių, kodėl vėl keičiami reikalavimai investuotojams, kurie jau buvo suderinti ir keičiami dar neatnaujinus SMART FDI programos kvietimo. Minėtu keitimu siūloma: </w:t>
            </w:r>
            <w:r w:rsidRPr="00283EAE">
              <w:rPr>
                <w:rFonts w:ascii="Times New Roman" w:hAnsi="Times New Roman" w:cs="Times New Roman"/>
                <w:i/>
                <w:iCs/>
                <w:sz w:val="24"/>
                <w:szCs w:val="24"/>
              </w:rPr>
              <w:t>jeigu prašoma didesnė nei 1 000 000 eurų finansavimo suma, pareiškėjo metinės pajamos (įskaitant pareiškėjo įmonių grupės pajamas) bent vienais finansiniais metais per paskutinius 3 finansinius metus iki paraiškos pateikimo buvo didesnės nei 1  000  000 eurų. </w:t>
            </w:r>
            <w:r w:rsidRPr="00283EAE">
              <w:rPr>
                <w:rFonts w:ascii="Times New Roman" w:hAnsi="Times New Roman" w:cs="Times New Roman"/>
                <w:sz w:val="24"/>
                <w:szCs w:val="24"/>
              </w:rPr>
              <w:t>Šis pakeitimas, mūsų nuomone, yra nepriimtinas. Kadangi įmonės ar įmonių grupės, kurių apyvarta yra didelė, tačiau nėra investavusios Lietuvoje, turi geresnes sąlygas ir gali gauti didesnę SMART FDI programos paramą nei įmonės kurios investavo kelis milijonus, tačiau jų apyvartą iki 1 mln. eurų. Mūsų nuomone, anksčiau  suderintas pakeitimas, kad </w:t>
            </w:r>
            <w:r w:rsidRPr="00283EAE">
              <w:rPr>
                <w:rFonts w:ascii="Times New Roman" w:hAnsi="Times New Roman" w:cs="Times New Roman"/>
                <w:i/>
                <w:iCs/>
                <w:sz w:val="24"/>
                <w:szCs w:val="24"/>
              </w:rPr>
              <w:t>pareiškėjo metinės pajamos (įskaitant pareiškėjo įmonių grupės pajamas) bent vienais finansiniais metais per paskutinius 3 finansinius metus iki paraiškos pateikimo buvo ne mažesnės kaip 1  000  000 eurų arba per paskutinius 3 metus iki paraiškos pateikimo į pareiškėją investuota (t. y. Lietuvos Respublikos investicijų įstatymo nustatytais būdais atlikti investuotojo veiksmai, kuriais įgyjama nuosavybės teisė į investavimo objektą arba teisė šį objektą valdyti ir naudoti) ne mažiau kaip 1 000 000 eurų, </w:t>
            </w:r>
            <w:r w:rsidRPr="00283EAE">
              <w:rPr>
                <w:rFonts w:ascii="Times New Roman" w:hAnsi="Times New Roman" w:cs="Times New Roman"/>
                <w:sz w:val="24"/>
                <w:szCs w:val="24"/>
              </w:rPr>
              <w:t xml:space="preserve">yra žymiai naudingesnis Lietuvos valstybei. Grindžiame savo nuomonę tuo, kad įmonės, kurios jau yra nemažai investavusios mūsų valstybėje, yra labiau susijusios su </w:t>
            </w:r>
            <w:r w:rsidRPr="00283EAE">
              <w:rPr>
                <w:rFonts w:ascii="Times New Roman" w:hAnsi="Times New Roman" w:cs="Times New Roman"/>
                <w:sz w:val="24"/>
                <w:szCs w:val="24"/>
              </w:rPr>
              <w:lastRenderedPageBreak/>
              <w:t>Lietuva ir naudingesnės nei tos, kurios investavusios nedideles lėšas ir, pasikeitus ekonominei situacijai ar įmonės tikslams, gali palikti šalį. Tokių pavyzdžių jau yra buvę. Todėl siūlytume likti prie iki 2019 m. vasario 22 d. suderintų SMART FDI atrankos kriterijų nuostatų – reikalavimų investuotojams, kuriuos buvo pateikusi Ekonomikos ir inovacijų ministerija.</w:t>
            </w:r>
          </w:p>
        </w:tc>
        <w:tc>
          <w:tcPr>
            <w:tcW w:w="1842" w:type="dxa"/>
          </w:tcPr>
          <w:p w14:paraId="35F9AAEE" w14:textId="5192D8E6" w:rsidR="00C77435" w:rsidRDefault="00C77435" w:rsidP="00C77435">
            <w:pPr>
              <w:rPr>
                <w:rFonts w:ascii="Times New Roman" w:hAnsi="Times New Roman" w:cs="Times New Roman"/>
                <w:b/>
                <w:sz w:val="24"/>
                <w:szCs w:val="24"/>
              </w:rPr>
            </w:pPr>
            <w:r w:rsidRPr="00E62A4E">
              <w:rPr>
                <w:rFonts w:ascii="Times New Roman" w:hAnsi="Times New Roman" w:cs="Times New Roman"/>
                <w:sz w:val="24"/>
                <w:szCs w:val="24"/>
              </w:rPr>
              <w:lastRenderedPageBreak/>
              <w:t>Neatsižvelgta.</w:t>
            </w:r>
          </w:p>
        </w:tc>
        <w:tc>
          <w:tcPr>
            <w:tcW w:w="4395" w:type="dxa"/>
          </w:tcPr>
          <w:p w14:paraId="0997D0E4" w14:textId="77777777" w:rsidR="00C77435" w:rsidRDefault="00C77435" w:rsidP="00C77435">
            <w:pPr>
              <w:jc w:val="both"/>
              <w:rPr>
                <w:rFonts w:ascii="Times New Roman" w:hAnsi="Times New Roman" w:cs="Times New Roman"/>
                <w:sz w:val="24"/>
                <w:szCs w:val="24"/>
              </w:rPr>
            </w:pPr>
            <w:r w:rsidRPr="00E62A4E">
              <w:rPr>
                <w:rFonts w:ascii="Times New Roman" w:hAnsi="Times New Roman" w:cs="Times New Roman"/>
                <w:sz w:val="24"/>
                <w:szCs w:val="24"/>
              </w:rPr>
              <w:t xml:space="preserve">Atkreiptinas dėmesys, kad </w:t>
            </w:r>
            <w:r>
              <w:rPr>
                <w:rFonts w:ascii="Times New Roman" w:hAnsi="Times New Roman" w:cs="Times New Roman"/>
                <w:sz w:val="24"/>
                <w:szCs w:val="24"/>
              </w:rPr>
              <w:t>kriterijaus formuluotė buvo pakoreguota sulaukus pastabų kriterijų viešojo aptarimo metu. Patikslinta kriterijaus formuluotė patvirtinta 2</w:t>
            </w:r>
            <w:r w:rsidRPr="006C7798">
              <w:rPr>
                <w:rFonts w:ascii="Times New Roman" w:hAnsi="Times New Roman" w:cs="Times New Roman"/>
                <w:sz w:val="24"/>
                <w:szCs w:val="24"/>
              </w:rPr>
              <w:t>014–2020 metų Europos Sąjungos fondų investicijų veiksmų programos stebėsenos komiteto</w:t>
            </w:r>
            <w:r>
              <w:rPr>
                <w:rFonts w:ascii="Times New Roman" w:hAnsi="Times New Roman" w:cs="Times New Roman"/>
                <w:sz w:val="24"/>
                <w:szCs w:val="24"/>
              </w:rPr>
              <w:t xml:space="preserve"> (toliau – Stebėsenos komitetas) </w:t>
            </w:r>
            <w:r w:rsidRPr="00E62A4E">
              <w:rPr>
                <w:rFonts w:ascii="Times New Roman" w:hAnsi="Times New Roman" w:cs="Times New Roman"/>
                <w:sz w:val="24"/>
                <w:szCs w:val="24"/>
              </w:rPr>
              <w:t>2019 m. kovo 28 d. nutarimu Nr. 44 (P)-3(39)</w:t>
            </w:r>
            <w:r>
              <w:rPr>
                <w:rFonts w:ascii="Times New Roman" w:hAnsi="Times New Roman" w:cs="Times New Roman"/>
                <w:sz w:val="24"/>
                <w:szCs w:val="24"/>
              </w:rPr>
              <w:t xml:space="preserve">. Pažymime, kad Stebėsenos komitete dalyvauja ir socialiniai ekonominiai partneriai. </w:t>
            </w:r>
          </w:p>
          <w:p w14:paraId="461F2E9F" w14:textId="20356C6F" w:rsidR="00C77435" w:rsidRDefault="00C77435" w:rsidP="00C77435">
            <w:pPr>
              <w:jc w:val="both"/>
              <w:rPr>
                <w:rFonts w:ascii="Times New Roman" w:hAnsi="Times New Roman" w:cs="Times New Roman"/>
                <w:b/>
                <w:sz w:val="24"/>
                <w:szCs w:val="24"/>
              </w:rPr>
            </w:pPr>
            <w:r>
              <w:rPr>
                <w:rFonts w:ascii="Times New Roman" w:hAnsi="Times New Roman" w:cs="Times New Roman"/>
                <w:sz w:val="24"/>
                <w:szCs w:val="24"/>
              </w:rPr>
              <w:t xml:space="preserve">Stebėsenos komiteto patvirtinti kriterijai apraše negali būti koreguojami. </w:t>
            </w:r>
          </w:p>
        </w:tc>
      </w:tr>
      <w:tr w:rsidR="00C77435" w:rsidRPr="000C6855" w14:paraId="385977CB" w14:textId="77777777" w:rsidTr="00FE70E3">
        <w:trPr>
          <w:trHeight w:val="550"/>
        </w:trPr>
        <w:tc>
          <w:tcPr>
            <w:tcW w:w="675" w:type="dxa"/>
            <w:vMerge w:val="restart"/>
          </w:tcPr>
          <w:p w14:paraId="107B0A37" w14:textId="781F0416" w:rsidR="00C77435" w:rsidRDefault="00C77435" w:rsidP="00C77435">
            <w:pPr>
              <w:rPr>
                <w:rFonts w:ascii="Times New Roman" w:hAnsi="Times New Roman" w:cs="Times New Roman"/>
                <w:sz w:val="24"/>
                <w:szCs w:val="24"/>
              </w:rPr>
            </w:pPr>
            <w:r>
              <w:rPr>
                <w:rFonts w:ascii="Times New Roman" w:hAnsi="Times New Roman" w:cs="Times New Roman"/>
                <w:sz w:val="24"/>
                <w:szCs w:val="24"/>
              </w:rPr>
              <w:t>4.</w:t>
            </w:r>
          </w:p>
        </w:tc>
        <w:tc>
          <w:tcPr>
            <w:tcW w:w="1785" w:type="dxa"/>
            <w:vMerge w:val="restart"/>
          </w:tcPr>
          <w:p w14:paraId="5B43ACB5" w14:textId="6AEBFDD8" w:rsidR="00C77435" w:rsidRPr="00A37468" w:rsidRDefault="00C77435" w:rsidP="00C77435">
            <w:pPr>
              <w:rPr>
                <w:rFonts w:ascii="Times New Roman" w:hAnsi="Times New Roman" w:cs="Times New Roman"/>
                <w:sz w:val="24"/>
                <w:szCs w:val="24"/>
              </w:rPr>
            </w:pPr>
            <w:proofErr w:type="spellStart"/>
            <w:r w:rsidRPr="00A37468">
              <w:rPr>
                <w:rFonts w:ascii="Times New Roman" w:hAnsi="Times New Roman" w:cs="Times New Roman"/>
                <w:sz w:val="24"/>
                <w:szCs w:val="24"/>
              </w:rPr>
              <w:t>Advanced</w:t>
            </w:r>
            <w:proofErr w:type="spellEnd"/>
            <w:r w:rsidRPr="00A37468">
              <w:rPr>
                <w:rFonts w:ascii="Times New Roman" w:hAnsi="Times New Roman" w:cs="Times New Roman"/>
                <w:sz w:val="24"/>
                <w:szCs w:val="24"/>
              </w:rPr>
              <w:t xml:space="preserve"> </w:t>
            </w:r>
            <w:proofErr w:type="spellStart"/>
            <w:r w:rsidRPr="00A37468">
              <w:rPr>
                <w:rFonts w:ascii="Times New Roman" w:hAnsi="Times New Roman" w:cs="Times New Roman"/>
                <w:sz w:val="24"/>
                <w:szCs w:val="24"/>
              </w:rPr>
              <w:t>advice</w:t>
            </w:r>
            <w:proofErr w:type="spellEnd"/>
          </w:p>
        </w:tc>
        <w:tc>
          <w:tcPr>
            <w:tcW w:w="1192" w:type="dxa"/>
          </w:tcPr>
          <w:p w14:paraId="4E457598" w14:textId="3B435C0B" w:rsidR="00C77435" w:rsidRPr="00A37468" w:rsidRDefault="00C77435" w:rsidP="00C77435">
            <w:pPr>
              <w:rPr>
                <w:rFonts w:ascii="Times New Roman" w:hAnsi="Times New Roman" w:cs="Times New Roman"/>
                <w:sz w:val="24"/>
                <w:szCs w:val="24"/>
              </w:rPr>
            </w:pPr>
            <w:r>
              <w:rPr>
                <w:rFonts w:ascii="Times New Roman" w:hAnsi="Times New Roman" w:cs="Times New Roman"/>
                <w:sz w:val="24"/>
                <w:szCs w:val="24"/>
              </w:rPr>
              <w:t>32.8</w:t>
            </w:r>
          </w:p>
        </w:tc>
        <w:tc>
          <w:tcPr>
            <w:tcW w:w="5387" w:type="dxa"/>
          </w:tcPr>
          <w:p w14:paraId="59BD19E4" w14:textId="259C96CF" w:rsidR="00C77435" w:rsidRPr="00A37468" w:rsidRDefault="00C77435" w:rsidP="00C77435">
            <w:pPr>
              <w:jc w:val="both"/>
              <w:rPr>
                <w:rFonts w:ascii="Times New Roman" w:hAnsi="Times New Roman" w:cs="Times New Roman"/>
                <w:sz w:val="24"/>
                <w:szCs w:val="24"/>
              </w:rPr>
            </w:pPr>
            <w:r w:rsidRPr="00A37468">
              <w:rPr>
                <w:rFonts w:ascii="Times New Roman" w:hAnsi="Times New Roman" w:cs="Times New Roman"/>
                <w:sz w:val="24"/>
                <w:szCs w:val="24"/>
              </w:rPr>
              <w:t>Atsižvelgiant į tai, kad projektų atranka pagal priemonę „</w:t>
            </w:r>
            <w:proofErr w:type="spellStart"/>
            <w:r w:rsidRPr="00A37468">
              <w:rPr>
                <w:rFonts w:ascii="Times New Roman" w:hAnsi="Times New Roman" w:cs="Times New Roman"/>
                <w:sz w:val="24"/>
                <w:szCs w:val="24"/>
              </w:rPr>
              <w:t>Smart</w:t>
            </w:r>
            <w:proofErr w:type="spellEnd"/>
            <w:r w:rsidRPr="00A37468">
              <w:rPr>
                <w:rFonts w:ascii="Times New Roman" w:hAnsi="Times New Roman" w:cs="Times New Roman"/>
                <w:sz w:val="24"/>
                <w:szCs w:val="24"/>
              </w:rPr>
              <w:t xml:space="preserve"> FDI“ atliekama tęstinės projektų atrankos būdu ir balai už </w:t>
            </w:r>
            <w:r w:rsidRPr="00A37468">
              <w:rPr>
                <w:rFonts w:ascii="Times New Roman" w:hAnsi="Times New Roman" w:cs="Times New Roman"/>
                <w:color w:val="000000"/>
                <w:sz w:val="24"/>
                <w:szCs w:val="24"/>
              </w:rPr>
              <w:t>pajamų, gautų iš sukurtų ir rinkai pateiktų produktų, santykį su skirtomis investicijomis neskiriami (kaip priemonės „Intelektas. Bendri mokslo-verslo projektai“ atveju), siūlome šio rodiklio atsisakyti. Toks rodiklis neturi prasmės, nes nesvarbu, kokį santykį pareiškėjas numatys, tai neturės įtakos paraiškos vertinimui. Toks rodiklis tik sukurs papildomą administracinę naštą pareiškėjams atsiskaitant už rodiklį ir įgyvendinančiajai institucijai vertinant pateiktas ataskaitas.</w:t>
            </w:r>
          </w:p>
        </w:tc>
        <w:tc>
          <w:tcPr>
            <w:tcW w:w="1842" w:type="dxa"/>
          </w:tcPr>
          <w:p w14:paraId="46971938" w14:textId="5C82AEF6" w:rsidR="00C77435" w:rsidRPr="00C77435" w:rsidRDefault="00C77435" w:rsidP="00C77435">
            <w:pPr>
              <w:rPr>
                <w:rFonts w:ascii="Times New Roman" w:hAnsi="Times New Roman" w:cs="Times New Roman"/>
                <w:sz w:val="24"/>
                <w:szCs w:val="24"/>
              </w:rPr>
            </w:pPr>
            <w:r w:rsidRPr="00C77435">
              <w:rPr>
                <w:rFonts w:ascii="Times New Roman" w:hAnsi="Times New Roman" w:cs="Times New Roman"/>
                <w:sz w:val="24"/>
                <w:szCs w:val="24"/>
              </w:rPr>
              <w:t>Neatsižvelgta.</w:t>
            </w:r>
          </w:p>
        </w:tc>
        <w:tc>
          <w:tcPr>
            <w:tcW w:w="4395" w:type="dxa"/>
          </w:tcPr>
          <w:p w14:paraId="2DAF4792" w14:textId="5B14CE08" w:rsidR="00C77435" w:rsidRPr="00C77435" w:rsidRDefault="00C77435" w:rsidP="004D34AA">
            <w:pPr>
              <w:jc w:val="both"/>
              <w:rPr>
                <w:rFonts w:ascii="Times New Roman" w:hAnsi="Times New Roman" w:cs="Times New Roman"/>
                <w:sz w:val="24"/>
                <w:szCs w:val="24"/>
              </w:rPr>
            </w:pPr>
            <w:r w:rsidRPr="00C77435">
              <w:rPr>
                <w:rFonts w:ascii="Times New Roman" w:hAnsi="Times New Roman" w:cs="Times New Roman"/>
                <w:sz w:val="24"/>
                <w:szCs w:val="24"/>
              </w:rPr>
              <w:t xml:space="preserve">Priemonės </w:t>
            </w:r>
            <w:r>
              <w:rPr>
                <w:rFonts w:ascii="Times New Roman" w:hAnsi="Times New Roman" w:cs="Times New Roman"/>
                <w:sz w:val="24"/>
                <w:szCs w:val="24"/>
              </w:rPr>
              <w:t>įgyvendinimo</w:t>
            </w:r>
            <w:r w:rsidR="00230C5E">
              <w:rPr>
                <w:rFonts w:ascii="Times New Roman" w:hAnsi="Times New Roman" w:cs="Times New Roman"/>
                <w:sz w:val="24"/>
                <w:szCs w:val="24"/>
              </w:rPr>
              <w:t xml:space="preserve"> stebėsenos rodikliai yra skirti stebėti ir pamatuoti priemonės įgyvendinimą. </w:t>
            </w:r>
            <w:r w:rsidR="004D34AA">
              <w:rPr>
                <w:rFonts w:ascii="Times New Roman" w:hAnsi="Times New Roman" w:cs="Times New Roman"/>
                <w:sz w:val="24"/>
                <w:szCs w:val="24"/>
              </w:rPr>
              <w:t xml:space="preserve">Projektu nepasiekus įsipareigotų pasiekti stebėsenos rodiklių, vadovaujantis Projektų administravimo ir finansavimo taisyklėmis, patvirtintomis Lietuvos Respublikos finansų ministro </w:t>
            </w:r>
            <w:r w:rsidR="004D34AA" w:rsidRPr="00931EAF">
              <w:rPr>
                <w:rFonts w:ascii="Times New Roman" w:hAnsi="Times New Roman" w:cs="Times New Roman"/>
                <w:sz w:val="24"/>
                <w:szCs w:val="24"/>
              </w:rPr>
              <w:t>2014 m. spalio 8</w:t>
            </w:r>
            <w:r w:rsidR="004D34AA">
              <w:rPr>
                <w:rFonts w:ascii="Times New Roman" w:hAnsi="Times New Roman" w:cs="Times New Roman"/>
                <w:sz w:val="24"/>
                <w:szCs w:val="24"/>
              </w:rPr>
              <w:t xml:space="preserve"> d. įsakymu Nr. </w:t>
            </w:r>
            <w:r w:rsidR="004D34AA" w:rsidRPr="00931EAF">
              <w:rPr>
                <w:rFonts w:ascii="Times New Roman" w:hAnsi="Times New Roman" w:cs="Times New Roman"/>
                <w:sz w:val="24"/>
                <w:szCs w:val="24"/>
              </w:rPr>
              <w:t>1K-316</w:t>
            </w:r>
            <w:r w:rsidR="004D34AA">
              <w:rPr>
                <w:rFonts w:ascii="Times New Roman" w:hAnsi="Times New Roman" w:cs="Times New Roman"/>
                <w:sz w:val="24"/>
                <w:szCs w:val="24"/>
              </w:rPr>
              <w:t>, mažinamas projektui įgyvendinti skirtas finansavimas.</w:t>
            </w:r>
          </w:p>
        </w:tc>
      </w:tr>
      <w:tr w:rsidR="00C77435" w:rsidRPr="000C6855" w14:paraId="517BE211" w14:textId="77777777" w:rsidTr="00FE70E3">
        <w:trPr>
          <w:trHeight w:val="550"/>
        </w:trPr>
        <w:tc>
          <w:tcPr>
            <w:tcW w:w="675" w:type="dxa"/>
            <w:vMerge/>
          </w:tcPr>
          <w:p w14:paraId="3DF86F0A" w14:textId="77777777" w:rsidR="00C77435" w:rsidRDefault="00C77435" w:rsidP="00C77435">
            <w:pPr>
              <w:rPr>
                <w:rFonts w:ascii="Times New Roman" w:hAnsi="Times New Roman" w:cs="Times New Roman"/>
                <w:sz w:val="24"/>
                <w:szCs w:val="24"/>
              </w:rPr>
            </w:pPr>
          </w:p>
        </w:tc>
        <w:tc>
          <w:tcPr>
            <w:tcW w:w="1785" w:type="dxa"/>
            <w:vMerge/>
          </w:tcPr>
          <w:p w14:paraId="7EC8953E" w14:textId="77777777" w:rsidR="00C77435" w:rsidRPr="00A37468" w:rsidRDefault="00C77435" w:rsidP="00C77435">
            <w:pPr>
              <w:rPr>
                <w:rFonts w:ascii="Times New Roman" w:hAnsi="Times New Roman" w:cs="Times New Roman"/>
                <w:sz w:val="24"/>
                <w:szCs w:val="24"/>
              </w:rPr>
            </w:pPr>
          </w:p>
        </w:tc>
        <w:tc>
          <w:tcPr>
            <w:tcW w:w="1192" w:type="dxa"/>
          </w:tcPr>
          <w:p w14:paraId="701257B8" w14:textId="1572969E" w:rsidR="00C77435" w:rsidRPr="00A35580" w:rsidRDefault="00C77435" w:rsidP="00C77435">
            <w:pPr>
              <w:rPr>
                <w:rFonts w:ascii="Times New Roman" w:hAnsi="Times New Roman" w:cs="Times New Roman"/>
                <w:sz w:val="24"/>
                <w:szCs w:val="24"/>
              </w:rPr>
            </w:pPr>
            <w:r>
              <w:rPr>
                <w:rFonts w:ascii="Times New Roman" w:hAnsi="Times New Roman" w:cs="Times New Roman"/>
                <w:sz w:val="24"/>
                <w:szCs w:val="24"/>
                <w:lang w:eastAsia="lt-LT"/>
              </w:rPr>
              <w:t>84.16</w:t>
            </w:r>
          </w:p>
        </w:tc>
        <w:tc>
          <w:tcPr>
            <w:tcW w:w="5387" w:type="dxa"/>
          </w:tcPr>
          <w:p w14:paraId="0ABC12C7" w14:textId="5505A8F1" w:rsidR="00C77435" w:rsidRPr="00A35580" w:rsidRDefault="00C77435" w:rsidP="00C77435">
            <w:pPr>
              <w:jc w:val="both"/>
              <w:rPr>
                <w:rFonts w:ascii="Times New Roman" w:hAnsi="Times New Roman" w:cs="Times New Roman"/>
                <w:sz w:val="24"/>
                <w:szCs w:val="24"/>
              </w:rPr>
            </w:pPr>
            <w:r w:rsidRPr="00A35580">
              <w:rPr>
                <w:rFonts w:ascii="Times New Roman" w:hAnsi="Times New Roman" w:cs="Times New Roman"/>
                <w:sz w:val="24"/>
                <w:szCs w:val="24"/>
              </w:rPr>
              <w:t>Prašome Apraše ar kitame dokumente aiškiai įvardinti tokios išvados gavimo procedūrą (kas ir kada turi kreiptis, kokius dokumentus pateikti ir pan.) ir išvados parengimo terminus.</w:t>
            </w:r>
          </w:p>
        </w:tc>
        <w:tc>
          <w:tcPr>
            <w:tcW w:w="1842" w:type="dxa"/>
          </w:tcPr>
          <w:p w14:paraId="6C29032E" w14:textId="5FA24AFF" w:rsidR="00C77435" w:rsidRPr="00B11A28" w:rsidRDefault="00043695" w:rsidP="00C77435">
            <w:pPr>
              <w:rPr>
                <w:rFonts w:ascii="Times New Roman" w:hAnsi="Times New Roman" w:cs="Times New Roman"/>
                <w:sz w:val="24"/>
                <w:szCs w:val="24"/>
              </w:rPr>
            </w:pPr>
            <w:r w:rsidRPr="00B11A28">
              <w:rPr>
                <w:rFonts w:ascii="Times New Roman" w:hAnsi="Times New Roman" w:cs="Times New Roman"/>
                <w:sz w:val="24"/>
                <w:szCs w:val="24"/>
              </w:rPr>
              <w:t xml:space="preserve">Atsižvelgta. </w:t>
            </w:r>
          </w:p>
        </w:tc>
        <w:tc>
          <w:tcPr>
            <w:tcW w:w="4395" w:type="dxa"/>
          </w:tcPr>
          <w:p w14:paraId="7C6BDFF6" w14:textId="6E00FB4D" w:rsidR="00C77435" w:rsidRPr="00043695" w:rsidRDefault="00043695" w:rsidP="00043695">
            <w:pPr>
              <w:jc w:val="both"/>
              <w:rPr>
                <w:rFonts w:ascii="Times New Roman" w:hAnsi="Times New Roman" w:cs="Times New Roman"/>
                <w:sz w:val="24"/>
                <w:szCs w:val="24"/>
              </w:rPr>
            </w:pPr>
            <w:r>
              <w:rPr>
                <w:rFonts w:ascii="Times New Roman" w:hAnsi="Times New Roman" w:cs="Times New Roman"/>
                <w:sz w:val="24"/>
                <w:szCs w:val="24"/>
              </w:rPr>
              <w:t>Įvertinus viešojo aptarimo metu gautas pastabas, reikalavimo pateikti VšĮ „Investuok Lietuvoje“ ekspertinę išvadą atsisakyta.</w:t>
            </w:r>
          </w:p>
        </w:tc>
      </w:tr>
      <w:tr w:rsidR="00C77435" w:rsidRPr="000C6855" w14:paraId="695CB368" w14:textId="77777777" w:rsidTr="00FE70E3">
        <w:trPr>
          <w:trHeight w:val="550"/>
        </w:trPr>
        <w:tc>
          <w:tcPr>
            <w:tcW w:w="675" w:type="dxa"/>
            <w:vMerge w:val="restart"/>
          </w:tcPr>
          <w:p w14:paraId="417454D6" w14:textId="37E5073B" w:rsidR="00C77435" w:rsidRDefault="00C77435" w:rsidP="00C77435">
            <w:pPr>
              <w:rPr>
                <w:rFonts w:ascii="Times New Roman" w:hAnsi="Times New Roman" w:cs="Times New Roman"/>
                <w:sz w:val="24"/>
                <w:szCs w:val="24"/>
              </w:rPr>
            </w:pPr>
            <w:r>
              <w:rPr>
                <w:rFonts w:ascii="Times New Roman" w:hAnsi="Times New Roman" w:cs="Times New Roman"/>
                <w:sz w:val="24"/>
                <w:szCs w:val="24"/>
              </w:rPr>
              <w:t xml:space="preserve">5. </w:t>
            </w:r>
          </w:p>
        </w:tc>
        <w:tc>
          <w:tcPr>
            <w:tcW w:w="1785" w:type="dxa"/>
            <w:vMerge w:val="restart"/>
          </w:tcPr>
          <w:p w14:paraId="26E779A0" w14:textId="1D9223EC" w:rsidR="00C77435" w:rsidRPr="00A37468" w:rsidRDefault="00C77435" w:rsidP="00C77435">
            <w:pPr>
              <w:rPr>
                <w:rFonts w:ascii="Times New Roman" w:hAnsi="Times New Roman" w:cs="Times New Roman"/>
                <w:sz w:val="24"/>
                <w:szCs w:val="24"/>
              </w:rPr>
            </w:pPr>
            <w:r>
              <w:rPr>
                <w:rFonts w:ascii="Times New Roman" w:hAnsi="Times New Roman" w:cs="Times New Roman"/>
                <w:sz w:val="24"/>
                <w:szCs w:val="24"/>
              </w:rPr>
              <w:t>VšĮ „Investuok Lietuvoje“</w:t>
            </w:r>
          </w:p>
        </w:tc>
        <w:tc>
          <w:tcPr>
            <w:tcW w:w="1192" w:type="dxa"/>
          </w:tcPr>
          <w:p w14:paraId="1931A779" w14:textId="1679C9A6" w:rsidR="00C77435" w:rsidRPr="00A35580" w:rsidRDefault="00C77435" w:rsidP="00C77435">
            <w:pPr>
              <w:rPr>
                <w:rFonts w:ascii="Times New Roman" w:hAnsi="Times New Roman" w:cs="Times New Roman"/>
                <w:sz w:val="24"/>
                <w:szCs w:val="24"/>
                <w:lang w:eastAsia="lt-LT"/>
              </w:rPr>
            </w:pPr>
            <w:r>
              <w:rPr>
                <w:rFonts w:ascii="Times New Roman" w:hAnsi="Times New Roman" w:cs="Times New Roman"/>
                <w:sz w:val="24"/>
                <w:szCs w:val="24"/>
                <w:lang w:eastAsia="lt-LT"/>
              </w:rPr>
              <w:t>28</w:t>
            </w:r>
          </w:p>
        </w:tc>
        <w:tc>
          <w:tcPr>
            <w:tcW w:w="5387" w:type="dxa"/>
          </w:tcPr>
          <w:p w14:paraId="20F29737" w14:textId="2F2C8A70" w:rsidR="00C77435" w:rsidRPr="00D65D52" w:rsidRDefault="00C77435" w:rsidP="00C77435">
            <w:pPr>
              <w:jc w:val="both"/>
              <w:rPr>
                <w:rFonts w:ascii="Times New Roman" w:hAnsi="Times New Roman" w:cs="Times New Roman"/>
                <w:sz w:val="24"/>
                <w:szCs w:val="24"/>
              </w:rPr>
            </w:pPr>
            <w:r w:rsidRPr="00B11A28">
              <w:rPr>
                <w:rFonts w:ascii="Times New Roman" w:hAnsi="Times New Roman" w:cs="Times New Roman"/>
                <w:sz w:val="24"/>
                <w:szCs w:val="24"/>
              </w:rPr>
              <w:t>Siekiant teisinio aiškumo bei vadovaujantis teisėkūros principais siūlome Apraše įtvirtinti derinimo su Ministeriją terminus. Šiuo metu nėra aišku, kiek laiko gali užtrukti derinimo procedūros, todėl praktikoje gali kilti neaiškumų ir nesutarimų tiek tarp įgyvendinančiosios institucijos ir Ministerijos, tiek tarp institucijų ir projekto vykdytojo.</w:t>
            </w:r>
          </w:p>
        </w:tc>
        <w:tc>
          <w:tcPr>
            <w:tcW w:w="1842" w:type="dxa"/>
          </w:tcPr>
          <w:p w14:paraId="159FCCAF" w14:textId="04A03FD4" w:rsidR="00C77435" w:rsidRPr="00B11A28" w:rsidRDefault="00B11A28" w:rsidP="00C77435">
            <w:pPr>
              <w:rPr>
                <w:rFonts w:ascii="Times New Roman" w:hAnsi="Times New Roman" w:cs="Times New Roman"/>
                <w:sz w:val="24"/>
                <w:szCs w:val="24"/>
              </w:rPr>
            </w:pPr>
            <w:r w:rsidRPr="00B11A28">
              <w:rPr>
                <w:rFonts w:ascii="Times New Roman" w:hAnsi="Times New Roman" w:cs="Times New Roman"/>
                <w:sz w:val="24"/>
                <w:szCs w:val="24"/>
              </w:rPr>
              <w:t>Neatsižvelgta.</w:t>
            </w:r>
          </w:p>
        </w:tc>
        <w:tc>
          <w:tcPr>
            <w:tcW w:w="4395" w:type="dxa"/>
          </w:tcPr>
          <w:p w14:paraId="2E7C15CA" w14:textId="29F3BAF4" w:rsidR="00C77435" w:rsidRDefault="0029463E" w:rsidP="0029463E">
            <w:pPr>
              <w:jc w:val="both"/>
              <w:rPr>
                <w:rFonts w:ascii="Times New Roman" w:hAnsi="Times New Roman" w:cs="Times New Roman"/>
                <w:b/>
                <w:sz w:val="24"/>
                <w:szCs w:val="24"/>
              </w:rPr>
            </w:pPr>
            <w:r>
              <w:rPr>
                <w:rFonts w:ascii="Times New Roman" w:hAnsi="Times New Roman" w:cs="Times New Roman"/>
                <w:sz w:val="24"/>
                <w:szCs w:val="24"/>
              </w:rPr>
              <w:t>EIM</w:t>
            </w:r>
            <w:r w:rsidR="00B11A28" w:rsidRPr="00B11A28">
              <w:rPr>
                <w:rFonts w:ascii="Times New Roman" w:hAnsi="Times New Roman" w:cs="Times New Roman"/>
                <w:sz w:val="24"/>
                <w:szCs w:val="24"/>
              </w:rPr>
              <w:t xml:space="preserve"> yra atsakinga už tinkamą ir savalaikį lėšų investavimą, todėl projektų sutarčių keitimai</w:t>
            </w:r>
            <w:r>
              <w:rPr>
                <w:rFonts w:ascii="Times New Roman" w:hAnsi="Times New Roman" w:cs="Times New Roman"/>
                <w:sz w:val="24"/>
                <w:szCs w:val="24"/>
              </w:rPr>
              <w:t xml:space="preserve"> EIM</w:t>
            </w:r>
            <w:r w:rsidR="00B11A28" w:rsidRPr="00B11A28">
              <w:rPr>
                <w:rFonts w:ascii="Times New Roman" w:hAnsi="Times New Roman" w:cs="Times New Roman"/>
                <w:sz w:val="24"/>
                <w:szCs w:val="24"/>
              </w:rPr>
              <w:t xml:space="preserve"> yra suderinami per įmanomai trumpiausius terminus</w:t>
            </w:r>
            <w:r>
              <w:rPr>
                <w:rFonts w:ascii="Times New Roman" w:hAnsi="Times New Roman" w:cs="Times New Roman"/>
                <w:sz w:val="24"/>
                <w:szCs w:val="24"/>
              </w:rPr>
              <w:t xml:space="preserve">. </w:t>
            </w:r>
          </w:p>
        </w:tc>
      </w:tr>
      <w:tr w:rsidR="00C77435" w:rsidRPr="000C6855" w14:paraId="7A2B6A54" w14:textId="77777777" w:rsidTr="00FE70E3">
        <w:trPr>
          <w:trHeight w:val="550"/>
        </w:trPr>
        <w:tc>
          <w:tcPr>
            <w:tcW w:w="675" w:type="dxa"/>
            <w:vMerge/>
          </w:tcPr>
          <w:p w14:paraId="7A8E1036" w14:textId="77777777" w:rsidR="00C77435" w:rsidRDefault="00C77435" w:rsidP="00C77435">
            <w:pPr>
              <w:rPr>
                <w:rFonts w:ascii="Times New Roman" w:hAnsi="Times New Roman" w:cs="Times New Roman"/>
                <w:sz w:val="24"/>
                <w:szCs w:val="24"/>
              </w:rPr>
            </w:pPr>
          </w:p>
        </w:tc>
        <w:tc>
          <w:tcPr>
            <w:tcW w:w="1785" w:type="dxa"/>
            <w:vMerge/>
          </w:tcPr>
          <w:p w14:paraId="3710EA4B" w14:textId="77777777" w:rsidR="00C77435" w:rsidRDefault="00C77435" w:rsidP="00C77435">
            <w:pPr>
              <w:rPr>
                <w:rFonts w:ascii="Times New Roman" w:hAnsi="Times New Roman" w:cs="Times New Roman"/>
                <w:sz w:val="24"/>
                <w:szCs w:val="24"/>
              </w:rPr>
            </w:pPr>
          </w:p>
        </w:tc>
        <w:tc>
          <w:tcPr>
            <w:tcW w:w="1192" w:type="dxa"/>
          </w:tcPr>
          <w:p w14:paraId="1EF910B2" w14:textId="28D8C1D0" w:rsidR="00C77435" w:rsidRDefault="00C77435" w:rsidP="00C77435">
            <w:pPr>
              <w:rPr>
                <w:rFonts w:ascii="Times New Roman" w:hAnsi="Times New Roman" w:cs="Times New Roman"/>
                <w:sz w:val="24"/>
                <w:szCs w:val="24"/>
                <w:lang w:eastAsia="lt-LT"/>
              </w:rPr>
            </w:pPr>
            <w:r>
              <w:rPr>
                <w:rFonts w:ascii="Times New Roman" w:hAnsi="Times New Roman" w:cs="Times New Roman"/>
                <w:sz w:val="24"/>
                <w:szCs w:val="24"/>
                <w:lang w:eastAsia="lt-LT"/>
              </w:rPr>
              <w:t>32.8</w:t>
            </w:r>
          </w:p>
        </w:tc>
        <w:tc>
          <w:tcPr>
            <w:tcW w:w="5387" w:type="dxa"/>
          </w:tcPr>
          <w:p w14:paraId="54024126" w14:textId="3EA0CBF7" w:rsidR="00C77435" w:rsidRPr="00D65D52" w:rsidRDefault="00C77435" w:rsidP="00C77435">
            <w:pPr>
              <w:jc w:val="both"/>
              <w:rPr>
                <w:rFonts w:ascii="Times New Roman" w:hAnsi="Times New Roman" w:cs="Times New Roman"/>
                <w:sz w:val="24"/>
                <w:szCs w:val="24"/>
              </w:rPr>
            </w:pPr>
            <w:r w:rsidRPr="00B11A28">
              <w:rPr>
                <w:rFonts w:ascii="Times New Roman" w:hAnsi="Times New Roman" w:cs="Times New Roman"/>
                <w:sz w:val="24"/>
                <w:szCs w:val="24"/>
                <w:lang w:eastAsia="lt-LT"/>
              </w:rPr>
              <w:t xml:space="preserve">Atkreipiame dėmesį, kad </w:t>
            </w:r>
            <w:r w:rsidRPr="00B11A28">
              <w:rPr>
                <w:rFonts w:ascii="Times New Roman" w:hAnsi="Times New Roman" w:cs="Times New Roman"/>
                <w:color w:val="000000"/>
                <w:sz w:val="24"/>
                <w:szCs w:val="24"/>
              </w:rPr>
              <w:t>IT programinės įrangos sukūrimo atveju dažniausiai parduodama ne pati programinė įranga, o jos licencijos, todėl prašome patvirtinti, kad pajamos, gaunamos už produkto licencijos pardavimą, yra laikomos tinkamomis.</w:t>
            </w:r>
          </w:p>
        </w:tc>
        <w:tc>
          <w:tcPr>
            <w:tcW w:w="1842" w:type="dxa"/>
          </w:tcPr>
          <w:p w14:paraId="758A2964" w14:textId="2FCDED80" w:rsidR="00C77435" w:rsidRPr="0029463E" w:rsidRDefault="0029463E" w:rsidP="00C77435">
            <w:pPr>
              <w:rPr>
                <w:rFonts w:ascii="Times New Roman" w:hAnsi="Times New Roman" w:cs="Times New Roman"/>
                <w:sz w:val="24"/>
                <w:szCs w:val="24"/>
              </w:rPr>
            </w:pPr>
            <w:r w:rsidRPr="0029463E">
              <w:rPr>
                <w:rFonts w:ascii="Times New Roman" w:hAnsi="Times New Roman" w:cs="Times New Roman"/>
                <w:sz w:val="24"/>
                <w:szCs w:val="24"/>
              </w:rPr>
              <w:t>Paaiškinta.</w:t>
            </w:r>
          </w:p>
        </w:tc>
        <w:tc>
          <w:tcPr>
            <w:tcW w:w="4395" w:type="dxa"/>
          </w:tcPr>
          <w:p w14:paraId="5062D252" w14:textId="12F24474" w:rsidR="00C77435" w:rsidRDefault="0029463E" w:rsidP="0029463E">
            <w:pPr>
              <w:jc w:val="both"/>
              <w:rPr>
                <w:rFonts w:ascii="Times New Roman" w:hAnsi="Times New Roman" w:cs="Times New Roman"/>
                <w:b/>
                <w:sz w:val="24"/>
                <w:szCs w:val="24"/>
              </w:rPr>
            </w:pPr>
            <w:r w:rsidRPr="0029463E">
              <w:rPr>
                <w:rFonts w:ascii="Times New Roman" w:hAnsi="Times New Roman" w:cs="Times New Roman"/>
                <w:sz w:val="24"/>
                <w:szCs w:val="24"/>
              </w:rPr>
              <w:t xml:space="preserve">Vertinant naujai numatomo rezultato stebėsenos rodiklio R.N. 810 „Investicijas gavusios įmonės pajamų, gautų iš sukurtų ir rinkai pateiktų produktų, santykis su skirtomis investicijomis“ pasiekimą, projekto metu sukurto produkto – programinės įrangos – licencijos pardavimo </w:t>
            </w:r>
            <w:r w:rsidRPr="0029463E">
              <w:rPr>
                <w:rFonts w:ascii="Times New Roman" w:hAnsi="Times New Roman" w:cs="Times New Roman"/>
                <w:sz w:val="24"/>
                <w:szCs w:val="24"/>
              </w:rPr>
              <w:lastRenderedPageBreak/>
              <w:t>pajamos būtų tinkamos minėtam rodikliui matuoti</w:t>
            </w:r>
            <w:r>
              <w:rPr>
                <w:rFonts w:ascii="Times New Roman" w:hAnsi="Times New Roman" w:cs="Times New Roman"/>
                <w:sz w:val="24"/>
                <w:szCs w:val="24"/>
              </w:rPr>
              <w:t>.</w:t>
            </w:r>
          </w:p>
        </w:tc>
      </w:tr>
      <w:tr w:rsidR="00BE37B1" w:rsidRPr="000C6855" w14:paraId="6CE8FB6D" w14:textId="77777777" w:rsidTr="00FE70E3">
        <w:trPr>
          <w:trHeight w:val="550"/>
        </w:trPr>
        <w:tc>
          <w:tcPr>
            <w:tcW w:w="675" w:type="dxa"/>
            <w:vMerge/>
          </w:tcPr>
          <w:p w14:paraId="49A6042F" w14:textId="77777777" w:rsidR="00BE37B1" w:rsidRDefault="00BE37B1" w:rsidP="00BE37B1">
            <w:pPr>
              <w:rPr>
                <w:rFonts w:ascii="Times New Roman" w:hAnsi="Times New Roman" w:cs="Times New Roman"/>
                <w:sz w:val="24"/>
                <w:szCs w:val="24"/>
              </w:rPr>
            </w:pPr>
          </w:p>
        </w:tc>
        <w:tc>
          <w:tcPr>
            <w:tcW w:w="1785" w:type="dxa"/>
            <w:vMerge/>
          </w:tcPr>
          <w:p w14:paraId="00FB547F" w14:textId="77777777" w:rsidR="00BE37B1" w:rsidRDefault="00BE37B1" w:rsidP="00BE37B1">
            <w:pPr>
              <w:rPr>
                <w:rFonts w:ascii="Times New Roman" w:hAnsi="Times New Roman" w:cs="Times New Roman"/>
                <w:sz w:val="24"/>
                <w:szCs w:val="24"/>
              </w:rPr>
            </w:pPr>
          </w:p>
        </w:tc>
        <w:tc>
          <w:tcPr>
            <w:tcW w:w="1192" w:type="dxa"/>
            <w:vMerge w:val="restart"/>
          </w:tcPr>
          <w:p w14:paraId="44E5424F" w14:textId="0671FDC2" w:rsidR="00BE37B1" w:rsidRDefault="00BE37B1" w:rsidP="00BE37B1">
            <w:pPr>
              <w:rPr>
                <w:rFonts w:ascii="Times New Roman" w:hAnsi="Times New Roman" w:cs="Times New Roman"/>
                <w:sz w:val="24"/>
                <w:szCs w:val="24"/>
                <w:lang w:eastAsia="lt-LT"/>
              </w:rPr>
            </w:pPr>
            <w:r>
              <w:rPr>
                <w:rFonts w:ascii="Times New Roman" w:hAnsi="Times New Roman" w:cs="Times New Roman"/>
                <w:sz w:val="24"/>
                <w:szCs w:val="24"/>
                <w:lang w:eastAsia="lt-LT"/>
              </w:rPr>
              <w:t>84.16, 91</w:t>
            </w:r>
          </w:p>
        </w:tc>
        <w:tc>
          <w:tcPr>
            <w:tcW w:w="5387" w:type="dxa"/>
          </w:tcPr>
          <w:p w14:paraId="5926F36C" w14:textId="77777777" w:rsidR="00BE37B1" w:rsidRPr="00D65D52" w:rsidRDefault="00BE37B1" w:rsidP="00BE37B1">
            <w:pPr>
              <w:pStyle w:val="CommentText"/>
              <w:jc w:val="both"/>
              <w:rPr>
                <w:rFonts w:ascii="Times New Roman" w:hAnsi="Times New Roman" w:cs="Times New Roman"/>
                <w:sz w:val="24"/>
                <w:szCs w:val="24"/>
              </w:rPr>
            </w:pPr>
            <w:r w:rsidRPr="00D65D52">
              <w:rPr>
                <w:rFonts w:ascii="Times New Roman" w:hAnsi="Times New Roman" w:cs="Times New Roman"/>
                <w:b/>
                <w:bCs/>
                <w:sz w:val="24"/>
                <w:szCs w:val="24"/>
              </w:rPr>
              <w:t>Investuok Lietuvoje siūlo atsisakyti perteklinio ir procesą dubliuojančio reikalavimo potencialiems pareiškėjams (užsienio investuotojams) išduoti ekspertinę išvadą dėl projekto atitikimo Aprašo 1 priedo 1.2 ir 2.1 papunkčiams (išskyrus Aprašo 1 priedo 2.1 papunktyje nurodytą Aprašo 23.1 papunktį)</w:t>
            </w:r>
            <w:r w:rsidRPr="00D65D52">
              <w:rPr>
                <w:rFonts w:ascii="Times New Roman" w:hAnsi="Times New Roman" w:cs="Times New Roman"/>
                <w:sz w:val="24"/>
                <w:szCs w:val="24"/>
              </w:rPr>
              <w:t>, nes:</w:t>
            </w:r>
          </w:p>
          <w:p w14:paraId="4655582A" w14:textId="134822DD" w:rsidR="00BE37B1" w:rsidRPr="00D65D52" w:rsidRDefault="00BE37B1" w:rsidP="00BE37B1">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1. </w:t>
            </w:r>
            <w:r w:rsidRPr="00D65D52">
              <w:rPr>
                <w:rFonts w:ascii="Times New Roman" w:hAnsi="Times New Roman" w:cs="Times New Roman"/>
                <w:sz w:val="24"/>
                <w:szCs w:val="24"/>
              </w:rPr>
              <w:t>Informaciją apie užsienio investuotojus Investuok Lietuvoje renka per viešai prieinamus įrankius ir duomenų bazes, kurios yra pasiekiamos bet kuriai įstaigai. Tuo tarpu tiesioginių užsienio investicijų pritraukimo atitikimas pirmiausia tikrinamas pagal pirminius šaltinius, šiuo atveju – įmonės finansinės atskaitomybės dokumentus, kuriuos potencialus pareiškėjas (užsienio investuotojas) teikia kartu su paraiška, todėl įgyvendinančioji institucija, vertindama paraišką turi visą reikiamą informaciją, žinias ir reikiamus instrumentus tiesioginių užsienio investicijų pritraukimui įvertinti.</w:t>
            </w:r>
          </w:p>
          <w:p w14:paraId="53242C9B" w14:textId="0FD349FF" w:rsidR="00BE37B1" w:rsidRPr="00D65D52" w:rsidRDefault="00BE37B1" w:rsidP="00BE37B1">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2. </w:t>
            </w:r>
            <w:r w:rsidRPr="00D65D52">
              <w:rPr>
                <w:rFonts w:ascii="Times New Roman" w:hAnsi="Times New Roman" w:cs="Times New Roman"/>
                <w:sz w:val="24"/>
                <w:szCs w:val="24"/>
              </w:rPr>
              <w:t xml:space="preserve">Projekto atitikimas Aprašo 23.2. punktui turi būti pirmiausia vertinamas pagal paraiškoje pateiktą informaciją. Pagal siūlomą Aprašo pakeitimą Investuok Lietuvoje ekspertinę išvadą pateikti turi potencialiam pareiškėjui (užsienio investuotojui) iki paraiškos pateikimo, t. y. turi atlikti vertinimą neturint visos Aprašo 23.2. punktui įvertinti reikalingos informacijos. Dėl šios priežasties manome, jog Investuok Lietuvoje ekspertinė išvada nebūtų parengta remiantis išsamia ir objektyvia, paraiškoje pateikta informacija. Manome, jog įgyvendinančioji institucija, gaudama investuotojo paraišką turi visą reikiamą informaciją, žinias ir reikiamus instrumentus projekto atitikimo Aprašo 23.2. reikalavimams įvertinti. </w:t>
            </w:r>
          </w:p>
          <w:p w14:paraId="2DD01EFC" w14:textId="65EE6A4E" w:rsidR="00BE37B1" w:rsidRPr="00D65D52" w:rsidRDefault="00BE37B1" w:rsidP="00BE37B1">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3. </w:t>
            </w:r>
            <w:r w:rsidRPr="00D65D52">
              <w:rPr>
                <w:rFonts w:ascii="Times New Roman" w:hAnsi="Times New Roman" w:cs="Times New Roman"/>
                <w:sz w:val="24"/>
                <w:szCs w:val="24"/>
              </w:rPr>
              <w:t xml:space="preserve">Investuok Lietuvoje įsitikinimu siūlomas reikalavimas išduoti ekspertinę išvadą nesuteiktų </w:t>
            </w:r>
            <w:r w:rsidRPr="00D65D52">
              <w:rPr>
                <w:rFonts w:ascii="Times New Roman" w:hAnsi="Times New Roman" w:cs="Times New Roman"/>
                <w:sz w:val="24"/>
                <w:szCs w:val="24"/>
              </w:rPr>
              <w:lastRenderedPageBreak/>
              <w:t>pridėtinės vertės, kadangi ja nebūtų atliekamas užsienio investuotojo patikimumo vertinimas (tai nėra Investuok Lietuvoje funkcija ir/ar kompetencija). Pažymime, jog potencialaus  pareiškėjo (užsienio investuotojo) patikimumas turi būti įvertinamas vertinant pajamų per paskutinius 3-jus finansinius metus reikalavimą. Būtent šis kriterijus užtikrina, jog įmonė (įmonių grupė) veikia stabiliai, ji turi savo klientų bazę, kuriems parduoda savo produktus/paslaugas, įmonės veikla perspektyvi.</w:t>
            </w:r>
          </w:p>
          <w:p w14:paraId="244179DF" w14:textId="385ABFE1" w:rsidR="00BE37B1" w:rsidRPr="00D65D52" w:rsidRDefault="00BE37B1" w:rsidP="00BE37B1">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4. </w:t>
            </w:r>
            <w:r w:rsidRPr="00D65D52">
              <w:rPr>
                <w:rFonts w:ascii="Times New Roman" w:hAnsi="Times New Roman" w:cs="Times New Roman"/>
                <w:sz w:val="24"/>
                <w:szCs w:val="24"/>
              </w:rPr>
              <w:t>Įvestas reikalavimas išduoti ekspertinę išvadą ženkliai atidėtų kvietimo teikti paraiškas terminą, kadangi turėtų būti papildomai su Ministerija ir įgyvendinančiąja institucija parengta ir suderinta ekspertinės išvados išdavimo tvarka.</w:t>
            </w:r>
          </w:p>
          <w:p w14:paraId="6C33447D" w14:textId="77777777" w:rsidR="00BE37B1" w:rsidRPr="00D65D52" w:rsidRDefault="00BE37B1" w:rsidP="00BE37B1">
            <w:pPr>
              <w:pStyle w:val="CommentText"/>
              <w:jc w:val="both"/>
              <w:rPr>
                <w:rFonts w:ascii="Times New Roman" w:hAnsi="Times New Roman" w:cs="Times New Roman"/>
                <w:b/>
                <w:bCs/>
                <w:sz w:val="24"/>
                <w:szCs w:val="24"/>
              </w:rPr>
            </w:pPr>
            <w:r w:rsidRPr="00D65D52">
              <w:rPr>
                <w:rFonts w:ascii="Times New Roman" w:hAnsi="Times New Roman" w:cs="Times New Roman"/>
                <w:b/>
                <w:bCs/>
                <w:sz w:val="24"/>
                <w:szCs w:val="24"/>
              </w:rPr>
              <w:t>Tuo atveju, jeigu būtų atmestas pasiūlymas atsisakyti Investuok Lietuvoje ekspertinės išvados, papildomai teikiame šias pastabas:</w:t>
            </w:r>
          </w:p>
          <w:p w14:paraId="2A2DB70E" w14:textId="32000112" w:rsidR="00BE37B1" w:rsidRPr="006136A0" w:rsidRDefault="00BE37B1" w:rsidP="00BE37B1">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a) </w:t>
            </w:r>
            <w:r w:rsidRPr="00D65D52">
              <w:rPr>
                <w:rFonts w:ascii="Times New Roman" w:hAnsi="Times New Roman" w:cs="Times New Roman"/>
                <w:sz w:val="24"/>
                <w:szCs w:val="24"/>
              </w:rPr>
              <w:t>pagal siūlomus</w:t>
            </w:r>
            <w:r w:rsidRPr="00D65D52">
              <w:rPr>
                <w:rFonts w:ascii="Times New Roman" w:hAnsi="Times New Roman" w:cs="Times New Roman"/>
                <w:color w:val="000000"/>
                <w:sz w:val="24"/>
                <w:szCs w:val="24"/>
              </w:rPr>
              <w:t xml:space="preserve"> Aprašo pakeitimus Investuok Lietuvoje ekspertinė išvada, nurodyta Aprašo 84.16 ir 91 punktuose, turi būti pateikiama kartu su kitais paraiškos dokumentais. Taigi, pareiškėjas (užsienio investuotojas) turės kreiptis į Investuok Lietuvoje ir pateikti dokumentus įrodančius atitiktį Aprašo 1 priedo 1.2 ir 2.1 papunkčiams (išskyrus Aprašo 1 priedo 2.1 papunktyje nurodytą Aprašo 23.1 papunktį). Tik gavus šią ekspertinę išvadą, pareiškėjas galės pateikti paraišką įgyvendinančiajai institucijai.  Mūsų nuomone, šis siūlymas ne tik sukuria papildomą administracinę naštą potencialiam pareiškėjui (užsienio investuotojui), bet ir pažeidžia Lietuvos Respublikos viešojo administravimo įstatymo 3 str. 8 d. nustatytą „Vieno langelio“ aptarnavimo principą. Be to, </w:t>
            </w:r>
            <w:r w:rsidRPr="00D65D52">
              <w:rPr>
                <w:rFonts w:ascii="Times New Roman" w:hAnsi="Times New Roman" w:cs="Times New Roman"/>
                <w:sz w:val="24"/>
                <w:szCs w:val="24"/>
              </w:rPr>
              <w:t xml:space="preserve">nebūtų užtikrinamas proceso efektyvumas iš pareiškėjo perspektyvos, kadangi papildomas administracinis reikalavimas </w:t>
            </w:r>
            <w:r w:rsidRPr="00D65D52">
              <w:rPr>
                <w:rFonts w:ascii="Times New Roman" w:hAnsi="Times New Roman" w:cs="Times New Roman"/>
                <w:color w:val="000000"/>
                <w:sz w:val="24"/>
                <w:szCs w:val="24"/>
              </w:rPr>
              <w:t xml:space="preserve">potencialiam pareiškėjui (užsienio investuotojui) </w:t>
            </w:r>
            <w:r w:rsidRPr="00D65D52">
              <w:rPr>
                <w:rFonts w:ascii="Times New Roman" w:hAnsi="Times New Roman" w:cs="Times New Roman"/>
                <w:sz w:val="24"/>
                <w:szCs w:val="24"/>
              </w:rPr>
              <w:t xml:space="preserve">kreiptis į trečiąją šalį praktikoje ištęstų paraiškos </w:t>
            </w:r>
            <w:r w:rsidRPr="00D65D52">
              <w:rPr>
                <w:rFonts w:ascii="Times New Roman" w:hAnsi="Times New Roman" w:cs="Times New Roman"/>
                <w:sz w:val="24"/>
                <w:szCs w:val="24"/>
              </w:rPr>
              <w:lastRenderedPageBreak/>
              <w:t xml:space="preserve">rengimo ir vertinimo procedūras. Atsižvelgiant į aukščiau išdėstytą </w:t>
            </w:r>
            <w:r w:rsidRPr="00D65D52">
              <w:rPr>
                <w:rFonts w:ascii="Times New Roman" w:hAnsi="Times New Roman" w:cs="Times New Roman"/>
                <w:b/>
                <w:bCs/>
                <w:sz w:val="24"/>
                <w:szCs w:val="24"/>
              </w:rPr>
              <w:t>Investuok Lietuvoje siūlo atsisakyti reikalavimo ekspertinę išvadą</w:t>
            </w:r>
            <w:r w:rsidRPr="00D65D52">
              <w:rPr>
                <w:rFonts w:ascii="Times New Roman" w:hAnsi="Times New Roman" w:cs="Times New Roman"/>
                <w:sz w:val="24"/>
                <w:szCs w:val="24"/>
              </w:rPr>
              <w:t xml:space="preserve"> </w:t>
            </w:r>
            <w:r w:rsidRPr="00D65D52">
              <w:rPr>
                <w:rFonts w:ascii="Times New Roman" w:hAnsi="Times New Roman" w:cs="Times New Roman"/>
                <w:b/>
                <w:bCs/>
                <w:sz w:val="24"/>
                <w:szCs w:val="24"/>
              </w:rPr>
              <w:t xml:space="preserve">pateikti kartu su kitais paraiškos dokumentais ir įtraukti ją į paraiškų vertinimo procesą. </w:t>
            </w:r>
          </w:p>
        </w:tc>
        <w:tc>
          <w:tcPr>
            <w:tcW w:w="1842" w:type="dxa"/>
          </w:tcPr>
          <w:p w14:paraId="36D457AC" w14:textId="3D5D706A" w:rsidR="00BE37B1" w:rsidRDefault="00BE37B1" w:rsidP="00BE37B1">
            <w:pPr>
              <w:rPr>
                <w:rFonts w:ascii="Times New Roman" w:hAnsi="Times New Roman" w:cs="Times New Roman"/>
                <w:b/>
                <w:sz w:val="24"/>
                <w:szCs w:val="24"/>
              </w:rPr>
            </w:pPr>
            <w:r>
              <w:rPr>
                <w:rFonts w:ascii="Times New Roman" w:hAnsi="Times New Roman" w:cs="Times New Roman"/>
                <w:sz w:val="24"/>
                <w:szCs w:val="24"/>
              </w:rPr>
              <w:lastRenderedPageBreak/>
              <w:t xml:space="preserve">Atsižvelgta. </w:t>
            </w:r>
          </w:p>
        </w:tc>
        <w:tc>
          <w:tcPr>
            <w:tcW w:w="4395" w:type="dxa"/>
          </w:tcPr>
          <w:p w14:paraId="0B34352F" w14:textId="44AE66A7" w:rsidR="00BE37B1" w:rsidRDefault="00BE37B1" w:rsidP="00BE37B1">
            <w:pPr>
              <w:jc w:val="both"/>
              <w:rPr>
                <w:rFonts w:ascii="Times New Roman" w:hAnsi="Times New Roman" w:cs="Times New Roman"/>
                <w:b/>
                <w:sz w:val="24"/>
                <w:szCs w:val="24"/>
              </w:rPr>
            </w:pPr>
            <w:r>
              <w:rPr>
                <w:rFonts w:ascii="Times New Roman" w:hAnsi="Times New Roman" w:cs="Times New Roman"/>
                <w:sz w:val="24"/>
                <w:szCs w:val="24"/>
              </w:rPr>
              <w:t>Įvertinus viešojo aptarimo metu gautas pastabas, reikalavimo pateikti VšĮ „Investuok Lietuvoje“ ekspertinę išvadą atsisakyta.</w:t>
            </w:r>
          </w:p>
        </w:tc>
      </w:tr>
      <w:tr w:rsidR="00BE37B1" w:rsidRPr="000C6855" w14:paraId="1FE695EB" w14:textId="77777777" w:rsidTr="00FE70E3">
        <w:trPr>
          <w:trHeight w:val="550"/>
        </w:trPr>
        <w:tc>
          <w:tcPr>
            <w:tcW w:w="675" w:type="dxa"/>
            <w:vMerge/>
          </w:tcPr>
          <w:p w14:paraId="5C265275" w14:textId="77777777" w:rsidR="00BE37B1" w:rsidRDefault="00BE37B1" w:rsidP="00BE37B1">
            <w:pPr>
              <w:rPr>
                <w:rFonts w:ascii="Times New Roman" w:hAnsi="Times New Roman" w:cs="Times New Roman"/>
                <w:sz w:val="24"/>
                <w:szCs w:val="24"/>
              </w:rPr>
            </w:pPr>
          </w:p>
        </w:tc>
        <w:tc>
          <w:tcPr>
            <w:tcW w:w="1785" w:type="dxa"/>
            <w:vMerge/>
          </w:tcPr>
          <w:p w14:paraId="4536466B" w14:textId="77777777" w:rsidR="00BE37B1" w:rsidRDefault="00BE37B1" w:rsidP="00BE37B1">
            <w:pPr>
              <w:rPr>
                <w:rFonts w:ascii="Times New Roman" w:hAnsi="Times New Roman" w:cs="Times New Roman"/>
                <w:sz w:val="24"/>
                <w:szCs w:val="24"/>
              </w:rPr>
            </w:pPr>
          </w:p>
        </w:tc>
        <w:tc>
          <w:tcPr>
            <w:tcW w:w="1192" w:type="dxa"/>
            <w:vMerge/>
          </w:tcPr>
          <w:p w14:paraId="4E3850A2" w14:textId="77777777" w:rsidR="00BE37B1" w:rsidRDefault="00BE37B1" w:rsidP="00BE37B1">
            <w:pPr>
              <w:rPr>
                <w:rFonts w:ascii="Times New Roman" w:hAnsi="Times New Roman" w:cs="Times New Roman"/>
                <w:sz w:val="24"/>
                <w:szCs w:val="24"/>
                <w:lang w:eastAsia="lt-LT"/>
              </w:rPr>
            </w:pPr>
          </w:p>
        </w:tc>
        <w:tc>
          <w:tcPr>
            <w:tcW w:w="5387" w:type="dxa"/>
          </w:tcPr>
          <w:p w14:paraId="617A47EB" w14:textId="5CB4E618" w:rsidR="00BE37B1" w:rsidRPr="00D65D52" w:rsidRDefault="00BE37B1" w:rsidP="00BE37B1">
            <w:pPr>
              <w:pStyle w:val="CommentText"/>
              <w:jc w:val="both"/>
              <w:rPr>
                <w:rFonts w:ascii="Times New Roman" w:hAnsi="Times New Roman" w:cs="Times New Roman"/>
                <w:b/>
                <w:bCs/>
                <w:sz w:val="24"/>
                <w:szCs w:val="24"/>
              </w:rPr>
            </w:pPr>
            <w:r w:rsidRPr="006136A0">
              <w:rPr>
                <w:rFonts w:ascii="Times New Roman" w:hAnsi="Times New Roman" w:cs="Times New Roman"/>
                <w:sz w:val="24"/>
                <w:szCs w:val="24"/>
              </w:rPr>
              <w:t xml:space="preserve">b) Apraše rekomenduojame </w:t>
            </w:r>
            <w:r w:rsidRPr="006136A0">
              <w:rPr>
                <w:rFonts w:ascii="Times New Roman" w:hAnsi="Times New Roman" w:cs="Times New Roman"/>
                <w:b/>
                <w:bCs/>
                <w:sz w:val="24"/>
                <w:szCs w:val="24"/>
              </w:rPr>
              <w:t>įtvirtinti tiesioginių užsienio investicijų sąvoką</w:t>
            </w:r>
            <w:r w:rsidRPr="006136A0">
              <w:rPr>
                <w:rFonts w:ascii="Times New Roman" w:hAnsi="Times New Roman" w:cs="Times New Roman"/>
                <w:sz w:val="24"/>
                <w:szCs w:val="24"/>
              </w:rPr>
              <w:t xml:space="preserve">, nustatant kokiais kriterijais vadovaujantis Investuok Lietuvoje nustatys tiesioginių užsienio investicijų pritraukimo atitikimą Aprašo 1 priedo 1.2 ir 2.1 papunkčiams (išskyrus Aprašo 1 priedo 2.1 papunktyje nurodytą Aprašo 23.1 papunktį). Tiesioginėmis užsienio investicijomis galėtų būti laikomos investicijos, kaip jos apibrėžtos Tiesioginių užsienio investicijų statistinio tyrimo metodikoje, patvirtintoje Lietuvos statistikos departamento generalinio direktoriaus 2018 m. rugsėjo 7 d. įsakymu Nr. </w:t>
            </w:r>
            <w:r w:rsidRPr="006136A0">
              <w:rPr>
                <w:rFonts w:ascii="Times New Roman" w:hAnsi="Times New Roman" w:cs="Times New Roman"/>
                <w:sz w:val="24"/>
                <w:szCs w:val="24"/>
                <w:lang w:val="en-GB"/>
              </w:rPr>
              <w:t>DĮ-197</w:t>
            </w:r>
            <w:r>
              <w:rPr>
                <w:rFonts w:ascii="Times New Roman" w:hAnsi="Times New Roman" w:cs="Times New Roman"/>
                <w:sz w:val="24"/>
                <w:szCs w:val="24"/>
                <w:lang w:val="en-GB"/>
              </w:rPr>
              <w:t>.</w:t>
            </w:r>
          </w:p>
        </w:tc>
        <w:tc>
          <w:tcPr>
            <w:tcW w:w="1842" w:type="dxa"/>
          </w:tcPr>
          <w:p w14:paraId="2B25DFE2" w14:textId="77777777" w:rsidR="00BE37B1" w:rsidRDefault="00BE37B1" w:rsidP="00BE37B1">
            <w:pPr>
              <w:rPr>
                <w:rFonts w:ascii="Times New Roman" w:hAnsi="Times New Roman" w:cs="Times New Roman"/>
                <w:b/>
                <w:sz w:val="24"/>
                <w:szCs w:val="24"/>
              </w:rPr>
            </w:pPr>
          </w:p>
        </w:tc>
        <w:tc>
          <w:tcPr>
            <w:tcW w:w="4395" w:type="dxa"/>
          </w:tcPr>
          <w:p w14:paraId="670AAEF3" w14:textId="77777777" w:rsidR="00BE37B1" w:rsidRDefault="00BE37B1" w:rsidP="00BE37B1">
            <w:pPr>
              <w:rPr>
                <w:rFonts w:ascii="Times New Roman" w:hAnsi="Times New Roman" w:cs="Times New Roman"/>
                <w:b/>
                <w:sz w:val="24"/>
                <w:szCs w:val="24"/>
              </w:rPr>
            </w:pPr>
          </w:p>
        </w:tc>
      </w:tr>
      <w:tr w:rsidR="00BE37B1" w:rsidRPr="000C6855" w14:paraId="27B5A647" w14:textId="77777777" w:rsidTr="00FE70E3">
        <w:trPr>
          <w:trHeight w:val="550"/>
        </w:trPr>
        <w:tc>
          <w:tcPr>
            <w:tcW w:w="675" w:type="dxa"/>
          </w:tcPr>
          <w:p w14:paraId="3789361B" w14:textId="45E168D3" w:rsidR="00BE37B1" w:rsidRPr="0051261D" w:rsidRDefault="00BE37B1" w:rsidP="00BE37B1">
            <w:pPr>
              <w:rPr>
                <w:rFonts w:ascii="Times New Roman" w:hAnsi="Times New Roman" w:cs="Times New Roman"/>
                <w:sz w:val="24"/>
                <w:szCs w:val="24"/>
                <w:lang w:val="en-US"/>
              </w:rPr>
            </w:pPr>
            <w:r>
              <w:rPr>
                <w:rFonts w:ascii="Times New Roman" w:hAnsi="Times New Roman" w:cs="Times New Roman"/>
                <w:sz w:val="24"/>
                <w:szCs w:val="24"/>
                <w:lang w:val="en-US"/>
              </w:rPr>
              <w:t xml:space="preserve">6. </w:t>
            </w:r>
          </w:p>
        </w:tc>
        <w:tc>
          <w:tcPr>
            <w:tcW w:w="1785" w:type="dxa"/>
          </w:tcPr>
          <w:p w14:paraId="25ED89A5" w14:textId="4752E1B3" w:rsidR="00BE37B1" w:rsidRDefault="00BE37B1" w:rsidP="00BE37B1">
            <w:pPr>
              <w:rPr>
                <w:rFonts w:ascii="Times New Roman" w:hAnsi="Times New Roman" w:cs="Times New Roman"/>
                <w:sz w:val="24"/>
                <w:szCs w:val="24"/>
              </w:rPr>
            </w:pPr>
            <w:r>
              <w:rPr>
                <w:rFonts w:ascii="Times New Roman" w:hAnsi="Times New Roman" w:cs="Times New Roman"/>
                <w:sz w:val="24"/>
                <w:szCs w:val="24"/>
              </w:rPr>
              <w:t>Investuotojų forumas</w:t>
            </w:r>
          </w:p>
        </w:tc>
        <w:tc>
          <w:tcPr>
            <w:tcW w:w="1192" w:type="dxa"/>
          </w:tcPr>
          <w:p w14:paraId="24C63EA2" w14:textId="5C8A8AD6" w:rsidR="00BE37B1" w:rsidRDefault="00BE37B1" w:rsidP="00BE37B1">
            <w:pPr>
              <w:rPr>
                <w:rFonts w:ascii="Times New Roman" w:hAnsi="Times New Roman" w:cs="Times New Roman"/>
                <w:sz w:val="24"/>
                <w:szCs w:val="24"/>
                <w:lang w:eastAsia="lt-LT"/>
              </w:rPr>
            </w:pPr>
            <w:r>
              <w:rPr>
                <w:rFonts w:ascii="Times New Roman" w:hAnsi="Times New Roman" w:cs="Times New Roman"/>
                <w:sz w:val="24"/>
                <w:szCs w:val="24"/>
              </w:rPr>
              <w:t>23.6</w:t>
            </w:r>
          </w:p>
        </w:tc>
        <w:tc>
          <w:tcPr>
            <w:tcW w:w="5387" w:type="dxa"/>
          </w:tcPr>
          <w:p w14:paraId="67F26338" w14:textId="0F58DFF9" w:rsidR="00BE37B1" w:rsidRPr="00551BF8" w:rsidRDefault="00BE37B1" w:rsidP="00BE37B1">
            <w:pPr>
              <w:jc w:val="both"/>
              <w:rPr>
                <w:rFonts w:ascii="Times New Roman" w:hAnsi="Times New Roman" w:cs="Times New Roman"/>
                <w:sz w:val="24"/>
                <w:szCs w:val="24"/>
              </w:rPr>
            </w:pPr>
            <w:r w:rsidRPr="00551BF8">
              <w:rPr>
                <w:rFonts w:ascii="Times New Roman" w:hAnsi="Times New Roman" w:cs="Times New Roman"/>
                <w:sz w:val="24"/>
                <w:szCs w:val="24"/>
              </w:rPr>
              <w:t xml:space="preserve">Susipažinę </w:t>
            </w:r>
            <w:r>
              <w:rPr>
                <w:rFonts w:ascii="Times New Roman" w:hAnsi="Times New Roman" w:cs="Times New Roman"/>
                <w:sz w:val="24"/>
                <w:szCs w:val="24"/>
              </w:rPr>
              <w:t xml:space="preserve">su </w:t>
            </w:r>
            <w:r w:rsidRPr="00551BF8">
              <w:rPr>
                <w:rFonts w:ascii="Times New Roman" w:hAnsi="Times New Roman" w:cs="Times New Roman"/>
                <w:sz w:val="24"/>
                <w:szCs w:val="24"/>
              </w:rPr>
              <w:t>Ekonomikos ir inovacijų ministerijos viešam aptarimui teiktos priemonės „</w:t>
            </w:r>
            <w:proofErr w:type="spellStart"/>
            <w:r w:rsidRPr="00551BF8">
              <w:rPr>
                <w:rFonts w:ascii="Times New Roman" w:hAnsi="Times New Roman" w:cs="Times New Roman"/>
                <w:sz w:val="24"/>
                <w:szCs w:val="24"/>
              </w:rPr>
              <w:t>Smart</w:t>
            </w:r>
            <w:proofErr w:type="spellEnd"/>
            <w:r w:rsidRPr="00551BF8">
              <w:rPr>
                <w:rFonts w:ascii="Times New Roman" w:hAnsi="Times New Roman" w:cs="Times New Roman"/>
                <w:sz w:val="24"/>
                <w:szCs w:val="24"/>
              </w:rPr>
              <w:t xml:space="preserve"> FDI“ projektų finansavimo </w:t>
            </w:r>
            <w:r>
              <w:rPr>
                <w:rFonts w:ascii="Times New Roman" w:hAnsi="Times New Roman" w:cs="Times New Roman"/>
                <w:sz w:val="24"/>
                <w:szCs w:val="24"/>
              </w:rPr>
              <w:t>sąlygų aprašo pakeitimo projektu,</w:t>
            </w:r>
            <w:r w:rsidRPr="00551BF8">
              <w:rPr>
                <w:rFonts w:ascii="Times New Roman" w:hAnsi="Times New Roman" w:cs="Times New Roman"/>
                <w:sz w:val="24"/>
                <w:szCs w:val="24"/>
              </w:rPr>
              <w:t xml:space="preserve"> atkreipiame dėmesį, kad šios  priemonės projektų atrankos kriterijai jau buvo suderinti 2019 m. vasario 22 d. </w:t>
            </w:r>
          </w:p>
          <w:p w14:paraId="57DDB787" w14:textId="4BF37AC4" w:rsidR="00BE37B1" w:rsidRPr="00551BF8" w:rsidRDefault="00BE37B1" w:rsidP="00BE37B1">
            <w:pPr>
              <w:pStyle w:val="CommentText"/>
              <w:jc w:val="both"/>
              <w:rPr>
                <w:rFonts w:ascii="Times New Roman" w:hAnsi="Times New Roman" w:cs="Times New Roman"/>
                <w:sz w:val="24"/>
                <w:szCs w:val="24"/>
              </w:rPr>
            </w:pPr>
            <w:r w:rsidRPr="00551BF8">
              <w:rPr>
                <w:rFonts w:ascii="Times New Roman" w:hAnsi="Times New Roman" w:cs="Times New Roman"/>
                <w:sz w:val="24"/>
                <w:szCs w:val="24"/>
              </w:rPr>
              <w:t>Ekonomikos minist</w:t>
            </w:r>
            <w:r>
              <w:rPr>
                <w:rFonts w:ascii="Times New Roman" w:hAnsi="Times New Roman" w:cs="Times New Roman"/>
                <w:sz w:val="24"/>
                <w:szCs w:val="24"/>
              </w:rPr>
              <w:t>erijos iniciatyva buvo pasiūlytas</w:t>
            </w:r>
            <w:r w:rsidRPr="00551BF8">
              <w:rPr>
                <w:rFonts w:ascii="Times New Roman" w:hAnsi="Times New Roman" w:cs="Times New Roman"/>
                <w:sz w:val="24"/>
                <w:szCs w:val="24"/>
              </w:rPr>
              <w:t xml:space="preserve"> šis reikalavimas investuotojams: </w:t>
            </w:r>
            <w:r w:rsidRPr="00551BF8">
              <w:rPr>
                <w:rFonts w:ascii="Times New Roman" w:hAnsi="Times New Roman" w:cs="Times New Roman"/>
                <w:i/>
                <w:sz w:val="24"/>
                <w:szCs w:val="24"/>
              </w:rPr>
              <w:t>Pareiškėjo metinės pajamos (įskaitant pareiškėjo įmonių grupės pajamas) bent vienais finansiniais metais per paskutinius 3 finansinius metus iki paraiškos pateikimo buvo ne mažesnės kaip 1  000  000 eurų arba per paskutinius 3 metus iki paraiškos pateikimo į pareiškėją investuota (t. y. Lietuvos Respublikos investicijų įstatymo nustatytais būdais atlikti investuotojo veiksmai, kuriais įgyjama nuosavybės teisė į investavimo objektą arba teisė šį objektą valdyti ir naudoti) ne mažiau kaip 1 000 000 eurų</w:t>
            </w:r>
            <w:r w:rsidRPr="00551BF8">
              <w:rPr>
                <w:rFonts w:ascii="Times New Roman" w:hAnsi="Times New Roman" w:cs="Times New Roman"/>
                <w:sz w:val="24"/>
                <w:szCs w:val="24"/>
              </w:rPr>
              <w:t>.</w:t>
            </w:r>
          </w:p>
          <w:p w14:paraId="6FD69D97" w14:textId="444FE2BE" w:rsidR="00BE37B1" w:rsidRPr="00551BF8" w:rsidRDefault="00BE37B1" w:rsidP="00BE37B1">
            <w:pPr>
              <w:jc w:val="both"/>
              <w:rPr>
                <w:rFonts w:ascii="Times New Roman" w:hAnsi="Times New Roman" w:cs="Times New Roman"/>
                <w:sz w:val="24"/>
                <w:szCs w:val="24"/>
              </w:rPr>
            </w:pPr>
            <w:r w:rsidRPr="00551BF8">
              <w:rPr>
                <w:rFonts w:ascii="Times New Roman" w:hAnsi="Times New Roman" w:cs="Times New Roman"/>
                <w:sz w:val="24"/>
                <w:szCs w:val="24"/>
              </w:rPr>
              <w:t>Tačiau neatnaujinus priemonės kvietimo vėl iš esmės keičiamas SMART FDI projektų finansavimo aprašo 23.6 punktas</w:t>
            </w:r>
            <w:r>
              <w:rPr>
                <w:rFonts w:ascii="Times New Roman" w:hAnsi="Times New Roman" w:cs="Times New Roman"/>
                <w:sz w:val="24"/>
                <w:szCs w:val="24"/>
              </w:rPr>
              <w:t>, susijęs su reikalavimu</w:t>
            </w:r>
            <w:r w:rsidRPr="00551BF8">
              <w:rPr>
                <w:rFonts w:ascii="Times New Roman" w:hAnsi="Times New Roman" w:cs="Times New Roman"/>
                <w:sz w:val="24"/>
                <w:szCs w:val="24"/>
              </w:rPr>
              <w:t xml:space="preserve"> investuotojams, </w:t>
            </w:r>
            <w:r w:rsidRPr="00551BF8">
              <w:rPr>
                <w:rFonts w:ascii="Times New Roman" w:hAnsi="Times New Roman" w:cs="Times New Roman"/>
                <w:sz w:val="24"/>
                <w:szCs w:val="24"/>
              </w:rPr>
              <w:lastRenderedPageBreak/>
              <w:t xml:space="preserve">pažymėtina, kad keičiamos tos pačios sąlygos investuotojams, kurios jau buvo suderintos SMART FDI projekto kriterijų derinimo metu. Pakeitimu nurodoma: </w:t>
            </w:r>
            <w:r w:rsidRPr="00075DF1">
              <w:rPr>
                <w:rFonts w:ascii="Times New Roman" w:hAnsi="Times New Roman" w:cs="Times New Roman"/>
                <w:i/>
                <w:sz w:val="24"/>
                <w:szCs w:val="24"/>
              </w:rPr>
              <w:t>jeigu prašoma didesnė nei 1 000 000 eurų finansavimo suma, pareiškėjo metinės pajamos (įskaitant pareiškėjo įmonių grupės pajamas) bent vienais finansiniais metais per paskutinius 3</w:t>
            </w:r>
            <w:r w:rsidRPr="00551BF8">
              <w:rPr>
                <w:rFonts w:ascii="Times New Roman" w:hAnsi="Times New Roman" w:cs="Times New Roman"/>
                <w:sz w:val="24"/>
                <w:szCs w:val="24"/>
              </w:rPr>
              <w:t xml:space="preserve"> </w:t>
            </w:r>
            <w:r w:rsidRPr="00075DF1">
              <w:rPr>
                <w:rFonts w:ascii="Times New Roman" w:hAnsi="Times New Roman" w:cs="Times New Roman"/>
                <w:i/>
                <w:sz w:val="24"/>
                <w:szCs w:val="24"/>
              </w:rPr>
              <w:t xml:space="preserve">finansinius metus iki paraiškos pateikimo buvo didesnės nei 1  000  000 eurų. Jeigu prašoma finansavimo suma mažesnė arba lygi 1 000 000 </w:t>
            </w:r>
            <w:proofErr w:type="spellStart"/>
            <w:r w:rsidRPr="00075DF1">
              <w:rPr>
                <w:rFonts w:ascii="Times New Roman" w:hAnsi="Times New Roman" w:cs="Times New Roman"/>
                <w:i/>
                <w:sz w:val="24"/>
                <w:szCs w:val="24"/>
              </w:rPr>
              <w:t>Eur</w:t>
            </w:r>
            <w:proofErr w:type="spellEnd"/>
            <w:r w:rsidRPr="00075DF1">
              <w:rPr>
                <w:rFonts w:ascii="Times New Roman" w:hAnsi="Times New Roman" w:cs="Times New Roman"/>
                <w:i/>
                <w:sz w:val="24"/>
                <w:szCs w:val="24"/>
              </w:rPr>
              <w:t>, pareiškėjo metinės pajamos (įskaitant pareiškėjo įmonių grupės pajamas) bent vienais finansiniais metais per paskutinius 3 finansinius metus iki paraiškos pateikimo buvo ne mažesnės nei prašoma finansavimo suma. Šis kriterijus taikomas tik paraiškos vertinimo metu)</w:t>
            </w:r>
            <w:r w:rsidRPr="00551BF8">
              <w:rPr>
                <w:rFonts w:ascii="Times New Roman" w:hAnsi="Times New Roman" w:cs="Times New Roman"/>
                <w:sz w:val="24"/>
                <w:szCs w:val="24"/>
              </w:rPr>
              <w:t xml:space="preserve">. </w:t>
            </w:r>
          </w:p>
          <w:p w14:paraId="645D8F76" w14:textId="18D2FB17" w:rsidR="00BE37B1" w:rsidRPr="006136A0" w:rsidRDefault="00BE37B1" w:rsidP="00BE37B1">
            <w:pPr>
              <w:pStyle w:val="CommentText"/>
              <w:jc w:val="both"/>
              <w:rPr>
                <w:rFonts w:ascii="Times New Roman" w:hAnsi="Times New Roman" w:cs="Times New Roman"/>
                <w:sz w:val="24"/>
                <w:szCs w:val="24"/>
              </w:rPr>
            </w:pPr>
            <w:r w:rsidRPr="00551BF8">
              <w:rPr>
                <w:rFonts w:ascii="Times New Roman" w:hAnsi="Times New Roman" w:cs="Times New Roman"/>
                <w:sz w:val="24"/>
                <w:szCs w:val="24"/>
              </w:rPr>
              <w:t>Mūsų nuomone</w:t>
            </w:r>
            <w:r>
              <w:rPr>
                <w:rFonts w:ascii="Times New Roman" w:hAnsi="Times New Roman" w:cs="Times New Roman"/>
                <w:sz w:val="24"/>
                <w:szCs w:val="24"/>
              </w:rPr>
              <w:t>,</w:t>
            </w:r>
            <w:r w:rsidRPr="00551BF8">
              <w:rPr>
                <w:rFonts w:ascii="Times New Roman" w:hAnsi="Times New Roman" w:cs="Times New Roman"/>
                <w:sz w:val="24"/>
                <w:szCs w:val="24"/>
              </w:rPr>
              <w:t xml:space="preserve"> pirminiame atrankos variante nuostatos, kad per paskutinius 3 metus iki paraiškos pateikimo į pareiškėją investuota (t. y. Lietuvos Respublikos investicijų įstatymo nustatytais būdais atlikti investuotojo veiksmai, kuriais įgyjama nuosavybės teisė į investavimo objektą arba teisė šį objektą valdyti ir naudoti) ne mažiau kaip 1 000 000 eurų, yra taip pat tinkamos. Kadangi pagal siūlomą pakeitimą įmonė</w:t>
            </w:r>
            <w:r>
              <w:rPr>
                <w:rFonts w:ascii="Times New Roman" w:hAnsi="Times New Roman" w:cs="Times New Roman"/>
                <w:sz w:val="24"/>
                <w:szCs w:val="24"/>
              </w:rPr>
              <w:t>,</w:t>
            </w:r>
            <w:r w:rsidRPr="00551BF8">
              <w:rPr>
                <w:rFonts w:ascii="Times New Roman" w:hAnsi="Times New Roman" w:cs="Times New Roman"/>
                <w:sz w:val="24"/>
                <w:szCs w:val="24"/>
              </w:rPr>
              <w:t xml:space="preserve"> kuri turi didelę apyvartą, bet nėra investavusi jokių lėšų</w:t>
            </w:r>
            <w:r>
              <w:rPr>
                <w:rFonts w:ascii="Times New Roman" w:hAnsi="Times New Roman" w:cs="Times New Roman"/>
                <w:sz w:val="24"/>
                <w:szCs w:val="24"/>
              </w:rPr>
              <w:t>,</w:t>
            </w:r>
            <w:r w:rsidRPr="00551BF8">
              <w:rPr>
                <w:rFonts w:ascii="Times New Roman" w:hAnsi="Times New Roman" w:cs="Times New Roman"/>
                <w:sz w:val="24"/>
                <w:szCs w:val="24"/>
              </w:rPr>
              <w:t xml:space="preserve"> gali pretenduoti į didesnę paramą, o įmonė padariusi kelis milijonus investicijų, bet apyvarta iki 1 mln. būtų diskriminuojama. Todėl siūlytume likti jau prie suderintų SMART FDI atrankos kriterijų nuostatų.</w:t>
            </w:r>
          </w:p>
        </w:tc>
        <w:tc>
          <w:tcPr>
            <w:tcW w:w="1842" w:type="dxa"/>
          </w:tcPr>
          <w:p w14:paraId="74558E10" w14:textId="3B532E09" w:rsidR="00BE37B1" w:rsidRDefault="00BE37B1" w:rsidP="00BE37B1">
            <w:pPr>
              <w:rPr>
                <w:rFonts w:ascii="Times New Roman" w:hAnsi="Times New Roman" w:cs="Times New Roman"/>
                <w:b/>
                <w:sz w:val="24"/>
                <w:szCs w:val="24"/>
              </w:rPr>
            </w:pPr>
            <w:r w:rsidRPr="00E62A4E">
              <w:rPr>
                <w:rFonts w:ascii="Times New Roman" w:hAnsi="Times New Roman" w:cs="Times New Roman"/>
                <w:sz w:val="24"/>
                <w:szCs w:val="24"/>
              </w:rPr>
              <w:lastRenderedPageBreak/>
              <w:t>Neatsižvelgta.</w:t>
            </w:r>
          </w:p>
        </w:tc>
        <w:tc>
          <w:tcPr>
            <w:tcW w:w="4395" w:type="dxa"/>
          </w:tcPr>
          <w:p w14:paraId="0119F5B3" w14:textId="77777777" w:rsidR="00BE37B1" w:rsidRDefault="00BE37B1" w:rsidP="00BE37B1">
            <w:pPr>
              <w:jc w:val="both"/>
              <w:rPr>
                <w:rFonts w:ascii="Times New Roman" w:hAnsi="Times New Roman" w:cs="Times New Roman"/>
                <w:sz w:val="24"/>
                <w:szCs w:val="24"/>
              </w:rPr>
            </w:pPr>
            <w:r w:rsidRPr="00E62A4E">
              <w:rPr>
                <w:rFonts w:ascii="Times New Roman" w:hAnsi="Times New Roman" w:cs="Times New Roman"/>
                <w:sz w:val="24"/>
                <w:szCs w:val="24"/>
              </w:rPr>
              <w:t xml:space="preserve">Atkreiptinas dėmesys, kad </w:t>
            </w:r>
            <w:r>
              <w:rPr>
                <w:rFonts w:ascii="Times New Roman" w:hAnsi="Times New Roman" w:cs="Times New Roman"/>
                <w:sz w:val="24"/>
                <w:szCs w:val="24"/>
              </w:rPr>
              <w:t>kriterijaus formuluotė buvo pakoreguota sulaukus pastabų kriterijų viešojo aptarimo metu. Patikslinta kriterijaus formuluotė patvirtinta 2</w:t>
            </w:r>
            <w:r w:rsidRPr="006C7798">
              <w:rPr>
                <w:rFonts w:ascii="Times New Roman" w:hAnsi="Times New Roman" w:cs="Times New Roman"/>
                <w:sz w:val="24"/>
                <w:szCs w:val="24"/>
              </w:rPr>
              <w:t>014–2020 metų Europos Sąjungos fondų investicijų veiksmų programos stebėsenos komiteto</w:t>
            </w:r>
            <w:r>
              <w:rPr>
                <w:rFonts w:ascii="Times New Roman" w:hAnsi="Times New Roman" w:cs="Times New Roman"/>
                <w:sz w:val="24"/>
                <w:szCs w:val="24"/>
              </w:rPr>
              <w:t xml:space="preserve"> (toliau – Stebėsenos komitetas) </w:t>
            </w:r>
            <w:r w:rsidRPr="00E62A4E">
              <w:rPr>
                <w:rFonts w:ascii="Times New Roman" w:hAnsi="Times New Roman" w:cs="Times New Roman"/>
                <w:sz w:val="24"/>
                <w:szCs w:val="24"/>
              </w:rPr>
              <w:t>2019 m. kovo 28 d. nutarimu Nr. 44 (P)-3(39)</w:t>
            </w:r>
            <w:r>
              <w:rPr>
                <w:rFonts w:ascii="Times New Roman" w:hAnsi="Times New Roman" w:cs="Times New Roman"/>
                <w:sz w:val="24"/>
                <w:szCs w:val="24"/>
              </w:rPr>
              <w:t xml:space="preserve">. Pažymime, kad Stebėsenos komitete dalyvauja ir socialiniai ekonominiai partneriai. </w:t>
            </w:r>
          </w:p>
          <w:p w14:paraId="1137E0BE" w14:textId="5BF3931E" w:rsidR="00BE37B1" w:rsidRDefault="00BE37B1" w:rsidP="00BE37B1">
            <w:pPr>
              <w:rPr>
                <w:rFonts w:ascii="Times New Roman" w:hAnsi="Times New Roman" w:cs="Times New Roman"/>
                <w:b/>
                <w:sz w:val="24"/>
                <w:szCs w:val="24"/>
              </w:rPr>
            </w:pPr>
            <w:r>
              <w:rPr>
                <w:rFonts w:ascii="Times New Roman" w:hAnsi="Times New Roman" w:cs="Times New Roman"/>
                <w:sz w:val="24"/>
                <w:szCs w:val="24"/>
              </w:rPr>
              <w:t xml:space="preserve">Stebėsenos komiteto patvirtinti kriterijai apraše negali būti koreguojami. </w:t>
            </w:r>
          </w:p>
        </w:tc>
      </w:tr>
      <w:tr w:rsidR="000A61C1" w:rsidRPr="000C6855" w14:paraId="27B33466" w14:textId="77777777" w:rsidTr="00FE70E3">
        <w:trPr>
          <w:trHeight w:val="550"/>
        </w:trPr>
        <w:tc>
          <w:tcPr>
            <w:tcW w:w="675" w:type="dxa"/>
            <w:vMerge w:val="restart"/>
          </w:tcPr>
          <w:p w14:paraId="45752897" w14:textId="3500BCAA" w:rsidR="000A61C1" w:rsidRDefault="000A61C1" w:rsidP="000A61C1">
            <w:pPr>
              <w:rPr>
                <w:rFonts w:ascii="Times New Roman" w:hAnsi="Times New Roman" w:cs="Times New Roman"/>
                <w:sz w:val="24"/>
                <w:szCs w:val="24"/>
                <w:lang w:val="en-US"/>
              </w:rPr>
            </w:pPr>
            <w:r>
              <w:rPr>
                <w:rFonts w:ascii="Times New Roman" w:hAnsi="Times New Roman" w:cs="Times New Roman"/>
                <w:sz w:val="24"/>
                <w:szCs w:val="24"/>
                <w:lang w:val="en-US"/>
              </w:rPr>
              <w:t xml:space="preserve">7. </w:t>
            </w:r>
          </w:p>
        </w:tc>
        <w:tc>
          <w:tcPr>
            <w:tcW w:w="1785" w:type="dxa"/>
            <w:vMerge w:val="restart"/>
          </w:tcPr>
          <w:p w14:paraId="7BE676B8" w14:textId="77777777" w:rsidR="000A61C1" w:rsidRPr="003A543F" w:rsidRDefault="000A61C1" w:rsidP="000A61C1">
            <w:pPr>
              <w:spacing w:after="200"/>
              <w:rPr>
                <w:rFonts w:ascii="Times New Roman" w:eastAsia="Times New Roman" w:hAnsi="Times New Roman" w:cs="Times New Roman"/>
                <w:sz w:val="24"/>
                <w:szCs w:val="24"/>
              </w:rPr>
            </w:pPr>
            <w:r w:rsidRPr="003A543F">
              <w:rPr>
                <w:rFonts w:ascii="Times New Roman" w:eastAsia="Times New Roman" w:hAnsi="Times New Roman" w:cs="Times New Roman"/>
                <w:sz w:val="24"/>
                <w:szCs w:val="24"/>
              </w:rPr>
              <w:t xml:space="preserve">VšĮ </w:t>
            </w:r>
            <w:proofErr w:type="spellStart"/>
            <w:r w:rsidRPr="003A543F">
              <w:rPr>
                <w:rFonts w:ascii="Times New Roman" w:eastAsia="Times New Roman" w:hAnsi="Times New Roman" w:cs="Times New Roman"/>
                <w:sz w:val="24"/>
                <w:szCs w:val="24"/>
              </w:rPr>
              <w:t>Novus</w:t>
            </w:r>
            <w:proofErr w:type="spellEnd"/>
            <w:r w:rsidRPr="003A543F">
              <w:rPr>
                <w:rFonts w:ascii="Times New Roman" w:eastAsia="Times New Roman" w:hAnsi="Times New Roman" w:cs="Times New Roman"/>
                <w:sz w:val="24"/>
                <w:szCs w:val="24"/>
              </w:rPr>
              <w:t xml:space="preserve"> </w:t>
            </w:r>
            <w:proofErr w:type="spellStart"/>
            <w:r w:rsidRPr="003A543F">
              <w:rPr>
                <w:rFonts w:ascii="Times New Roman" w:eastAsia="Times New Roman" w:hAnsi="Times New Roman" w:cs="Times New Roman"/>
                <w:sz w:val="24"/>
                <w:szCs w:val="24"/>
              </w:rPr>
              <w:t>Aster</w:t>
            </w:r>
            <w:proofErr w:type="spellEnd"/>
          </w:p>
          <w:p w14:paraId="3AA30B63" w14:textId="77777777" w:rsidR="000A61C1" w:rsidRDefault="000A61C1" w:rsidP="000A61C1">
            <w:pPr>
              <w:rPr>
                <w:rFonts w:ascii="Times New Roman" w:hAnsi="Times New Roman" w:cs="Times New Roman"/>
                <w:sz w:val="24"/>
                <w:szCs w:val="24"/>
              </w:rPr>
            </w:pPr>
          </w:p>
        </w:tc>
        <w:tc>
          <w:tcPr>
            <w:tcW w:w="1192" w:type="dxa"/>
          </w:tcPr>
          <w:p w14:paraId="1BF8B4CD" w14:textId="7771F6B9" w:rsidR="000A61C1" w:rsidRDefault="000A61C1" w:rsidP="000A61C1">
            <w:pPr>
              <w:rPr>
                <w:rFonts w:ascii="Times New Roman" w:hAnsi="Times New Roman" w:cs="Times New Roman"/>
                <w:sz w:val="24"/>
                <w:szCs w:val="24"/>
              </w:rPr>
            </w:pPr>
            <w:r>
              <w:rPr>
                <w:rFonts w:ascii="Times New Roman" w:eastAsia="Times New Roman" w:hAnsi="Times New Roman" w:cs="Times New Roman"/>
                <w:sz w:val="24"/>
                <w:szCs w:val="24"/>
              </w:rPr>
              <w:t>23.6</w:t>
            </w:r>
          </w:p>
        </w:tc>
        <w:tc>
          <w:tcPr>
            <w:tcW w:w="5387" w:type="dxa"/>
          </w:tcPr>
          <w:p w14:paraId="7BD75230" w14:textId="4FEDB042" w:rsidR="000A61C1" w:rsidRDefault="000A61C1" w:rsidP="000A61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Priemonės aprašo projekte siekiama nustatyti naują 23.6 punktą, kuris iš esmės apriboja užsienio potencialaus investuotojo galimybes teikti paraišką bei vykdyti MTEP veiklas Lietuvoje. Minėto punkto formuluotė nustato papildomą apyvartos (investicijos) kriterijų, apriboja mažesnių užsienio investuotojų galimybes vykdyti MTEPI veiklą Lietuvoje, dirbtinai ir nepagrįstai išskiriant tik tam tikros grupės įmones, </w:t>
            </w:r>
            <w:r>
              <w:rPr>
                <w:rFonts w:ascii="Times New Roman" w:eastAsia="Times New Roman" w:hAnsi="Times New Roman" w:cs="Times New Roman"/>
                <w:sz w:val="24"/>
                <w:szCs w:val="24"/>
              </w:rPr>
              <w:lastRenderedPageBreak/>
              <w:t xml:space="preserve">kurių apyvarta lygi siekiamai gauti paramai arba turi viršyti 1 mln. eurų. Pagal dabartinę formuluotę paraišką teikti ir siekti finansavimo galės tik toks užsienio investuotojas, kuris turi apyvartą lygią arba didesnę negu prašoma skirti parama. Manome, kad toks reikalavimas nesudarys prielaidų stiprių inovacijų, </w:t>
            </w:r>
            <w:proofErr w:type="spellStart"/>
            <w:r>
              <w:rPr>
                <w:rFonts w:ascii="Times New Roman" w:eastAsia="Times New Roman" w:hAnsi="Times New Roman" w:cs="Times New Roman"/>
                <w:sz w:val="24"/>
                <w:szCs w:val="24"/>
              </w:rPr>
              <w:t>inovatyvių</w:t>
            </w:r>
            <w:proofErr w:type="spellEnd"/>
            <w:r>
              <w:rPr>
                <w:rFonts w:ascii="Times New Roman" w:eastAsia="Times New Roman" w:hAnsi="Times New Roman" w:cs="Times New Roman"/>
                <w:sz w:val="24"/>
                <w:szCs w:val="24"/>
              </w:rPr>
              <w:t xml:space="preserve"> produktų, vis dar esančių R&amp;D etape, mokslinių tyrimų pritraukimui į Lietuvą. Iki šiol galiojusia </w:t>
            </w:r>
            <w:proofErr w:type="spellStart"/>
            <w:r>
              <w:rPr>
                <w:rFonts w:ascii="Times New Roman" w:eastAsia="Times New Roman" w:hAnsi="Times New Roman" w:cs="Times New Roman"/>
                <w:sz w:val="24"/>
                <w:szCs w:val="24"/>
              </w:rPr>
              <w:t>Smart</w:t>
            </w:r>
            <w:proofErr w:type="spellEnd"/>
            <w:r>
              <w:rPr>
                <w:rFonts w:ascii="Times New Roman" w:eastAsia="Times New Roman" w:hAnsi="Times New Roman" w:cs="Times New Roman"/>
                <w:sz w:val="24"/>
                <w:szCs w:val="24"/>
              </w:rPr>
              <w:t xml:space="preserve"> FDI priemone nesinaudojo ir nepiktnaudžiavo labai mažos įmonės, neturinčios apyvartos, todėl manome, kad toks apyvartos reikalavimas yra perteklinis ir apriboja mažų pradedančių </w:t>
            </w:r>
            <w:proofErr w:type="spellStart"/>
            <w:r>
              <w:rPr>
                <w:rFonts w:ascii="Times New Roman" w:eastAsia="Times New Roman" w:hAnsi="Times New Roman" w:cs="Times New Roman"/>
                <w:sz w:val="24"/>
                <w:szCs w:val="24"/>
              </w:rPr>
              <w:t>inovatyvių</w:t>
            </w:r>
            <w:proofErr w:type="spellEnd"/>
            <w:r>
              <w:rPr>
                <w:rFonts w:ascii="Times New Roman" w:eastAsia="Times New Roman" w:hAnsi="Times New Roman" w:cs="Times New Roman"/>
                <w:sz w:val="24"/>
                <w:szCs w:val="24"/>
              </w:rPr>
              <w:t xml:space="preserve"> įmonių galimybes teikti paraiškas, kurios ateityje dažnai gauna stambių verslo įmonių-partnerių pritarimą ir finansavimą, todėl apraše turėtų būti numatyta finansuoti tokius projektus, kuriuose dalyvauja ir turi akcijų patyrusios arba reikalaujamą apyvartą turinčios įmonės. Jeigu būtų atsižvelgta į šį pasiūlymą, tuomet pats inovacijos įvertinimo kriterijus būtų įgyvendintas. Įprasta,  projekto partneriais traukti įmones, kurios turi priėjimą prie planuojamų sukurti produktų rinkos, todėl gali suteikti vertingų idėjų naujam produktui, dalyvauti jo kūrime,  išbandyti jį realiomis sąlygomis, o pasibaigus projektui efektyviai vykdyti naujo produkto pardavimus, jį pasiūlant esamiems klientams.</w:t>
            </w:r>
          </w:p>
          <w:p w14:paraId="2F3CDC2A" w14:textId="3D48A8B4" w:rsidR="000A61C1" w:rsidRPr="00551BF8" w:rsidRDefault="000A61C1" w:rsidP="000A61C1">
            <w:pPr>
              <w:jc w:val="both"/>
              <w:rPr>
                <w:rFonts w:ascii="Times New Roman" w:hAnsi="Times New Roman" w:cs="Times New Roman"/>
                <w:sz w:val="24"/>
                <w:szCs w:val="24"/>
              </w:rPr>
            </w:pPr>
            <w:r>
              <w:rPr>
                <w:rFonts w:ascii="Times New Roman" w:eastAsia="Times New Roman" w:hAnsi="Times New Roman" w:cs="Times New Roman"/>
                <w:sz w:val="24"/>
                <w:szCs w:val="24"/>
              </w:rPr>
              <w:t>Todėl prašome PFSA projekto 23.6 punkte nenustatinėti, arba nustatyti sąlygą, jog apyvarta nustatoma, įskaitant ne tik pareiškėjo ir įmonių grupės pajamas, bet ir pareiškėjo akcininkų, turinčių ne mažiau kaip 25 proc. akcijų, pastarųjų trejų metų bent vienerių metų apyvarta yra ne mažesnė negu prašoma paramos suma.</w:t>
            </w:r>
          </w:p>
        </w:tc>
        <w:tc>
          <w:tcPr>
            <w:tcW w:w="1842" w:type="dxa"/>
          </w:tcPr>
          <w:p w14:paraId="4CD6F9DE" w14:textId="5980A77A" w:rsidR="000A61C1" w:rsidRDefault="000A61C1" w:rsidP="000A61C1">
            <w:pPr>
              <w:rPr>
                <w:rFonts w:ascii="Times New Roman" w:hAnsi="Times New Roman" w:cs="Times New Roman"/>
                <w:b/>
                <w:sz w:val="24"/>
                <w:szCs w:val="24"/>
              </w:rPr>
            </w:pPr>
            <w:r w:rsidRPr="00E62A4E">
              <w:rPr>
                <w:rFonts w:ascii="Times New Roman" w:hAnsi="Times New Roman" w:cs="Times New Roman"/>
                <w:sz w:val="24"/>
                <w:szCs w:val="24"/>
              </w:rPr>
              <w:lastRenderedPageBreak/>
              <w:t>Neatsižvelgta.</w:t>
            </w:r>
          </w:p>
        </w:tc>
        <w:tc>
          <w:tcPr>
            <w:tcW w:w="4395" w:type="dxa"/>
          </w:tcPr>
          <w:p w14:paraId="37A5DCF8" w14:textId="77777777" w:rsidR="000A61C1" w:rsidRDefault="000A61C1" w:rsidP="000A61C1">
            <w:pPr>
              <w:jc w:val="both"/>
              <w:rPr>
                <w:rFonts w:ascii="Times New Roman" w:hAnsi="Times New Roman" w:cs="Times New Roman"/>
                <w:sz w:val="24"/>
                <w:szCs w:val="24"/>
              </w:rPr>
            </w:pPr>
            <w:r w:rsidRPr="00E62A4E">
              <w:rPr>
                <w:rFonts w:ascii="Times New Roman" w:hAnsi="Times New Roman" w:cs="Times New Roman"/>
                <w:sz w:val="24"/>
                <w:szCs w:val="24"/>
              </w:rPr>
              <w:t xml:space="preserve">Atkreiptinas dėmesys, kad </w:t>
            </w:r>
            <w:r>
              <w:rPr>
                <w:rFonts w:ascii="Times New Roman" w:hAnsi="Times New Roman" w:cs="Times New Roman"/>
                <w:sz w:val="24"/>
                <w:szCs w:val="24"/>
              </w:rPr>
              <w:t>kriterijaus formuluotė buvo pakoreguota sulaukus pastabų kriterijų viešojo aptarimo metu. Patikslinta kriterijaus formuluotė patvirtinta 2</w:t>
            </w:r>
            <w:r w:rsidRPr="006C7798">
              <w:rPr>
                <w:rFonts w:ascii="Times New Roman" w:hAnsi="Times New Roman" w:cs="Times New Roman"/>
                <w:sz w:val="24"/>
                <w:szCs w:val="24"/>
              </w:rPr>
              <w:t>014–2020 metų Europos Sąjungos fondų investicijų veiksmų programos stebėsenos komiteto</w:t>
            </w:r>
            <w:r>
              <w:rPr>
                <w:rFonts w:ascii="Times New Roman" w:hAnsi="Times New Roman" w:cs="Times New Roman"/>
                <w:sz w:val="24"/>
                <w:szCs w:val="24"/>
              </w:rPr>
              <w:t xml:space="preserve"> (toliau – Stebėsenos komitetas) </w:t>
            </w:r>
            <w:r w:rsidRPr="00E62A4E">
              <w:rPr>
                <w:rFonts w:ascii="Times New Roman" w:hAnsi="Times New Roman" w:cs="Times New Roman"/>
                <w:sz w:val="24"/>
                <w:szCs w:val="24"/>
              </w:rPr>
              <w:t>2019 m. kovo 28 d. nutarimu Nr. 44 (P)-</w:t>
            </w:r>
            <w:r w:rsidRPr="00E62A4E">
              <w:rPr>
                <w:rFonts w:ascii="Times New Roman" w:hAnsi="Times New Roman" w:cs="Times New Roman"/>
                <w:sz w:val="24"/>
                <w:szCs w:val="24"/>
              </w:rPr>
              <w:lastRenderedPageBreak/>
              <w:t>3(39)</w:t>
            </w:r>
            <w:r>
              <w:rPr>
                <w:rFonts w:ascii="Times New Roman" w:hAnsi="Times New Roman" w:cs="Times New Roman"/>
                <w:sz w:val="24"/>
                <w:szCs w:val="24"/>
              </w:rPr>
              <w:t xml:space="preserve">. Pažymime, kad Stebėsenos komitete dalyvauja ir socialiniai ekonominiai partneriai. </w:t>
            </w:r>
          </w:p>
          <w:p w14:paraId="6E3CA5D8" w14:textId="711AF447" w:rsidR="000A61C1" w:rsidRDefault="000A61C1" w:rsidP="007D791F">
            <w:pPr>
              <w:jc w:val="both"/>
              <w:rPr>
                <w:rFonts w:ascii="Times New Roman" w:hAnsi="Times New Roman" w:cs="Times New Roman"/>
                <w:b/>
                <w:sz w:val="24"/>
                <w:szCs w:val="24"/>
              </w:rPr>
            </w:pPr>
            <w:r>
              <w:rPr>
                <w:rFonts w:ascii="Times New Roman" w:hAnsi="Times New Roman" w:cs="Times New Roman"/>
                <w:sz w:val="24"/>
                <w:szCs w:val="24"/>
              </w:rPr>
              <w:t xml:space="preserve">Stebėsenos komiteto patvirtinti kriterijai apraše negali būti koreguojami. </w:t>
            </w:r>
          </w:p>
        </w:tc>
      </w:tr>
      <w:tr w:rsidR="000A61C1" w:rsidRPr="000C6855" w14:paraId="37A421DD" w14:textId="77777777" w:rsidTr="00FE70E3">
        <w:trPr>
          <w:trHeight w:val="550"/>
        </w:trPr>
        <w:tc>
          <w:tcPr>
            <w:tcW w:w="675" w:type="dxa"/>
            <w:vMerge/>
          </w:tcPr>
          <w:p w14:paraId="46A2B672" w14:textId="77777777" w:rsidR="000A61C1" w:rsidRDefault="000A61C1" w:rsidP="000A61C1">
            <w:pPr>
              <w:rPr>
                <w:rFonts w:ascii="Times New Roman" w:hAnsi="Times New Roman" w:cs="Times New Roman"/>
                <w:sz w:val="24"/>
                <w:szCs w:val="24"/>
                <w:lang w:val="en-US"/>
              </w:rPr>
            </w:pPr>
          </w:p>
        </w:tc>
        <w:tc>
          <w:tcPr>
            <w:tcW w:w="1785" w:type="dxa"/>
            <w:vMerge/>
          </w:tcPr>
          <w:p w14:paraId="6B3E1771" w14:textId="77777777" w:rsidR="000A61C1" w:rsidRPr="003A543F" w:rsidRDefault="000A61C1" w:rsidP="000A61C1">
            <w:pPr>
              <w:spacing w:after="200"/>
              <w:rPr>
                <w:rFonts w:ascii="Times New Roman" w:eastAsia="Times New Roman" w:hAnsi="Times New Roman" w:cs="Times New Roman"/>
                <w:sz w:val="24"/>
                <w:szCs w:val="24"/>
              </w:rPr>
            </w:pPr>
          </w:p>
        </w:tc>
        <w:tc>
          <w:tcPr>
            <w:tcW w:w="1192" w:type="dxa"/>
          </w:tcPr>
          <w:p w14:paraId="481636B2" w14:textId="0C0A5B42" w:rsidR="000A61C1" w:rsidRDefault="000A61C1" w:rsidP="000A61C1">
            <w:pPr>
              <w:rPr>
                <w:rFonts w:ascii="Times New Roman" w:eastAsia="Times New Roman" w:hAnsi="Times New Roman" w:cs="Times New Roman"/>
                <w:sz w:val="24"/>
                <w:szCs w:val="24"/>
              </w:rPr>
            </w:pPr>
            <w:r>
              <w:rPr>
                <w:rFonts w:ascii="Times New Roman" w:eastAsia="Times New Roman" w:hAnsi="Times New Roman" w:cs="Times New Roman"/>
                <w:sz w:val="24"/>
                <w:szCs w:val="24"/>
              </w:rPr>
              <w:t>84.16</w:t>
            </w:r>
          </w:p>
        </w:tc>
        <w:tc>
          <w:tcPr>
            <w:tcW w:w="5387" w:type="dxa"/>
          </w:tcPr>
          <w:p w14:paraId="173D3331" w14:textId="4D7A65E1" w:rsidR="000A61C1" w:rsidRDefault="000A61C1" w:rsidP="000A61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Manome, kad punkte 84.16 nustatomas perteklinis reikalavimas dėl viešosios įstaigos „Investuok Lietuvoje“ ekspertinės išvados būtinumo. Tai apsunkina užsienio investuotojui paraiškos pateikimo </w:t>
            </w:r>
            <w:r>
              <w:rPr>
                <w:rFonts w:ascii="Times New Roman" w:eastAsia="Times New Roman" w:hAnsi="Times New Roman" w:cs="Times New Roman"/>
                <w:sz w:val="24"/>
                <w:szCs w:val="24"/>
              </w:rPr>
              <w:lastRenderedPageBreak/>
              <w:t>procesą, nustato papildomą reikalavimą, apsunkina pačią priemonę, padarydama ją atrankos konkursu, kuris tik lėtina inovacijų kūrimą, padaro Lietuvą nepatrauklia potencialiems investuotojams. Manome, kad šio reikalavimo nustatymas yra nereikalingas ir apskritai naikintinas, nes nustato dvigubą, t. y. besidubliuojantį projekto patikrinimą. Todėl prašome atsisakyti 84.16 punkto ir su juo susijusių punktų dėl viešosios įstaigos „Investuok Lietuvoje“ ekspertinės išvados būtinumo.</w:t>
            </w:r>
          </w:p>
        </w:tc>
        <w:tc>
          <w:tcPr>
            <w:tcW w:w="1842" w:type="dxa"/>
          </w:tcPr>
          <w:p w14:paraId="21E1A130" w14:textId="000CB7F4" w:rsidR="000A61C1" w:rsidRDefault="000A61C1" w:rsidP="000A61C1">
            <w:pPr>
              <w:rPr>
                <w:rFonts w:ascii="Times New Roman" w:hAnsi="Times New Roman" w:cs="Times New Roman"/>
                <w:b/>
                <w:sz w:val="24"/>
                <w:szCs w:val="24"/>
              </w:rPr>
            </w:pPr>
            <w:r>
              <w:rPr>
                <w:rFonts w:ascii="Times New Roman" w:hAnsi="Times New Roman" w:cs="Times New Roman"/>
                <w:sz w:val="24"/>
                <w:szCs w:val="24"/>
              </w:rPr>
              <w:lastRenderedPageBreak/>
              <w:t xml:space="preserve">Atsižvelgta. </w:t>
            </w:r>
          </w:p>
        </w:tc>
        <w:tc>
          <w:tcPr>
            <w:tcW w:w="4395" w:type="dxa"/>
          </w:tcPr>
          <w:p w14:paraId="67F185BA" w14:textId="02F9BB39" w:rsidR="000A61C1" w:rsidRDefault="000A61C1" w:rsidP="000A61C1">
            <w:pPr>
              <w:jc w:val="both"/>
              <w:rPr>
                <w:rFonts w:ascii="Times New Roman" w:hAnsi="Times New Roman" w:cs="Times New Roman"/>
                <w:b/>
                <w:sz w:val="24"/>
                <w:szCs w:val="24"/>
              </w:rPr>
            </w:pPr>
            <w:r>
              <w:rPr>
                <w:rFonts w:ascii="Times New Roman" w:hAnsi="Times New Roman" w:cs="Times New Roman"/>
                <w:sz w:val="24"/>
                <w:szCs w:val="24"/>
              </w:rPr>
              <w:t>Įvertinus viešojo aptarimo metu gautas pastabas, reikalavimo pateikti VšĮ „Investuok Lietuvoje“ ekspertinę išvadą atsisakyta.</w:t>
            </w:r>
          </w:p>
        </w:tc>
      </w:tr>
      <w:tr w:rsidR="007D791F" w:rsidRPr="000C6855" w14:paraId="5ADD52D1" w14:textId="77777777" w:rsidTr="00FE70E3">
        <w:trPr>
          <w:trHeight w:val="550"/>
        </w:trPr>
        <w:tc>
          <w:tcPr>
            <w:tcW w:w="675" w:type="dxa"/>
          </w:tcPr>
          <w:p w14:paraId="71D5DBAE" w14:textId="22111230" w:rsidR="007D791F" w:rsidRDefault="007D791F" w:rsidP="007D791F">
            <w:pPr>
              <w:rPr>
                <w:rFonts w:ascii="Times New Roman" w:hAnsi="Times New Roman" w:cs="Times New Roman"/>
                <w:sz w:val="24"/>
                <w:szCs w:val="24"/>
                <w:lang w:val="en-US"/>
              </w:rPr>
            </w:pPr>
            <w:r>
              <w:rPr>
                <w:rFonts w:ascii="Times New Roman" w:hAnsi="Times New Roman" w:cs="Times New Roman"/>
                <w:sz w:val="24"/>
                <w:szCs w:val="24"/>
                <w:lang w:val="en-US"/>
              </w:rPr>
              <w:t xml:space="preserve">8. </w:t>
            </w:r>
          </w:p>
        </w:tc>
        <w:tc>
          <w:tcPr>
            <w:tcW w:w="1785" w:type="dxa"/>
          </w:tcPr>
          <w:p w14:paraId="34598A23" w14:textId="001454A5" w:rsidR="007D791F" w:rsidRPr="003A543F" w:rsidRDefault="007D791F" w:rsidP="007D791F">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UAB „Sėkmės sprendimai“</w:t>
            </w:r>
          </w:p>
        </w:tc>
        <w:tc>
          <w:tcPr>
            <w:tcW w:w="1192" w:type="dxa"/>
          </w:tcPr>
          <w:p w14:paraId="6A153827" w14:textId="77777777" w:rsidR="007D791F" w:rsidRDefault="007D791F" w:rsidP="007D791F">
            <w:pPr>
              <w:rPr>
                <w:rFonts w:ascii="Times New Roman" w:eastAsia="Times New Roman" w:hAnsi="Times New Roman" w:cs="Times New Roman"/>
                <w:sz w:val="24"/>
                <w:szCs w:val="24"/>
              </w:rPr>
            </w:pPr>
          </w:p>
        </w:tc>
        <w:tc>
          <w:tcPr>
            <w:tcW w:w="5387" w:type="dxa"/>
          </w:tcPr>
          <w:p w14:paraId="75D2D39B" w14:textId="1E6034C4" w:rsidR="007D791F" w:rsidRPr="000A61C1" w:rsidRDefault="007D791F" w:rsidP="007D791F">
            <w:pPr>
              <w:jc w:val="both"/>
              <w:rPr>
                <w:rFonts w:ascii="Times New Roman" w:eastAsia="Times New Roman" w:hAnsi="Times New Roman" w:cs="Times New Roman"/>
                <w:sz w:val="24"/>
                <w:szCs w:val="24"/>
              </w:rPr>
            </w:pPr>
            <w:r w:rsidRPr="000A61C1">
              <w:rPr>
                <w:rFonts w:ascii="Times New Roman" w:eastAsia="Times New Roman" w:hAnsi="Times New Roman" w:cs="Times New Roman"/>
                <w:sz w:val="24"/>
                <w:szCs w:val="24"/>
              </w:rPr>
              <w:t>Komerciškai sėkmingi nauji produktai ir paslaugos sukuriami, kai turimos tiek aukštos mokslinės, tiek ekonominės kompetencijos. T.</w:t>
            </w:r>
            <w:r>
              <w:rPr>
                <w:rFonts w:ascii="Times New Roman" w:eastAsia="Times New Roman" w:hAnsi="Times New Roman" w:cs="Times New Roman"/>
                <w:sz w:val="24"/>
                <w:szCs w:val="24"/>
              </w:rPr>
              <w:t xml:space="preserve"> </w:t>
            </w:r>
            <w:r w:rsidRPr="000A61C1">
              <w:rPr>
                <w:rFonts w:ascii="Times New Roman" w:eastAsia="Times New Roman" w:hAnsi="Times New Roman" w:cs="Times New Roman"/>
                <w:sz w:val="24"/>
                <w:szCs w:val="24"/>
              </w:rPr>
              <w:t>y. būtina užtikrinti abi dedamąsias. Praktikoje šiuo tikslu dažnai kuriamos partnerystės, kuriose idėjas, žinias turinčio</w:t>
            </w:r>
            <w:r>
              <w:rPr>
                <w:rFonts w:ascii="Times New Roman" w:eastAsia="Times New Roman" w:hAnsi="Times New Roman" w:cs="Times New Roman"/>
                <w:sz w:val="24"/>
                <w:szCs w:val="24"/>
              </w:rPr>
              <w:t>s</w:t>
            </w:r>
            <w:r w:rsidRPr="000A61C1">
              <w:rPr>
                <w:rFonts w:ascii="Times New Roman" w:eastAsia="Times New Roman" w:hAnsi="Times New Roman" w:cs="Times New Roman"/>
                <w:sz w:val="24"/>
                <w:szCs w:val="24"/>
              </w:rPr>
              <w:t xml:space="preserve"> įmonės apsijungia su patyrusiomis gamybinėmis ir/</w:t>
            </w:r>
            <w:r>
              <w:rPr>
                <w:rFonts w:ascii="Times New Roman" w:eastAsia="Times New Roman" w:hAnsi="Times New Roman" w:cs="Times New Roman"/>
                <w:sz w:val="24"/>
                <w:szCs w:val="24"/>
              </w:rPr>
              <w:t xml:space="preserve"> </w:t>
            </w:r>
            <w:r w:rsidRPr="000A61C1">
              <w:rPr>
                <w:rFonts w:ascii="Times New Roman" w:eastAsia="Times New Roman" w:hAnsi="Times New Roman" w:cs="Times New Roman"/>
                <w:sz w:val="24"/>
                <w:szCs w:val="24"/>
              </w:rPr>
              <w:t xml:space="preserve">ar prekybinėmis įmonėmis. Taip pat einant </w:t>
            </w:r>
            <w:r>
              <w:rPr>
                <w:rFonts w:ascii="Times New Roman" w:eastAsia="Times New Roman" w:hAnsi="Times New Roman" w:cs="Times New Roman"/>
                <w:sz w:val="24"/>
                <w:szCs w:val="24"/>
              </w:rPr>
              <w:t>į</w:t>
            </w:r>
            <w:r w:rsidRPr="000A61C1">
              <w:rPr>
                <w:rFonts w:ascii="Times New Roman" w:eastAsia="Times New Roman" w:hAnsi="Times New Roman" w:cs="Times New Roman"/>
                <w:sz w:val="24"/>
                <w:szCs w:val="24"/>
              </w:rPr>
              <w:t xml:space="preserve"> naujas rinkas ar pradedant veiklą kitose šalyse įprasta mažinti rizikas ir kaštus pradedant partnerystes su vietinėmis įmonėmis. Tai Lietuvos ekonomikai teikia papildomą naudą.</w:t>
            </w:r>
          </w:p>
          <w:p w14:paraId="340CD320" w14:textId="13E6647D" w:rsidR="007D791F" w:rsidRPr="000A61C1" w:rsidRDefault="007D791F" w:rsidP="007D791F">
            <w:pPr>
              <w:jc w:val="both"/>
              <w:rPr>
                <w:rFonts w:ascii="Times New Roman" w:eastAsia="Times New Roman" w:hAnsi="Times New Roman" w:cs="Times New Roman"/>
                <w:sz w:val="24"/>
                <w:szCs w:val="24"/>
              </w:rPr>
            </w:pPr>
            <w:r w:rsidRPr="000A61C1">
              <w:rPr>
                <w:rFonts w:ascii="Times New Roman" w:eastAsia="Times New Roman" w:hAnsi="Times New Roman" w:cs="Times New Roman"/>
                <w:sz w:val="24"/>
                <w:szCs w:val="24"/>
              </w:rPr>
              <w:t>Tačiau PFSA projekte naudojamas įmonių grupės apibrėžimas bei 23.6 punkto formuluotė dažnu atveju užkirs kelią tokiai partneryst</w:t>
            </w:r>
            <w:r>
              <w:rPr>
                <w:rFonts w:ascii="Times New Roman" w:eastAsia="Times New Roman" w:hAnsi="Times New Roman" w:cs="Times New Roman"/>
                <w:sz w:val="24"/>
                <w:szCs w:val="24"/>
              </w:rPr>
              <w:t>ei. Taip pat apibrėžimas užkerta</w:t>
            </w:r>
            <w:r w:rsidRPr="000A61C1">
              <w:rPr>
                <w:rFonts w:ascii="Times New Roman" w:eastAsia="Times New Roman" w:hAnsi="Times New Roman" w:cs="Times New Roman"/>
                <w:sz w:val="24"/>
                <w:szCs w:val="24"/>
              </w:rPr>
              <w:t xml:space="preserve"> kelią kelių užsienio investuotojų partnerystei. Pavyzdžiui</w:t>
            </w:r>
            <w:r>
              <w:rPr>
                <w:rFonts w:ascii="Times New Roman" w:eastAsia="Times New Roman" w:hAnsi="Times New Roman" w:cs="Times New Roman"/>
                <w:sz w:val="24"/>
                <w:szCs w:val="24"/>
              </w:rPr>
              <w:t>,</w:t>
            </w:r>
            <w:r w:rsidRPr="000A61C1">
              <w:rPr>
                <w:rFonts w:ascii="Times New Roman" w:eastAsia="Times New Roman" w:hAnsi="Times New Roman" w:cs="Times New Roman"/>
                <w:sz w:val="24"/>
                <w:szCs w:val="24"/>
              </w:rPr>
              <w:t xml:space="preserve"> jeigu Google ir </w:t>
            </w:r>
            <w:proofErr w:type="spellStart"/>
            <w:r w:rsidRPr="000A61C1">
              <w:rPr>
                <w:rFonts w:ascii="Times New Roman" w:eastAsia="Times New Roman" w:hAnsi="Times New Roman" w:cs="Times New Roman"/>
                <w:sz w:val="24"/>
                <w:szCs w:val="24"/>
              </w:rPr>
              <w:t>Amazon</w:t>
            </w:r>
            <w:proofErr w:type="spellEnd"/>
            <w:r w:rsidRPr="000A61C1">
              <w:rPr>
                <w:rFonts w:ascii="Times New Roman" w:eastAsia="Times New Roman" w:hAnsi="Times New Roman" w:cs="Times New Roman"/>
                <w:sz w:val="24"/>
                <w:szCs w:val="24"/>
              </w:rPr>
              <w:t xml:space="preserve"> turėtų po 45% naujos įmonės - pareiškėjo akcijų, o likusius 10% nedidelė Lietuvos įmonė ar mokslininkas, pareiškėjas neatitiktų reikalavimo dėl apyvartos/</w:t>
            </w:r>
            <w:r>
              <w:rPr>
                <w:rFonts w:ascii="Times New Roman" w:eastAsia="Times New Roman" w:hAnsi="Times New Roman" w:cs="Times New Roman"/>
                <w:sz w:val="24"/>
                <w:szCs w:val="24"/>
              </w:rPr>
              <w:t xml:space="preserve"> </w:t>
            </w:r>
            <w:r w:rsidRPr="000A61C1">
              <w:rPr>
                <w:rFonts w:ascii="Times New Roman" w:eastAsia="Times New Roman" w:hAnsi="Times New Roman" w:cs="Times New Roman"/>
                <w:sz w:val="24"/>
                <w:szCs w:val="24"/>
              </w:rPr>
              <w:t>pajamų. Lietuvos Respublikos įmonių grupių konsoliduotosios finansinės atskaitomybės įstatyme lemiamas poveikis įmonei apibrėžiamas gana plačiai, tačiau norime akcentuoti, jog praktikoje smulkiame ir vidutiniame versle (kaip matome</w:t>
            </w:r>
            <w:r>
              <w:rPr>
                <w:rFonts w:ascii="Times New Roman" w:eastAsia="Times New Roman" w:hAnsi="Times New Roman" w:cs="Times New Roman"/>
                <w:sz w:val="24"/>
                <w:szCs w:val="24"/>
              </w:rPr>
              <w:t>,</w:t>
            </w:r>
            <w:r w:rsidRPr="000A61C1">
              <w:rPr>
                <w:rFonts w:ascii="Times New Roman" w:eastAsia="Times New Roman" w:hAnsi="Times New Roman" w:cs="Times New Roman"/>
                <w:sz w:val="24"/>
                <w:szCs w:val="24"/>
              </w:rPr>
              <w:t xml:space="preserve"> būtent šiam segmentui yra aktualiausia ES parama) gana retai taikomi specifiniai lemiamo poveikio darymo būdai, kai kažkuris akcininkas neturėdamas akcijų daugumos turi daugiau kaip pusę balsavimo teisių, gali vienašališkai skirti </w:t>
            </w:r>
            <w:r w:rsidRPr="000A61C1">
              <w:rPr>
                <w:rFonts w:ascii="Times New Roman" w:eastAsia="Times New Roman" w:hAnsi="Times New Roman" w:cs="Times New Roman"/>
                <w:sz w:val="24"/>
                <w:szCs w:val="24"/>
              </w:rPr>
              <w:lastRenderedPageBreak/>
              <w:t xml:space="preserve">įmonės vadovą ir </w:t>
            </w:r>
            <w:r>
              <w:rPr>
                <w:rFonts w:ascii="Times New Roman" w:eastAsia="Times New Roman" w:hAnsi="Times New Roman" w:cs="Times New Roman"/>
                <w:sz w:val="24"/>
                <w:szCs w:val="24"/>
              </w:rPr>
              <w:t>t.t.</w:t>
            </w:r>
            <w:r w:rsidRPr="000A61C1">
              <w:rPr>
                <w:rFonts w:ascii="Times New Roman" w:eastAsia="Times New Roman" w:hAnsi="Times New Roman" w:cs="Times New Roman"/>
                <w:sz w:val="24"/>
                <w:szCs w:val="24"/>
              </w:rPr>
              <w:t xml:space="preserve"> Praktikoje dažniausiai partnerystė apibrėžiama per akcijų pasidalinimą</w:t>
            </w:r>
            <w:r>
              <w:rPr>
                <w:rFonts w:ascii="Times New Roman" w:eastAsia="Times New Roman" w:hAnsi="Times New Roman" w:cs="Times New Roman"/>
                <w:sz w:val="24"/>
                <w:szCs w:val="24"/>
              </w:rPr>
              <w:t>,</w:t>
            </w:r>
            <w:r w:rsidRPr="000A61C1">
              <w:rPr>
                <w:rFonts w:ascii="Times New Roman" w:eastAsia="Times New Roman" w:hAnsi="Times New Roman" w:cs="Times New Roman"/>
                <w:sz w:val="24"/>
                <w:szCs w:val="24"/>
              </w:rPr>
              <w:t xml:space="preserve"> nenaudojant papildomų specifinių susitarimų.</w:t>
            </w:r>
          </w:p>
          <w:p w14:paraId="44CD43B2" w14:textId="5C544712" w:rsidR="007D791F" w:rsidRPr="000A61C1" w:rsidRDefault="007D791F" w:rsidP="007D791F">
            <w:pPr>
              <w:jc w:val="both"/>
              <w:rPr>
                <w:rFonts w:ascii="Times New Roman" w:eastAsia="Times New Roman" w:hAnsi="Times New Roman" w:cs="Times New Roman"/>
                <w:sz w:val="24"/>
                <w:szCs w:val="24"/>
              </w:rPr>
            </w:pPr>
            <w:r w:rsidRPr="000A61C1">
              <w:rPr>
                <w:rFonts w:ascii="Times New Roman" w:eastAsia="Times New Roman" w:hAnsi="Times New Roman" w:cs="Times New Roman"/>
                <w:sz w:val="24"/>
                <w:szCs w:val="24"/>
              </w:rPr>
              <w:t>Projektų ekonominį pajėgumą taip pat padeda užtikrinti ekonomiškai stiprių partnerių įtraukimas. Pavyzdžiui</w:t>
            </w:r>
            <w:r>
              <w:rPr>
                <w:rFonts w:ascii="Times New Roman" w:eastAsia="Times New Roman" w:hAnsi="Times New Roman" w:cs="Times New Roman"/>
                <w:sz w:val="24"/>
                <w:szCs w:val="24"/>
              </w:rPr>
              <w:t>, įprasta į</w:t>
            </w:r>
            <w:r w:rsidRPr="000A61C1">
              <w:rPr>
                <w:rFonts w:ascii="Times New Roman" w:eastAsia="Times New Roman" w:hAnsi="Times New Roman" w:cs="Times New Roman"/>
                <w:sz w:val="24"/>
                <w:szCs w:val="24"/>
              </w:rPr>
              <w:t xml:space="preserve"> projekto partnerius traukti įmones, kurios turi priėjimą prie planuojamų sukurti produktų rinkos, todėl gali suteikti vertingų idėjų naujam produktui, dalyvauti jo kūrime, išbandyti j</w:t>
            </w:r>
            <w:r>
              <w:rPr>
                <w:rFonts w:ascii="Times New Roman" w:eastAsia="Times New Roman" w:hAnsi="Times New Roman" w:cs="Times New Roman"/>
                <w:sz w:val="24"/>
                <w:szCs w:val="24"/>
              </w:rPr>
              <w:t>į</w:t>
            </w:r>
            <w:r w:rsidRPr="000A61C1">
              <w:rPr>
                <w:rFonts w:ascii="Times New Roman" w:eastAsia="Times New Roman" w:hAnsi="Times New Roman" w:cs="Times New Roman"/>
                <w:sz w:val="24"/>
                <w:szCs w:val="24"/>
              </w:rPr>
              <w:t xml:space="preserve"> realiomis sąlygomis, o pasibaigus projektui</w:t>
            </w:r>
            <w:r>
              <w:rPr>
                <w:rFonts w:ascii="Times New Roman" w:eastAsia="Times New Roman" w:hAnsi="Times New Roman" w:cs="Times New Roman"/>
                <w:sz w:val="24"/>
                <w:szCs w:val="24"/>
              </w:rPr>
              <w:t>,</w:t>
            </w:r>
            <w:r w:rsidRPr="000A61C1">
              <w:rPr>
                <w:rFonts w:ascii="Times New Roman" w:eastAsia="Times New Roman" w:hAnsi="Times New Roman" w:cs="Times New Roman"/>
                <w:sz w:val="24"/>
                <w:szCs w:val="24"/>
              </w:rPr>
              <w:t xml:space="preserve"> efektyviai vykdyti naujo produkto pardavimus j</w:t>
            </w:r>
            <w:r>
              <w:rPr>
                <w:rFonts w:ascii="Times New Roman" w:eastAsia="Times New Roman" w:hAnsi="Times New Roman" w:cs="Times New Roman"/>
                <w:sz w:val="24"/>
                <w:szCs w:val="24"/>
              </w:rPr>
              <w:t>į</w:t>
            </w:r>
            <w:r w:rsidRPr="000A61C1">
              <w:rPr>
                <w:rFonts w:ascii="Times New Roman" w:eastAsia="Times New Roman" w:hAnsi="Times New Roman" w:cs="Times New Roman"/>
                <w:sz w:val="24"/>
                <w:szCs w:val="24"/>
              </w:rPr>
              <w:t xml:space="preserve"> pasiūlant esamiems klientams.</w:t>
            </w:r>
          </w:p>
          <w:p w14:paraId="11AAD7D0" w14:textId="77777777" w:rsidR="007D791F" w:rsidRPr="000A61C1" w:rsidRDefault="007D791F" w:rsidP="007D791F">
            <w:pPr>
              <w:jc w:val="both"/>
              <w:rPr>
                <w:rFonts w:ascii="Times New Roman" w:eastAsia="Times New Roman" w:hAnsi="Times New Roman" w:cs="Times New Roman"/>
                <w:sz w:val="24"/>
                <w:szCs w:val="24"/>
              </w:rPr>
            </w:pPr>
            <w:r w:rsidRPr="000A61C1">
              <w:rPr>
                <w:rFonts w:ascii="Times New Roman" w:eastAsia="Times New Roman" w:hAnsi="Times New Roman" w:cs="Times New Roman"/>
                <w:sz w:val="24"/>
                <w:szCs w:val="24"/>
              </w:rPr>
              <w:t>Todėl prašome:</w:t>
            </w:r>
          </w:p>
          <w:p w14:paraId="32AC6B84" w14:textId="62F59721" w:rsidR="007D791F" w:rsidRPr="000A61C1" w:rsidRDefault="007D791F" w:rsidP="007D791F">
            <w:pPr>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1. </w:t>
            </w:r>
            <w:r w:rsidRPr="00097B15">
              <w:rPr>
                <w:rFonts w:ascii="Times New Roman" w:eastAsia="Times New Roman" w:hAnsi="Times New Roman"/>
                <w:sz w:val="24"/>
                <w:szCs w:val="24"/>
              </w:rPr>
              <w:t>PFSA projekto 23.6 punktą papildyti sąlyga, jog apyvarta nustatoma įskaitant ne tik pareiškėjo ir įmonių grupės pajamas, bet ir</w:t>
            </w:r>
            <w:r>
              <w:rPr>
                <w:rFonts w:ascii="Times New Roman" w:eastAsia="Times New Roman" w:hAnsi="Times New Roman"/>
                <w:sz w:val="24"/>
                <w:szCs w:val="24"/>
              </w:rPr>
              <w:t xml:space="preserve"> s</w:t>
            </w:r>
            <w:r w:rsidRPr="000A61C1">
              <w:rPr>
                <w:rFonts w:ascii="Times New Roman" w:eastAsia="Times New Roman" w:hAnsi="Times New Roman" w:cs="Times New Roman"/>
                <w:sz w:val="24"/>
                <w:szCs w:val="24"/>
              </w:rPr>
              <w:t>usijusių įmonių (kaip apibrėžta Smulkiojo ir vidutinio verslo plėtros (SVV) įstatyme) pajamas sumuojant prie pareiškėjo pajamų</w:t>
            </w:r>
            <w:r>
              <w:rPr>
                <w:rFonts w:ascii="Times New Roman" w:eastAsia="Times New Roman" w:hAnsi="Times New Roman" w:cs="Times New Roman"/>
                <w:sz w:val="24"/>
                <w:szCs w:val="24"/>
              </w:rPr>
              <w:t>,</w:t>
            </w:r>
            <w:r w:rsidRPr="000A61C1">
              <w:rPr>
                <w:rFonts w:ascii="Times New Roman" w:eastAsia="Times New Roman" w:hAnsi="Times New Roman" w:cs="Times New Roman"/>
                <w:sz w:val="24"/>
                <w:szCs w:val="24"/>
              </w:rPr>
              <w:t xml:space="preserve"> kaip tai daroma vertinant įmonės dydį pagal SVV įstatymą. Pavyzdžiui</w:t>
            </w:r>
            <w:r>
              <w:rPr>
                <w:rFonts w:ascii="Times New Roman" w:eastAsia="Times New Roman" w:hAnsi="Times New Roman" w:cs="Times New Roman"/>
                <w:sz w:val="24"/>
                <w:szCs w:val="24"/>
              </w:rPr>
              <w:t>,</w:t>
            </w:r>
            <w:r w:rsidRPr="000A61C1">
              <w:rPr>
                <w:rFonts w:ascii="Times New Roman" w:eastAsia="Times New Roman" w:hAnsi="Times New Roman" w:cs="Times New Roman"/>
                <w:sz w:val="24"/>
                <w:szCs w:val="24"/>
              </w:rPr>
              <w:t xml:space="preserve"> jeigu pareiškėjo pajamos yra 100 000 </w:t>
            </w:r>
            <w:proofErr w:type="spellStart"/>
            <w:r w:rsidRPr="000A61C1">
              <w:rPr>
                <w:rFonts w:ascii="Times New Roman" w:eastAsia="Times New Roman" w:hAnsi="Times New Roman" w:cs="Times New Roman"/>
                <w:sz w:val="24"/>
                <w:szCs w:val="24"/>
              </w:rPr>
              <w:t>Eur</w:t>
            </w:r>
            <w:proofErr w:type="spellEnd"/>
            <w:r w:rsidRPr="000A61C1">
              <w:rPr>
                <w:rFonts w:ascii="Times New Roman" w:eastAsia="Times New Roman" w:hAnsi="Times New Roman" w:cs="Times New Roman"/>
                <w:sz w:val="24"/>
                <w:szCs w:val="24"/>
              </w:rPr>
              <w:t xml:space="preserve">, jo pirmojo akcininko (juridinio asmens) turinčio 40% akcijų pajamos - 500 000 </w:t>
            </w:r>
            <w:proofErr w:type="spellStart"/>
            <w:r w:rsidRPr="000A61C1">
              <w:rPr>
                <w:rFonts w:ascii="Times New Roman" w:eastAsia="Times New Roman" w:hAnsi="Times New Roman" w:cs="Times New Roman"/>
                <w:sz w:val="24"/>
                <w:szCs w:val="24"/>
              </w:rPr>
              <w:t>Eur</w:t>
            </w:r>
            <w:proofErr w:type="spellEnd"/>
            <w:r w:rsidRPr="000A61C1">
              <w:rPr>
                <w:rFonts w:ascii="Times New Roman" w:eastAsia="Times New Roman" w:hAnsi="Times New Roman" w:cs="Times New Roman"/>
                <w:sz w:val="24"/>
                <w:szCs w:val="24"/>
              </w:rPr>
              <w:t xml:space="preserve">, jo antrojo akcininko turinčio 35% akcijų pajamos - 1 000 000 </w:t>
            </w:r>
            <w:proofErr w:type="spellStart"/>
            <w:r w:rsidRPr="000A61C1">
              <w:rPr>
                <w:rFonts w:ascii="Times New Roman" w:eastAsia="Times New Roman" w:hAnsi="Times New Roman" w:cs="Times New Roman"/>
                <w:sz w:val="24"/>
                <w:szCs w:val="24"/>
              </w:rPr>
              <w:t>Eur</w:t>
            </w:r>
            <w:proofErr w:type="spellEnd"/>
            <w:r w:rsidRPr="000A61C1">
              <w:rPr>
                <w:rFonts w:ascii="Times New Roman" w:eastAsia="Times New Roman" w:hAnsi="Times New Roman" w:cs="Times New Roman"/>
                <w:sz w:val="24"/>
                <w:szCs w:val="24"/>
              </w:rPr>
              <w:t xml:space="preserve"> ir jo trečiojo akcininko turinčio 25% akcijų pajamos - 2 000 000 </w:t>
            </w:r>
            <w:proofErr w:type="spellStart"/>
            <w:r w:rsidRPr="000A61C1">
              <w:rPr>
                <w:rFonts w:ascii="Times New Roman" w:eastAsia="Times New Roman" w:hAnsi="Times New Roman" w:cs="Times New Roman"/>
                <w:sz w:val="24"/>
                <w:szCs w:val="24"/>
              </w:rPr>
              <w:t>Eur</w:t>
            </w:r>
            <w:proofErr w:type="spellEnd"/>
            <w:r w:rsidRPr="000A61C1">
              <w:rPr>
                <w:rFonts w:ascii="Times New Roman" w:eastAsia="Times New Roman" w:hAnsi="Times New Roman" w:cs="Times New Roman"/>
                <w:sz w:val="24"/>
                <w:szCs w:val="24"/>
              </w:rPr>
              <w:t>, tada pareiškėjo apyvarta būtų apskaičiuojama pagal formulę: 100 000 + 40% x 500 000 + 35% x 1 000 000+25% x 2 000 000.</w:t>
            </w:r>
          </w:p>
          <w:p w14:paraId="1BA5775B" w14:textId="417F29E7" w:rsidR="007D791F" w:rsidRPr="000A61C1" w:rsidRDefault="007D791F" w:rsidP="007D791F">
            <w:pPr>
              <w:widowControl w:val="0"/>
              <w:tabs>
                <w:tab w:val="left" w:pos="167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0A61C1">
              <w:rPr>
                <w:rFonts w:ascii="Times New Roman" w:eastAsia="Times New Roman" w:hAnsi="Times New Roman" w:cs="Times New Roman"/>
                <w:sz w:val="24"/>
                <w:szCs w:val="24"/>
              </w:rPr>
              <w:t>Projekto partnerių pajamas sumuojant prie pareiškėjo pajamų proporcingai partnerio turimai biudžeto daliai. Pavyzdžiui</w:t>
            </w:r>
            <w:r>
              <w:rPr>
                <w:rFonts w:ascii="Times New Roman" w:eastAsia="Times New Roman" w:hAnsi="Times New Roman" w:cs="Times New Roman"/>
                <w:sz w:val="24"/>
                <w:szCs w:val="24"/>
              </w:rPr>
              <w:t>,</w:t>
            </w:r>
            <w:r w:rsidRPr="000A61C1">
              <w:rPr>
                <w:rFonts w:ascii="Times New Roman" w:eastAsia="Times New Roman" w:hAnsi="Times New Roman" w:cs="Times New Roman"/>
                <w:sz w:val="24"/>
                <w:szCs w:val="24"/>
              </w:rPr>
              <w:t xml:space="preserve"> jeigu pareiškėjo pajamos 500 000 </w:t>
            </w:r>
            <w:proofErr w:type="spellStart"/>
            <w:r w:rsidRPr="000A61C1">
              <w:rPr>
                <w:rFonts w:ascii="Times New Roman" w:eastAsia="Times New Roman" w:hAnsi="Times New Roman" w:cs="Times New Roman"/>
                <w:sz w:val="24"/>
                <w:szCs w:val="24"/>
              </w:rPr>
              <w:t>Eur</w:t>
            </w:r>
            <w:proofErr w:type="spellEnd"/>
            <w:r w:rsidRPr="000A61C1">
              <w:rPr>
                <w:rFonts w:ascii="Times New Roman" w:eastAsia="Times New Roman" w:hAnsi="Times New Roman" w:cs="Times New Roman"/>
                <w:sz w:val="24"/>
                <w:szCs w:val="24"/>
              </w:rPr>
              <w:t xml:space="preserve">, o partnerio turinčio 30% projekto biudžeto metinės pajamos yra 1 000 000 </w:t>
            </w:r>
            <w:proofErr w:type="spellStart"/>
            <w:r w:rsidRPr="000A61C1">
              <w:rPr>
                <w:rFonts w:ascii="Times New Roman" w:eastAsia="Times New Roman" w:hAnsi="Times New Roman" w:cs="Times New Roman"/>
                <w:sz w:val="24"/>
                <w:szCs w:val="24"/>
              </w:rPr>
              <w:t>Eur</w:t>
            </w:r>
            <w:proofErr w:type="spellEnd"/>
            <w:r w:rsidRPr="000A61C1">
              <w:rPr>
                <w:rFonts w:ascii="Times New Roman" w:eastAsia="Times New Roman" w:hAnsi="Times New Roman" w:cs="Times New Roman"/>
                <w:sz w:val="24"/>
                <w:szCs w:val="24"/>
              </w:rPr>
              <w:t xml:space="preserve">, tada bendros pajamos būtų lygios 500 000 + 1 000 000 *30% = 800 000 </w:t>
            </w:r>
            <w:proofErr w:type="spellStart"/>
            <w:r w:rsidRPr="000A61C1">
              <w:rPr>
                <w:rFonts w:ascii="Times New Roman" w:eastAsia="Times New Roman" w:hAnsi="Times New Roman" w:cs="Times New Roman"/>
                <w:sz w:val="24"/>
                <w:szCs w:val="24"/>
              </w:rPr>
              <w:t>Eur</w:t>
            </w:r>
            <w:proofErr w:type="spellEnd"/>
            <w:r w:rsidRPr="000A61C1">
              <w:rPr>
                <w:rFonts w:ascii="Times New Roman" w:eastAsia="Times New Roman" w:hAnsi="Times New Roman" w:cs="Times New Roman"/>
                <w:sz w:val="24"/>
                <w:szCs w:val="24"/>
              </w:rPr>
              <w:t>.</w:t>
            </w:r>
          </w:p>
          <w:p w14:paraId="35E08DB7" w14:textId="2B2474A1" w:rsidR="007D791F" w:rsidRPr="000A61C1" w:rsidRDefault="007D791F" w:rsidP="007D791F">
            <w:pPr>
              <w:jc w:val="both"/>
              <w:rPr>
                <w:rFonts w:ascii="Times New Roman" w:eastAsia="Times New Roman" w:hAnsi="Times New Roman" w:cs="Times New Roman"/>
                <w:sz w:val="24"/>
                <w:szCs w:val="24"/>
              </w:rPr>
            </w:pPr>
            <w:r w:rsidRPr="000A61C1">
              <w:rPr>
                <w:rFonts w:ascii="Times New Roman" w:eastAsia="Times New Roman" w:hAnsi="Times New Roman" w:cs="Times New Roman"/>
                <w:sz w:val="24"/>
                <w:szCs w:val="24"/>
              </w:rPr>
              <w:t xml:space="preserve">Praktikoje dažnu atveju naujus verslus kuria sėkmingi ir patyrę verslininkai, kurie yra neseniai pardavę (pilnai ar kontrolinį akcijų paketą) savo verslus. Būtent tai, jog nebereikia skirti laiko didelio verslo </w:t>
            </w:r>
            <w:r>
              <w:rPr>
                <w:rFonts w:ascii="Times New Roman" w:eastAsia="Times New Roman" w:hAnsi="Times New Roman" w:cs="Times New Roman"/>
                <w:sz w:val="24"/>
                <w:szCs w:val="24"/>
              </w:rPr>
              <w:lastRenderedPageBreak/>
              <w:t>valdymui ir leidžia fokusuotis į</w:t>
            </w:r>
            <w:r w:rsidRPr="000A61C1">
              <w:rPr>
                <w:rFonts w:ascii="Times New Roman" w:eastAsia="Times New Roman" w:hAnsi="Times New Roman" w:cs="Times New Roman"/>
                <w:sz w:val="24"/>
                <w:szCs w:val="24"/>
              </w:rPr>
              <w:t xml:space="preserve"> naujas veiklas. Kiti būtent tam ir parduoda esamus verslus, kad galėtų skirti laiko naujų verslo idėjų kūrimui. Formaliai žiūrint</w:t>
            </w:r>
            <w:r>
              <w:rPr>
                <w:rFonts w:ascii="Times New Roman" w:eastAsia="Times New Roman" w:hAnsi="Times New Roman" w:cs="Times New Roman"/>
                <w:sz w:val="24"/>
                <w:szCs w:val="24"/>
              </w:rPr>
              <w:t>,</w:t>
            </w:r>
            <w:r w:rsidRPr="000A61C1">
              <w:rPr>
                <w:rFonts w:ascii="Times New Roman" w:eastAsia="Times New Roman" w:hAnsi="Times New Roman" w:cs="Times New Roman"/>
                <w:sz w:val="24"/>
                <w:szCs w:val="24"/>
              </w:rPr>
              <w:t xml:space="preserve"> nepriklausomai nuo turimų akcininko piniginių lėšų bei vadovavimo patirties</w:t>
            </w:r>
            <w:r>
              <w:rPr>
                <w:rFonts w:ascii="Times New Roman" w:eastAsia="Times New Roman" w:hAnsi="Times New Roman" w:cs="Times New Roman"/>
                <w:sz w:val="24"/>
                <w:szCs w:val="24"/>
              </w:rPr>
              <w:t>,</w:t>
            </w:r>
            <w:r w:rsidRPr="000A61C1">
              <w:rPr>
                <w:rFonts w:ascii="Times New Roman" w:eastAsia="Times New Roman" w:hAnsi="Times New Roman" w:cs="Times New Roman"/>
                <w:sz w:val="24"/>
                <w:szCs w:val="24"/>
              </w:rPr>
              <w:t xml:space="preserve"> jo naujai įkurta įmonė visada būtų netinkama gauti paramą, nes neturi istorinės apyvartos.</w:t>
            </w:r>
          </w:p>
          <w:p w14:paraId="38C8DE04" w14:textId="3C14A3C8" w:rsidR="007D791F" w:rsidRPr="000A61C1" w:rsidRDefault="007D791F" w:rsidP="007D791F">
            <w:pPr>
              <w:jc w:val="both"/>
              <w:rPr>
                <w:rFonts w:ascii="Times New Roman" w:eastAsia="Times New Roman" w:hAnsi="Times New Roman" w:cs="Times New Roman"/>
                <w:sz w:val="24"/>
                <w:szCs w:val="24"/>
              </w:rPr>
            </w:pPr>
            <w:r w:rsidRPr="000A61C1">
              <w:rPr>
                <w:rFonts w:ascii="Times New Roman" w:eastAsia="Times New Roman" w:hAnsi="Times New Roman" w:cs="Times New Roman"/>
                <w:sz w:val="24"/>
                <w:szCs w:val="24"/>
              </w:rPr>
              <w:t>Todėl prašome</w:t>
            </w:r>
            <w:r>
              <w:rPr>
                <w:rFonts w:ascii="Times New Roman" w:eastAsia="Times New Roman" w:hAnsi="Times New Roman" w:cs="Times New Roman"/>
                <w:sz w:val="24"/>
                <w:szCs w:val="24"/>
              </w:rPr>
              <w:t xml:space="preserve"> </w:t>
            </w:r>
            <w:r w:rsidRPr="000A61C1">
              <w:rPr>
                <w:rFonts w:ascii="Times New Roman" w:eastAsia="Times New Roman" w:hAnsi="Times New Roman" w:cs="Times New Roman"/>
                <w:sz w:val="24"/>
                <w:szCs w:val="24"/>
              </w:rPr>
              <w:t xml:space="preserve">kaip alternatyvą 23.6 PFSA projekto punktui nustatyti, kad užtenka jog per 3 metus </w:t>
            </w:r>
            <w:r w:rsidRPr="000A61C1">
              <w:rPr>
                <w:rFonts w:ascii="Times New Roman" w:eastAsia="Times New Roman" w:hAnsi="Times New Roman" w:cs="Times New Roman"/>
              </w:rPr>
              <w:t>nuo projekto pradžios</w:t>
            </w:r>
            <w:r w:rsidRPr="000A61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į </w:t>
            </w:r>
            <w:r w:rsidRPr="000A61C1">
              <w:rPr>
                <w:rFonts w:ascii="Times New Roman" w:eastAsia="Times New Roman" w:hAnsi="Times New Roman" w:cs="Times New Roman"/>
                <w:sz w:val="24"/>
                <w:szCs w:val="24"/>
              </w:rPr>
              <w:t>pareiškėją būtų investuota ne mažiau kaip 1 000 000 eurų.</w:t>
            </w:r>
          </w:p>
          <w:p w14:paraId="0CFA20F1" w14:textId="109E5370" w:rsidR="007D791F" w:rsidRPr="000A61C1" w:rsidRDefault="007D791F" w:rsidP="007D791F">
            <w:pPr>
              <w:jc w:val="both"/>
              <w:rPr>
                <w:rFonts w:ascii="Times New Roman" w:eastAsia="Times New Roman" w:hAnsi="Times New Roman" w:cs="Times New Roman"/>
                <w:sz w:val="24"/>
                <w:szCs w:val="24"/>
              </w:rPr>
            </w:pPr>
            <w:r w:rsidRPr="000A61C1">
              <w:rPr>
                <w:rFonts w:ascii="Times New Roman" w:eastAsia="Times New Roman" w:hAnsi="Times New Roman" w:cs="Times New Roman"/>
                <w:sz w:val="24"/>
                <w:szCs w:val="24"/>
              </w:rPr>
              <w:t>Atrankos kriterijų projekte nau</w:t>
            </w:r>
            <w:r>
              <w:rPr>
                <w:rFonts w:ascii="Times New Roman" w:eastAsia="Times New Roman" w:hAnsi="Times New Roman" w:cs="Times New Roman"/>
                <w:sz w:val="24"/>
                <w:szCs w:val="24"/>
              </w:rPr>
              <w:t>dota formuluotė, jog turi būti į</w:t>
            </w:r>
            <w:r w:rsidRPr="000A61C1">
              <w:rPr>
                <w:rFonts w:ascii="Times New Roman" w:eastAsia="Times New Roman" w:hAnsi="Times New Roman" w:cs="Times New Roman"/>
                <w:sz w:val="24"/>
                <w:szCs w:val="24"/>
              </w:rPr>
              <w:t xml:space="preserve"> pareiškėją investuota ne mažiau kaip 1 000 000 eurų </w:t>
            </w:r>
            <w:r w:rsidRPr="000A61C1">
              <w:rPr>
                <w:rFonts w:ascii="Times New Roman" w:eastAsia="Times New Roman" w:hAnsi="Times New Roman" w:cs="Times New Roman"/>
              </w:rPr>
              <w:t>per paskutinius</w:t>
            </w:r>
            <w:r w:rsidRPr="000A61C1">
              <w:rPr>
                <w:rFonts w:ascii="Times New Roman" w:eastAsia="Times New Roman" w:hAnsi="Times New Roman" w:cs="Times New Roman"/>
                <w:sz w:val="24"/>
                <w:szCs w:val="24"/>
              </w:rPr>
              <w:t xml:space="preserve"> 3 metus iki paraiškos pateikimo. Ši formuluotė nėra tinkama, nes nėra tikslinga: a) investuoti </w:t>
            </w:r>
            <w:r>
              <w:rPr>
                <w:rFonts w:ascii="Times New Roman" w:eastAsia="Times New Roman" w:hAnsi="Times New Roman" w:cs="Times New Roman"/>
                <w:sz w:val="24"/>
                <w:szCs w:val="24"/>
              </w:rPr>
              <w:t>į</w:t>
            </w:r>
            <w:r w:rsidRPr="000A61C1">
              <w:rPr>
                <w:rFonts w:ascii="Times New Roman" w:eastAsia="Times New Roman" w:hAnsi="Times New Roman" w:cs="Times New Roman"/>
                <w:sz w:val="24"/>
                <w:szCs w:val="24"/>
              </w:rPr>
              <w:t xml:space="preserve"> įrangą kol nėra aišku ar parama bus gauta; b) investuoti </w:t>
            </w:r>
            <w:r>
              <w:rPr>
                <w:rFonts w:ascii="Times New Roman" w:eastAsia="Times New Roman" w:hAnsi="Times New Roman" w:cs="Times New Roman"/>
                <w:sz w:val="24"/>
                <w:szCs w:val="24"/>
              </w:rPr>
              <w:t>į</w:t>
            </w:r>
            <w:r w:rsidRPr="000A61C1">
              <w:rPr>
                <w:rFonts w:ascii="Times New Roman" w:eastAsia="Times New Roman" w:hAnsi="Times New Roman" w:cs="Times New Roman"/>
                <w:sz w:val="24"/>
                <w:szCs w:val="24"/>
              </w:rPr>
              <w:t xml:space="preserve"> įstatinį kapitalą pinigais, kai jų reikės tik projekto įgyvendinimo eigoje, o ne rašant paraišką ar ją vertinant.</w:t>
            </w:r>
          </w:p>
          <w:p w14:paraId="4B182F65" w14:textId="4978FC2F" w:rsidR="007D791F" w:rsidRDefault="007D791F" w:rsidP="001C4953">
            <w:pPr>
              <w:jc w:val="both"/>
              <w:rPr>
                <w:rFonts w:ascii="Times New Roman" w:eastAsia="Times New Roman" w:hAnsi="Times New Roman" w:cs="Times New Roman"/>
                <w:sz w:val="24"/>
                <w:szCs w:val="24"/>
              </w:rPr>
            </w:pPr>
            <w:r w:rsidRPr="000A61C1">
              <w:rPr>
                <w:rFonts w:ascii="Times New Roman" w:eastAsia="Times New Roman" w:hAnsi="Times New Roman" w:cs="Times New Roman"/>
                <w:sz w:val="24"/>
                <w:szCs w:val="24"/>
              </w:rPr>
              <w:t>Pasiūlymai parengti įvertinus ilgametę patirtį</w:t>
            </w:r>
            <w:r>
              <w:rPr>
                <w:rFonts w:ascii="Times New Roman" w:eastAsia="Times New Roman" w:hAnsi="Times New Roman" w:cs="Times New Roman"/>
                <w:sz w:val="24"/>
                <w:szCs w:val="24"/>
              </w:rPr>
              <w:t xml:space="preserve"> </w:t>
            </w:r>
            <w:r w:rsidRPr="000A61C1">
              <w:rPr>
                <w:rFonts w:ascii="Times New Roman" w:eastAsia="Times New Roman" w:hAnsi="Times New Roman" w:cs="Times New Roman"/>
                <w:sz w:val="24"/>
                <w:szCs w:val="24"/>
              </w:rPr>
              <w:t>rengiant ir administruojant MTEP projektus.</w:t>
            </w:r>
          </w:p>
        </w:tc>
        <w:tc>
          <w:tcPr>
            <w:tcW w:w="1842" w:type="dxa"/>
          </w:tcPr>
          <w:p w14:paraId="79DF1FDD" w14:textId="68ACA8A9" w:rsidR="007D791F" w:rsidRDefault="007D791F" w:rsidP="007D791F">
            <w:pPr>
              <w:rPr>
                <w:rFonts w:ascii="Times New Roman" w:hAnsi="Times New Roman" w:cs="Times New Roman"/>
                <w:b/>
                <w:sz w:val="24"/>
                <w:szCs w:val="24"/>
              </w:rPr>
            </w:pPr>
            <w:r w:rsidRPr="00E62A4E">
              <w:rPr>
                <w:rFonts w:ascii="Times New Roman" w:hAnsi="Times New Roman" w:cs="Times New Roman"/>
                <w:sz w:val="24"/>
                <w:szCs w:val="24"/>
              </w:rPr>
              <w:lastRenderedPageBreak/>
              <w:t>Neatsižvelgta.</w:t>
            </w:r>
          </w:p>
        </w:tc>
        <w:tc>
          <w:tcPr>
            <w:tcW w:w="4395" w:type="dxa"/>
          </w:tcPr>
          <w:p w14:paraId="42CF480A" w14:textId="77777777" w:rsidR="007D791F" w:rsidRDefault="007D791F" w:rsidP="007D791F">
            <w:pPr>
              <w:jc w:val="both"/>
              <w:rPr>
                <w:rFonts w:ascii="Times New Roman" w:hAnsi="Times New Roman" w:cs="Times New Roman"/>
                <w:sz w:val="24"/>
                <w:szCs w:val="24"/>
              </w:rPr>
            </w:pPr>
            <w:r w:rsidRPr="00E62A4E">
              <w:rPr>
                <w:rFonts w:ascii="Times New Roman" w:hAnsi="Times New Roman" w:cs="Times New Roman"/>
                <w:sz w:val="24"/>
                <w:szCs w:val="24"/>
              </w:rPr>
              <w:t xml:space="preserve">Atkreiptinas dėmesys, kad </w:t>
            </w:r>
            <w:r>
              <w:rPr>
                <w:rFonts w:ascii="Times New Roman" w:hAnsi="Times New Roman" w:cs="Times New Roman"/>
                <w:sz w:val="24"/>
                <w:szCs w:val="24"/>
              </w:rPr>
              <w:t>kriterijaus formuluotė buvo pakoreguota sulaukus pastabų kriterijų viešojo aptarimo metu. Patikslinta kriterijaus formuluotė patvirtinta 2</w:t>
            </w:r>
            <w:r w:rsidRPr="006C7798">
              <w:rPr>
                <w:rFonts w:ascii="Times New Roman" w:hAnsi="Times New Roman" w:cs="Times New Roman"/>
                <w:sz w:val="24"/>
                <w:szCs w:val="24"/>
              </w:rPr>
              <w:t>014–2020 metų Europos Sąjungos fondų investicijų veiksmų programos stebėsenos komiteto</w:t>
            </w:r>
            <w:r>
              <w:rPr>
                <w:rFonts w:ascii="Times New Roman" w:hAnsi="Times New Roman" w:cs="Times New Roman"/>
                <w:sz w:val="24"/>
                <w:szCs w:val="24"/>
              </w:rPr>
              <w:t xml:space="preserve"> (toliau – Stebėsenos komitetas) </w:t>
            </w:r>
            <w:r w:rsidRPr="00E62A4E">
              <w:rPr>
                <w:rFonts w:ascii="Times New Roman" w:hAnsi="Times New Roman" w:cs="Times New Roman"/>
                <w:sz w:val="24"/>
                <w:szCs w:val="24"/>
              </w:rPr>
              <w:t>2019 m. kovo 28 d. nutarimu Nr. 44 (P)-3(39)</w:t>
            </w:r>
            <w:r>
              <w:rPr>
                <w:rFonts w:ascii="Times New Roman" w:hAnsi="Times New Roman" w:cs="Times New Roman"/>
                <w:sz w:val="24"/>
                <w:szCs w:val="24"/>
              </w:rPr>
              <w:t xml:space="preserve">. Pažymime, kad Stebėsenos komitete dalyvauja ir socialiniai ekonominiai partneriai. </w:t>
            </w:r>
          </w:p>
          <w:p w14:paraId="75A75455" w14:textId="77777777" w:rsidR="007D791F" w:rsidRDefault="007D791F" w:rsidP="007D791F">
            <w:pPr>
              <w:jc w:val="both"/>
              <w:rPr>
                <w:rFonts w:ascii="Times New Roman" w:hAnsi="Times New Roman" w:cs="Times New Roman"/>
                <w:sz w:val="24"/>
                <w:szCs w:val="24"/>
              </w:rPr>
            </w:pPr>
            <w:r>
              <w:rPr>
                <w:rFonts w:ascii="Times New Roman" w:hAnsi="Times New Roman" w:cs="Times New Roman"/>
                <w:sz w:val="24"/>
                <w:szCs w:val="24"/>
              </w:rPr>
              <w:t xml:space="preserve">Stebėsenos komiteto patvirtinti kriterijai apraše negali būti koreguojami. </w:t>
            </w:r>
          </w:p>
          <w:p w14:paraId="7FD649E2" w14:textId="34E6F078" w:rsidR="00463E6E" w:rsidRPr="00463E6E" w:rsidRDefault="00EF7C3C" w:rsidP="00EF7C3C">
            <w:pPr>
              <w:jc w:val="both"/>
              <w:rPr>
                <w:rFonts w:ascii="Times New Roman" w:hAnsi="Times New Roman" w:cs="Times New Roman"/>
                <w:b/>
                <w:sz w:val="24"/>
                <w:szCs w:val="24"/>
              </w:rPr>
            </w:pPr>
            <w:r>
              <w:rPr>
                <w:rFonts w:ascii="Times New Roman" w:hAnsi="Times New Roman" w:cs="Times New Roman"/>
                <w:sz w:val="24"/>
                <w:szCs w:val="24"/>
              </w:rPr>
              <w:t>Tam, kad nebūtų painiavos tarp sąvokų, į</w:t>
            </w:r>
            <w:r w:rsidR="00463E6E">
              <w:rPr>
                <w:rFonts w:ascii="Times New Roman" w:hAnsi="Times New Roman" w:cs="Times New Roman"/>
                <w:sz w:val="24"/>
                <w:szCs w:val="24"/>
              </w:rPr>
              <w:t>monių grupė apraše apibrėžiama taip, kaip ji su</w:t>
            </w:r>
            <w:r>
              <w:rPr>
                <w:rFonts w:ascii="Times New Roman" w:hAnsi="Times New Roman" w:cs="Times New Roman"/>
                <w:sz w:val="24"/>
                <w:szCs w:val="24"/>
              </w:rPr>
              <w:t>prantama kituose teisės aktuose.</w:t>
            </w:r>
          </w:p>
        </w:tc>
      </w:tr>
    </w:tbl>
    <w:p w14:paraId="11F78B7B" w14:textId="77777777" w:rsidR="00001E08" w:rsidRPr="00A9198C" w:rsidRDefault="00001E08" w:rsidP="00792899">
      <w:pPr>
        <w:pStyle w:val="prastasis"/>
        <w:jc w:val="center"/>
        <w:rPr>
          <w:rFonts w:ascii="Times New Roman" w:hAnsi="Times New Roman" w:cs="Times New Roman"/>
          <w:b/>
          <w:sz w:val="24"/>
          <w:szCs w:val="24"/>
        </w:rPr>
      </w:pPr>
    </w:p>
    <w:sectPr w:rsidR="00001E08" w:rsidRPr="00A9198C" w:rsidSect="00792899">
      <w:pgSz w:w="16838" w:h="11906" w:orient="landscape"/>
      <w:pgMar w:top="709" w:right="678"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C6124"/>
    <w:multiLevelType w:val="hybridMultilevel"/>
    <w:tmpl w:val="E904CA74"/>
    <w:lvl w:ilvl="0" w:tplc="96BAC93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28F02D6F"/>
    <w:multiLevelType w:val="hybridMultilevel"/>
    <w:tmpl w:val="EC1A6AE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E5674A0"/>
    <w:multiLevelType w:val="hybridMultilevel"/>
    <w:tmpl w:val="37089D7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61C4812"/>
    <w:multiLevelType w:val="multilevel"/>
    <w:tmpl w:val="604A5ECC"/>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9E0248"/>
    <w:multiLevelType w:val="hybridMultilevel"/>
    <w:tmpl w:val="7C9E2E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2B73795"/>
    <w:multiLevelType w:val="multilevel"/>
    <w:tmpl w:val="833643B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99"/>
    <w:rsid w:val="00001E08"/>
    <w:rsid w:val="000031DB"/>
    <w:rsid w:val="00004E94"/>
    <w:rsid w:val="0001246B"/>
    <w:rsid w:val="0001279F"/>
    <w:rsid w:val="00043695"/>
    <w:rsid w:val="0004784A"/>
    <w:rsid w:val="00075DF1"/>
    <w:rsid w:val="0007785E"/>
    <w:rsid w:val="0009637E"/>
    <w:rsid w:val="00097B15"/>
    <w:rsid w:val="000A61C1"/>
    <w:rsid w:val="000F3663"/>
    <w:rsid w:val="001013DF"/>
    <w:rsid w:val="0010538D"/>
    <w:rsid w:val="00150053"/>
    <w:rsid w:val="001B53F3"/>
    <w:rsid w:val="001C4953"/>
    <w:rsid w:val="00226B3A"/>
    <w:rsid w:val="00230C5E"/>
    <w:rsid w:val="00262627"/>
    <w:rsid w:val="002740C9"/>
    <w:rsid w:val="0027572C"/>
    <w:rsid w:val="00282C65"/>
    <w:rsid w:val="00283EAE"/>
    <w:rsid w:val="0029463E"/>
    <w:rsid w:val="002A0494"/>
    <w:rsid w:val="002B7569"/>
    <w:rsid w:val="002B76DE"/>
    <w:rsid w:val="002F1681"/>
    <w:rsid w:val="00315142"/>
    <w:rsid w:val="003253FE"/>
    <w:rsid w:val="00382D69"/>
    <w:rsid w:val="003A543F"/>
    <w:rsid w:val="003B0A28"/>
    <w:rsid w:val="003C180C"/>
    <w:rsid w:val="003C3402"/>
    <w:rsid w:val="003D0CC1"/>
    <w:rsid w:val="003E2A8D"/>
    <w:rsid w:val="004156F5"/>
    <w:rsid w:val="004236E1"/>
    <w:rsid w:val="00446CDB"/>
    <w:rsid w:val="00451216"/>
    <w:rsid w:val="004538C8"/>
    <w:rsid w:val="004626D3"/>
    <w:rsid w:val="00463E6E"/>
    <w:rsid w:val="00471A4F"/>
    <w:rsid w:val="0047728C"/>
    <w:rsid w:val="0049570B"/>
    <w:rsid w:val="004B5AC8"/>
    <w:rsid w:val="004D34AA"/>
    <w:rsid w:val="0051261D"/>
    <w:rsid w:val="00551BF8"/>
    <w:rsid w:val="00565B77"/>
    <w:rsid w:val="005675FA"/>
    <w:rsid w:val="005B2F05"/>
    <w:rsid w:val="005F18B9"/>
    <w:rsid w:val="00607EDF"/>
    <w:rsid w:val="006136A0"/>
    <w:rsid w:val="00650064"/>
    <w:rsid w:val="00671834"/>
    <w:rsid w:val="006763F6"/>
    <w:rsid w:val="00696250"/>
    <w:rsid w:val="006A4422"/>
    <w:rsid w:val="006B1E5C"/>
    <w:rsid w:val="006C7798"/>
    <w:rsid w:val="006D43B1"/>
    <w:rsid w:val="00706B1D"/>
    <w:rsid w:val="00707DAA"/>
    <w:rsid w:val="007306EB"/>
    <w:rsid w:val="00735C19"/>
    <w:rsid w:val="00742255"/>
    <w:rsid w:val="00745696"/>
    <w:rsid w:val="007579D7"/>
    <w:rsid w:val="00760652"/>
    <w:rsid w:val="00761813"/>
    <w:rsid w:val="00792899"/>
    <w:rsid w:val="007C2184"/>
    <w:rsid w:val="007D791F"/>
    <w:rsid w:val="007F5A72"/>
    <w:rsid w:val="007F7A45"/>
    <w:rsid w:val="00803021"/>
    <w:rsid w:val="00810F31"/>
    <w:rsid w:val="00862DF4"/>
    <w:rsid w:val="00887BED"/>
    <w:rsid w:val="008A1FEC"/>
    <w:rsid w:val="008D7BA9"/>
    <w:rsid w:val="008E26C8"/>
    <w:rsid w:val="008F41C2"/>
    <w:rsid w:val="009155F2"/>
    <w:rsid w:val="00920550"/>
    <w:rsid w:val="00920C7B"/>
    <w:rsid w:val="009829D5"/>
    <w:rsid w:val="009B20FC"/>
    <w:rsid w:val="009B303E"/>
    <w:rsid w:val="009D5E59"/>
    <w:rsid w:val="00A14021"/>
    <w:rsid w:val="00A21700"/>
    <w:rsid w:val="00A35580"/>
    <w:rsid w:val="00A37468"/>
    <w:rsid w:val="00A37AA2"/>
    <w:rsid w:val="00A422C6"/>
    <w:rsid w:val="00A9198C"/>
    <w:rsid w:val="00AC245F"/>
    <w:rsid w:val="00AD320D"/>
    <w:rsid w:val="00AF37BF"/>
    <w:rsid w:val="00B11A28"/>
    <w:rsid w:val="00B30E7F"/>
    <w:rsid w:val="00B3200E"/>
    <w:rsid w:val="00B65C99"/>
    <w:rsid w:val="00B67344"/>
    <w:rsid w:val="00B737B6"/>
    <w:rsid w:val="00BE37B1"/>
    <w:rsid w:val="00BF746F"/>
    <w:rsid w:val="00C004C0"/>
    <w:rsid w:val="00C0469F"/>
    <w:rsid w:val="00C20FAE"/>
    <w:rsid w:val="00C309D2"/>
    <w:rsid w:val="00C35156"/>
    <w:rsid w:val="00C44C3C"/>
    <w:rsid w:val="00C77435"/>
    <w:rsid w:val="00C970E3"/>
    <w:rsid w:val="00D2085D"/>
    <w:rsid w:val="00D21753"/>
    <w:rsid w:val="00D65D52"/>
    <w:rsid w:val="00DE14F0"/>
    <w:rsid w:val="00DF0B11"/>
    <w:rsid w:val="00E15E96"/>
    <w:rsid w:val="00E62A4E"/>
    <w:rsid w:val="00E92A22"/>
    <w:rsid w:val="00E93B0D"/>
    <w:rsid w:val="00EE0802"/>
    <w:rsid w:val="00EF7C3C"/>
    <w:rsid w:val="00F210A0"/>
    <w:rsid w:val="00F27FC4"/>
    <w:rsid w:val="00F552DF"/>
    <w:rsid w:val="00F9033B"/>
    <w:rsid w:val="00FE7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1E51"/>
  <w15:chartTrackingRefBased/>
  <w15:docId w15:val="{7441BAA7-1D18-4A39-92D3-E0D8958F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rsid w:val="00792899"/>
    <w:pPr>
      <w:suppressAutoHyphens/>
      <w:autoSpaceDN w:val="0"/>
      <w:spacing w:after="0" w:line="240" w:lineRule="auto"/>
      <w:textAlignment w:val="baseline"/>
    </w:pPr>
    <w:rPr>
      <w:rFonts w:ascii="Calibri" w:eastAsia="Calibri" w:hAnsi="Calibri" w:cs="Calibri"/>
      <w:lang w:val="en-GB"/>
    </w:rPr>
  </w:style>
  <w:style w:type="table" w:styleId="TableGrid">
    <w:name w:val="Table Grid"/>
    <w:basedOn w:val="TableNormal"/>
    <w:uiPriority w:val="59"/>
    <w:rsid w:val="00792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98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50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064"/>
    <w:rPr>
      <w:rFonts w:ascii="Segoe UI" w:hAnsi="Segoe UI" w:cs="Segoe UI"/>
      <w:sz w:val="18"/>
      <w:szCs w:val="18"/>
    </w:rPr>
  </w:style>
  <w:style w:type="character" w:styleId="CommentReference">
    <w:name w:val="annotation reference"/>
    <w:basedOn w:val="DefaultParagraphFont"/>
    <w:uiPriority w:val="99"/>
    <w:semiHidden/>
    <w:unhideWhenUsed/>
    <w:rsid w:val="003C180C"/>
    <w:rPr>
      <w:sz w:val="16"/>
      <w:szCs w:val="16"/>
    </w:rPr>
  </w:style>
  <w:style w:type="paragraph" w:styleId="CommentText">
    <w:name w:val="annotation text"/>
    <w:basedOn w:val="Normal"/>
    <w:link w:val="CommentTextChar"/>
    <w:uiPriority w:val="99"/>
    <w:unhideWhenUsed/>
    <w:rsid w:val="003C180C"/>
    <w:pPr>
      <w:spacing w:line="240" w:lineRule="auto"/>
    </w:pPr>
    <w:rPr>
      <w:sz w:val="20"/>
      <w:szCs w:val="20"/>
    </w:rPr>
  </w:style>
  <w:style w:type="character" w:customStyle="1" w:styleId="CommentTextChar">
    <w:name w:val="Comment Text Char"/>
    <w:basedOn w:val="DefaultParagraphFont"/>
    <w:link w:val="CommentText"/>
    <w:uiPriority w:val="99"/>
    <w:rsid w:val="003C180C"/>
    <w:rPr>
      <w:sz w:val="20"/>
      <w:szCs w:val="20"/>
    </w:rPr>
  </w:style>
  <w:style w:type="paragraph" w:styleId="CommentSubject">
    <w:name w:val="annotation subject"/>
    <w:basedOn w:val="CommentText"/>
    <w:next w:val="CommentText"/>
    <w:link w:val="CommentSubjectChar"/>
    <w:uiPriority w:val="99"/>
    <w:semiHidden/>
    <w:unhideWhenUsed/>
    <w:rsid w:val="003C180C"/>
    <w:rPr>
      <w:b/>
      <w:bCs/>
    </w:rPr>
  </w:style>
  <w:style w:type="character" w:customStyle="1" w:styleId="CommentSubjectChar">
    <w:name w:val="Comment Subject Char"/>
    <w:basedOn w:val="CommentTextChar"/>
    <w:link w:val="CommentSubject"/>
    <w:uiPriority w:val="99"/>
    <w:semiHidden/>
    <w:rsid w:val="003C180C"/>
    <w:rPr>
      <w:b/>
      <w:bCs/>
      <w:sz w:val="20"/>
      <w:szCs w:val="20"/>
    </w:rPr>
  </w:style>
  <w:style w:type="character" w:styleId="Hyperlink">
    <w:name w:val="Hyperlink"/>
    <w:basedOn w:val="DefaultParagraphFont"/>
    <w:uiPriority w:val="99"/>
    <w:unhideWhenUsed/>
    <w:rsid w:val="00E62A4E"/>
    <w:rPr>
      <w:color w:val="0563C1" w:themeColor="hyperlink"/>
      <w:u w:val="single"/>
    </w:rPr>
  </w:style>
  <w:style w:type="character" w:customStyle="1" w:styleId="Bodytext2">
    <w:name w:val="Body text (2)_"/>
    <w:basedOn w:val="DefaultParagraphFont"/>
    <w:rsid w:val="000A61C1"/>
    <w:rPr>
      <w:rFonts w:ascii="Calibri" w:eastAsia="Calibri" w:hAnsi="Calibri" w:cs="Calibri"/>
      <w:b w:val="0"/>
      <w:bCs w:val="0"/>
      <w:i w:val="0"/>
      <w:iCs w:val="0"/>
      <w:smallCaps w:val="0"/>
      <w:strike w:val="0"/>
      <w:sz w:val="24"/>
      <w:szCs w:val="24"/>
      <w:u w:val="none"/>
    </w:rPr>
  </w:style>
  <w:style w:type="character" w:customStyle="1" w:styleId="Bodytext20">
    <w:name w:val="Body text (2)"/>
    <w:basedOn w:val="Bodytext2"/>
    <w:rsid w:val="000A61C1"/>
    <w:rPr>
      <w:rFonts w:ascii="Calibri" w:eastAsia="Calibri" w:hAnsi="Calibri" w:cs="Calibri"/>
      <w:b w:val="0"/>
      <w:bCs w:val="0"/>
      <w:i w:val="0"/>
      <w:iCs w:val="0"/>
      <w:smallCaps w:val="0"/>
      <w:strike w:val="0"/>
      <w:color w:val="000000"/>
      <w:spacing w:val="0"/>
      <w:w w:val="100"/>
      <w:position w:val="0"/>
      <w:sz w:val="24"/>
      <w:szCs w:val="24"/>
      <w:u w:val="none"/>
      <w:lang w:val="lt-LT" w:eastAsia="lt-LT" w:bidi="lt-LT"/>
    </w:rPr>
  </w:style>
  <w:style w:type="character" w:customStyle="1" w:styleId="Bodytext211pt">
    <w:name w:val="Body text (2) + 11 pt"/>
    <w:basedOn w:val="Bodytext2"/>
    <w:rsid w:val="000A61C1"/>
    <w:rPr>
      <w:rFonts w:ascii="Calibri" w:eastAsia="Calibri" w:hAnsi="Calibri" w:cs="Calibri"/>
      <w:b w:val="0"/>
      <w:bCs w:val="0"/>
      <w:i w:val="0"/>
      <w:iCs w:val="0"/>
      <w:smallCaps w:val="0"/>
      <w:strike w:val="0"/>
      <w:color w:val="000000"/>
      <w:spacing w:val="0"/>
      <w:w w:val="100"/>
      <w:position w:val="0"/>
      <w:sz w:val="22"/>
      <w:szCs w:val="22"/>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0624">
      <w:bodyDiv w:val="1"/>
      <w:marLeft w:val="0"/>
      <w:marRight w:val="0"/>
      <w:marTop w:val="0"/>
      <w:marBottom w:val="0"/>
      <w:divBdr>
        <w:top w:val="none" w:sz="0" w:space="0" w:color="auto"/>
        <w:left w:val="none" w:sz="0" w:space="0" w:color="auto"/>
        <w:bottom w:val="none" w:sz="0" w:space="0" w:color="auto"/>
        <w:right w:val="none" w:sz="0" w:space="0" w:color="auto"/>
      </w:divBdr>
    </w:div>
    <w:div w:id="207618716">
      <w:bodyDiv w:val="1"/>
      <w:marLeft w:val="0"/>
      <w:marRight w:val="0"/>
      <w:marTop w:val="0"/>
      <w:marBottom w:val="0"/>
      <w:divBdr>
        <w:top w:val="none" w:sz="0" w:space="0" w:color="auto"/>
        <w:left w:val="none" w:sz="0" w:space="0" w:color="auto"/>
        <w:bottom w:val="none" w:sz="0" w:space="0" w:color="auto"/>
        <w:right w:val="none" w:sz="0" w:space="0" w:color="auto"/>
      </w:divBdr>
    </w:div>
    <w:div w:id="289284800">
      <w:bodyDiv w:val="1"/>
      <w:marLeft w:val="0"/>
      <w:marRight w:val="0"/>
      <w:marTop w:val="0"/>
      <w:marBottom w:val="0"/>
      <w:divBdr>
        <w:top w:val="none" w:sz="0" w:space="0" w:color="auto"/>
        <w:left w:val="none" w:sz="0" w:space="0" w:color="auto"/>
        <w:bottom w:val="none" w:sz="0" w:space="0" w:color="auto"/>
        <w:right w:val="none" w:sz="0" w:space="0" w:color="auto"/>
      </w:divBdr>
    </w:div>
    <w:div w:id="417680837">
      <w:bodyDiv w:val="1"/>
      <w:marLeft w:val="0"/>
      <w:marRight w:val="0"/>
      <w:marTop w:val="0"/>
      <w:marBottom w:val="0"/>
      <w:divBdr>
        <w:top w:val="none" w:sz="0" w:space="0" w:color="auto"/>
        <w:left w:val="none" w:sz="0" w:space="0" w:color="auto"/>
        <w:bottom w:val="none" w:sz="0" w:space="0" w:color="auto"/>
        <w:right w:val="none" w:sz="0" w:space="0" w:color="auto"/>
      </w:divBdr>
    </w:div>
    <w:div w:id="738986959">
      <w:bodyDiv w:val="1"/>
      <w:marLeft w:val="0"/>
      <w:marRight w:val="0"/>
      <w:marTop w:val="0"/>
      <w:marBottom w:val="0"/>
      <w:divBdr>
        <w:top w:val="none" w:sz="0" w:space="0" w:color="auto"/>
        <w:left w:val="none" w:sz="0" w:space="0" w:color="auto"/>
        <w:bottom w:val="none" w:sz="0" w:space="0" w:color="auto"/>
        <w:right w:val="none" w:sz="0" w:space="0" w:color="auto"/>
      </w:divBdr>
    </w:div>
    <w:div w:id="883176017">
      <w:bodyDiv w:val="1"/>
      <w:marLeft w:val="0"/>
      <w:marRight w:val="0"/>
      <w:marTop w:val="0"/>
      <w:marBottom w:val="0"/>
      <w:divBdr>
        <w:top w:val="none" w:sz="0" w:space="0" w:color="auto"/>
        <w:left w:val="none" w:sz="0" w:space="0" w:color="auto"/>
        <w:bottom w:val="none" w:sz="0" w:space="0" w:color="auto"/>
        <w:right w:val="none" w:sz="0" w:space="0" w:color="auto"/>
      </w:divBdr>
    </w:div>
    <w:div w:id="1491479194">
      <w:bodyDiv w:val="1"/>
      <w:marLeft w:val="0"/>
      <w:marRight w:val="0"/>
      <w:marTop w:val="0"/>
      <w:marBottom w:val="0"/>
      <w:divBdr>
        <w:top w:val="none" w:sz="0" w:space="0" w:color="auto"/>
        <w:left w:val="none" w:sz="0" w:space="0" w:color="auto"/>
        <w:bottom w:val="none" w:sz="0" w:space="0" w:color="auto"/>
        <w:right w:val="none" w:sz="0" w:space="0" w:color="auto"/>
      </w:divBdr>
    </w:div>
    <w:div w:id="1782451308">
      <w:bodyDiv w:val="1"/>
      <w:marLeft w:val="0"/>
      <w:marRight w:val="0"/>
      <w:marTop w:val="0"/>
      <w:marBottom w:val="0"/>
      <w:divBdr>
        <w:top w:val="none" w:sz="0" w:space="0" w:color="auto"/>
        <w:left w:val="none" w:sz="0" w:space="0" w:color="auto"/>
        <w:bottom w:val="none" w:sz="0" w:space="0" w:color="auto"/>
        <w:right w:val="none" w:sz="0" w:space="0" w:color="auto"/>
      </w:divBdr>
    </w:div>
    <w:div w:id="1860925291">
      <w:bodyDiv w:val="1"/>
      <w:marLeft w:val="0"/>
      <w:marRight w:val="0"/>
      <w:marTop w:val="0"/>
      <w:marBottom w:val="0"/>
      <w:divBdr>
        <w:top w:val="none" w:sz="0" w:space="0" w:color="auto"/>
        <w:left w:val="none" w:sz="0" w:space="0" w:color="auto"/>
        <w:bottom w:val="none" w:sz="0" w:space="0" w:color="auto"/>
        <w:right w:val="none" w:sz="0" w:space="0" w:color="auto"/>
      </w:divBdr>
    </w:div>
    <w:div w:id="21023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imin.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F7871-8322-4373-A492-1B9A72FC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16412</Words>
  <Characters>9356</Characters>
  <Application>Microsoft Office Word</Application>
  <DocSecurity>4</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Viluniene Jurgita</cp:lastModifiedBy>
  <cp:revision>2</cp:revision>
  <cp:lastPrinted>2019-02-25T07:58:00Z</cp:lastPrinted>
  <dcterms:created xsi:type="dcterms:W3CDTF">2019-05-21T08:20:00Z</dcterms:created>
  <dcterms:modified xsi:type="dcterms:W3CDTF">2019-05-21T08:20:00Z</dcterms:modified>
</cp:coreProperties>
</file>