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7F3F8" w14:textId="45B1A8A1" w:rsidR="00AA28EC" w:rsidRPr="00AA28EC" w:rsidRDefault="00AA28EC" w:rsidP="00AA28EC">
      <w:pPr>
        <w:overflowPunct w:val="0"/>
        <w:spacing w:before="100" w:beforeAutospacing="1" w:after="100" w:afterAutospacing="1"/>
        <w:jc w:val="center"/>
        <w:textAlignment w:val="baseline"/>
        <w:rPr>
          <w:szCs w:val="24"/>
          <w:lang w:eastAsia="lt-LT"/>
        </w:rPr>
      </w:pPr>
      <w:r w:rsidRPr="00AA28EC">
        <w:rPr>
          <w:b/>
          <w:bCs/>
          <w:szCs w:val="24"/>
          <w:lang w:eastAsia="lt-LT"/>
        </w:rPr>
        <w:t>L</w:t>
      </w:r>
      <w:r>
        <w:rPr>
          <w:b/>
          <w:bCs/>
          <w:szCs w:val="24"/>
          <w:lang w:eastAsia="lt-LT"/>
        </w:rPr>
        <w:t xml:space="preserve">IETUVOS RESPUBLIKOS ŠVIETIMO, </w:t>
      </w:r>
      <w:r w:rsidRPr="00AA28EC">
        <w:rPr>
          <w:b/>
          <w:bCs/>
          <w:szCs w:val="24"/>
          <w:lang w:eastAsia="lt-LT"/>
        </w:rPr>
        <w:t>MOKSLO</w:t>
      </w:r>
      <w:r>
        <w:rPr>
          <w:b/>
          <w:bCs/>
          <w:szCs w:val="24"/>
          <w:lang w:eastAsia="lt-LT"/>
        </w:rPr>
        <w:t xml:space="preserve"> IR SPORTO</w:t>
      </w:r>
      <w:r w:rsidRPr="00AA28EC">
        <w:rPr>
          <w:b/>
          <w:bCs/>
          <w:szCs w:val="24"/>
          <w:lang w:eastAsia="lt-LT"/>
        </w:rPr>
        <w:t xml:space="preserve"> MINISTERIJA</w:t>
      </w:r>
    </w:p>
    <w:p w14:paraId="1D0E9923" w14:textId="747A7C6C" w:rsidR="00AA28EC" w:rsidRPr="00AA28EC" w:rsidRDefault="00AA28EC" w:rsidP="00AA28EC">
      <w:pPr>
        <w:overflowPunct w:val="0"/>
        <w:spacing w:before="100" w:beforeAutospacing="1" w:after="100" w:afterAutospacing="1"/>
        <w:jc w:val="center"/>
        <w:textAlignment w:val="baseline"/>
        <w:rPr>
          <w:szCs w:val="24"/>
          <w:lang w:eastAsia="lt-LT"/>
        </w:rPr>
      </w:pPr>
      <w:r w:rsidRPr="00AA28EC">
        <w:rPr>
          <w:szCs w:val="24"/>
          <w:lang w:eastAsia="lt-LT"/>
        </w:rPr>
        <w:t> </w:t>
      </w:r>
      <w:r w:rsidRPr="00AA28EC">
        <w:rPr>
          <w:b/>
          <w:bCs/>
          <w:szCs w:val="24"/>
          <w:lang w:eastAsia="lt-LT"/>
        </w:rPr>
        <w:t xml:space="preserve">2014–2020 METŲ EUROPOS SĄJUNGOS FONDŲ INVESTICIJŲ VEIKSMŲ PROGRAMOS PRIORITETO ĮGYVENDINIMO </w:t>
      </w:r>
      <w:r w:rsidRPr="00AA28EC">
        <w:rPr>
          <w:b/>
          <w:bCs/>
          <w:caps/>
          <w:szCs w:val="24"/>
          <w:lang w:eastAsia="lt-LT"/>
        </w:rPr>
        <w:t>Priemonių įgyvendinimo planas</w:t>
      </w:r>
    </w:p>
    <w:p w14:paraId="6F95E135" w14:textId="77777777" w:rsidR="00AA28EC" w:rsidRDefault="00AA28EC" w:rsidP="008C3829">
      <w:pPr>
        <w:tabs>
          <w:tab w:val="left" w:pos="0"/>
          <w:tab w:val="left" w:pos="567"/>
        </w:tabs>
        <w:overflowPunct w:val="0"/>
        <w:jc w:val="center"/>
        <w:textAlignment w:val="baseline"/>
        <w:rPr>
          <w:b/>
          <w:szCs w:val="24"/>
        </w:rPr>
      </w:pPr>
    </w:p>
    <w:p w14:paraId="646EF24B" w14:textId="29E920A3" w:rsidR="008C3829" w:rsidRDefault="008C3829" w:rsidP="008C3829">
      <w:pPr>
        <w:tabs>
          <w:tab w:val="left" w:pos="0"/>
          <w:tab w:val="left" w:pos="567"/>
        </w:tabs>
        <w:overflowPunct w:val="0"/>
        <w:jc w:val="center"/>
        <w:textAlignment w:val="baseline"/>
        <w:rPr>
          <w:b/>
          <w:szCs w:val="24"/>
        </w:rPr>
      </w:pPr>
      <w:r>
        <w:rPr>
          <w:b/>
          <w:szCs w:val="24"/>
        </w:rPr>
        <w:t>VIENUOLIKTASIS SKIRSNIS</w:t>
      </w:r>
    </w:p>
    <w:p w14:paraId="0F5210F9" w14:textId="77777777" w:rsidR="008C3829" w:rsidRDefault="008C3829" w:rsidP="008C3829">
      <w:pPr>
        <w:overflowPunct w:val="0"/>
        <w:jc w:val="center"/>
        <w:textAlignment w:val="baseline"/>
        <w:rPr>
          <w:b/>
          <w:szCs w:val="24"/>
        </w:rPr>
      </w:pPr>
      <w:r>
        <w:rPr>
          <w:b/>
          <w:szCs w:val="24"/>
        </w:rPr>
        <w:t>PRIEMONĖ NR. 09.4.2-ESFA-K-714 „FORMALIOJO IR NEFORMALIOJO MOKYMOSI GALIMYBIŲ PLĖTRA“</w:t>
      </w:r>
    </w:p>
    <w:p w14:paraId="5A61DF3F" w14:textId="77777777" w:rsidR="008C3829" w:rsidRDefault="008C3829" w:rsidP="008C3829">
      <w:pPr>
        <w:overflowPunct w:val="0"/>
        <w:ind w:firstLine="567"/>
        <w:textAlignment w:val="baseline"/>
        <w:rPr>
          <w:szCs w:val="24"/>
        </w:rPr>
      </w:pPr>
    </w:p>
    <w:p w14:paraId="77BE55F7" w14:textId="77777777" w:rsidR="008C3829" w:rsidRDefault="008C3829" w:rsidP="008C3829">
      <w:pPr>
        <w:tabs>
          <w:tab w:val="left" w:pos="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567"/>
        <w:jc w:val="both"/>
        <w:rPr>
          <w:szCs w:val="24"/>
          <w:lang w:eastAsia="lt-LT"/>
        </w:rPr>
      </w:pPr>
      <w:r>
        <w:rPr>
          <w:szCs w:val="24"/>
          <w:lang w:eastAsia="lt-LT"/>
        </w:rPr>
        <w:t>1. Priemonės aprašymas</w:t>
      </w:r>
    </w:p>
    <w:tbl>
      <w:tblPr>
        <w:tblW w:w="9639" w:type="dxa"/>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39"/>
      </w:tblGrid>
      <w:tr w:rsidR="008C3829" w14:paraId="5BA965E2" w14:textId="77777777" w:rsidTr="007D5A76">
        <w:tc>
          <w:tcPr>
            <w:tcW w:w="9639" w:type="dxa"/>
            <w:tcMar>
              <w:top w:w="0" w:type="dxa"/>
              <w:left w:w="108" w:type="dxa"/>
              <w:bottom w:w="0" w:type="dxa"/>
              <w:right w:w="108" w:type="dxa"/>
            </w:tcMar>
            <w:hideMark/>
          </w:tcPr>
          <w:p w14:paraId="5BF4DC04" w14:textId="77777777" w:rsidR="008C3829" w:rsidRDefault="008C3829" w:rsidP="007D5A76">
            <w:pPr>
              <w:overflowPunct w:val="0"/>
              <w:ind w:firstLine="459"/>
              <w:jc w:val="both"/>
              <w:textAlignment w:val="baseline"/>
              <w:rPr>
                <w:szCs w:val="24"/>
                <w:lang w:eastAsia="lt-LT"/>
              </w:rPr>
            </w:pPr>
            <w:r>
              <w:rPr>
                <w:szCs w:val="24"/>
                <w:lang w:eastAsia="lt-LT"/>
              </w:rPr>
              <w:t xml:space="preserve">1.1. Priemonės įgyvendinimas finansuojamas Europos socialinio fondo lėšomis. </w:t>
            </w:r>
          </w:p>
        </w:tc>
      </w:tr>
      <w:tr w:rsidR="008C3829" w14:paraId="51542423" w14:textId="77777777" w:rsidTr="007D5A76">
        <w:tc>
          <w:tcPr>
            <w:tcW w:w="9639" w:type="dxa"/>
            <w:tcMar>
              <w:top w:w="0" w:type="dxa"/>
              <w:left w:w="108" w:type="dxa"/>
              <w:bottom w:w="0" w:type="dxa"/>
              <w:right w:w="108" w:type="dxa"/>
            </w:tcMar>
            <w:hideMark/>
          </w:tcPr>
          <w:p w14:paraId="0CB6868A" w14:textId="77777777" w:rsidR="008C3829" w:rsidRDefault="008C3829" w:rsidP="007D5A76">
            <w:pPr>
              <w:overflowPunct w:val="0"/>
              <w:ind w:firstLine="459"/>
              <w:jc w:val="both"/>
              <w:textAlignment w:val="baseline"/>
              <w:rPr>
                <w:szCs w:val="24"/>
                <w:lang w:eastAsia="lt-LT"/>
              </w:rPr>
            </w:pPr>
            <w:r>
              <w:rPr>
                <w:szCs w:val="24"/>
                <w:lang w:eastAsia="lt-LT"/>
              </w:rPr>
              <w:t>1.2. Įgyvendinant priemonę, prisidedama prie konkretaus uždavinio „Sukurti sąlygas ir paskatas mokymuisi visą gyvenimą, užtikrinant veiksmingą pagalbą tobulinantis“ įgyvendinimo.</w:t>
            </w:r>
          </w:p>
        </w:tc>
      </w:tr>
      <w:tr w:rsidR="008C3829" w14:paraId="19265489" w14:textId="77777777" w:rsidTr="007D5A76">
        <w:tc>
          <w:tcPr>
            <w:tcW w:w="9639" w:type="dxa"/>
            <w:tcMar>
              <w:top w:w="0" w:type="dxa"/>
              <w:left w:w="108" w:type="dxa"/>
              <w:bottom w:w="0" w:type="dxa"/>
              <w:right w:w="108" w:type="dxa"/>
            </w:tcMar>
            <w:hideMark/>
          </w:tcPr>
          <w:p w14:paraId="23FB41E9" w14:textId="77777777" w:rsidR="008C3829" w:rsidRDefault="008C3829" w:rsidP="007D5A76">
            <w:pPr>
              <w:overflowPunct w:val="0"/>
              <w:ind w:firstLine="459"/>
              <w:jc w:val="both"/>
              <w:textAlignment w:val="baseline"/>
              <w:rPr>
                <w:szCs w:val="24"/>
                <w:lang w:eastAsia="lt-LT"/>
              </w:rPr>
            </w:pPr>
            <w:r>
              <w:rPr>
                <w:szCs w:val="24"/>
                <w:lang w:eastAsia="lt-LT"/>
              </w:rPr>
              <w:t>1.3. Remiamos veiklos:</w:t>
            </w:r>
          </w:p>
          <w:p w14:paraId="791C5066" w14:textId="77777777" w:rsidR="008C3829" w:rsidRDefault="008C3829" w:rsidP="007D5A76">
            <w:pPr>
              <w:overflowPunct w:val="0"/>
              <w:ind w:right="140" w:firstLine="459"/>
              <w:jc w:val="both"/>
              <w:textAlignment w:val="baseline"/>
              <w:rPr>
                <w:szCs w:val="24"/>
                <w:lang w:eastAsia="lt-LT"/>
              </w:rPr>
            </w:pPr>
            <w:r>
              <w:rPr>
                <w:szCs w:val="24"/>
                <w:lang w:eastAsia="lt-LT"/>
              </w:rPr>
              <w:t>1.3.1. suaugusiųjų, nebaigusių bendrojo ugdymo programos ir norinčių ją baigti (atskirai arba kartu su profesine kvalifikacija), įtraukimas į mokymo programas;</w:t>
            </w:r>
          </w:p>
          <w:p w14:paraId="4E454134" w14:textId="77777777" w:rsidR="008C3829" w:rsidRDefault="008C3829" w:rsidP="007D5A76">
            <w:pPr>
              <w:overflowPunct w:val="0"/>
              <w:ind w:right="140" w:firstLine="459"/>
              <w:jc w:val="both"/>
              <w:textAlignment w:val="baseline"/>
              <w:rPr>
                <w:szCs w:val="24"/>
                <w:lang w:eastAsia="lt-LT"/>
              </w:rPr>
            </w:pPr>
            <w:r>
              <w:rPr>
                <w:szCs w:val="24"/>
                <w:lang w:eastAsia="lt-LT"/>
              </w:rPr>
              <w:t>1.3.2. profesijos mokytojų technologinių kompetencijų tobulinimas;</w:t>
            </w:r>
          </w:p>
          <w:p w14:paraId="51E35450" w14:textId="77777777" w:rsidR="008C3829" w:rsidRDefault="008C3829" w:rsidP="007D5A76">
            <w:pPr>
              <w:overflowPunct w:val="0"/>
              <w:ind w:firstLine="459"/>
              <w:jc w:val="both"/>
              <w:textAlignment w:val="baseline"/>
              <w:rPr>
                <w:strike/>
                <w:szCs w:val="24"/>
                <w:lang w:eastAsia="lt-LT"/>
              </w:rPr>
            </w:pPr>
            <w:r>
              <w:rPr>
                <w:szCs w:val="24"/>
                <w:lang w:eastAsia="lt-LT"/>
              </w:rPr>
              <w:t>1.3.3. mokytojų, siekiančių įgyti aukštojo mokslo kvalifikaciją arba jos dalį, įtraukimas į mokymo programas.</w:t>
            </w:r>
          </w:p>
        </w:tc>
      </w:tr>
      <w:tr w:rsidR="008C3829" w14:paraId="22FB54AD" w14:textId="77777777" w:rsidTr="007D5A76">
        <w:tc>
          <w:tcPr>
            <w:tcW w:w="9639" w:type="dxa"/>
            <w:tcMar>
              <w:top w:w="0" w:type="dxa"/>
              <w:left w:w="108" w:type="dxa"/>
              <w:bottom w:w="0" w:type="dxa"/>
              <w:right w:w="108" w:type="dxa"/>
            </w:tcMar>
            <w:hideMark/>
          </w:tcPr>
          <w:p w14:paraId="6E85CC94" w14:textId="77777777" w:rsidR="008C3829" w:rsidRDefault="008C3829" w:rsidP="007D5A76">
            <w:pPr>
              <w:overflowPunct w:val="0"/>
              <w:ind w:firstLine="459"/>
              <w:jc w:val="both"/>
              <w:textAlignment w:val="baseline"/>
              <w:rPr>
                <w:szCs w:val="24"/>
                <w:lang w:eastAsia="lt-LT"/>
              </w:rPr>
            </w:pPr>
            <w:r>
              <w:rPr>
                <w:szCs w:val="24"/>
                <w:lang w:eastAsia="lt-LT"/>
              </w:rPr>
              <w:t>1.4. Galimi pareiškėjai:</w:t>
            </w:r>
          </w:p>
          <w:p w14:paraId="1E064E8A" w14:textId="77777777" w:rsidR="008C3829" w:rsidRDefault="008C3829" w:rsidP="007D5A76">
            <w:pPr>
              <w:overflowPunct w:val="0"/>
              <w:ind w:right="140" w:firstLine="459"/>
              <w:jc w:val="both"/>
              <w:textAlignment w:val="baseline"/>
              <w:rPr>
                <w:szCs w:val="24"/>
                <w:lang w:eastAsia="lt-LT"/>
              </w:rPr>
            </w:pPr>
            <w:r>
              <w:rPr>
                <w:szCs w:val="24"/>
                <w:lang w:eastAsia="lt-LT"/>
              </w:rPr>
              <w:t>1.4.1. profesinio mokymo įstaigos;</w:t>
            </w:r>
          </w:p>
          <w:p w14:paraId="72FFD8E0" w14:textId="77777777" w:rsidR="008C3829" w:rsidRDefault="008C3829" w:rsidP="007D5A76">
            <w:pPr>
              <w:overflowPunct w:val="0"/>
              <w:ind w:right="140" w:firstLine="459"/>
              <w:jc w:val="both"/>
              <w:textAlignment w:val="baseline"/>
              <w:rPr>
                <w:szCs w:val="24"/>
                <w:lang w:eastAsia="lt-LT"/>
              </w:rPr>
            </w:pPr>
            <w:r>
              <w:rPr>
                <w:szCs w:val="24"/>
                <w:lang w:eastAsia="lt-LT"/>
              </w:rPr>
              <w:t>1.4.2. suaugusiųjų švietimo centrai;</w:t>
            </w:r>
          </w:p>
          <w:p w14:paraId="5C2FF3EC" w14:textId="77777777" w:rsidR="008C3829" w:rsidRDefault="008C3829" w:rsidP="007D5A76">
            <w:pPr>
              <w:overflowPunct w:val="0"/>
              <w:ind w:right="140" w:firstLine="459"/>
              <w:jc w:val="both"/>
              <w:textAlignment w:val="baseline"/>
              <w:rPr>
                <w:szCs w:val="24"/>
                <w:lang w:eastAsia="lt-LT"/>
              </w:rPr>
            </w:pPr>
            <w:r>
              <w:rPr>
                <w:szCs w:val="24"/>
                <w:lang w:eastAsia="lt-LT"/>
              </w:rPr>
              <w:t>1.4.3. darbdavių asociacijos;</w:t>
            </w:r>
          </w:p>
          <w:p w14:paraId="36AD89F7" w14:textId="77777777" w:rsidR="008C3829" w:rsidRDefault="008C3829" w:rsidP="007D5A76">
            <w:pPr>
              <w:overflowPunct w:val="0"/>
              <w:ind w:right="140" w:firstLine="459"/>
              <w:jc w:val="both"/>
              <w:textAlignment w:val="baseline"/>
              <w:rPr>
                <w:szCs w:val="24"/>
                <w:lang w:eastAsia="lt-LT"/>
              </w:rPr>
            </w:pPr>
            <w:r>
              <w:rPr>
                <w:szCs w:val="24"/>
                <w:lang w:eastAsia="lt-LT"/>
              </w:rPr>
              <w:t>1.4.4. profesinio mokymo įstaigų asociacijos;</w:t>
            </w:r>
          </w:p>
          <w:p w14:paraId="3A928B6B" w14:textId="77777777" w:rsidR="008C3829" w:rsidRDefault="008C3829" w:rsidP="007D5A76">
            <w:pPr>
              <w:overflowPunct w:val="0"/>
              <w:ind w:firstLine="459"/>
              <w:jc w:val="both"/>
              <w:textAlignment w:val="baseline"/>
              <w:rPr>
                <w:strike/>
                <w:szCs w:val="24"/>
                <w:lang w:eastAsia="lt-LT"/>
              </w:rPr>
            </w:pPr>
            <w:r>
              <w:rPr>
                <w:szCs w:val="24"/>
                <w:lang w:eastAsia="lt-LT"/>
              </w:rPr>
              <w:t>1.4.5. Lietuvos aukštosios mokyklos.</w:t>
            </w:r>
          </w:p>
        </w:tc>
      </w:tr>
      <w:tr w:rsidR="008C3829" w14:paraId="6545A9CC" w14:textId="77777777" w:rsidTr="007D5A76">
        <w:tc>
          <w:tcPr>
            <w:tcW w:w="9639" w:type="dxa"/>
            <w:tcMar>
              <w:top w:w="0" w:type="dxa"/>
              <w:left w:w="108" w:type="dxa"/>
              <w:bottom w:w="0" w:type="dxa"/>
              <w:right w:w="108" w:type="dxa"/>
            </w:tcMar>
            <w:hideMark/>
          </w:tcPr>
          <w:p w14:paraId="1EEC2B4B" w14:textId="77777777" w:rsidR="008C3829" w:rsidRDefault="008C3829" w:rsidP="007D5A76">
            <w:pPr>
              <w:overflowPunct w:val="0"/>
              <w:ind w:firstLine="459"/>
              <w:jc w:val="both"/>
              <w:textAlignment w:val="baseline"/>
              <w:rPr>
                <w:szCs w:val="24"/>
                <w:lang w:eastAsia="lt-LT"/>
              </w:rPr>
            </w:pPr>
            <w:r>
              <w:rPr>
                <w:szCs w:val="24"/>
                <w:lang w:eastAsia="lt-LT"/>
              </w:rPr>
              <w:t>1.5. Galimi partneriai: viešieji juridiniai asmenys, veikiantys švietimo srityje ir (arba) atstovaujantys darbdavius.</w:t>
            </w:r>
          </w:p>
        </w:tc>
      </w:tr>
    </w:tbl>
    <w:p w14:paraId="3C8FD0E0" w14:textId="77777777" w:rsidR="008C3829" w:rsidRDefault="008C3829" w:rsidP="008C3829">
      <w:pPr>
        <w:tabs>
          <w:tab w:val="left" w:pos="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pPr>
    </w:p>
    <w:p w14:paraId="480ED2B7" w14:textId="77777777" w:rsidR="008C3829" w:rsidRDefault="008C3829" w:rsidP="008C3829">
      <w:pPr>
        <w:tabs>
          <w:tab w:val="left" w:pos="0"/>
          <w:tab w:val="left" w:pos="567"/>
          <w:tab w:val="left" w:pos="851"/>
        </w:tabs>
        <w:ind w:left="709" w:hanging="142"/>
        <w:jc w:val="both"/>
        <w:rPr>
          <w:szCs w:val="24"/>
        </w:rPr>
      </w:pPr>
      <w:r>
        <w:rPr>
          <w:szCs w:val="24"/>
        </w:rPr>
        <w:t>2.</w:t>
      </w:r>
      <w:r>
        <w:rPr>
          <w:szCs w:val="24"/>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C3829" w14:paraId="26D3DF91" w14:textId="77777777" w:rsidTr="007D5A76">
        <w:trPr>
          <w:trHeight w:val="291"/>
        </w:trPr>
        <w:tc>
          <w:tcPr>
            <w:tcW w:w="9639" w:type="dxa"/>
            <w:tcBorders>
              <w:top w:val="single" w:sz="4" w:space="0" w:color="auto"/>
              <w:left w:val="single" w:sz="4" w:space="0" w:color="auto"/>
              <w:bottom w:val="single" w:sz="4" w:space="0" w:color="auto"/>
              <w:right w:val="single" w:sz="4" w:space="0" w:color="auto"/>
            </w:tcBorders>
            <w:hideMark/>
          </w:tcPr>
          <w:p w14:paraId="7BB69736" w14:textId="77777777" w:rsidR="008C3829" w:rsidRDefault="008C3829" w:rsidP="007D5A76">
            <w:pPr>
              <w:tabs>
                <w:tab w:val="left" w:pos="0"/>
                <w:tab w:val="left" w:pos="567"/>
              </w:tabs>
              <w:overflowPunct w:val="0"/>
              <w:ind w:firstLine="488"/>
              <w:jc w:val="both"/>
              <w:textAlignment w:val="baseline"/>
              <w:rPr>
                <w:szCs w:val="24"/>
              </w:rPr>
            </w:pPr>
            <w:r>
              <w:rPr>
                <w:szCs w:val="24"/>
              </w:rPr>
              <w:t>Negrąžinamoji subsidija.</w:t>
            </w:r>
          </w:p>
        </w:tc>
      </w:tr>
    </w:tbl>
    <w:p w14:paraId="29347559" w14:textId="77777777" w:rsidR="008C3829" w:rsidRDefault="008C3829" w:rsidP="008C3829">
      <w:pPr>
        <w:tabs>
          <w:tab w:val="left" w:pos="0"/>
          <w:tab w:val="left" w:pos="567"/>
        </w:tabs>
        <w:overflowPunct w:val="0"/>
        <w:jc w:val="both"/>
        <w:textAlignment w:val="baseline"/>
        <w:rPr>
          <w:szCs w:val="24"/>
        </w:rPr>
      </w:pPr>
    </w:p>
    <w:p w14:paraId="5C86AF99" w14:textId="77777777" w:rsidR="008C3829" w:rsidRDefault="008C3829" w:rsidP="008C3829">
      <w:pPr>
        <w:tabs>
          <w:tab w:val="left" w:pos="0"/>
          <w:tab w:val="left" w:pos="567"/>
        </w:tabs>
        <w:ind w:left="851" w:hanging="284"/>
        <w:jc w:val="both"/>
        <w:rPr>
          <w:szCs w:val="24"/>
        </w:rPr>
      </w:pPr>
      <w:r>
        <w:rPr>
          <w:szCs w:val="24"/>
        </w:rPr>
        <w:t>3.</w:t>
      </w:r>
      <w:r>
        <w:rPr>
          <w:szCs w:val="24"/>
        </w:rPr>
        <w:tab/>
        <w:t xml:space="preserve">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C3829" w14:paraId="6C7074B7" w14:textId="77777777" w:rsidTr="007D5A76">
        <w:tc>
          <w:tcPr>
            <w:tcW w:w="9639" w:type="dxa"/>
            <w:tcBorders>
              <w:top w:val="single" w:sz="4" w:space="0" w:color="auto"/>
              <w:left w:val="single" w:sz="4" w:space="0" w:color="auto"/>
              <w:bottom w:val="single" w:sz="4" w:space="0" w:color="auto"/>
              <w:right w:val="single" w:sz="4" w:space="0" w:color="auto"/>
            </w:tcBorders>
            <w:hideMark/>
          </w:tcPr>
          <w:p w14:paraId="360B595F" w14:textId="77777777" w:rsidR="008C3829" w:rsidRDefault="008C3829" w:rsidP="007D5A76">
            <w:pPr>
              <w:tabs>
                <w:tab w:val="left" w:pos="567"/>
              </w:tabs>
              <w:overflowPunct w:val="0"/>
              <w:ind w:firstLine="488"/>
              <w:jc w:val="both"/>
              <w:textAlignment w:val="baseline"/>
              <w:rPr>
                <w:szCs w:val="24"/>
              </w:rPr>
            </w:pPr>
            <w:r>
              <w:rPr>
                <w:szCs w:val="24"/>
              </w:rPr>
              <w:t>Projektų konkursas.</w:t>
            </w:r>
          </w:p>
        </w:tc>
      </w:tr>
    </w:tbl>
    <w:p w14:paraId="313A7D34" w14:textId="77777777" w:rsidR="008C3829" w:rsidRDefault="008C3829" w:rsidP="008C3829">
      <w:pPr>
        <w:tabs>
          <w:tab w:val="left" w:pos="0"/>
          <w:tab w:val="left" w:pos="567"/>
        </w:tabs>
        <w:overflowPunct w:val="0"/>
        <w:jc w:val="both"/>
        <w:textAlignment w:val="baseline"/>
        <w:rPr>
          <w:szCs w:val="24"/>
        </w:rPr>
      </w:pPr>
    </w:p>
    <w:p w14:paraId="2BE1FCF2" w14:textId="77777777" w:rsidR="008C3829" w:rsidRDefault="008C3829" w:rsidP="008C3829">
      <w:pPr>
        <w:tabs>
          <w:tab w:val="left" w:pos="0"/>
          <w:tab w:val="left" w:pos="709"/>
        </w:tabs>
        <w:ind w:firstLine="567"/>
        <w:jc w:val="both"/>
        <w:rPr>
          <w:szCs w:val="24"/>
          <w:lang w:eastAsia="lt-LT"/>
        </w:rPr>
      </w:pPr>
      <w:r>
        <w:rPr>
          <w:szCs w:val="24"/>
          <w:lang w:eastAsia="lt-LT"/>
        </w:rPr>
        <w:t>4. Atsakinga įgyvendinančioji institucija</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8C3829" w14:paraId="165CBC31" w14:textId="77777777" w:rsidTr="007D5A76">
        <w:tc>
          <w:tcPr>
            <w:tcW w:w="9185" w:type="dxa"/>
            <w:shd w:val="clear" w:color="auto" w:fill="auto"/>
          </w:tcPr>
          <w:p w14:paraId="17B1AD94" w14:textId="77777777" w:rsidR="008C3829" w:rsidRDefault="008C3829" w:rsidP="007D5A76">
            <w:pPr>
              <w:tabs>
                <w:tab w:val="left" w:pos="0"/>
                <w:tab w:val="left" w:pos="567"/>
              </w:tabs>
              <w:overflowPunct w:val="0"/>
              <w:ind w:firstLine="459"/>
              <w:jc w:val="both"/>
              <w:textAlignment w:val="baseline"/>
              <w:rPr>
                <w:szCs w:val="24"/>
              </w:rPr>
            </w:pPr>
            <w:r>
              <w:rPr>
                <w:szCs w:val="24"/>
              </w:rPr>
              <w:t>Europos socialinio fondo agentūra.</w:t>
            </w:r>
          </w:p>
        </w:tc>
      </w:tr>
    </w:tbl>
    <w:p w14:paraId="645BD0AE" w14:textId="77777777" w:rsidR="00655FBC" w:rsidRDefault="00655FBC" w:rsidP="00655FBC">
      <w:pPr>
        <w:rPr>
          <w:szCs w:val="24"/>
          <w:lang w:eastAsia="lt-LT"/>
        </w:rPr>
      </w:pPr>
    </w:p>
    <w:p w14:paraId="7EAC6AD4" w14:textId="6081886E" w:rsidR="008C3829" w:rsidRDefault="00655FBC" w:rsidP="00655FBC">
      <w:pPr>
        <w:ind w:firstLine="567"/>
        <w:rPr>
          <w:szCs w:val="24"/>
        </w:rPr>
      </w:pPr>
      <w:r>
        <w:rPr>
          <w:szCs w:val="24"/>
          <w:lang w:eastAsia="lt-LT"/>
        </w:rPr>
        <w:t>5.  Reikalavimai, taikomi priemonei atskirti nuo kitų iš ES bei kitos tarptautinės finansinės paramos finansuojamų programų priemonių</w:t>
      </w:r>
    </w:p>
    <w:tbl>
      <w:tblPr>
        <w:tblW w:w="9673" w:type="dxa"/>
        <w:tblInd w:w="-4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73"/>
      </w:tblGrid>
      <w:tr w:rsidR="008C3829" w14:paraId="4B57C529" w14:textId="77777777" w:rsidTr="00AA28EC">
        <w:trPr>
          <w:trHeight w:val="3099"/>
        </w:trPr>
        <w:tc>
          <w:tcPr>
            <w:tcW w:w="96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D72C42" w14:textId="1F25D451" w:rsidR="008C3829" w:rsidRDefault="00655FBC" w:rsidP="007D5A76">
            <w:pPr>
              <w:overflowPunct w:val="0"/>
              <w:ind w:firstLine="488"/>
              <w:jc w:val="both"/>
              <w:textAlignment w:val="baseline"/>
              <w:rPr>
                <w:szCs w:val="24"/>
                <w:lang w:eastAsia="lt-LT"/>
              </w:rPr>
            </w:pPr>
            <w:r>
              <w:rPr>
                <w:szCs w:val="24"/>
                <w:lang w:eastAsia="lt-LT"/>
              </w:rPr>
              <w:t xml:space="preserve">Pagal </w:t>
            </w:r>
            <w:r w:rsidR="008C3829">
              <w:rPr>
                <w:szCs w:val="24"/>
                <w:lang w:eastAsia="lt-LT"/>
              </w:rPr>
              <w:t>1.3.1 papunktyje nurodytą veiklą finansuojami mokymai, susiję su bendruoju ugdymu ir formaliu profesiniu mokymu.</w:t>
            </w:r>
          </w:p>
          <w:p w14:paraId="5CC9D1A4" w14:textId="77777777" w:rsidR="008C3829" w:rsidRDefault="008C3829" w:rsidP="007D5A76">
            <w:pPr>
              <w:ind w:firstLine="454"/>
              <w:jc w:val="both"/>
              <w:rPr>
                <w:szCs w:val="24"/>
                <w:lang w:eastAsia="lt-LT"/>
              </w:rPr>
            </w:pPr>
            <w:r>
              <w:rPr>
                <w:szCs w:val="24"/>
                <w:lang w:eastAsia="lt-LT"/>
              </w:rPr>
              <w:t>Pagal 1.3.2 papunktyje nurodytą veiklą nefinansuojamas įmonių darbuotojų technologinių kompetencijų tobulinimas. Taip pat nefinansuojamas technologinių kompetencijų tobulinimo programų ir mokymo medžiagos parengimas, kuris buvo finansuotas 2007–2013 m. Žmogiškųjų išteklių plėtros veiksmų programos 2 prioriteto „Mokymasis visą gyvenimą“ VP1-2.2-ŠMM-02-V priemonės „Bendrojo lavinimo, profesinio mokymo institucijų ir aukštųjų mokyklų pedagoginio personalo kvalifikacijos tobulinimas“ lėšomis. Nefinansuojamų technologijų kompetencijų tobulinimo programų ir mokymo medžiagos sąrašas skelbiamas interneto svetainėje adresu http://www.pmdtkt.upc.smm.lt/.</w:t>
            </w:r>
          </w:p>
          <w:p w14:paraId="457C6F79" w14:textId="77777777" w:rsidR="008C3829" w:rsidRPr="00AA28EC" w:rsidRDefault="008C3829" w:rsidP="007D5A76">
            <w:pPr>
              <w:ind w:firstLine="454"/>
              <w:jc w:val="both"/>
              <w:rPr>
                <w:strike/>
                <w:szCs w:val="24"/>
                <w:lang w:eastAsia="lt-LT"/>
              </w:rPr>
            </w:pPr>
            <w:r w:rsidRPr="00AA28EC">
              <w:rPr>
                <w:strike/>
                <w:szCs w:val="24"/>
                <w:lang w:eastAsia="lt-LT"/>
              </w:rPr>
              <w:lastRenderedPageBreak/>
              <w:t>Pagal 1.3.3 papunktyje nurodytą veiklą finansuojamas formalusis mokymas 30-54 m. amžiaus asmenims, siekiantiems įgyti aukštąjį išsilavinimą, kurį asmuo pradeda projekto įgyvendinimo metu.</w:t>
            </w:r>
          </w:p>
          <w:p w14:paraId="51CD4834" w14:textId="722B85AB" w:rsidR="005710E4" w:rsidRPr="00AA28EC" w:rsidRDefault="00443786" w:rsidP="00FD6CBE">
            <w:pPr>
              <w:ind w:firstLine="454"/>
              <w:jc w:val="both"/>
              <w:rPr>
                <w:b/>
                <w:szCs w:val="24"/>
                <w:lang w:eastAsia="lt-LT"/>
              </w:rPr>
            </w:pPr>
            <w:r w:rsidRPr="00AA28EC">
              <w:rPr>
                <w:b/>
                <w:szCs w:val="24"/>
                <w:lang w:eastAsia="lt-LT"/>
              </w:rPr>
              <w:t xml:space="preserve">Pagal 1.3.3 papunktyje nurodytą veiklą finansuojamas formalusis ir neformalusis mokymas Lietuvos aukštosiose mokyklose, kurį asmuo pradeda projekto įgyvendinimo metu. </w:t>
            </w:r>
            <w:r w:rsidR="005710E4" w:rsidRPr="00AA28EC">
              <w:rPr>
                <w:b/>
                <w:szCs w:val="24"/>
                <w:lang w:eastAsia="lt-LT"/>
              </w:rPr>
              <w:t xml:space="preserve">Nefinansuojamas mokymas tiems asmenims, kurių mokymas finansuojamas pagal </w:t>
            </w:r>
            <w:r w:rsidR="005710E4" w:rsidRPr="00AA28EC">
              <w:rPr>
                <w:b/>
              </w:rPr>
              <w:t>2014–2020 metų Europos Sąjungos fondų investicijų veiksmų programos 9 prioriteto „Visuomenės švietimas ir žmogiškųjų išteklių pot</w:t>
            </w:r>
            <w:bookmarkStart w:id="0" w:name="_GoBack"/>
            <w:bookmarkEnd w:id="0"/>
            <w:r w:rsidR="005710E4" w:rsidRPr="00AA28EC">
              <w:rPr>
                <w:b/>
              </w:rPr>
              <w:t xml:space="preserve">encialo didinimas“ </w:t>
            </w:r>
            <w:r w:rsidR="0077252A">
              <w:rPr>
                <w:b/>
              </w:rPr>
              <w:t xml:space="preserve">Nr. </w:t>
            </w:r>
            <w:r w:rsidR="00FD6CBE" w:rsidRPr="00AA28EC">
              <w:rPr>
                <w:b/>
              </w:rPr>
              <w:t>priemonę</w:t>
            </w:r>
            <w:r w:rsidR="00FD6CBE" w:rsidRPr="00AA28EC">
              <w:rPr>
                <w:b/>
              </w:rPr>
              <w:t xml:space="preserve"> </w:t>
            </w:r>
            <w:r w:rsidR="005710E4" w:rsidRPr="00AA28EC">
              <w:rPr>
                <w:b/>
              </w:rPr>
              <w:t>09.2.1-ESFA-V-727 „Mokytojų ir kitų švietimo sistemos darbuotojų kvalifikacijos tobulinimas“</w:t>
            </w:r>
            <w:r w:rsidR="00DA01CD" w:rsidRPr="00AA28EC">
              <w:rPr>
                <w:b/>
              </w:rPr>
              <w:t xml:space="preserve"> ir 7 prioriteto „Kokybiško užimtumo ir dalyvavimo darbo rinkoje skatinimas“ įgyvendinimo priemonę Nr. 07.4.1-ESFA-V-404 „Jaunimo užimtumo didinimas“</w:t>
            </w:r>
            <w:r w:rsidR="00CA597A" w:rsidRPr="00AA28EC">
              <w:rPr>
                <w:b/>
              </w:rPr>
              <w:t>.</w:t>
            </w:r>
          </w:p>
        </w:tc>
      </w:tr>
    </w:tbl>
    <w:p w14:paraId="55CCC399" w14:textId="77777777" w:rsidR="008C3829" w:rsidRDefault="008C3829" w:rsidP="008C3829"/>
    <w:p w14:paraId="2B78A8BA" w14:textId="77777777" w:rsidR="008C3829" w:rsidRDefault="008C3829" w:rsidP="008C3829">
      <w:pPr>
        <w:ind w:left="851"/>
        <w:jc w:val="both"/>
        <w:rPr>
          <w:szCs w:val="24"/>
          <w:lang w:eastAsia="lt-LT"/>
        </w:rPr>
      </w:pPr>
      <w:r>
        <w:rPr>
          <w:szCs w:val="24"/>
          <w:lang w:eastAsia="lt-LT"/>
        </w:rPr>
        <w:t>6. Priemonės įgyvendinimo stebėsenos rodikliai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3"/>
        <w:gridCol w:w="3105"/>
        <w:gridCol w:w="1275"/>
        <w:gridCol w:w="1984"/>
        <w:gridCol w:w="1983"/>
      </w:tblGrid>
      <w:tr w:rsidR="008C3829" w14:paraId="0946977D" w14:textId="77777777" w:rsidTr="007D5A76">
        <w:tc>
          <w:tcPr>
            <w:tcW w:w="1283" w:type="dxa"/>
            <w:tcMar>
              <w:top w:w="0" w:type="dxa"/>
              <w:left w:w="108" w:type="dxa"/>
              <w:bottom w:w="0" w:type="dxa"/>
              <w:right w:w="108" w:type="dxa"/>
            </w:tcMar>
            <w:hideMark/>
          </w:tcPr>
          <w:p w14:paraId="4EEDA529" w14:textId="77777777" w:rsidR="008C3829" w:rsidRDefault="008C3829" w:rsidP="007D5A76">
            <w:pPr>
              <w:overflowPunct w:val="0"/>
              <w:jc w:val="center"/>
              <w:textAlignment w:val="baseline"/>
              <w:rPr>
                <w:szCs w:val="24"/>
                <w:lang w:eastAsia="lt-LT"/>
              </w:rPr>
            </w:pPr>
            <w:r>
              <w:rPr>
                <w:szCs w:val="24"/>
                <w:lang w:eastAsia="lt-LT"/>
              </w:rPr>
              <w:t>Stebėsenos rodiklio kodas</w:t>
            </w:r>
          </w:p>
        </w:tc>
        <w:tc>
          <w:tcPr>
            <w:tcW w:w="3105" w:type="dxa"/>
            <w:tcMar>
              <w:top w:w="0" w:type="dxa"/>
              <w:left w:w="108" w:type="dxa"/>
              <w:bottom w:w="0" w:type="dxa"/>
              <w:right w:w="108" w:type="dxa"/>
            </w:tcMar>
            <w:hideMark/>
          </w:tcPr>
          <w:p w14:paraId="0DE5FB93" w14:textId="77777777" w:rsidR="008C3829" w:rsidRDefault="008C3829" w:rsidP="007D5A76">
            <w:pPr>
              <w:overflowPunct w:val="0"/>
              <w:jc w:val="center"/>
              <w:textAlignment w:val="baseline"/>
              <w:rPr>
                <w:szCs w:val="24"/>
                <w:lang w:eastAsia="lt-LT"/>
              </w:rPr>
            </w:pPr>
            <w:r>
              <w:rPr>
                <w:szCs w:val="24"/>
                <w:lang w:eastAsia="lt-LT"/>
              </w:rPr>
              <w:t>Stebėsenos rodiklio pavadinimas</w:t>
            </w:r>
          </w:p>
        </w:tc>
        <w:tc>
          <w:tcPr>
            <w:tcW w:w="1275" w:type="dxa"/>
            <w:tcMar>
              <w:top w:w="0" w:type="dxa"/>
              <w:left w:w="108" w:type="dxa"/>
              <w:bottom w:w="0" w:type="dxa"/>
              <w:right w:w="108" w:type="dxa"/>
            </w:tcMar>
            <w:hideMark/>
          </w:tcPr>
          <w:p w14:paraId="4AF0FC89" w14:textId="77777777" w:rsidR="008C3829" w:rsidRDefault="008C3829" w:rsidP="007D5A76">
            <w:pPr>
              <w:overflowPunct w:val="0"/>
              <w:jc w:val="center"/>
              <w:textAlignment w:val="baseline"/>
              <w:rPr>
                <w:szCs w:val="24"/>
                <w:lang w:eastAsia="lt-LT"/>
              </w:rPr>
            </w:pPr>
            <w:r>
              <w:rPr>
                <w:szCs w:val="24"/>
                <w:lang w:eastAsia="lt-LT"/>
              </w:rPr>
              <w:t>Matavimo vienetas</w:t>
            </w:r>
          </w:p>
        </w:tc>
        <w:tc>
          <w:tcPr>
            <w:tcW w:w="1984" w:type="dxa"/>
            <w:tcMar>
              <w:top w:w="0" w:type="dxa"/>
              <w:left w:w="108" w:type="dxa"/>
              <w:bottom w:w="0" w:type="dxa"/>
              <w:right w:w="108" w:type="dxa"/>
            </w:tcMar>
            <w:hideMark/>
          </w:tcPr>
          <w:p w14:paraId="1A14EE36" w14:textId="77777777" w:rsidR="008C3829" w:rsidRDefault="008C3829" w:rsidP="007D5A76">
            <w:pPr>
              <w:overflowPunct w:val="0"/>
              <w:jc w:val="center"/>
              <w:textAlignment w:val="baseline"/>
              <w:rPr>
                <w:szCs w:val="24"/>
                <w:lang w:eastAsia="lt-LT"/>
              </w:rPr>
            </w:pPr>
            <w:r>
              <w:rPr>
                <w:szCs w:val="24"/>
                <w:lang w:eastAsia="lt-LT"/>
              </w:rPr>
              <w:t>Tarpinė reikšmė 2018 m. gruodžio 31 d.</w:t>
            </w:r>
          </w:p>
        </w:tc>
        <w:tc>
          <w:tcPr>
            <w:tcW w:w="1983" w:type="dxa"/>
            <w:tcMar>
              <w:top w:w="0" w:type="dxa"/>
              <w:left w:w="108" w:type="dxa"/>
              <w:bottom w:w="0" w:type="dxa"/>
              <w:right w:w="108" w:type="dxa"/>
            </w:tcMar>
            <w:hideMark/>
          </w:tcPr>
          <w:p w14:paraId="30034A4F" w14:textId="77777777" w:rsidR="008C3829" w:rsidRDefault="008C3829" w:rsidP="007D5A76">
            <w:pPr>
              <w:overflowPunct w:val="0"/>
              <w:jc w:val="center"/>
              <w:textAlignment w:val="baseline"/>
              <w:rPr>
                <w:szCs w:val="24"/>
                <w:lang w:eastAsia="lt-LT"/>
              </w:rPr>
            </w:pPr>
            <w:r>
              <w:rPr>
                <w:szCs w:val="24"/>
                <w:lang w:eastAsia="lt-LT"/>
              </w:rPr>
              <w:t>Galutinė reikšmė 2023 m. gruodžio 31 d.</w:t>
            </w:r>
          </w:p>
        </w:tc>
      </w:tr>
      <w:tr w:rsidR="008C3829" w14:paraId="431F521F" w14:textId="77777777" w:rsidTr="007D5A76">
        <w:tc>
          <w:tcPr>
            <w:tcW w:w="1283" w:type="dxa"/>
            <w:tcMar>
              <w:top w:w="0" w:type="dxa"/>
              <w:left w:w="108" w:type="dxa"/>
              <w:bottom w:w="0" w:type="dxa"/>
              <w:right w:w="108" w:type="dxa"/>
            </w:tcMar>
            <w:hideMark/>
          </w:tcPr>
          <w:p w14:paraId="742E4144" w14:textId="77777777" w:rsidR="008C3829" w:rsidRDefault="008C3829" w:rsidP="007D5A76">
            <w:pPr>
              <w:overflowPunct w:val="0"/>
              <w:textAlignment w:val="baseline"/>
              <w:rPr>
                <w:szCs w:val="24"/>
                <w:lang w:eastAsia="lt-LT"/>
              </w:rPr>
            </w:pPr>
            <w:r>
              <w:rPr>
                <w:szCs w:val="24"/>
                <w:lang w:eastAsia="lt-LT"/>
              </w:rPr>
              <w:t>R.S.392</w:t>
            </w:r>
          </w:p>
        </w:tc>
        <w:tc>
          <w:tcPr>
            <w:tcW w:w="3105" w:type="dxa"/>
            <w:tcMar>
              <w:top w:w="0" w:type="dxa"/>
              <w:left w:w="108" w:type="dxa"/>
              <w:bottom w:w="0" w:type="dxa"/>
              <w:right w:w="108" w:type="dxa"/>
            </w:tcMar>
            <w:hideMark/>
          </w:tcPr>
          <w:p w14:paraId="2D8ACA03" w14:textId="77777777" w:rsidR="008C3829" w:rsidRDefault="008C3829" w:rsidP="007D5A76">
            <w:pPr>
              <w:overflowPunct w:val="0"/>
              <w:textAlignment w:val="baseline"/>
              <w:rPr>
                <w:szCs w:val="24"/>
                <w:lang w:eastAsia="lt-LT"/>
              </w:rPr>
            </w:pPr>
            <w:r>
              <w:rPr>
                <w:szCs w:val="24"/>
                <w:lang w:eastAsia="lt-LT"/>
              </w:rPr>
              <w:t>„Asmenų, kurie įgijo valstybės pripažįstamą kvalifikaciją po dalyvavimo ESF veiklose, dalis“</w:t>
            </w:r>
          </w:p>
        </w:tc>
        <w:tc>
          <w:tcPr>
            <w:tcW w:w="1275" w:type="dxa"/>
            <w:tcMar>
              <w:top w:w="0" w:type="dxa"/>
              <w:left w:w="108" w:type="dxa"/>
              <w:bottom w:w="0" w:type="dxa"/>
              <w:right w:w="108" w:type="dxa"/>
            </w:tcMar>
            <w:hideMark/>
          </w:tcPr>
          <w:p w14:paraId="407495C1" w14:textId="77777777" w:rsidR="008C3829" w:rsidRDefault="008C3829" w:rsidP="007D5A76">
            <w:pPr>
              <w:overflowPunct w:val="0"/>
              <w:ind w:firstLine="24"/>
              <w:textAlignment w:val="baseline"/>
              <w:rPr>
                <w:szCs w:val="24"/>
                <w:lang w:eastAsia="lt-LT"/>
              </w:rPr>
            </w:pPr>
            <w:r>
              <w:rPr>
                <w:szCs w:val="24"/>
                <w:lang w:eastAsia="lt-LT"/>
              </w:rPr>
              <w:t>Procentai</w:t>
            </w:r>
          </w:p>
        </w:tc>
        <w:tc>
          <w:tcPr>
            <w:tcW w:w="1984" w:type="dxa"/>
            <w:tcMar>
              <w:top w:w="0" w:type="dxa"/>
              <w:left w:w="108" w:type="dxa"/>
              <w:bottom w:w="0" w:type="dxa"/>
              <w:right w:w="108" w:type="dxa"/>
            </w:tcMar>
            <w:hideMark/>
          </w:tcPr>
          <w:p w14:paraId="53A1DD96" w14:textId="77777777" w:rsidR="008C3829" w:rsidRDefault="008C3829" w:rsidP="007D5A76">
            <w:pPr>
              <w:overflowPunct w:val="0"/>
              <w:textAlignment w:val="baseline"/>
              <w:rPr>
                <w:szCs w:val="24"/>
                <w:lang w:eastAsia="lt-LT"/>
              </w:rPr>
            </w:pPr>
            <w:r>
              <w:rPr>
                <w:szCs w:val="24"/>
                <w:lang w:eastAsia="lt-LT"/>
              </w:rPr>
              <w:t>0</w:t>
            </w:r>
          </w:p>
        </w:tc>
        <w:tc>
          <w:tcPr>
            <w:tcW w:w="1983" w:type="dxa"/>
            <w:tcMar>
              <w:top w:w="0" w:type="dxa"/>
              <w:left w:w="108" w:type="dxa"/>
              <w:bottom w:w="0" w:type="dxa"/>
              <w:right w:w="108" w:type="dxa"/>
            </w:tcMar>
            <w:hideMark/>
          </w:tcPr>
          <w:p w14:paraId="03BEA07B" w14:textId="77777777" w:rsidR="008C3829" w:rsidRDefault="008C3829" w:rsidP="007D5A76">
            <w:pPr>
              <w:overflowPunct w:val="0"/>
              <w:textAlignment w:val="baseline"/>
              <w:rPr>
                <w:szCs w:val="24"/>
                <w:lang w:eastAsia="lt-LT"/>
              </w:rPr>
            </w:pPr>
            <w:r>
              <w:rPr>
                <w:szCs w:val="24"/>
                <w:lang w:eastAsia="lt-LT"/>
              </w:rPr>
              <w:t>80</w:t>
            </w:r>
          </w:p>
        </w:tc>
      </w:tr>
      <w:tr w:rsidR="008C3829" w14:paraId="1332AF27" w14:textId="77777777" w:rsidTr="007D5A76">
        <w:trPr>
          <w:trHeight w:val="1018"/>
        </w:trPr>
        <w:tc>
          <w:tcPr>
            <w:tcW w:w="1283" w:type="dxa"/>
            <w:tcMar>
              <w:top w:w="0" w:type="dxa"/>
              <w:left w:w="108" w:type="dxa"/>
              <w:bottom w:w="0" w:type="dxa"/>
              <w:right w:w="108" w:type="dxa"/>
            </w:tcMar>
            <w:hideMark/>
          </w:tcPr>
          <w:p w14:paraId="239E3506" w14:textId="77777777" w:rsidR="008C3829" w:rsidRDefault="008C3829" w:rsidP="007D5A76">
            <w:pPr>
              <w:overflowPunct w:val="0"/>
              <w:textAlignment w:val="baseline"/>
              <w:rPr>
                <w:szCs w:val="24"/>
                <w:lang w:eastAsia="lt-LT"/>
              </w:rPr>
            </w:pPr>
            <w:r>
              <w:rPr>
                <w:szCs w:val="24"/>
                <w:lang w:eastAsia="lt-LT"/>
              </w:rPr>
              <w:t>P.S.382</w:t>
            </w:r>
          </w:p>
        </w:tc>
        <w:tc>
          <w:tcPr>
            <w:tcW w:w="3105" w:type="dxa"/>
            <w:tcMar>
              <w:top w:w="0" w:type="dxa"/>
              <w:left w:w="108" w:type="dxa"/>
              <w:bottom w:w="0" w:type="dxa"/>
              <w:right w:w="108" w:type="dxa"/>
            </w:tcMar>
            <w:hideMark/>
          </w:tcPr>
          <w:p w14:paraId="0764DEC8" w14:textId="77777777" w:rsidR="008C3829" w:rsidRDefault="008C3829" w:rsidP="007D5A76">
            <w:pPr>
              <w:overflowPunct w:val="0"/>
              <w:textAlignment w:val="baseline"/>
              <w:rPr>
                <w:szCs w:val="24"/>
                <w:lang w:eastAsia="lt-LT"/>
              </w:rPr>
            </w:pPr>
            <w:r>
              <w:rPr>
                <w:szCs w:val="24"/>
                <w:lang w:eastAsia="lt-LT"/>
              </w:rPr>
              <w:t>„Švietimo įstaigų darbuotojai, kurie dalyvavo ESF veiklose, skirtose mokytis pagal neformaliojo švietimo programas“</w:t>
            </w:r>
          </w:p>
        </w:tc>
        <w:tc>
          <w:tcPr>
            <w:tcW w:w="1275" w:type="dxa"/>
            <w:tcMar>
              <w:top w:w="0" w:type="dxa"/>
              <w:left w:w="108" w:type="dxa"/>
              <w:bottom w:w="0" w:type="dxa"/>
              <w:right w:w="108" w:type="dxa"/>
            </w:tcMar>
            <w:hideMark/>
          </w:tcPr>
          <w:p w14:paraId="43C34997" w14:textId="77777777" w:rsidR="008C3829" w:rsidRDefault="008C3829" w:rsidP="007D5A76">
            <w:pPr>
              <w:overflowPunct w:val="0"/>
              <w:ind w:firstLine="24"/>
              <w:textAlignment w:val="baseline"/>
              <w:rPr>
                <w:szCs w:val="24"/>
                <w:lang w:eastAsia="lt-LT"/>
              </w:rPr>
            </w:pPr>
            <w:r>
              <w:rPr>
                <w:szCs w:val="24"/>
                <w:lang w:eastAsia="lt-LT"/>
              </w:rPr>
              <w:t>Skaičius</w:t>
            </w:r>
          </w:p>
        </w:tc>
        <w:tc>
          <w:tcPr>
            <w:tcW w:w="1984" w:type="dxa"/>
            <w:tcMar>
              <w:top w:w="0" w:type="dxa"/>
              <w:left w:w="108" w:type="dxa"/>
              <w:bottom w:w="0" w:type="dxa"/>
              <w:right w:w="108" w:type="dxa"/>
            </w:tcMar>
            <w:hideMark/>
          </w:tcPr>
          <w:p w14:paraId="35EB02C4" w14:textId="77777777" w:rsidR="008C3829" w:rsidRDefault="008C3829" w:rsidP="007D5A76">
            <w:pPr>
              <w:overflowPunct w:val="0"/>
              <w:textAlignment w:val="baseline"/>
              <w:rPr>
                <w:szCs w:val="24"/>
                <w:lang w:eastAsia="lt-LT"/>
              </w:rPr>
            </w:pPr>
            <w:r>
              <w:rPr>
                <w:szCs w:val="24"/>
                <w:lang w:eastAsia="lt-LT"/>
              </w:rPr>
              <w:t>160</w:t>
            </w:r>
          </w:p>
        </w:tc>
        <w:tc>
          <w:tcPr>
            <w:tcW w:w="1983" w:type="dxa"/>
            <w:tcMar>
              <w:top w:w="0" w:type="dxa"/>
              <w:left w:w="108" w:type="dxa"/>
              <w:bottom w:w="0" w:type="dxa"/>
              <w:right w:w="108" w:type="dxa"/>
            </w:tcMar>
            <w:hideMark/>
          </w:tcPr>
          <w:p w14:paraId="13D5FC09" w14:textId="77777777" w:rsidR="008C3829" w:rsidRDefault="008C3829" w:rsidP="007D5A76">
            <w:pPr>
              <w:overflowPunct w:val="0"/>
              <w:textAlignment w:val="baseline"/>
              <w:rPr>
                <w:szCs w:val="24"/>
                <w:lang w:eastAsia="lt-LT"/>
              </w:rPr>
            </w:pPr>
            <w:r>
              <w:rPr>
                <w:szCs w:val="24"/>
                <w:lang w:eastAsia="lt-LT"/>
              </w:rPr>
              <w:t>800</w:t>
            </w:r>
          </w:p>
        </w:tc>
      </w:tr>
      <w:tr w:rsidR="008C3829" w14:paraId="785C50D2" w14:textId="77777777" w:rsidTr="007D5A76">
        <w:trPr>
          <w:trHeight w:val="1407"/>
        </w:trPr>
        <w:tc>
          <w:tcPr>
            <w:tcW w:w="1283" w:type="dxa"/>
            <w:tcMar>
              <w:top w:w="0" w:type="dxa"/>
              <w:left w:w="108" w:type="dxa"/>
              <w:bottom w:w="0" w:type="dxa"/>
              <w:right w:w="108" w:type="dxa"/>
            </w:tcMar>
            <w:hideMark/>
          </w:tcPr>
          <w:p w14:paraId="1A762265" w14:textId="77777777" w:rsidR="008C3829" w:rsidRDefault="008C3829" w:rsidP="007D5A76">
            <w:pPr>
              <w:overflowPunct w:val="0"/>
              <w:textAlignment w:val="baseline"/>
              <w:rPr>
                <w:szCs w:val="24"/>
                <w:lang w:eastAsia="lt-LT"/>
              </w:rPr>
            </w:pPr>
            <w:r>
              <w:rPr>
                <w:szCs w:val="24"/>
                <w:lang w:eastAsia="lt-LT"/>
              </w:rPr>
              <w:t>P.S.404</w:t>
            </w:r>
          </w:p>
        </w:tc>
        <w:tc>
          <w:tcPr>
            <w:tcW w:w="3105" w:type="dxa"/>
            <w:tcMar>
              <w:top w:w="0" w:type="dxa"/>
              <w:left w:w="108" w:type="dxa"/>
              <w:bottom w:w="0" w:type="dxa"/>
              <w:right w:w="108" w:type="dxa"/>
            </w:tcMar>
            <w:hideMark/>
          </w:tcPr>
          <w:p w14:paraId="41122B26" w14:textId="77777777" w:rsidR="008C3829" w:rsidRDefault="008C3829" w:rsidP="007D5A76">
            <w:pPr>
              <w:overflowPunct w:val="0"/>
              <w:textAlignment w:val="baseline"/>
              <w:rPr>
                <w:szCs w:val="24"/>
                <w:lang w:eastAsia="lt-LT"/>
              </w:rPr>
            </w:pPr>
            <w:r>
              <w:rPr>
                <w:szCs w:val="24"/>
                <w:lang w:eastAsia="lt-LT"/>
              </w:rPr>
              <w:t>„Asmenys, kurie dalyvavo ESF veiklose, skirtose mokytis pagal formaliojo švietimo programas ar modulius“</w:t>
            </w:r>
          </w:p>
        </w:tc>
        <w:tc>
          <w:tcPr>
            <w:tcW w:w="1275" w:type="dxa"/>
            <w:tcMar>
              <w:top w:w="0" w:type="dxa"/>
              <w:left w:w="108" w:type="dxa"/>
              <w:bottom w:w="0" w:type="dxa"/>
              <w:right w:w="108" w:type="dxa"/>
            </w:tcMar>
            <w:hideMark/>
          </w:tcPr>
          <w:p w14:paraId="710E1BF5" w14:textId="77777777" w:rsidR="008C3829" w:rsidRDefault="008C3829" w:rsidP="007D5A76">
            <w:pPr>
              <w:overflowPunct w:val="0"/>
              <w:ind w:firstLine="24"/>
              <w:textAlignment w:val="baseline"/>
              <w:rPr>
                <w:szCs w:val="24"/>
                <w:lang w:eastAsia="lt-LT"/>
              </w:rPr>
            </w:pPr>
            <w:r>
              <w:rPr>
                <w:szCs w:val="24"/>
                <w:lang w:eastAsia="lt-LT"/>
              </w:rPr>
              <w:t>Skaičius</w:t>
            </w:r>
          </w:p>
        </w:tc>
        <w:tc>
          <w:tcPr>
            <w:tcW w:w="1984" w:type="dxa"/>
            <w:tcMar>
              <w:top w:w="0" w:type="dxa"/>
              <w:left w:w="108" w:type="dxa"/>
              <w:bottom w:w="0" w:type="dxa"/>
              <w:right w:w="108" w:type="dxa"/>
            </w:tcMar>
            <w:hideMark/>
          </w:tcPr>
          <w:p w14:paraId="455366F6" w14:textId="77777777" w:rsidR="008C3829" w:rsidRDefault="008C3829" w:rsidP="007D5A76">
            <w:pPr>
              <w:overflowPunct w:val="0"/>
              <w:textAlignment w:val="baseline"/>
              <w:rPr>
                <w:szCs w:val="24"/>
                <w:lang w:eastAsia="lt-LT"/>
              </w:rPr>
            </w:pPr>
            <w:r>
              <w:rPr>
                <w:szCs w:val="24"/>
                <w:lang w:eastAsia="lt-LT"/>
              </w:rPr>
              <w:t>0</w:t>
            </w:r>
          </w:p>
        </w:tc>
        <w:tc>
          <w:tcPr>
            <w:tcW w:w="1983" w:type="dxa"/>
            <w:tcMar>
              <w:top w:w="0" w:type="dxa"/>
              <w:left w:w="108" w:type="dxa"/>
              <w:bottom w:w="0" w:type="dxa"/>
              <w:right w:w="108" w:type="dxa"/>
            </w:tcMar>
            <w:hideMark/>
          </w:tcPr>
          <w:p w14:paraId="2BA1C702" w14:textId="77777777" w:rsidR="008C3829" w:rsidRDefault="008C3829" w:rsidP="007D5A76">
            <w:pPr>
              <w:overflowPunct w:val="0"/>
              <w:textAlignment w:val="baseline"/>
              <w:rPr>
                <w:szCs w:val="24"/>
                <w:lang w:eastAsia="lt-LT"/>
              </w:rPr>
            </w:pPr>
            <w:r>
              <w:rPr>
                <w:szCs w:val="24"/>
                <w:lang w:eastAsia="lt-LT"/>
              </w:rPr>
              <w:t>2400</w:t>
            </w:r>
          </w:p>
        </w:tc>
      </w:tr>
      <w:tr w:rsidR="008C3829" w14:paraId="01A9C348" w14:textId="77777777" w:rsidTr="007D5A76">
        <w:trPr>
          <w:trHeight w:val="1412"/>
        </w:trPr>
        <w:tc>
          <w:tcPr>
            <w:tcW w:w="1283" w:type="dxa"/>
            <w:tcMar>
              <w:top w:w="0" w:type="dxa"/>
              <w:left w:w="108" w:type="dxa"/>
              <w:bottom w:w="0" w:type="dxa"/>
              <w:right w:w="108" w:type="dxa"/>
            </w:tcMar>
            <w:hideMark/>
          </w:tcPr>
          <w:p w14:paraId="089571DE" w14:textId="77777777" w:rsidR="008C3829" w:rsidRDefault="008C3829" w:rsidP="007D5A76">
            <w:pPr>
              <w:overflowPunct w:val="0"/>
              <w:textAlignment w:val="baseline"/>
              <w:rPr>
                <w:szCs w:val="24"/>
                <w:lang w:eastAsia="lt-LT"/>
              </w:rPr>
            </w:pPr>
            <w:r>
              <w:rPr>
                <w:szCs w:val="24"/>
                <w:lang w:eastAsia="lt-LT"/>
              </w:rPr>
              <w:t>P.S.405</w:t>
            </w:r>
          </w:p>
        </w:tc>
        <w:tc>
          <w:tcPr>
            <w:tcW w:w="3105" w:type="dxa"/>
            <w:tcMar>
              <w:top w:w="0" w:type="dxa"/>
              <w:left w:w="108" w:type="dxa"/>
              <w:bottom w:w="0" w:type="dxa"/>
              <w:right w:w="108" w:type="dxa"/>
            </w:tcMar>
            <w:hideMark/>
          </w:tcPr>
          <w:p w14:paraId="683E0293" w14:textId="77777777" w:rsidR="008C3829" w:rsidRDefault="008C3829" w:rsidP="007D5A76">
            <w:pPr>
              <w:overflowPunct w:val="0"/>
              <w:textAlignment w:val="baseline"/>
              <w:rPr>
                <w:szCs w:val="24"/>
                <w:lang w:eastAsia="lt-LT"/>
              </w:rPr>
            </w:pPr>
            <w:r>
              <w:rPr>
                <w:szCs w:val="24"/>
                <w:lang w:eastAsia="lt-LT"/>
              </w:rPr>
              <w:t>„Asmenys, kurie dalyvavo ESF veiklose, skirtose mokytis pagal neformaliojo švietimo programas“</w:t>
            </w:r>
          </w:p>
        </w:tc>
        <w:tc>
          <w:tcPr>
            <w:tcW w:w="1275" w:type="dxa"/>
            <w:tcMar>
              <w:top w:w="0" w:type="dxa"/>
              <w:left w:w="108" w:type="dxa"/>
              <w:bottom w:w="0" w:type="dxa"/>
              <w:right w:w="108" w:type="dxa"/>
            </w:tcMar>
            <w:hideMark/>
          </w:tcPr>
          <w:p w14:paraId="2DF5B2B2" w14:textId="77777777" w:rsidR="008C3829" w:rsidRDefault="008C3829" w:rsidP="007D5A76">
            <w:pPr>
              <w:overflowPunct w:val="0"/>
              <w:ind w:firstLine="24"/>
              <w:textAlignment w:val="baseline"/>
              <w:rPr>
                <w:szCs w:val="24"/>
                <w:lang w:eastAsia="lt-LT"/>
              </w:rPr>
            </w:pPr>
            <w:r>
              <w:rPr>
                <w:szCs w:val="24"/>
                <w:lang w:eastAsia="lt-LT"/>
              </w:rPr>
              <w:t>Skaičius</w:t>
            </w:r>
          </w:p>
        </w:tc>
        <w:tc>
          <w:tcPr>
            <w:tcW w:w="1984" w:type="dxa"/>
            <w:tcMar>
              <w:top w:w="0" w:type="dxa"/>
              <w:left w:w="108" w:type="dxa"/>
              <w:bottom w:w="0" w:type="dxa"/>
              <w:right w:w="108" w:type="dxa"/>
            </w:tcMar>
            <w:hideMark/>
          </w:tcPr>
          <w:p w14:paraId="45D522B7" w14:textId="77777777" w:rsidR="008C3829" w:rsidRDefault="008C3829" w:rsidP="007D5A76">
            <w:pPr>
              <w:overflowPunct w:val="0"/>
              <w:textAlignment w:val="baseline"/>
              <w:rPr>
                <w:szCs w:val="24"/>
                <w:lang w:eastAsia="lt-LT"/>
              </w:rPr>
            </w:pPr>
            <w:r>
              <w:rPr>
                <w:szCs w:val="24"/>
                <w:lang w:eastAsia="lt-LT"/>
              </w:rPr>
              <w:t>0</w:t>
            </w:r>
          </w:p>
        </w:tc>
        <w:tc>
          <w:tcPr>
            <w:tcW w:w="1983" w:type="dxa"/>
            <w:tcMar>
              <w:top w:w="0" w:type="dxa"/>
              <w:left w:w="108" w:type="dxa"/>
              <w:bottom w:w="0" w:type="dxa"/>
              <w:right w:w="108" w:type="dxa"/>
            </w:tcMar>
            <w:hideMark/>
          </w:tcPr>
          <w:p w14:paraId="1CA1AE55" w14:textId="77777777" w:rsidR="008C3829" w:rsidRDefault="008C3829" w:rsidP="007D5A76">
            <w:pPr>
              <w:overflowPunct w:val="0"/>
              <w:textAlignment w:val="baseline"/>
              <w:rPr>
                <w:szCs w:val="24"/>
                <w:lang w:eastAsia="lt-LT"/>
              </w:rPr>
            </w:pPr>
            <w:r>
              <w:rPr>
                <w:szCs w:val="24"/>
                <w:lang w:eastAsia="lt-LT"/>
              </w:rPr>
              <w:t>870</w:t>
            </w:r>
          </w:p>
        </w:tc>
      </w:tr>
    </w:tbl>
    <w:p w14:paraId="68B550CF" w14:textId="77777777" w:rsidR="008C3829" w:rsidRDefault="008C3829" w:rsidP="008C3829">
      <w:pPr>
        <w:ind w:firstLine="851"/>
        <w:jc w:val="both"/>
        <w:rPr>
          <w:bCs/>
          <w:szCs w:val="24"/>
        </w:rPr>
      </w:pPr>
    </w:p>
    <w:p w14:paraId="3CB5F669" w14:textId="77777777" w:rsidR="008C3829" w:rsidRDefault="008C3829" w:rsidP="008C3829"/>
    <w:p w14:paraId="2BBAE1C7" w14:textId="77777777" w:rsidR="008C3829" w:rsidRDefault="008C3829" w:rsidP="008C3829">
      <w:pPr>
        <w:tabs>
          <w:tab w:val="left" w:pos="284"/>
        </w:tabs>
        <w:ind w:left="851"/>
        <w:textAlignment w:val="baseline"/>
        <w:rPr>
          <w:szCs w:val="24"/>
          <w:lang w:eastAsia="lt-LT"/>
        </w:rPr>
      </w:pPr>
      <w:r>
        <w:rPr>
          <w:szCs w:val="24"/>
          <w:lang w:eastAsia="lt-LT"/>
        </w:rPr>
        <w:t>7. Priemonės finansavimo šaltiniai</w:t>
      </w:r>
    </w:p>
    <w:p w14:paraId="3B745BA5" w14:textId="77777777" w:rsidR="008C3829" w:rsidRDefault="008C3829" w:rsidP="008C3829">
      <w:pPr>
        <w:ind w:firstLine="8647"/>
        <w:textAlignment w:val="baseline"/>
        <w:rPr>
          <w:szCs w:val="24"/>
          <w:lang w:eastAsia="lt-LT"/>
        </w:rPr>
      </w:pPr>
      <w:r>
        <w:rPr>
          <w:szCs w:val="24"/>
          <w:lang w:eastAsia="lt-LT"/>
        </w:rPr>
        <w:t>(eurais)</w:t>
      </w:r>
    </w:p>
    <w:tbl>
      <w:tblPr>
        <w:tblW w:w="964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6"/>
        <w:gridCol w:w="1418"/>
        <w:gridCol w:w="1216"/>
        <w:gridCol w:w="31"/>
        <w:gridCol w:w="1419"/>
        <w:gridCol w:w="29"/>
        <w:gridCol w:w="1421"/>
        <w:gridCol w:w="1391"/>
        <w:gridCol w:w="28"/>
        <w:gridCol w:w="1276"/>
      </w:tblGrid>
      <w:tr w:rsidR="008C3829" w14:paraId="5EF374D7" w14:textId="77777777" w:rsidTr="007D5A76">
        <w:trPr>
          <w:trHeight w:val="454"/>
          <w:tblHeader/>
        </w:trPr>
        <w:tc>
          <w:tcPr>
            <w:tcW w:w="28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ECA64D" w14:textId="77777777" w:rsidR="008C3829" w:rsidRDefault="008C3829" w:rsidP="007D5A76">
            <w:pPr>
              <w:overflowPunct w:val="0"/>
              <w:jc w:val="center"/>
              <w:textAlignment w:val="baseline"/>
              <w:rPr>
                <w:szCs w:val="24"/>
                <w:lang w:eastAsia="lt-LT"/>
              </w:rPr>
            </w:pPr>
            <w:r>
              <w:rPr>
                <w:szCs w:val="24"/>
                <w:lang w:eastAsia="lt-LT"/>
              </w:rPr>
              <w:t>Projektams skiriamas finansavimas</w:t>
            </w:r>
          </w:p>
        </w:tc>
        <w:tc>
          <w:tcPr>
            <w:tcW w:w="6811"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B4BE41" w14:textId="77777777" w:rsidR="008C3829" w:rsidRDefault="008C3829" w:rsidP="007D5A76">
            <w:pPr>
              <w:overflowPunct w:val="0"/>
              <w:jc w:val="center"/>
              <w:textAlignment w:val="baseline"/>
              <w:rPr>
                <w:szCs w:val="24"/>
                <w:lang w:eastAsia="lt-LT"/>
              </w:rPr>
            </w:pPr>
            <w:r>
              <w:rPr>
                <w:szCs w:val="24"/>
                <w:lang w:eastAsia="lt-LT"/>
              </w:rPr>
              <w:t>Kiti projektų finansavimo šaltiniai</w:t>
            </w:r>
          </w:p>
        </w:tc>
      </w:tr>
      <w:tr w:rsidR="008C3829" w14:paraId="69898C68" w14:textId="77777777" w:rsidTr="007D5A76">
        <w:trPr>
          <w:trHeight w:val="454"/>
          <w:tblHeader/>
        </w:trPr>
        <w:tc>
          <w:tcPr>
            <w:tcW w:w="1416"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D642E8" w14:textId="77777777" w:rsidR="008C3829" w:rsidRDefault="008C3829" w:rsidP="007D5A76">
            <w:pPr>
              <w:overflowPunct w:val="0"/>
              <w:jc w:val="center"/>
              <w:textAlignment w:val="baseline"/>
              <w:rPr>
                <w:szCs w:val="24"/>
                <w:lang w:eastAsia="lt-LT"/>
              </w:rPr>
            </w:pPr>
            <w:r>
              <w:rPr>
                <w:szCs w:val="24"/>
                <w:lang w:eastAsia="lt-LT"/>
              </w:rPr>
              <w:t>ES struktūrinių fondų</w:t>
            </w:r>
          </w:p>
          <w:p w14:paraId="02D1A037" w14:textId="77777777" w:rsidR="008C3829" w:rsidRDefault="008C3829" w:rsidP="007D5A76">
            <w:pPr>
              <w:overflowPunct w:val="0"/>
              <w:jc w:val="center"/>
              <w:textAlignment w:val="baseline"/>
              <w:rPr>
                <w:szCs w:val="24"/>
                <w:lang w:eastAsia="lt-LT"/>
              </w:rPr>
            </w:pPr>
            <w:r>
              <w:rPr>
                <w:szCs w:val="24"/>
                <w:lang w:eastAsia="lt-LT"/>
              </w:rPr>
              <w:t>lėšos – iki</w:t>
            </w:r>
          </w:p>
        </w:tc>
        <w:tc>
          <w:tcPr>
            <w:tcW w:w="8229" w:type="dxa"/>
            <w:gridSpan w:val="9"/>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EFC20F7" w14:textId="77777777" w:rsidR="008C3829" w:rsidRDefault="008C3829" w:rsidP="007D5A76">
            <w:pPr>
              <w:overflowPunct w:val="0"/>
              <w:jc w:val="center"/>
              <w:textAlignment w:val="baseline"/>
              <w:rPr>
                <w:szCs w:val="24"/>
                <w:lang w:eastAsia="lt-LT"/>
              </w:rPr>
            </w:pPr>
            <w:r>
              <w:rPr>
                <w:szCs w:val="24"/>
                <w:lang w:eastAsia="lt-LT"/>
              </w:rPr>
              <w:t>Nacionalinės lėšos</w:t>
            </w:r>
          </w:p>
        </w:tc>
      </w:tr>
      <w:tr w:rsidR="008C3829" w14:paraId="5B445234" w14:textId="77777777" w:rsidTr="007D5A76">
        <w:trPr>
          <w:cantSplit/>
          <w:trHeight w:val="489"/>
          <w:tblHeader/>
        </w:trPr>
        <w:tc>
          <w:tcPr>
            <w:tcW w:w="0" w:type="auto"/>
            <w:vMerge/>
            <w:tcBorders>
              <w:top w:val="nil"/>
              <w:left w:val="single" w:sz="8" w:space="0" w:color="auto"/>
              <w:bottom w:val="single" w:sz="8" w:space="0" w:color="auto"/>
              <w:right w:val="single" w:sz="8" w:space="0" w:color="auto"/>
            </w:tcBorders>
            <w:vAlign w:val="center"/>
            <w:hideMark/>
          </w:tcPr>
          <w:p w14:paraId="5CDC591B" w14:textId="77777777" w:rsidR="008C3829" w:rsidRDefault="008C3829" w:rsidP="007D5A76">
            <w:pPr>
              <w:rPr>
                <w:szCs w:val="24"/>
                <w:lang w:eastAsia="lt-LT"/>
              </w:rPr>
            </w:pPr>
          </w:p>
        </w:tc>
        <w:tc>
          <w:tcPr>
            <w:tcW w:w="14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534D29" w14:textId="77777777" w:rsidR="008C3829" w:rsidRDefault="008C3829" w:rsidP="007D5A76">
            <w:pPr>
              <w:overflowPunct w:val="0"/>
              <w:jc w:val="center"/>
              <w:textAlignment w:val="baseline"/>
              <w:rPr>
                <w:szCs w:val="24"/>
                <w:lang w:eastAsia="lt-LT"/>
              </w:rPr>
            </w:pPr>
            <w:r>
              <w:rPr>
                <w:szCs w:val="24"/>
                <w:lang w:eastAsia="lt-LT"/>
              </w:rPr>
              <w:t>Lietuvos Respublikos valstybės biudžeto lėšos – iki</w:t>
            </w:r>
          </w:p>
        </w:tc>
        <w:tc>
          <w:tcPr>
            <w:tcW w:w="6811" w:type="dxa"/>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3C408" w14:textId="77777777" w:rsidR="008C3829" w:rsidRDefault="008C3829" w:rsidP="007D5A76">
            <w:pPr>
              <w:overflowPunct w:val="0"/>
              <w:jc w:val="center"/>
              <w:textAlignment w:val="baseline"/>
              <w:rPr>
                <w:szCs w:val="24"/>
                <w:lang w:eastAsia="lt-LT"/>
              </w:rPr>
            </w:pPr>
            <w:r>
              <w:rPr>
                <w:szCs w:val="24"/>
                <w:lang w:eastAsia="lt-LT"/>
              </w:rPr>
              <w:t>Projektų vykdytojų lėšos</w:t>
            </w:r>
          </w:p>
        </w:tc>
      </w:tr>
      <w:tr w:rsidR="008C3829" w14:paraId="2E7ABDFB" w14:textId="77777777" w:rsidTr="007D5A76">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671272EC" w14:textId="77777777" w:rsidR="008C3829" w:rsidRDefault="008C3829" w:rsidP="007D5A76">
            <w:pPr>
              <w:rPr>
                <w:szCs w:val="24"/>
                <w:lang w:eastAsia="lt-LT"/>
              </w:rPr>
            </w:pPr>
          </w:p>
        </w:tc>
        <w:tc>
          <w:tcPr>
            <w:tcW w:w="0" w:type="auto"/>
            <w:vMerge/>
            <w:tcBorders>
              <w:top w:val="nil"/>
              <w:left w:val="nil"/>
              <w:bottom w:val="single" w:sz="8" w:space="0" w:color="auto"/>
              <w:right w:val="single" w:sz="8" w:space="0" w:color="auto"/>
            </w:tcBorders>
            <w:vAlign w:val="center"/>
            <w:hideMark/>
          </w:tcPr>
          <w:p w14:paraId="49CFC65D" w14:textId="77777777" w:rsidR="008C3829" w:rsidRDefault="008C3829" w:rsidP="007D5A76">
            <w:pPr>
              <w:rPr>
                <w:szCs w:val="24"/>
                <w:lang w:eastAsia="lt-LT"/>
              </w:rPr>
            </w:pPr>
          </w:p>
        </w:tc>
        <w:tc>
          <w:tcPr>
            <w:tcW w:w="12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F9B693" w14:textId="77777777" w:rsidR="008C3829" w:rsidRDefault="008C3829" w:rsidP="007D5A76">
            <w:pPr>
              <w:overflowPunct w:val="0"/>
              <w:ind w:hanging="108"/>
              <w:jc w:val="center"/>
              <w:textAlignment w:val="baseline"/>
              <w:rPr>
                <w:szCs w:val="24"/>
                <w:lang w:eastAsia="lt-LT"/>
              </w:rPr>
            </w:pPr>
            <w:r>
              <w:rPr>
                <w:szCs w:val="24"/>
                <w:lang w:eastAsia="lt-LT"/>
              </w:rPr>
              <w:t>Iš viso – ne mažiau kaip</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E089D" w14:textId="77777777" w:rsidR="008C3829" w:rsidRDefault="008C3829" w:rsidP="007D5A76">
            <w:pPr>
              <w:overflowPunct w:val="0"/>
              <w:jc w:val="center"/>
              <w:textAlignment w:val="baseline"/>
              <w:rPr>
                <w:szCs w:val="24"/>
                <w:lang w:eastAsia="lt-LT"/>
              </w:rPr>
            </w:pPr>
            <w:r>
              <w:rPr>
                <w:szCs w:val="24"/>
                <w:lang w:eastAsia="lt-LT"/>
              </w:rPr>
              <w:t>Lietuvos Respublikos valstybės biudžeto lėšos</w:t>
            </w:r>
          </w:p>
        </w:tc>
        <w:tc>
          <w:tcPr>
            <w:tcW w:w="14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FD0F07" w14:textId="77777777" w:rsidR="008C3829" w:rsidRDefault="008C3829" w:rsidP="007D5A76">
            <w:pPr>
              <w:overflowPunct w:val="0"/>
              <w:ind w:hanging="77"/>
              <w:jc w:val="center"/>
              <w:textAlignment w:val="baseline"/>
              <w:rPr>
                <w:szCs w:val="24"/>
                <w:lang w:eastAsia="lt-LT"/>
              </w:rPr>
            </w:pPr>
            <w:r>
              <w:rPr>
                <w:szCs w:val="24"/>
                <w:lang w:eastAsia="lt-LT"/>
              </w:rPr>
              <w:t>Savivaldybės biudžeto</w:t>
            </w:r>
          </w:p>
          <w:p w14:paraId="67366EE3" w14:textId="77777777" w:rsidR="008C3829" w:rsidRDefault="008C3829" w:rsidP="007D5A76">
            <w:pPr>
              <w:overflowPunct w:val="0"/>
              <w:ind w:hanging="77"/>
              <w:jc w:val="center"/>
              <w:textAlignment w:val="baseline"/>
              <w:rPr>
                <w:szCs w:val="24"/>
                <w:lang w:eastAsia="lt-LT"/>
              </w:rPr>
            </w:pPr>
            <w:r>
              <w:rPr>
                <w:szCs w:val="24"/>
                <w:lang w:eastAsia="lt-LT"/>
              </w:rPr>
              <w:t>lėšos</w:t>
            </w:r>
          </w:p>
        </w:tc>
        <w:tc>
          <w:tcPr>
            <w:tcW w:w="13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48DC9F" w14:textId="77777777" w:rsidR="008C3829" w:rsidRDefault="008C3829" w:rsidP="007D5A76">
            <w:pPr>
              <w:overflowPunct w:val="0"/>
              <w:jc w:val="center"/>
              <w:textAlignment w:val="baseline"/>
              <w:rPr>
                <w:szCs w:val="24"/>
                <w:lang w:eastAsia="lt-LT"/>
              </w:rPr>
            </w:pPr>
            <w:r>
              <w:rPr>
                <w:szCs w:val="24"/>
                <w:lang w:eastAsia="lt-LT"/>
              </w:rPr>
              <w:t>Kitos viešosios lėšos</w:t>
            </w:r>
          </w:p>
        </w:tc>
        <w:tc>
          <w:tcPr>
            <w:tcW w:w="13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4497A7" w14:textId="77777777" w:rsidR="008C3829" w:rsidRDefault="008C3829" w:rsidP="007D5A76">
            <w:pPr>
              <w:overflowPunct w:val="0"/>
              <w:jc w:val="center"/>
              <w:textAlignment w:val="baseline"/>
              <w:rPr>
                <w:szCs w:val="24"/>
                <w:lang w:eastAsia="lt-LT"/>
              </w:rPr>
            </w:pPr>
            <w:r>
              <w:rPr>
                <w:szCs w:val="24"/>
                <w:lang w:eastAsia="lt-LT"/>
              </w:rPr>
              <w:t>Privačios lėšos</w:t>
            </w:r>
          </w:p>
        </w:tc>
      </w:tr>
      <w:tr w:rsidR="008C3829" w14:paraId="17B26657" w14:textId="77777777" w:rsidTr="007D5A76">
        <w:trPr>
          <w:trHeight w:val="249"/>
        </w:trPr>
        <w:tc>
          <w:tcPr>
            <w:tcW w:w="9645"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717A2" w14:textId="77777777" w:rsidR="008C3829" w:rsidRDefault="008C3829" w:rsidP="007D5A76">
            <w:pPr>
              <w:ind w:firstLine="459"/>
              <w:rPr>
                <w:szCs w:val="24"/>
                <w:lang w:eastAsia="lt-LT"/>
              </w:rPr>
            </w:pPr>
            <w:r>
              <w:rPr>
                <w:szCs w:val="24"/>
                <w:lang w:eastAsia="lt-LT"/>
              </w:rPr>
              <w:t>1.  Priemonės finansavimo šaltiniai, neįskaitant veiklos lėšų rezervo ir jam finansuoti skiriamų lėšų</w:t>
            </w:r>
          </w:p>
        </w:tc>
      </w:tr>
      <w:tr w:rsidR="008C3829" w14:paraId="3DC5125C" w14:textId="77777777" w:rsidTr="007D5A76">
        <w:trPr>
          <w:trHeight w:val="249"/>
        </w:trPr>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0CCBD5" w14:textId="77777777" w:rsidR="008C3829" w:rsidRDefault="008C3829" w:rsidP="007D5A76">
            <w:pPr>
              <w:overflowPunct w:val="0"/>
              <w:ind w:firstLine="34"/>
              <w:jc w:val="center"/>
              <w:textAlignment w:val="baseline"/>
              <w:rPr>
                <w:szCs w:val="24"/>
                <w:lang w:eastAsia="lt-LT"/>
              </w:rPr>
            </w:pPr>
            <w:r>
              <w:rPr>
                <w:szCs w:val="24"/>
                <w:lang w:eastAsia="lt-LT"/>
              </w:rPr>
              <w:lastRenderedPageBreak/>
              <w:t>7 286 620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47502" w14:textId="77777777" w:rsidR="008C3829" w:rsidRDefault="008C3829" w:rsidP="007D5A76">
            <w:pPr>
              <w:overflowPunct w:val="0"/>
              <w:ind w:firstLine="34"/>
              <w:jc w:val="center"/>
              <w:textAlignment w:val="baseline"/>
              <w:rPr>
                <w:szCs w:val="24"/>
                <w:lang w:eastAsia="lt-LT"/>
              </w:rPr>
            </w:pPr>
            <w:r>
              <w:rPr>
                <w:szCs w:val="24"/>
                <w:lang w:eastAsia="lt-LT"/>
              </w:rPr>
              <w:t>0</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39A445" w14:textId="77777777" w:rsidR="008C3829" w:rsidRDefault="008C3829" w:rsidP="007D5A76">
            <w:pPr>
              <w:overflowPunct w:val="0"/>
              <w:ind w:firstLine="34"/>
              <w:jc w:val="center"/>
              <w:textAlignment w:val="baseline"/>
              <w:rPr>
                <w:szCs w:val="24"/>
                <w:lang w:eastAsia="lt-LT"/>
              </w:rPr>
            </w:pPr>
            <w:r>
              <w:rPr>
                <w:szCs w:val="24"/>
                <w:lang w:eastAsia="lt-LT"/>
              </w:rPr>
              <w:t>232 890</w:t>
            </w:r>
          </w:p>
        </w:tc>
        <w:tc>
          <w:tcPr>
            <w:tcW w:w="147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5FBD0A" w14:textId="77777777" w:rsidR="008C3829" w:rsidRDefault="008C3829" w:rsidP="007D5A76">
            <w:pPr>
              <w:overflowPunct w:val="0"/>
              <w:ind w:firstLine="34"/>
              <w:jc w:val="center"/>
              <w:textAlignment w:val="baseline"/>
              <w:rPr>
                <w:szCs w:val="24"/>
                <w:lang w:eastAsia="lt-LT"/>
              </w:rPr>
            </w:pPr>
            <w:r>
              <w:rPr>
                <w:szCs w:val="24"/>
                <w:lang w:eastAsia="lt-LT"/>
              </w:rPr>
              <w:t>232 890</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E3F788" w14:textId="77777777" w:rsidR="008C3829" w:rsidRDefault="008C3829" w:rsidP="007D5A76">
            <w:pPr>
              <w:overflowPunct w:val="0"/>
              <w:ind w:firstLine="64"/>
              <w:jc w:val="center"/>
              <w:textAlignment w:val="baseline"/>
              <w:rPr>
                <w:szCs w:val="24"/>
                <w:lang w:eastAsia="lt-LT"/>
              </w:rPr>
            </w:pPr>
            <w:r>
              <w:rPr>
                <w:szCs w:val="24"/>
                <w:lang w:eastAsia="lt-LT"/>
              </w:rPr>
              <w:t>0</w:t>
            </w:r>
          </w:p>
        </w:tc>
        <w:tc>
          <w:tcPr>
            <w:tcW w:w="1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C0083" w14:textId="77777777" w:rsidR="008C3829" w:rsidRDefault="008C3829" w:rsidP="007D5A76">
            <w:pPr>
              <w:overflowPunct w:val="0"/>
              <w:ind w:firstLine="64"/>
              <w:jc w:val="center"/>
              <w:textAlignment w:val="baseline"/>
              <w:rPr>
                <w:szCs w:val="24"/>
                <w:lang w:eastAsia="lt-LT"/>
              </w:rPr>
            </w:pPr>
            <w:r>
              <w:rPr>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C6ED8" w14:textId="77777777" w:rsidR="008C3829" w:rsidRDefault="008C3829" w:rsidP="007D5A76">
            <w:pPr>
              <w:overflowPunct w:val="0"/>
              <w:ind w:firstLine="64"/>
              <w:jc w:val="center"/>
              <w:textAlignment w:val="baseline"/>
              <w:rPr>
                <w:szCs w:val="24"/>
                <w:lang w:eastAsia="lt-LT"/>
              </w:rPr>
            </w:pPr>
            <w:r>
              <w:rPr>
                <w:szCs w:val="24"/>
                <w:lang w:eastAsia="lt-LT"/>
              </w:rPr>
              <w:t>0</w:t>
            </w:r>
          </w:p>
        </w:tc>
      </w:tr>
      <w:tr w:rsidR="008C3829" w14:paraId="542EFE26" w14:textId="77777777" w:rsidTr="007D5A76">
        <w:trPr>
          <w:trHeight w:val="249"/>
        </w:trPr>
        <w:tc>
          <w:tcPr>
            <w:tcW w:w="9645"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E2E9C" w14:textId="77777777" w:rsidR="008C3829" w:rsidRDefault="008C3829" w:rsidP="007D5A76">
            <w:pPr>
              <w:ind w:firstLine="459"/>
              <w:rPr>
                <w:szCs w:val="24"/>
                <w:lang w:eastAsia="lt-LT"/>
              </w:rPr>
            </w:pPr>
            <w:r>
              <w:rPr>
                <w:szCs w:val="24"/>
                <w:lang w:eastAsia="lt-LT"/>
              </w:rPr>
              <w:t>2.  Veiklos lėšų rezervas ir jam finansuoti skiriamos nacionalinės lėšos</w:t>
            </w:r>
          </w:p>
        </w:tc>
      </w:tr>
      <w:tr w:rsidR="008C3829" w14:paraId="54597CA0" w14:textId="77777777" w:rsidTr="007D5A76">
        <w:trPr>
          <w:trHeight w:val="249"/>
        </w:trPr>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D8CBBA" w14:textId="77777777" w:rsidR="008C3829" w:rsidRDefault="008C3829" w:rsidP="007D5A76">
            <w:pPr>
              <w:overflowPunct w:val="0"/>
              <w:ind w:firstLine="34"/>
              <w:jc w:val="center"/>
              <w:textAlignment w:val="baseline"/>
              <w:rPr>
                <w:szCs w:val="24"/>
                <w:lang w:eastAsia="lt-LT"/>
              </w:rPr>
            </w:pPr>
            <w:r>
              <w:rPr>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C62D4" w14:textId="77777777" w:rsidR="008C3829" w:rsidRDefault="008C3829" w:rsidP="007D5A76">
            <w:pPr>
              <w:overflowPunct w:val="0"/>
              <w:ind w:firstLine="34"/>
              <w:jc w:val="center"/>
              <w:textAlignment w:val="baseline"/>
              <w:rPr>
                <w:szCs w:val="24"/>
                <w:lang w:eastAsia="lt-LT"/>
              </w:rPr>
            </w:pPr>
            <w:r>
              <w:rPr>
                <w:szCs w:val="24"/>
                <w:lang w:eastAsia="lt-LT"/>
              </w:rPr>
              <w:t>0</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384B10" w14:textId="77777777" w:rsidR="008C3829" w:rsidRDefault="008C3829" w:rsidP="007D5A76">
            <w:pPr>
              <w:overflowPunct w:val="0"/>
              <w:ind w:firstLine="34"/>
              <w:jc w:val="center"/>
              <w:textAlignment w:val="baseline"/>
              <w:rPr>
                <w:szCs w:val="24"/>
                <w:lang w:eastAsia="lt-LT"/>
              </w:rPr>
            </w:pPr>
            <w:r>
              <w:rPr>
                <w:szCs w:val="24"/>
                <w:lang w:eastAsia="lt-LT"/>
              </w:rPr>
              <w:t>0</w:t>
            </w:r>
          </w:p>
        </w:tc>
        <w:tc>
          <w:tcPr>
            <w:tcW w:w="147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A47BF5" w14:textId="77777777" w:rsidR="008C3829" w:rsidRDefault="008C3829" w:rsidP="007D5A76">
            <w:pPr>
              <w:overflowPunct w:val="0"/>
              <w:ind w:firstLine="34"/>
              <w:jc w:val="center"/>
              <w:textAlignment w:val="baseline"/>
              <w:rPr>
                <w:szCs w:val="24"/>
                <w:lang w:eastAsia="lt-LT"/>
              </w:rPr>
            </w:pPr>
            <w:r>
              <w:rPr>
                <w:szCs w:val="24"/>
                <w:lang w:eastAsia="lt-LT"/>
              </w:rPr>
              <w:t>0</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422FE" w14:textId="77777777" w:rsidR="008C3829" w:rsidRDefault="008C3829" w:rsidP="007D5A76">
            <w:pPr>
              <w:overflowPunct w:val="0"/>
              <w:ind w:firstLine="34"/>
              <w:jc w:val="center"/>
              <w:textAlignment w:val="baseline"/>
              <w:rPr>
                <w:szCs w:val="24"/>
                <w:lang w:eastAsia="lt-LT"/>
              </w:rPr>
            </w:pPr>
            <w:r>
              <w:rPr>
                <w:szCs w:val="24"/>
                <w:lang w:eastAsia="lt-LT"/>
              </w:rPr>
              <w:t>0</w:t>
            </w:r>
          </w:p>
        </w:tc>
        <w:tc>
          <w:tcPr>
            <w:tcW w:w="1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2F64EE" w14:textId="77777777" w:rsidR="008C3829" w:rsidRDefault="008C3829" w:rsidP="007D5A76">
            <w:pPr>
              <w:overflowPunct w:val="0"/>
              <w:ind w:firstLine="34"/>
              <w:jc w:val="center"/>
              <w:textAlignment w:val="baseline"/>
              <w:rPr>
                <w:szCs w:val="24"/>
                <w:lang w:eastAsia="lt-LT"/>
              </w:rPr>
            </w:pPr>
            <w:r>
              <w:rPr>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3FE5A3" w14:textId="77777777" w:rsidR="008C3829" w:rsidRDefault="008C3829" w:rsidP="007D5A76">
            <w:pPr>
              <w:overflowPunct w:val="0"/>
              <w:ind w:firstLine="34"/>
              <w:jc w:val="center"/>
              <w:textAlignment w:val="baseline"/>
              <w:rPr>
                <w:szCs w:val="24"/>
                <w:lang w:eastAsia="lt-LT"/>
              </w:rPr>
            </w:pPr>
            <w:r>
              <w:rPr>
                <w:szCs w:val="24"/>
                <w:lang w:eastAsia="lt-LT"/>
              </w:rPr>
              <w:t>0</w:t>
            </w:r>
          </w:p>
        </w:tc>
      </w:tr>
      <w:tr w:rsidR="008C3829" w14:paraId="3CEF6132" w14:textId="77777777" w:rsidTr="007D5A76">
        <w:trPr>
          <w:trHeight w:val="433"/>
        </w:trPr>
        <w:tc>
          <w:tcPr>
            <w:tcW w:w="9645"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0EDADF" w14:textId="77777777" w:rsidR="008C3829" w:rsidRDefault="008C3829" w:rsidP="007D5A76">
            <w:pPr>
              <w:ind w:firstLine="459"/>
              <w:rPr>
                <w:szCs w:val="24"/>
                <w:lang w:eastAsia="lt-LT"/>
              </w:rPr>
            </w:pPr>
            <w:r>
              <w:rPr>
                <w:szCs w:val="24"/>
                <w:lang w:eastAsia="lt-LT"/>
              </w:rPr>
              <w:t xml:space="preserve">3.  Iš viso </w:t>
            </w:r>
          </w:p>
        </w:tc>
      </w:tr>
      <w:tr w:rsidR="008C3829" w14:paraId="721D71D7" w14:textId="77777777" w:rsidTr="007D5A76">
        <w:trPr>
          <w:trHeight w:val="249"/>
        </w:trPr>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70A03E" w14:textId="77777777" w:rsidR="008C3829" w:rsidRDefault="008C3829" w:rsidP="007D5A76">
            <w:pPr>
              <w:overflowPunct w:val="0"/>
              <w:ind w:firstLine="34"/>
              <w:jc w:val="center"/>
              <w:textAlignment w:val="baseline"/>
              <w:rPr>
                <w:szCs w:val="24"/>
                <w:lang w:eastAsia="lt-LT"/>
              </w:rPr>
            </w:pPr>
            <w:r>
              <w:rPr>
                <w:szCs w:val="24"/>
                <w:lang w:eastAsia="lt-LT"/>
              </w:rPr>
              <w:t>7 286 620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C045A2" w14:textId="77777777" w:rsidR="008C3829" w:rsidRDefault="008C3829" w:rsidP="007D5A76">
            <w:pPr>
              <w:overflowPunct w:val="0"/>
              <w:ind w:firstLine="34"/>
              <w:jc w:val="center"/>
              <w:textAlignment w:val="baseline"/>
              <w:rPr>
                <w:szCs w:val="24"/>
                <w:lang w:eastAsia="lt-LT"/>
              </w:rPr>
            </w:pPr>
            <w:r>
              <w:rPr>
                <w:szCs w:val="24"/>
                <w:lang w:eastAsia="lt-LT"/>
              </w:rPr>
              <w:t>0</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3C5343" w14:textId="77777777" w:rsidR="008C3829" w:rsidRDefault="008C3829" w:rsidP="007D5A76">
            <w:pPr>
              <w:overflowPunct w:val="0"/>
              <w:ind w:firstLine="34"/>
              <w:jc w:val="center"/>
              <w:textAlignment w:val="baseline"/>
              <w:rPr>
                <w:szCs w:val="24"/>
                <w:lang w:eastAsia="lt-LT"/>
              </w:rPr>
            </w:pPr>
            <w:r>
              <w:rPr>
                <w:szCs w:val="24"/>
                <w:lang w:eastAsia="lt-LT"/>
              </w:rPr>
              <w:t>232 890</w:t>
            </w:r>
          </w:p>
        </w:tc>
        <w:tc>
          <w:tcPr>
            <w:tcW w:w="147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52EB08" w14:textId="77777777" w:rsidR="008C3829" w:rsidRDefault="008C3829" w:rsidP="007D5A76">
            <w:pPr>
              <w:overflowPunct w:val="0"/>
              <w:ind w:firstLine="34"/>
              <w:jc w:val="center"/>
              <w:textAlignment w:val="baseline"/>
              <w:rPr>
                <w:szCs w:val="24"/>
                <w:lang w:eastAsia="lt-LT"/>
              </w:rPr>
            </w:pPr>
            <w:r>
              <w:rPr>
                <w:szCs w:val="24"/>
                <w:lang w:eastAsia="lt-LT"/>
              </w:rPr>
              <w:t>232 890</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0F8CDE" w14:textId="77777777" w:rsidR="008C3829" w:rsidRDefault="008C3829" w:rsidP="007D5A76">
            <w:pPr>
              <w:overflowPunct w:val="0"/>
              <w:ind w:firstLine="34"/>
              <w:jc w:val="center"/>
              <w:textAlignment w:val="baseline"/>
              <w:rPr>
                <w:szCs w:val="24"/>
                <w:lang w:eastAsia="lt-LT"/>
              </w:rPr>
            </w:pPr>
            <w:r>
              <w:rPr>
                <w:szCs w:val="24"/>
                <w:lang w:eastAsia="lt-LT"/>
              </w:rPr>
              <w:t>0</w:t>
            </w:r>
          </w:p>
        </w:tc>
        <w:tc>
          <w:tcPr>
            <w:tcW w:w="1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BD6F9" w14:textId="77777777" w:rsidR="008C3829" w:rsidRDefault="008C3829" w:rsidP="007D5A76">
            <w:pPr>
              <w:overflowPunct w:val="0"/>
              <w:ind w:firstLine="34"/>
              <w:jc w:val="center"/>
              <w:textAlignment w:val="baseline"/>
              <w:rPr>
                <w:szCs w:val="24"/>
                <w:lang w:eastAsia="lt-LT"/>
              </w:rPr>
            </w:pPr>
            <w:r>
              <w:rPr>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92DC62" w14:textId="77777777" w:rsidR="008C3829" w:rsidRDefault="008C3829" w:rsidP="007D5A76">
            <w:pPr>
              <w:overflowPunct w:val="0"/>
              <w:ind w:firstLine="34"/>
              <w:jc w:val="center"/>
              <w:textAlignment w:val="baseline"/>
              <w:rPr>
                <w:szCs w:val="24"/>
                <w:lang w:eastAsia="lt-LT"/>
              </w:rPr>
            </w:pPr>
            <w:r>
              <w:rPr>
                <w:szCs w:val="24"/>
                <w:lang w:eastAsia="lt-LT"/>
              </w:rPr>
              <w:t>0</w:t>
            </w:r>
          </w:p>
        </w:tc>
      </w:tr>
    </w:tbl>
    <w:p w14:paraId="6EA547EE" w14:textId="77777777" w:rsidR="008C3829" w:rsidRDefault="008C3829" w:rsidP="008C3829">
      <w:pPr>
        <w:ind w:firstLine="6521"/>
        <w:textAlignment w:val="baseline"/>
        <w:rPr>
          <w:color w:val="000000"/>
          <w:spacing w:val="-3"/>
          <w:szCs w:val="24"/>
        </w:rPr>
      </w:pPr>
    </w:p>
    <w:p w14:paraId="23959F8D" w14:textId="77777777" w:rsidR="00481769" w:rsidRPr="007454B9" w:rsidRDefault="00481769" w:rsidP="007454B9"/>
    <w:sectPr w:rsidR="00481769" w:rsidRPr="007454B9" w:rsidSect="00AA28EC">
      <w:footerReference w:type="default" r:id="rId6"/>
      <w:pgSz w:w="11906" w:h="16838"/>
      <w:pgMar w:top="993"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B57FD" w14:textId="77777777" w:rsidR="00730229" w:rsidRDefault="00730229" w:rsidP="00AA28EC">
      <w:r>
        <w:separator/>
      </w:r>
    </w:p>
  </w:endnote>
  <w:endnote w:type="continuationSeparator" w:id="0">
    <w:p w14:paraId="52CBF882" w14:textId="77777777" w:rsidR="00730229" w:rsidRDefault="00730229" w:rsidP="00AA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136538"/>
      <w:docPartObj>
        <w:docPartGallery w:val="Page Numbers (Bottom of Page)"/>
        <w:docPartUnique/>
      </w:docPartObj>
    </w:sdtPr>
    <w:sdtContent>
      <w:p w14:paraId="406B5769" w14:textId="7BCBABA0" w:rsidR="00AA28EC" w:rsidRDefault="00AA28EC">
        <w:pPr>
          <w:pStyle w:val="Porat"/>
          <w:jc w:val="center"/>
        </w:pPr>
        <w:r>
          <w:fldChar w:fldCharType="begin"/>
        </w:r>
        <w:r>
          <w:instrText>PAGE   \* MERGEFORMAT</w:instrText>
        </w:r>
        <w:r>
          <w:fldChar w:fldCharType="separate"/>
        </w:r>
        <w:r w:rsidR="00FD6CBE">
          <w:rPr>
            <w:noProof/>
          </w:rPr>
          <w:t>1</w:t>
        </w:r>
        <w:r>
          <w:fldChar w:fldCharType="end"/>
        </w:r>
      </w:p>
    </w:sdtContent>
  </w:sdt>
  <w:p w14:paraId="309DC1E8" w14:textId="77777777" w:rsidR="00AA28EC" w:rsidRDefault="00AA28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6C79B" w14:textId="77777777" w:rsidR="00730229" w:rsidRDefault="00730229" w:rsidP="00AA28EC">
      <w:r>
        <w:separator/>
      </w:r>
    </w:p>
  </w:footnote>
  <w:footnote w:type="continuationSeparator" w:id="0">
    <w:p w14:paraId="62D462D8" w14:textId="77777777" w:rsidR="00730229" w:rsidRDefault="00730229" w:rsidP="00AA2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B9"/>
    <w:rsid w:val="003D368A"/>
    <w:rsid w:val="00443786"/>
    <w:rsid w:val="00481769"/>
    <w:rsid w:val="004E7C0A"/>
    <w:rsid w:val="005710E4"/>
    <w:rsid w:val="00655FBC"/>
    <w:rsid w:val="00730229"/>
    <w:rsid w:val="007454B9"/>
    <w:rsid w:val="0077252A"/>
    <w:rsid w:val="008C3829"/>
    <w:rsid w:val="0096121B"/>
    <w:rsid w:val="00A959F5"/>
    <w:rsid w:val="00AA28EC"/>
    <w:rsid w:val="00CA597A"/>
    <w:rsid w:val="00DA01CD"/>
    <w:rsid w:val="00FD6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C22ED"/>
  <w15:chartTrackingRefBased/>
  <w15:docId w15:val="{D7FA118F-F37B-45C4-B775-A769B7E8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82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7454B9"/>
    <w:rPr>
      <w:color w:val="0000FF"/>
      <w:u w:val="single"/>
    </w:rPr>
  </w:style>
  <w:style w:type="paragraph" w:styleId="Debesliotekstas">
    <w:name w:val="Balloon Text"/>
    <w:basedOn w:val="prastasis"/>
    <w:link w:val="DebesliotekstasDiagrama"/>
    <w:uiPriority w:val="99"/>
    <w:semiHidden/>
    <w:unhideWhenUsed/>
    <w:rsid w:val="005710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10E4"/>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3D368A"/>
    <w:rPr>
      <w:sz w:val="16"/>
      <w:szCs w:val="16"/>
    </w:rPr>
  </w:style>
  <w:style w:type="paragraph" w:styleId="Komentarotekstas">
    <w:name w:val="annotation text"/>
    <w:basedOn w:val="prastasis"/>
    <w:link w:val="KomentarotekstasDiagrama"/>
    <w:uiPriority w:val="99"/>
    <w:semiHidden/>
    <w:unhideWhenUsed/>
    <w:rsid w:val="003D368A"/>
    <w:rPr>
      <w:sz w:val="20"/>
    </w:rPr>
  </w:style>
  <w:style w:type="character" w:customStyle="1" w:styleId="KomentarotekstasDiagrama">
    <w:name w:val="Komentaro tekstas Diagrama"/>
    <w:basedOn w:val="Numatytasispastraiposriftas"/>
    <w:link w:val="Komentarotekstas"/>
    <w:uiPriority w:val="99"/>
    <w:semiHidden/>
    <w:rsid w:val="003D368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D368A"/>
    <w:rPr>
      <w:b/>
      <w:bCs/>
    </w:rPr>
  </w:style>
  <w:style w:type="character" w:customStyle="1" w:styleId="KomentarotemaDiagrama">
    <w:name w:val="Komentaro tema Diagrama"/>
    <w:basedOn w:val="KomentarotekstasDiagrama"/>
    <w:link w:val="Komentarotema"/>
    <w:uiPriority w:val="99"/>
    <w:semiHidden/>
    <w:rsid w:val="003D368A"/>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AA28EC"/>
    <w:pPr>
      <w:tabs>
        <w:tab w:val="center" w:pos="4819"/>
        <w:tab w:val="right" w:pos="9638"/>
      </w:tabs>
    </w:pPr>
  </w:style>
  <w:style w:type="character" w:customStyle="1" w:styleId="AntratsDiagrama">
    <w:name w:val="Antraštės Diagrama"/>
    <w:basedOn w:val="Numatytasispastraiposriftas"/>
    <w:link w:val="Antrats"/>
    <w:uiPriority w:val="99"/>
    <w:rsid w:val="00AA28E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A28EC"/>
    <w:pPr>
      <w:tabs>
        <w:tab w:val="center" w:pos="4819"/>
        <w:tab w:val="right" w:pos="9638"/>
      </w:tabs>
    </w:pPr>
  </w:style>
  <w:style w:type="character" w:customStyle="1" w:styleId="PoratDiagrama">
    <w:name w:val="Poraštė Diagrama"/>
    <w:basedOn w:val="Numatytasispastraiposriftas"/>
    <w:link w:val="Porat"/>
    <w:uiPriority w:val="99"/>
    <w:rsid w:val="00AA28E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89919">
      <w:bodyDiv w:val="1"/>
      <w:marLeft w:val="0"/>
      <w:marRight w:val="0"/>
      <w:marTop w:val="0"/>
      <w:marBottom w:val="0"/>
      <w:divBdr>
        <w:top w:val="none" w:sz="0" w:space="0" w:color="auto"/>
        <w:left w:val="none" w:sz="0" w:space="0" w:color="auto"/>
        <w:bottom w:val="none" w:sz="0" w:space="0" w:color="auto"/>
        <w:right w:val="none" w:sz="0" w:space="0" w:color="auto"/>
      </w:divBdr>
      <w:divsChild>
        <w:div w:id="9263661">
          <w:marLeft w:val="0"/>
          <w:marRight w:val="0"/>
          <w:marTop w:val="0"/>
          <w:marBottom w:val="0"/>
          <w:divBdr>
            <w:top w:val="none" w:sz="0" w:space="0" w:color="auto"/>
            <w:left w:val="none" w:sz="0" w:space="0" w:color="auto"/>
            <w:bottom w:val="none" w:sz="0" w:space="0" w:color="auto"/>
            <w:right w:val="none" w:sz="0" w:space="0" w:color="auto"/>
          </w:divBdr>
          <w:divsChild>
            <w:div w:id="1345741731">
              <w:marLeft w:val="0"/>
              <w:marRight w:val="0"/>
              <w:marTop w:val="0"/>
              <w:marBottom w:val="0"/>
              <w:divBdr>
                <w:top w:val="none" w:sz="0" w:space="0" w:color="auto"/>
                <w:left w:val="none" w:sz="0" w:space="0" w:color="auto"/>
                <w:bottom w:val="none" w:sz="0" w:space="0" w:color="auto"/>
                <w:right w:val="none" w:sz="0" w:space="0" w:color="auto"/>
              </w:divBdr>
              <w:divsChild>
                <w:div w:id="158085616">
                  <w:marLeft w:val="0"/>
                  <w:marRight w:val="0"/>
                  <w:marTop w:val="0"/>
                  <w:marBottom w:val="0"/>
                  <w:divBdr>
                    <w:top w:val="none" w:sz="0" w:space="0" w:color="auto"/>
                    <w:left w:val="none" w:sz="0" w:space="0" w:color="auto"/>
                    <w:bottom w:val="none" w:sz="0" w:space="0" w:color="auto"/>
                    <w:right w:val="none" w:sz="0" w:space="0" w:color="auto"/>
                  </w:divBdr>
                  <w:divsChild>
                    <w:div w:id="1038317732">
                      <w:marLeft w:val="0"/>
                      <w:marRight w:val="0"/>
                      <w:marTop w:val="0"/>
                      <w:marBottom w:val="0"/>
                      <w:divBdr>
                        <w:top w:val="none" w:sz="0" w:space="0" w:color="auto"/>
                        <w:left w:val="none" w:sz="0" w:space="0" w:color="auto"/>
                        <w:bottom w:val="none" w:sz="0" w:space="0" w:color="auto"/>
                        <w:right w:val="none" w:sz="0" w:space="0" w:color="auto"/>
                      </w:divBdr>
                    </w:div>
                    <w:div w:id="343284143">
                      <w:marLeft w:val="0"/>
                      <w:marRight w:val="0"/>
                      <w:marTop w:val="0"/>
                      <w:marBottom w:val="0"/>
                      <w:divBdr>
                        <w:top w:val="none" w:sz="0" w:space="0" w:color="auto"/>
                        <w:left w:val="none" w:sz="0" w:space="0" w:color="auto"/>
                        <w:bottom w:val="none" w:sz="0" w:space="0" w:color="auto"/>
                        <w:right w:val="none" w:sz="0" w:space="0" w:color="auto"/>
                      </w:divBdr>
                    </w:div>
                    <w:div w:id="854655147">
                      <w:marLeft w:val="0"/>
                      <w:marRight w:val="0"/>
                      <w:marTop w:val="0"/>
                      <w:marBottom w:val="0"/>
                      <w:divBdr>
                        <w:top w:val="none" w:sz="0" w:space="0" w:color="auto"/>
                        <w:left w:val="none" w:sz="0" w:space="0" w:color="auto"/>
                        <w:bottom w:val="none" w:sz="0" w:space="0" w:color="auto"/>
                        <w:right w:val="none" w:sz="0" w:space="0" w:color="auto"/>
                      </w:divBdr>
                    </w:div>
                    <w:div w:id="1828083190">
                      <w:marLeft w:val="0"/>
                      <w:marRight w:val="0"/>
                      <w:marTop w:val="0"/>
                      <w:marBottom w:val="0"/>
                      <w:divBdr>
                        <w:top w:val="none" w:sz="0" w:space="0" w:color="auto"/>
                        <w:left w:val="none" w:sz="0" w:space="0" w:color="auto"/>
                        <w:bottom w:val="none" w:sz="0" w:space="0" w:color="auto"/>
                        <w:right w:val="none" w:sz="0" w:space="0" w:color="auto"/>
                      </w:divBdr>
                    </w:div>
                    <w:div w:id="245386789">
                      <w:marLeft w:val="0"/>
                      <w:marRight w:val="0"/>
                      <w:marTop w:val="0"/>
                      <w:marBottom w:val="0"/>
                      <w:divBdr>
                        <w:top w:val="none" w:sz="0" w:space="0" w:color="auto"/>
                        <w:left w:val="none" w:sz="0" w:space="0" w:color="auto"/>
                        <w:bottom w:val="none" w:sz="0" w:space="0" w:color="auto"/>
                        <w:right w:val="none" w:sz="0" w:space="0" w:color="auto"/>
                      </w:divBdr>
                    </w:div>
                    <w:div w:id="1346395150">
                      <w:marLeft w:val="0"/>
                      <w:marRight w:val="0"/>
                      <w:marTop w:val="0"/>
                      <w:marBottom w:val="0"/>
                      <w:divBdr>
                        <w:top w:val="none" w:sz="0" w:space="0" w:color="auto"/>
                        <w:left w:val="none" w:sz="0" w:space="0" w:color="auto"/>
                        <w:bottom w:val="none" w:sz="0" w:space="0" w:color="auto"/>
                        <w:right w:val="none" w:sz="0" w:space="0" w:color="auto"/>
                      </w:divBdr>
                    </w:div>
                    <w:div w:id="7852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26928">
      <w:bodyDiv w:val="1"/>
      <w:marLeft w:val="0"/>
      <w:marRight w:val="0"/>
      <w:marTop w:val="0"/>
      <w:marBottom w:val="0"/>
      <w:divBdr>
        <w:top w:val="none" w:sz="0" w:space="0" w:color="auto"/>
        <w:left w:val="none" w:sz="0" w:space="0" w:color="auto"/>
        <w:bottom w:val="none" w:sz="0" w:space="0" w:color="auto"/>
        <w:right w:val="none" w:sz="0" w:space="0" w:color="auto"/>
      </w:divBdr>
    </w:div>
    <w:div w:id="179347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2915</Words>
  <Characters>1662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Gervienė Giedrė</dc:creator>
  <cp:keywords/>
  <dc:description/>
  <cp:lastModifiedBy>Sabaitė-Želvienė Jolanta</cp:lastModifiedBy>
  <cp:revision>13</cp:revision>
  <dcterms:created xsi:type="dcterms:W3CDTF">2018-12-11T10:27:00Z</dcterms:created>
  <dcterms:modified xsi:type="dcterms:W3CDTF">2019-05-21T07:02:00Z</dcterms:modified>
</cp:coreProperties>
</file>