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F0C61" w14:textId="77777777" w:rsidR="00A04672" w:rsidRDefault="00AE5EF5" w:rsidP="00AE5EF5">
      <w:pPr>
        <w:tabs>
          <w:tab w:val="center" w:pos="4819"/>
          <w:tab w:val="right" w:pos="9638"/>
        </w:tabs>
        <w:ind w:firstLine="851"/>
        <w:jc w:val="right"/>
        <w:rPr>
          <w:szCs w:val="24"/>
        </w:rPr>
      </w:pPr>
      <w:r>
        <w:rPr>
          <w:b/>
          <w:caps/>
          <w:noProof/>
          <w:lang w:eastAsia="lt-LT"/>
        </w:rPr>
        <w:t>P</w:t>
      </w:r>
      <w:r>
        <w:rPr>
          <w:b/>
          <w:noProof/>
          <w:lang w:eastAsia="lt-LT"/>
        </w:rPr>
        <w:t>rojektas</w:t>
      </w:r>
    </w:p>
    <w:p w14:paraId="559AD22F" w14:textId="77777777" w:rsidR="00A04672" w:rsidRDefault="00A04672" w:rsidP="00B67712">
      <w:pPr>
        <w:tabs>
          <w:tab w:val="left" w:pos="709"/>
        </w:tabs>
        <w:rPr>
          <w:b/>
          <w:szCs w:val="24"/>
        </w:rPr>
      </w:pPr>
    </w:p>
    <w:p w14:paraId="2F7E32F6" w14:textId="77777777" w:rsidR="00A04672" w:rsidRDefault="00192A94">
      <w:pPr>
        <w:tabs>
          <w:tab w:val="left" w:pos="709"/>
        </w:tabs>
        <w:jc w:val="center"/>
        <w:rPr>
          <w:b/>
          <w:caps/>
          <w:szCs w:val="24"/>
        </w:rPr>
      </w:pPr>
      <w:r>
        <w:rPr>
          <w:b/>
          <w:caps/>
          <w:szCs w:val="24"/>
        </w:rPr>
        <w:t xml:space="preserve">LIETUVOS RESPUBLIKOS </w:t>
      </w:r>
      <w:r w:rsidR="008F2E8A">
        <w:rPr>
          <w:b/>
          <w:caps/>
          <w:szCs w:val="24"/>
        </w:rPr>
        <w:t xml:space="preserve">EKONOMIKOS IR INOVACIJŲ </w:t>
      </w:r>
      <w:r>
        <w:rPr>
          <w:b/>
          <w:caps/>
          <w:szCs w:val="24"/>
        </w:rPr>
        <w:t>MINISTRAS</w:t>
      </w:r>
    </w:p>
    <w:p w14:paraId="1775D1B3" w14:textId="77777777" w:rsidR="00A04672" w:rsidRDefault="00A04672">
      <w:pPr>
        <w:ind w:firstLine="851"/>
        <w:jc w:val="center"/>
        <w:rPr>
          <w:b/>
          <w:caps/>
          <w:szCs w:val="24"/>
        </w:rPr>
      </w:pPr>
    </w:p>
    <w:p w14:paraId="1DFA7AB3" w14:textId="77777777" w:rsidR="00A04672" w:rsidRDefault="00192A94">
      <w:pPr>
        <w:jc w:val="center"/>
        <w:rPr>
          <w:b/>
          <w:szCs w:val="24"/>
          <w:lang w:eastAsia="lt-LT"/>
        </w:rPr>
      </w:pPr>
      <w:r>
        <w:rPr>
          <w:b/>
          <w:szCs w:val="24"/>
          <w:lang w:eastAsia="lt-LT"/>
        </w:rPr>
        <w:t>ĮSAKYMAS</w:t>
      </w:r>
    </w:p>
    <w:p w14:paraId="2D41E11F" w14:textId="6A78DC46" w:rsidR="00A04672" w:rsidRDefault="00192A94">
      <w:pPr>
        <w:jc w:val="center"/>
        <w:rPr>
          <w:b/>
          <w:bCs/>
          <w:caps/>
          <w:szCs w:val="24"/>
        </w:rPr>
      </w:pPr>
      <w:r>
        <w:rPr>
          <w:b/>
          <w:bCs/>
          <w:caps/>
          <w:szCs w:val="24"/>
        </w:rPr>
        <w:t>DĖL LIETUVOS RESPUBLIKOS ŪKIO MINISTRO 201</w:t>
      </w:r>
      <w:r w:rsidR="00571146">
        <w:rPr>
          <w:b/>
          <w:bCs/>
          <w:caps/>
          <w:szCs w:val="24"/>
        </w:rPr>
        <w:t>7</w:t>
      </w:r>
      <w:r>
        <w:rPr>
          <w:b/>
          <w:bCs/>
          <w:caps/>
          <w:szCs w:val="24"/>
        </w:rPr>
        <w:t xml:space="preserve"> M. </w:t>
      </w:r>
      <w:r w:rsidR="00571146">
        <w:rPr>
          <w:b/>
          <w:bCs/>
          <w:caps/>
          <w:szCs w:val="24"/>
        </w:rPr>
        <w:t>kovo</w:t>
      </w:r>
      <w:r>
        <w:rPr>
          <w:b/>
          <w:bCs/>
          <w:caps/>
          <w:szCs w:val="24"/>
        </w:rPr>
        <w:t xml:space="preserve"> </w:t>
      </w:r>
      <w:r w:rsidR="00571146">
        <w:rPr>
          <w:b/>
          <w:bCs/>
          <w:caps/>
          <w:szCs w:val="24"/>
        </w:rPr>
        <w:t>6</w:t>
      </w:r>
      <w:r>
        <w:rPr>
          <w:b/>
          <w:bCs/>
          <w:caps/>
          <w:szCs w:val="24"/>
        </w:rPr>
        <w:t xml:space="preserve"> D. ĮSAKYMO NR. 4-</w:t>
      </w:r>
      <w:r w:rsidR="00571146">
        <w:rPr>
          <w:b/>
          <w:bCs/>
          <w:caps/>
          <w:szCs w:val="24"/>
        </w:rPr>
        <w:t>128</w:t>
      </w:r>
      <w:r>
        <w:rPr>
          <w:b/>
          <w:bCs/>
          <w:caps/>
          <w:szCs w:val="24"/>
        </w:rPr>
        <w:t xml:space="preserve"> „dėl 2014–2020 metų europos sąjungos fondų investicijų veiksmų programos 1 prioriteto „mokslinių tyrimų, eksperimentinės plėtros ir inovacijų skatinimas“ priemonės Nr. </w:t>
      </w:r>
      <w:r>
        <w:rPr>
          <w:b/>
          <w:bCs/>
          <w:caps/>
          <w:szCs w:val="24"/>
          <w:lang w:eastAsia="lt-LT"/>
        </w:rPr>
        <w:t>01.2.1-</w:t>
      </w:r>
      <w:r w:rsidR="00E54F29">
        <w:rPr>
          <w:b/>
          <w:bCs/>
          <w:caps/>
          <w:szCs w:val="24"/>
          <w:lang w:eastAsia="lt-LT"/>
        </w:rPr>
        <w:t>LVPA</w:t>
      </w:r>
      <w:r>
        <w:rPr>
          <w:b/>
          <w:bCs/>
          <w:caps/>
          <w:szCs w:val="24"/>
          <w:lang w:eastAsia="lt-LT"/>
        </w:rPr>
        <w:t>-T-8</w:t>
      </w:r>
      <w:r w:rsidR="00571146">
        <w:rPr>
          <w:b/>
          <w:bCs/>
          <w:caps/>
          <w:szCs w:val="24"/>
          <w:lang w:eastAsia="lt-LT"/>
        </w:rPr>
        <w:t>44</w:t>
      </w:r>
      <w:r>
        <w:rPr>
          <w:b/>
          <w:bCs/>
          <w:caps/>
          <w:szCs w:val="24"/>
          <w:lang w:eastAsia="lt-LT"/>
        </w:rPr>
        <w:t xml:space="preserve"> </w:t>
      </w:r>
      <w:r>
        <w:rPr>
          <w:rFonts w:eastAsia="Calibri"/>
          <w:b/>
          <w:bCs/>
          <w:caps/>
          <w:szCs w:val="24"/>
          <w:lang w:eastAsia="lt-LT"/>
        </w:rPr>
        <w:t>„INO</w:t>
      </w:r>
      <w:r w:rsidR="00571146">
        <w:rPr>
          <w:rFonts w:eastAsia="Calibri"/>
          <w:b/>
          <w:bCs/>
          <w:caps/>
          <w:szCs w:val="24"/>
          <w:lang w:eastAsia="lt-LT"/>
        </w:rPr>
        <w:t>connect</w:t>
      </w:r>
      <w:r>
        <w:rPr>
          <w:rFonts w:eastAsia="Calibri"/>
          <w:b/>
          <w:bCs/>
          <w:caps/>
          <w:szCs w:val="24"/>
          <w:lang w:eastAsia="lt-LT"/>
        </w:rPr>
        <w:t>“</w:t>
      </w:r>
      <w:r>
        <w:rPr>
          <w:b/>
          <w:bCs/>
          <w:caps/>
          <w:szCs w:val="24"/>
          <w:lang w:eastAsia="lt-LT"/>
        </w:rPr>
        <w:t xml:space="preserve"> </w:t>
      </w:r>
      <w:r>
        <w:rPr>
          <w:b/>
          <w:bCs/>
          <w:caps/>
          <w:szCs w:val="24"/>
        </w:rPr>
        <w:t>projektų finansavimo sąlygų aprašo patvirtinimo“ PAKEITIMO</w:t>
      </w:r>
    </w:p>
    <w:p w14:paraId="53662FA9" w14:textId="77777777" w:rsidR="00A04672" w:rsidRDefault="00A04672"/>
    <w:p w14:paraId="123F5897" w14:textId="2769791A" w:rsidR="00A04672" w:rsidRDefault="006B2242" w:rsidP="00C7320D">
      <w:pPr>
        <w:ind w:firstLine="851"/>
        <w:jc w:val="center"/>
        <w:rPr>
          <w:szCs w:val="24"/>
        </w:rPr>
      </w:pPr>
      <w:r>
        <w:rPr>
          <w:szCs w:val="24"/>
        </w:rPr>
        <w:t>201</w:t>
      </w:r>
      <w:r w:rsidR="00F03EBE">
        <w:rPr>
          <w:szCs w:val="24"/>
        </w:rPr>
        <w:t>9</w:t>
      </w:r>
      <w:r>
        <w:rPr>
          <w:szCs w:val="24"/>
        </w:rPr>
        <w:t xml:space="preserve"> m. </w:t>
      </w:r>
      <w:r w:rsidR="00AE5EF5">
        <w:rPr>
          <w:szCs w:val="24"/>
        </w:rPr>
        <w:t xml:space="preserve">                d. Nr. </w:t>
      </w:r>
    </w:p>
    <w:p w14:paraId="23364571" w14:textId="77777777" w:rsidR="00A04672" w:rsidRDefault="00192A94">
      <w:pPr>
        <w:ind w:firstLine="851"/>
        <w:jc w:val="center"/>
        <w:rPr>
          <w:szCs w:val="24"/>
        </w:rPr>
      </w:pPr>
      <w:r>
        <w:rPr>
          <w:szCs w:val="24"/>
        </w:rPr>
        <w:t>Vilnius</w:t>
      </w:r>
    </w:p>
    <w:p w14:paraId="7412B672" w14:textId="77777777" w:rsidR="00A04672" w:rsidRDefault="00A04672">
      <w:pPr>
        <w:ind w:firstLine="851"/>
        <w:jc w:val="center"/>
        <w:rPr>
          <w:szCs w:val="24"/>
        </w:rPr>
      </w:pPr>
    </w:p>
    <w:p w14:paraId="0CEE2EAD" w14:textId="77777777" w:rsidR="00A04672" w:rsidRDefault="00192A94">
      <w:pPr>
        <w:suppressAutoHyphens/>
        <w:ind w:firstLine="851"/>
        <w:jc w:val="both"/>
        <w:textAlignment w:val="center"/>
        <w:rPr>
          <w:color w:val="000000"/>
          <w:szCs w:val="24"/>
        </w:rPr>
      </w:pPr>
      <w:r>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Pr>
          <w:szCs w:val="24"/>
        </w:rPr>
        <w:t>88 </w:t>
      </w:r>
      <w:r>
        <w:rPr>
          <w:szCs w:val="24"/>
        </w:rPr>
        <w:t>punktu</w:t>
      </w:r>
      <w:r>
        <w:rPr>
          <w:color w:val="000000"/>
          <w:szCs w:val="24"/>
        </w:rPr>
        <w:t>,</w:t>
      </w:r>
    </w:p>
    <w:p w14:paraId="28814EAF" w14:textId="72BE3646" w:rsidR="00D35D9B" w:rsidRDefault="00192A94" w:rsidP="00A602AB">
      <w:pPr>
        <w:ind w:firstLine="851"/>
        <w:jc w:val="both"/>
        <w:rPr>
          <w:bCs/>
          <w:szCs w:val="24"/>
        </w:rPr>
      </w:pPr>
      <w:r>
        <w:rPr>
          <w:szCs w:val="24"/>
        </w:rPr>
        <w:t>p a k e i č i u</w:t>
      </w:r>
      <w:r w:rsidR="00D35D9B">
        <w:rPr>
          <w:szCs w:val="24"/>
        </w:rPr>
        <w:t xml:space="preserve"> Lietuvos Respublikos ūkio ministro 201</w:t>
      </w:r>
      <w:r w:rsidR="00E54F29">
        <w:rPr>
          <w:szCs w:val="24"/>
        </w:rPr>
        <w:t>7</w:t>
      </w:r>
      <w:r w:rsidR="00D35D9B">
        <w:rPr>
          <w:szCs w:val="24"/>
        </w:rPr>
        <w:t xml:space="preserve"> </w:t>
      </w:r>
      <w:r w:rsidR="00A602AB">
        <w:rPr>
          <w:szCs w:val="24"/>
        </w:rPr>
        <w:t xml:space="preserve">m. </w:t>
      </w:r>
      <w:r w:rsidR="00E54F29">
        <w:rPr>
          <w:szCs w:val="24"/>
        </w:rPr>
        <w:t>kovo</w:t>
      </w:r>
      <w:r w:rsidR="00A602AB">
        <w:rPr>
          <w:szCs w:val="24"/>
        </w:rPr>
        <w:t xml:space="preserve"> </w:t>
      </w:r>
      <w:r w:rsidR="00E54F29">
        <w:rPr>
          <w:szCs w:val="24"/>
        </w:rPr>
        <w:t>6</w:t>
      </w:r>
      <w:r w:rsidR="00A602AB">
        <w:rPr>
          <w:szCs w:val="24"/>
        </w:rPr>
        <w:t xml:space="preserve"> d. įsakymą </w:t>
      </w:r>
      <w:r w:rsidR="00206631">
        <w:rPr>
          <w:szCs w:val="24"/>
        </w:rPr>
        <w:br/>
      </w:r>
      <w:r w:rsidR="00A602AB">
        <w:rPr>
          <w:szCs w:val="24"/>
        </w:rPr>
        <w:t>Nr. 4-</w:t>
      </w:r>
      <w:r w:rsidR="00E54F29">
        <w:rPr>
          <w:szCs w:val="24"/>
        </w:rPr>
        <w:t>128</w:t>
      </w:r>
      <w:r w:rsidR="00A602AB">
        <w:rPr>
          <w:szCs w:val="24"/>
        </w:rPr>
        <w:t xml:space="preserve"> </w:t>
      </w:r>
      <w:r w:rsidR="00A602AB" w:rsidRPr="00A602AB">
        <w:rPr>
          <w:szCs w:val="24"/>
        </w:rPr>
        <w:t>„</w:t>
      </w:r>
      <w:r w:rsidR="00A602AB">
        <w:rPr>
          <w:bCs/>
          <w:szCs w:val="24"/>
        </w:rPr>
        <w:t>D</w:t>
      </w:r>
      <w:r w:rsidR="00A602AB" w:rsidRPr="00A602AB">
        <w:rPr>
          <w:bCs/>
          <w:szCs w:val="24"/>
        </w:rPr>
        <w:t xml:space="preserve">ėl 2014–2020 metų </w:t>
      </w:r>
      <w:r w:rsidR="00A602AB">
        <w:rPr>
          <w:bCs/>
          <w:szCs w:val="24"/>
        </w:rPr>
        <w:t>E</w:t>
      </w:r>
      <w:r w:rsidR="00A602AB" w:rsidRPr="00A602AB">
        <w:rPr>
          <w:bCs/>
          <w:szCs w:val="24"/>
        </w:rPr>
        <w:t xml:space="preserve">uropos </w:t>
      </w:r>
      <w:r w:rsidR="00A602AB">
        <w:rPr>
          <w:bCs/>
          <w:szCs w:val="24"/>
        </w:rPr>
        <w:t>S</w:t>
      </w:r>
      <w:r w:rsidR="00A602AB" w:rsidRPr="00A602AB">
        <w:rPr>
          <w:bCs/>
          <w:szCs w:val="24"/>
        </w:rPr>
        <w:t>ąjungos fondų investicijų veiksmų programos 1 prioriteto „</w:t>
      </w:r>
      <w:r w:rsidR="00A602AB">
        <w:rPr>
          <w:bCs/>
          <w:szCs w:val="24"/>
        </w:rPr>
        <w:t>M</w:t>
      </w:r>
      <w:r w:rsidR="00A602AB" w:rsidRPr="00A602AB">
        <w:rPr>
          <w:bCs/>
          <w:szCs w:val="24"/>
        </w:rPr>
        <w:t xml:space="preserve">okslinių tyrimų, eksperimentinės plėtros ir inovacijų skatinimas“ priemonės </w:t>
      </w:r>
      <w:r w:rsidR="00FF3071">
        <w:rPr>
          <w:bCs/>
          <w:szCs w:val="24"/>
        </w:rPr>
        <w:br/>
      </w:r>
      <w:r w:rsidR="00A602AB">
        <w:rPr>
          <w:bCs/>
          <w:szCs w:val="24"/>
        </w:rPr>
        <w:t>N</w:t>
      </w:r>
      <w:r w:rsidR="00A602AB" w:rsidRPr="00A602AB">
        <w:rPr>
          <w:bCs/>
          <w:szCs w:val="24"/>
        </w:rPr>
        <w:t xml:space="preserve">r. </w:t>
      </w:r>
      <w:r w:rsidR="00A602AB" w:rsidRPr="00A602AB">
        <w:rPr>
          <w:bCs/>
          <w:szCs w:val="24"/>
          <w:lang w:eastAsia="lt-LT"/>
        </w:rPr>
        <w:t>01.2.1-</w:t>
      </w:r>
      <w:r w:rsidR="00E54F29">
        <w:rPr>
          <w:bCs/>
          <w:szCs w:val="24"/>
          <w:lang w:eastAsia="lt-LT"/>
        </w:rPr>
        <w:t>LVPA</w:t>
      </w:r>
      <w:r w:rsidR="00A602AB" w:rsidRPr="00A602AB">
        <w:rPr>
          <w:bCs/>
          <w:szCs w:val="24"/>
          <w:lang w:eastAsia="lt-LT"/>
        </w:rPr>
        <w:t>-</w:t>
      </w:r>
      <w:r w:rsidR="00A602AB">
        <w:rPr>
          <w:bCs/>
          <w:szCs w:val="24"/>
          <w:lang w:eastAsia="lt-LT"/>
        </w:rPr>
        <w:t>T</w:t>
      </w:r>
      <w:r w:rsidR="00A602AB" w:rsidRPr="00A602AB">
        <w:rPr>
          <w:bCs/>
          <w:szCs w:val="24"/>
          <w:lang w:eastAsia="lt-LT"/>
        </w:rPr>
        <w:t>-8</w:t>
      </w:r>
      <w:r w:rsidR="00E54F29">
        <w:rPr>
          <w:bCs/>
          <w:szCs w:val="24"/>
          <w:lang w:eastAsia="lt-LT"/>
        </w:rPr>
        <w:t>44</w:t>
      </w:r>
      <w:r w:rsidR="00A602AB" w:rsidRPr="00A602AB">
        <w:rPr>
          <w:bCs/>
          <w:szCs w:val="24"/>
          <w:lang w:eastAsia="lt-LT"/>
        </w:rPr>
        <w:t xml:space="preserve"> </w:t>
      </w:r>
      <w:r w:rsidR="00A602AB" w:rsidRPr="00A602AB">
        <w:rPr>
          <w:rFonts w:eastAsia="Calibri"/>
          <w:bCs/>
          <w:szCs w:val="24"/>
          <w:lang w:eastAsia="lt-LT"/>
        </w:rPr>
        <w:t>„</w:t>
      </w:r>
      <w:proofErr w:type="spellStart"/>
      <w:r w:rsidR="00A602AB">
        <w:rPr>
          <w:rFonts w:eastAsia="Calibri"/>
          <w:bCs/>
          <w:szCs w:val="24"/>
          <w:lang w:eastAsia="lt-LT"/>
        </w:rPr>
        <w:t>I</w:t>
      </w:r>
      <w:r w:rsidR="00A602AB" w:rsidRPr="00A602AB">
        <w:rPr>
          <w:rFonts w:eastAsia="Calibri"/>
          <w:bCs/>
          <w:szCs w:val="24"/>
          <w:lang w:eastAsia="lt-LT"/>
        </w:rPr>
        <w:t>no</w:t>
      </w:r>
      <w:r w:rsidR="00CE2E61">
        <w:rPr>
          <w:rFonts w:eastAsia="Calibri"/>
          <w:bCs/>
          <w:szCs w:val="24"/>
          <w:lang w:eastAsia="lt-LT"/>
        </w:rPr>
        <w:t>Connect</w:t>
      </w:r>
      <w:proofErr w:type="spellEnd"/>
      <w:r w:rsidR="00A602AB" w:rsidRPr="00A602AB">
        <w:rPr>
          <w:rFonts w:eastAsia="Calibri"/>
          <w:bCs/>
          <w:szCs w:val="24"/>
          <w:lang w:eastAsia="lt-LT"/>
        </w:rPr>
        <w:t>“</w:t>
      </w:r>
      <w:r w:rsidR="00A602AB" w:rsidRPr="00A602AB">
        <w:rPr>
          <w:bCs/>
          <w:szCs w:val="24"/>
          <w:lang w:eastAsia="lt-LT"/>
        </w:rPr>
        <w:t xml:space="preserve"> </w:t>
      </w:r>
      <w:r w:rsidR="00A602AB" w:rsidRPr="00A602AB">
        <w:rPr>
          <w:bCs/>
          <w:szCs w:val="24"/>
        </w:rPr>
        <w:t>projektų finansavimo sąlygų aprašo patvirtinimo“</w:t>
      </w:r>
      <w:r w:rsidR="00B77167">
        <w:rPr>
          <w:bCs/>
          <w:szCs w:val="24"/>
        </w:rPr>
        <w:t>:</w:t>
      </w:r>
    </w:p>
    <w:p w14:paraId="03B44D05" w14:textId="2D9C1188" w:rsidR="00B77167" w:rsidRDefault="00B77167" w:rsidP="00B77167">
      <w:pPr>
        <w:ind w:firstLine="851"/>
        <w:jc w:val="both"/>
        <w:rPr>
          <w:bCs/>
          <w:szCs w:val="24"/>
        </w:rPr>
      </w:pPr>
      <w:r>
        <w:rPr>
          <w:bCs/>
          <w:szCs w:val="24"/>
        </w:rPr>
        <w:t>1. Pakeičiu nurodytą įsakymą ir jį išdėstau nauja redakcija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sidR="00CE2E61">
        <w:rPr>
          <w:bCs/>
          <w:szCs w:val="24"/>
          <w:lang w:eastAsia="lt-LT"/>
        </w:rPr>
        <w:t>LVPA</w:t>
      </w:r>
      <w:r w:rsidRPr="00A602AB">
        <w:rPr>
          <w:bCs/>
          <w:szCs w:val="24"/>
          <w:lang w:eastAsia="lt-LT"/>
        </w:rPr>
        <w:t>-</w:t>
      </w:r>
      <w:r>
        <w:rPr>
          <w:bCs/>
          <w:szCs w:val="24"/>
          <w:lang w:eastAsia="lt-LT"/>
        </w:rPr>
        <w:t>T</w:t>
      </w:r>
      <w:r w:rsidRPr="00A602AB">
        <w:rPr>
          <w:bCs/>
          <w:szCs w:val="24"/>
          <w:lang w:eastAsia="lt-LT"/>
        </w:rPr>
        <w:t>-8</w:t>
      </w:r>
      <w:r w:rsidR="00CE2E61">
        <w:rPr>
          <w:bCs/>
          <w:szCs w:val="24"/>
          <w:lang w:eastAsia="lt-LT"/>
        </w:rPr>
        <w:t>44</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CE2E61">
        <w:rPr>
          <w:rFonts w:eastAsia="Calibri"/>
          <w:bCs/>
          <w:szCs w:val="24"/>
          <w:lang w:eastAsia="lt-LT"/>
        </w:rPr>
        <w:t>Connect</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w:t>
      </w:r>
      <w:r>
        <w:rPr>
          <w:bCs/>
          <w:szCs w:val="24"/>
        </w:rPr>
        <w:t>as</w:t>
      </w:r>
      <w:r w:rsidRPr="00A602AB">
        <w:rPr>
          <w:bCs/>
          <w:szCs w:val="24"/>
        </w:rPr>
        <w:t xml:space="preserve"> </w:t>
      </w:r>
      <w:r>
        <w:rPr>
          <w:bCs/>
          <w:szCs w:val="24"/>
        </w:rPr>
        <w:t>nauja redakcija nedėstomas):</w:t>
      </w:r>
    </w:p>
    <w:p w14:paraId="36FB6A32" w14:textId="77777777" w:rsidR="005F6F1F" w:rsidRDefault="005F6F1F" w:rsidP="00B77167">
      <w:pPr>
        <w:ind w:firstLine="851"/>
        <w:jc w:val="both"/>
        <w:rPr>
          <w:bCs/>
          <w:szCs w:val="24"/>
        </w:rPr>
      </w:pPr>
    </w:p>
    <w:p w14:paraId="6625CE89" w14:textId="77777777" w:rsidR="005F6F1F" w:rsidRDefault="007B6BE9" w:rsidP="00F72E3C">
      <w:pPr>
        <w:tabs>
          <w:tab w:val="left" w:pos="709"/>
        </w:tabs>
        <w:jc w:val="center"/>
        <w:rPr>
          <w:rFonts w:eastAsia="Calibri"/>
          <w:b/>
          <w:caps/>
          <w:szCs w:val="22"/>
        </w:rPr>
      </w:pPr>
      <w:r>
        <w:rPr>
          <w:rFonts w:eastAsia="Calibri"/>
          <w:caps/>
          <w:szCs w:val="22"/>
        </w:rPr>
        <w:t>„</w:t>
      </w:r>
      <w:r w:rsidR="005F6F1F">
        <w:rPr>
          <w:rFonts w:eastAsia="Calibri"/>
          <w:b/>
          <w:caps/>
          <w:szCs w:val="22"/>
        </w:rPr>
        <w:t>LIETUVOS RESPUBLIKOS ekonomikos ir inovacijų MINISTRAS</w:t>
      </w:r>
    </w:p>
    <w:p w14:paraId="53715DD2" w14:textId="77777777" w:rsidR="005F6F1F" w:rsidRDefault="005F6F1F" w:rsidP="005F6F1F">
      <w:pPr>
        <w:jc w:val="center"/>
        <w:rPr>
          <w:rFonts w:eastAsia="Calibri"/>
          <w:b/>
          <w:caps/>
          <w:szCs w:val="22"/>
        </w:rPr>
      </w:pPr>
    </w:p>
    <w:p w14:paraId="3F292B63" w14:textId="77777777" w:rsidR="005F6F1F" w:rsidRDefault="005F6F1F" w:rsidP="005F6F1F">
      <w:pPr>
        <w:jc w:val="center"/>
        <w:rPr>
          <w:b/>
          <w:szCs w:val="24"/>
          <w:lang w:eastAsia="lt-LT"/>
        </w:rPr>
      </w:pPr>
      <w:r>
        <w:rPr>
          <w:b/>
          <w:szCs w:val="24"/>
          <w:lang w:eastAsia="lt-LT"/>
        </w:rPr>
        <w:t>ĮSAKYMAS</w:t>
      </w:r>
    </w:p>
    <w:p w14:paraId="29725699" w14:textId="2809F388" w:rsidR="005F6F1F" w:rsidRDefault="005F6F1F" w:rsidP="005F6F1F">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w:t>
      </w:r>
      <w:r>
        <w:rPr>
          <w:b/>
          <w:bCs/>
          <w:caps/>
          <w:szCs w:val="24"/>
          <w:lang w:eastAsia="lt-LT"/>
        </w:rPr>
        <w:t>01.2.1-</w:t>
      </w:r>
      <w:r w:rsidR="00CE2E61">
        <w:rPr>
          <w:b/>
          <w:bCs/>
          <w:caps/>
          <w:szCs w:val="24"/>
          <w:lang w:eastAsia="lt-LT"/>
        </w:rPr>
        <w:t>LVPA</w:t>
      </w:r>
      <w:r>
        <w:rPr>
          <w:b/>
          <w:bCs/>
          <w:caps/>
          <w:szCs w:val="24"/>
          <w:lang w:eastAsia="lt-LT"/>
        </w:rPr>
        <w:t>-T-8</w:t>
      </w:r>
      <w:r w:rsidR="00CE2E61">
        <w:rPr>
          <w:b/>
          <w:bCs/>
          <w:caps/>
          <w:szCs w:val="24"/>
          <w:lang w:eastAsia="lt-LT"/>
        </w:rPr>
        <w:t>44</w:t>
      </w:r>
      <w:r>
        <w:rPr>
          <w:b/>
          <w:bCs/>
          <w:caps/>
          <w:szCs w:val="24"/>
          <w:lang w:eastAsia="lt-LT"/>
        </w:rPr>
        <w:t xml:space="preserve"> </w:t>
      </w:r>
      <w:r>
        <w:rPr>
          <w:rFonts w:eastAsia="Calibri"/>
          <w:b/>
          <w:bCs/>
          <w:caps/>
          <w:szCs w:val="24"/>
          <w:lang w:eastAsia="lt-LT"/>
        </w:rPr>
        <w:t>„INO</w:t>
      </w:r>
      <w:r w:rsidR="00CE2E61">
        <w:rPr>
          <w:rFonts w:eastAsia="Calibri"/>
          <w:b/>
          <w:bCs/>
          <w:caps/>
          <w:szCs w:val="24"/>
          <w:lang w:eastAsia="lt-LT"/>
        </w:rPr>
        <w:t>CONNECT</w:t>
      </w:r>
      <w:r>
        <w:rPr>
          <w:rFonts w:eastAsia="Calibri"/>
          <w:b/>
          <w:bCs/>
          <w:caps/>
          <w:szCs w:val="24"/>
          <w:lang w:eastAsia="lt-LT"/>
        </w:rPr>
        <w:t>“</w:t>
      </w:r>
      <w:r>
        <w:rPr>
          <w:b/>
          <w:bCs/>
          <w:caps/>
          <w:szCs w:val="24"/>
        </w:rPr>
        <w:t xml:space="preserve"> projektų finansavimo sąlygų aprašo patvirtinimo</w:t>
      </w:r>
    </w:p>
    <w:p w14:paraId="2270F90F" w14:textId="77777777" w:rsidR="005F6F1F" w:rsidRDefault="005F6F1F" w:rsidP="005F6F1F">
      <w:pPr>
        <w:rPr>
          <w:rFonts w:eastAsia="Calibri"/>
          <w:szCs w:val="22"/>
        </w:rPr>
      </w:pPr>
    </w:p>
    <w:p w14:paraId="630F873E" w14:textId="5C8E1314" w:rsidR="005F6F1F" w:rsidRDefault="005F6F1F" w:rsidP="005D0CD3">
      <w:pPr>
        <w:suppressAutoHyphens/>
        <w:ind w:firstLine="851"/>
        <w:jc w:val="both"/>
        <w:textAlignment w:val="center"/>
        <w:rPr>
          <w:color w:val="000000"/>
          <w:szCs w:val="24"/>
        </w:rPr>
      </w:pPr>
      <w:r>
        <w:rPr>
          <w:color w:val="000000"/>
          <w:szCs w:val="24"/>
        </w:rPr>
        <w:t xml:space="preserve">Vadovaudamasis Atsakomybės ir funkcijų paskirstymo tarp institucijų, įgyvendinant </w:t>
      </w:r>
      <w:r w:rsidR="00206631">
        <w:rPr>
          <w:color w:val="000000"/>
          <w:szCs w:val="24"/>
        </w:rPr>
        <w:br/>
      </w:r>
      <w:r>
        <w:rPr>
          <w:color w:val="000000"/>
          <w:szCs w:val="24"/>
        </w:rPr>
        <w:t xml:space="preserve">2014–2020 metų Europos Sąjungos fondų investicijų veiksmų programą, taisyklių, patvirtintų Lietuvos Respublikos Vyriausybės 2014 m. birželio 4 d. nutarimu Nr. 528 „Dėl </w:t>
      </w:r>
      <w:r w:rsidR="007B6BE9">
        <w:rPr>
          <w:color w:val="000000"/>
          <w:szCs w:val="24"/>
        </w:rPr>
        <w:t>a</w:t>
      </w:r>
      <w:r>
        <w:rPr>
          <w:color w:val="000000"/>
          <w:szCs w:val="24"/>
        </w:rPr>
        <w:t>tsakomybės ir funkcijų paskirstymo tarp institucijų, įgyvendinant 2014–2020 metų Europos Sąjungos fondų investicijų veiksmų programą“, 6.2.7 papunkčiu,</w:t>
      </w:r>
    </w:p>
    <w:p w14:paraId="65C44AB6" w14:textId="66C97AC5" w:rsidR="005F6F1F" w:rsidRDefault="005F6F1F" w:rsidP="005D0CD3">
      <w:pPr>
        <w:suppressAutoHyphens/>
        <w:ind w:firstLine="851"/>
        <w:jc w:val="both"/>
        <w:textAlignment w:val="center"/>
        <w:rPr>
          <w:color w:val="000000"/>
          <w:szCs w:val="24"/>
        </w:rPr>
      </w:pPr>
      <w:r>
        <w:rPr>
          <w:color w:val="000000"/>
          <w:szCs w:val="24"/>
        </w:rPr>
        <w:t>t v i r t i n u  2014–2020 metų Europos Sąjungos fondų investicijų veiksmų programos 1 prioriteto „Mokslinių tyrimų, eksperimentinės plėtros ir inovacijų skatinimas“ priemonės Nr. </w:t>
      </w:r>
      <w:r>
        <w:rPr>
          <w:color w:val="000000"/>
          <w:szCs w:val="24"/>
          <w:lang w:eastAsia="lt-LT"/>
        </w:rPr>
        <w:t>01.2.1-</w:t>
      </w:r>
      <w:r w:rsidR="00250639">
        <w:rPr>
          <w:color w:val="000000"/>
          <w:szCs w:val="24"/>
          <w:lang w:eastAsia="lt-LT"/>
        </w:rPr>
        <w:t>LVPA</w:t>
      </w:r>
      <w:r>
        <w:rPr>
          <w:color w:val="000000"/>
          <w:szCs w:val="24"/>
          <w:lang w:eastAsia="lt-LT"/>
        </w:rPr>
        <w:t>-T-8</w:t>
      </w:r>
      <w:r w:rsidR="00250639">
        <w:rPr>
          <w:color w:val="000000"/>
          <w:szCs w:val="24"/>
          <w:lang w:eastAsia="lt-LT"/>
        </w:rPr>
        <w:t>44</w:t>
      </w:r>
      <w:r>
        <w:rPr>
          <w:color w:val="000000"/>
          <w:szCs w:val="24"/>
          <w:lang w:eastAsia="lt-LT"/>
        </w:rPr>
        <w:t xml:space="preserve"> </w:t>
      </w:r>
      <w:r>
        <w:rPr>
          <w:rFonts w:eastAsia="Calibri"/>
          <w:color w:val="000000"/>
          <w:szCs w:val="24"/>
          <w:lang w:eastAsia="lt-LT"/>
        </w:rPr>
        <w:t>„</w:t>
      </w:r>
      <w:proofErr w:type="spellStart"/>
      <w:r>
        <w:rPr>
          <w:rFonts w:eastAsia="Calibri"/>
          <w:color w:val="000000"/>
          <w:szCs w:val="24"/>
          <w:lang w:eastAsia="lt-LT"/>
        </w:rPr>
        <w:t>Ino</w:t>
      </w:r>
      <w:r w:rsidR="00250639">
        <w:rPr>
          <w:rFonts w:eastAsia="Calibri"/>
          <w:color w:val="000000"/>
          <w:szCs w:val="24"/>
          <w:lang w:eastAsia="lt-LT"/>
        </w:rPr>
        <w:t>Connect</w:t>
      </w:r>
      <w:proofErr w:type="spellEnd"/>
      <w:r>
        <w:rPr>
          <w:rFonts w:eastAsia="Calibri"/>
          <w:color w:val="000000"/>
          <w:szCs w:val="24"/>
          <w:lang w:eastAsia="lt-LT"/>
        </w:rPr>
        <w:t xml:space="preserve">“ </w:t>
      </w:r>
      <w:r>
        <w:rPr>
          <w:color w:val="000000"/>
          <w:szCs w:val="24"/>
        </w:rPr>
        <w:t>projektų finansavimo sąlygų aprašą (pridedama)</w:t>
      </w:r>
      <w:r w:rsidR="007B6BE9">
        <w:rPr>
          <w:color w:val="000000"/>
          <w:szCs w:val="24"/>
        </w:rPr>
        <w:t>.</w:t>
      </w:r>
      <w:r>
        <w:rPr>
          <w:color w:val="000000"/>
          <w:szCs w:val="24"/>
        </w:rPr>
        <w:t>“</w:t>
      </w:r>
    </w:p>
    <w:p w14:paraId="36730541" w14:textId="427B5DDE" w:rsidR="005F6F1F" w:rsidRDefault="005F6F1F" w:rsidP="00B77167">
      <w:pPr>
        <w:ind w:firstLine="851"/>
        <w:jc w:val="both"/>
        <w:rPr>
          <w:bCs/>
          <w:szCs w:val="24"/>
        </w:rPr>
      </w:pPr>
      <w:r>
        <w:rPr>
          <w:szCs w:val="24"/>
        </w:rPr>
        <w:t xml:space="preserve">2. Pakeičiu nurodytu įsakymu patvirtintą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sidR="00250639">
        <w:rPr>
          <w:bCs/>
          <w:szCs w:val="24"/>
          <w:lang w:eastAsia="lt-LT"/>
        </w:rPr>
        <w:t>LVPA</w:t>
      </w:r>
      <w:r w:rsidRPr="00A602AB">
        <w:rPr>
          <w:bCs/>
          <w:szCs w:val="24"/>
          <w:lang w:eastAsia="lt-LT"/>
        </w:rPr>
        <w:t>-</w:t>
      </w:r>
      <w:r>
        <w:rPr>
          <w:bCs/>
          <w:szCs w:val="24"/>
          <w:lang w:eastAsia="lt-LT"/>
        </w:rPr>
        <w:t>T</w:t>
      </w:r>
      <w:r w:rsidRPr="00A602AB">
        <w:rPr>
          <w:bCs/>
          <w:szCs w:val="24"/>
          <w:lang w:eastAsia="lt-LT"/>
        </w:rPr>
        <w:t>-8</w:t>
      </w:r>
      <w:r w:rsidR="00250639">
        <w:rPr>
          <w:bCs/>
          <w:szCs w:val="24"/>
          <w:lang w:eastAsia="lt-LT"/>
        </w:rPr>
        <w:t>44</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250639">
        <w:rPr>
          <w:rFonts w:eastAsia="Calibri"/>
          <w:bCs/>
          <w:szCs w:val="24"/>
          <w:lang w:eastAsia="lt-LT"/>
        </w:rPr>
        <w:t>Connect</w:t>
      </w:r>
      <w:proofErr w:type="spellEnd"/>
      <w:r w:rsidRPr="00A602AB">
        <w:rPr>
          <w:rFonts w:eastAsia="Calibri"/>
          <w:bCs/>
          <w:szCs w:val="24"/>
          <w:lang w:eastAsia="lt-LT"/>
        </w:rPr>
        <w:t>“</w:t>
      </w:r>
      <w:r w:rsidRPr="00A602AB">
        <w:rPr>
          <w:bCs/>
          <w:szCs w:val="24"/>
          <w:lang w:eastAsia="lt-LT"/>
        </w:rPr>
        <w:t xml:space="preserve"> </w:t>
      </w:r>
      <w:r w:rsidRPr="00A602AB">
        <w:rPr>
          <w:bCs/>
          <w:szCs w:val="24"/>
        </w:rPr>
        <w:t xml:space="preserve">projektų finansavimo sąlygų </w:t>
      </w:r>
      <w:r w:rsidR="00206631">
        <w:rPr>
          <w:bCs/>
          <w:szCs w:val="24"/>
        </w:rPr>
        <w:br/>
      </w:r>
      <w:r w:rsidRPr="00A602AB">
        <w:rPr>
          <w:bCs/>
          <w:szCs w:val="24"/>
        </w:rPr>
        <w:t>apraš</w:t>
      </w:r>
      <w:r>
        <w:rPr>
          <w:bCs/>
          <w:szCs w:val="24"/>
        </w:rPr>
        <w:t>ą</w:t>
      </w:r>
      <w:r w:rsidR="00206631">
        <w:rPr>
          <w:bCs/>
          <w:szCs w:val="24"/>
        </w:rPr>
        <w:t>:</w:t>
      </w:r>
    </w:p>
    <w:p w14:paraId="0BE2F863" w14:textId="77777777" w:rsidR="00BE4B5C" w:rsidRDefault="00206631" w:rsidP="00BE4B5C">
      <w:pPr>
        <w:ind w:firstLine="851"/>
        <w:jc w:val="both"/>
        <w:rPr>
          <w:bCs/>
          <w:szCs w:val="24"/>
        </w:rPr>
      </w:pPr>
      <w:r>
        <w:rPr>
          <w:bCs/>
          <w:szCs w:val="24"/>
        </w:rPr>
        <w:t xml:space="preserve">2.1. </w:t>
      </w:r>
      <w:r w:rsidR="00BE4B5C">
        <w:rPr>
          <w:bCs/>
          <w:szCs w:val="24"/>
        </w:rPr>
        <w:t>Pakeičiu 5 punktą ir jį išdėstau taip:</w:t>
      </w:r>
    </w:p>
    <w:p w14:paraId="1D5FA471" w14:textId="4762A9F4" w:rsidR="00BE4B5C" w:rsidRDefault="00BE4B5C" w:rsidP="00BE4B5C">
      <w:pPr>
        <w:ind w:firstLine="851"/>
        <w:jc w:val="both"/>
        <w:rPr>
          <w:rFonts w:eastAsia="Calibri"/>
          <w:szCs w:val="24"/>
        </w:rPr>
      </w:pPr>
      <w:r>
        <w:rPr>
          <w:rFonts w:eastAsia="Calibri"/>
          <w:szCs w:val="24"/>
        </w:rPr>
        <w:t xml:space="preserve">„5. Priemonės įgyvendinimą administruoja Lietuvos Respublikos ekonomikos ir inovacijų ministerija (toliau – Ministerija) ir </w:t>
      </w:r>
      <w:r w:rsidR="00DC74C6">
        <w:rPr>
          <w:szCs w:val="24"/>
        </w:rPr>
        <w:t>viešoji įstaiga Lietuvos verslo paramos agentūra</w:t>
      </w:r>
      <w:r>
        <w:rPr>
          <w:rFonts w:eastAsia="Calibri"/>
          <w:szCs w:val="24"/>
        </w:rPr>
        <w:t xml:space="preserve"> </w:t>
      </w:r>
      <w:r>
        <w:rPr>
          <w:rFonts w:eastAsia="Calibri"/>
          <w:szCs w:val="24"/>
        </w:rPr>
        <w:br/>
        <w:t>(toliau – įgyvendinančioji institucija).“</w:t>
      </w:r>
    </w:p>
    <w:p w14:paraId="1B83FF36" w14:textId="57EE9F91" w:rsidR="00C66DA0" w:rsidRDefault="00BE4B5C" w:rsidP="00E83014">
      <w:pPr>
        <w:ind w:firstLine="851"/>
        <w:jc w:val="both"/>
        <w:rPr>
          <w:rFonts w:eastAsia="Calibri"/>
          <w:szCs w:val="24"/>
        </w:rPr>
      </w:pPr>
      <w:r>
        <w:rPr>
          <w:rFonts w:eastAsia="Calibri"/>
          <w:szCs w:val="24"/>
        </w:rPr>
        <w:t>2.2.</w:t>
      </w:r>
      <w:r w:rsidR="008D46BC">
        <w:rPr>
          <w:rFonts w:eastAsia="Calibri"/>
          <w:szCs w:val="24"/>
        </w:rPr>
        <w:t xml:space="preserve"> </w:t>
      </w:r>
      <w:r w:rsidR="00E83014">
        <w:rPr>
          <w:rFonts w:eastAsia="Calibri"/>
          <w:szCs w:val="24"/>
        </w:rPr>
        <w:t xml:space="preserve">Pakeičiu 12.1 papunktį ir </w:t>
      </w:r>
      <w:r w:rsidR="00BF7EF5">
        <w:rPr>
          <w:rFonts w:eastAsia="Calibri"/>
          <w:szCs w:val="24"/>
        </w:rPr>
        <w:t>išdėstau jį taip:</w:t>
      </w:r>
    </w:p>
    <w:p w14:paraId="4C094DC4" w14:textId="6531040C" w:rsidR="00BF7EF5" w:rsidRDefault="00BF7EF5" w:rsidP="00BF7EF5">
      <w:pPr>
        <w:ind w:firstLine="709"/>
        <w:jc w:val="both"/>
        <w:rPr>
          <w:szCs w:val="24"/>
        </w:rPr>
      </w:pPr>
      <w:r>
        <w:rPr>
          <w:rFonts w:eastAsia="Calibri"/>
          <w:szCs w:val="24"/>
        </w:rPr>
        <w:lastRenderedPageBreak/>
        <w:t>„</w:t>
      </w:r>
      <w:r>
        <w:rPr>
          <w:szCs w:val="24"/>
        </w:rPr>
        <w:t xml:space="preserve">12.1. įmonės, </w:t>
      </w:r>
      <w:r>
        <w:rPr>
          <w:rFonts w:eastAsia="AngsanaUPC"/>
          <w:bCs/>
          <w:szCs w:val="24"/>
        </w:rPr>
        <w:t>atitinkan</w:t>
      </w:r>
      <w:r>
        <w:rPr>
          <w:rFonts w:eastAsia="AngsanaUPC"/>
          <w:bCs/>
          <w:szCs w:val="24"/>
        </w:rPr>
        <w:t>čios</w:t>
      </w:r>
      <w:r>
        <w:rPr>
          <w:rFonts w:eastAsia="AngsanaUPC"/>
          <w:bCs/>
          <w:szCs w:val="24"/>
        </w:rPr>
        <w:t xml:space="preserve"> </w:t>
      </w:r>
      <w:r>
        <w:rPr>
          <w:rFonts w:eastAsia="AngsanaUPC"/>
          <w:bCs/>
          <w:szCs w:val="24"/>
        </w:rPr>
        <w:t>Aprašo 16.3 ir 16.4 papunkčiuose nurodytus specialiuosius projektų atrankos kriterijus</w:t>
      </w:r>
      <w:r>
        <w:rPr>
          <w:szCs w:val="24"/>
        </w:rPr>
        <w:t>;</w:t>
      </w:r>
      <w:r>
        <w:rPr>
          <w:szCs w:val="24"/>
        </w:rPr>
        <w:t>“.</w:t>
      </w:r>
    </w:p>
    <w:p w14:paraId="247533AD" w14:textId="3161FAE3" w:rsidR="00BF7EF5" w:rsidRDefault="00BF7EF5" w:rsidP="00BF7EF5">
      <w:pPr>
        <w:ind w:firstLine="709"/>
        <w:jc w:val="both"/>
        <w:rPr>
          <w:szCs w:val="24"/>
        </w:rPr>
      </w:pPr>
      <w:r>
        <w:rPr>
          <w:szCs w:val="24"/>
        </w:rPr>
        <w:t>2.3. Pakeičiu 16 punktą ir jį išdėstau taip:</w:t>
      </w:r>
    </w:p>
    <w:p w14:paraId="00BBB4EE" w14:textId="2516E186" w:rsidR="00AF6D15" w:rsidRDefault="00BF7EF5" w:rsidP="00AF6D15">
      <w:pPr>
        <w:tabs>
          <w:tab w:val="left" w:pos="1134"/>
        </w:tabs>
        <w:ind w:firstLine="709"/>
        <w:jc w:val="both"/>
        <w:rPr>
          <w:rFonts w:eastAsia="Calibri"/>
          <w:szCs w:val="24"/>
        </w:rPr>
      </w:pPr>
      <w:r>
        <w:rPr>
          <w:szCs w:val="24"/>
        </w:rPr>
        <w:t>„16</w:t>
      </w:r>
      <w:r w:rsidR="00AF6D15">
        <w:rPr>
          <w:szCs w:val="24"/>
          <w:lang w:eastAsia="lt-LT"/>
        </w:rPr>
        <w:t>.</w:t>
      </w:r>
      <w:r w:rsidR="00AF6D15">
        <w:rPr>
          <w:bCs/>
          <w:szCs w:val="24"/>
          <w:lang w:eastAsia="lt-LT"/>
        </w:rPr>
        <w:t xml:space="preserve"> </w:t>
      </w:r>
      <w:r w:rsidR="00AF6D15">
        <w:rPr>
          <w:rFonts w:eastAsia="Calibri"/>
          <w:szCs w:val="24"/>
        </w:rPr>
        <w:t>Projektas turi atitikti šiuos specialiuosius projektų at</w:t>
      </w:r>
      <w:r w:rsidR="00AF6D15">
        <w:rPr>
          <w:rFonts w:eastAsia="Calibri"/>
          <w:szCs w:val="24"/>
        </w:rPr>
        <w:t xml:space="preserve">rankos kriterijus, patvirtintus </w:t>
      </w:r>
      <w:r w:rsidR="00AF6D15">
        <w:rPr>
          <w:rFonts w:eastAsia="Calibri"/>
          <w:szCs w:val="24"/>
        </w:rPr>
        <w:br/>
      </w:r>
      <w:r w:rsidR="00AF6D15">
        <w:rPr>
          <w:rFonts w:eastAsia="Calibri"/>
          <w:szCs w:val="24"/>
        </w:rPr>
        <w:t xml:space="preserve">2014–2020 metų Europos Sąjungos fondų investicijų veiksmų programos stebėsenos komiteto </w:t>
      </w:r>
      <w:r w:rsidR="00AF6D15">
        <w:rPr>
          <w:rFonts w:eastAsia="Calibri"/>
          <w:szCs w:val="24"/>
        </w:rPr>
        <w:br/>
      </w:r>
      <w:r w:rsidR="00AF6D15">
        <w:rPr>
          <w:rFonts w:eastAsia="Calibri"/>
          <w:szCs w:val="24"/>
        </w:rPr>
        <w:t>2016 m. vasario 18 d. nutarimu Nr. 44P-12.1(14), 2017 m. rugpjūčio 10 d. protokoliniu sprendimu Nr. 44P-5 (27), 2018 m. vasario 22 d. protokoliniu sprendimu</w:t>
      </w:r>
      <w:r w:rsidR="00AF6D15">
        <w:rPr>
          <w:rFonts w:eastAsia="Calibri"/>
          <w:bCs/>
          <w:szCs w:val="24"/>
        </w:rPr>
        <w:t xml:space="preserve"> Nr. 44P-1(31) ir 2019 m. birželio 21 d. </w:t>
      </w:r>
      <w:r w:rsidR="00AF6D15">
        <w:t xml:space="preserve">Nr. 44P-6 (42) </w:t>
      </w:r>
      <w:r w:rsidR="00AF6D15">
        <w:rPr>
          <w:rFonts w:eastAsia="Calibri"/>
          <w:szCs w:val="24"/>
        </w:rPr>
        <w:t xml:space="preserve"> (projektas turi atitikti Aprašo 16.1 arba 16.6 papunkčiuose nurodytus specialiuosius projektų atrankos kriterijus ir visus kitus Aprašo 16.2–16.5 papunkčiuose nurodytus specialiuosius projektų atrankos kriterijus):</w:t>
      </w:r>
    </w:p>
    <w:p w14:paraId="3C18C6BC" w14:textId="211FDB0D" w:rsidR="00AF6D15" w:rsidRDefault="00AF6D15" w:rsidP="00AF6D15">
      <w:pPr>
        <w:ind w:firstLine="709"/>
        <w:jc w:val="both"/>
        <w:rPr>
          <w:rFonts w:eastAsia="Calibri"/>
          <w:iCs/>
          <w:szCs w:val="24"/>
        </w:rPr>
      </w:pPr>
      <w:r>
        <w:rPr>
          <w:szCs w:val="24"/>
          <w:lang w:eastAsia="lt-LT"/>
        </w:rPr>
        <w:t xml:space="preserve">16.1. </w:t>
      </w:r>
      <w:r>
        <w:rPr>
          <w:rFonts w:eastAsia="Calibri"/>
          <w:szCs w:val="24"/>
        </w:rPr>
        <w:t>Projektas prisideda prie Lietuvos inovacijų plėtros 2014–2020 metų programos įgyvendinimo 2014–2017 metų veiksmų plano, patvirtinto Lietuvos Respublikos ūkio ministro 2014 m. liepos 16 d. įsakymu Nr. 4-491 „Dėl Lietuvos inovacijų plėtros 2014–2020 metų programos įgyvendinimo 2014–2017 metų veiksmų plano patvirtinimo“ (toliau – 2014–2017 m. veiksmų planas), įgyvendinimo (</w:t>
      </w:r>
      <w:r>
        <w:rPr>
          <w:rFonts w:eastAsia="Calibri"/>
          <w:iCs/>
          <w:szCs w:val="24"/>
        </w:rPr>
        <w:t xml:space="preserve">vertinama, ar projekto veiklos sritis atitinka </w:t>
      </w:r>
      <w:r>
        <w:rPr>
          <w:rFonts w:eastAsia="Calibri"/>
          <w:szCs w:val="24"/>
        </w:rPr>
        <w:t xml:space="preserve">2014–2017 m. </w:t>
      </w:r>
      <w:r>
        <w:rPr>
          <w:rFonts w:eastAsia="Calibri"/>
          <w:iCs/>
          <w:szCs w:val="24"/>
        </w:rPr>
        <w:t xml:space="preserve">veiksmų plano </w:t>
      </w:r>
      <w:r>
        <w:rPr>
          <w:rFonts w:eastAsia="Calibri"/>
          <w:iCs/>
          <w:szCs w:val="24"/>
        </w:rPr>
        <w:br/>
      </w:r>
      <w:r>
        <w:rPr>
          <w:rFonts w:eastAsia="Calibri"/>
          <w:iCs/>
          <w:szCs w:val="24"/>
        </w:rPr>
        <w:t xml:space="preserve">3 tikslo „Skatinti vertės tinklų kūrimą, plėtrą ir jų </w:t>
      </w:r>
      <w:proofErr w:type="spellStart"/>
      <w:r>
        <w:rPr>
          <w:rFonts w:eastAsia="Calibri"/>
          <w:iCs/>
          <w:szCs w:val="24"/>
        </w:rPr>
        <w:t>tarptautiškumą</w:t>
      </w:r>
      <w:proofErr w:type="spellEnd"/>
      <w:r>
        <w:rPr>
          <w:rFonts w:eastAsia="Calibri"/>
          <w:iCs/>
          <w:szCs w:val="24"/>
        </w:rPr>
        <w:t xml:space="preserve">“ 3.2 uždavinio „Skatinti klasterių plėtrą ir integraciją į tarptautinius vertės kūrimo tinklus“ 3.2.4 veiksmą „Teikti finansavimą verslo tarptautinei </w:t>
      </w:r>
      <w:proofErr w:type="spellStart"/>
      <w:r>
        <w:rPr>
          <w:rFonts w:eastAsia="Calibri"/>
          <w:iCs/>
          <w:szCs w:val="24"/>
        </w:rPr>
        <w:t>tinklaveikai</w:t>
      </w:r>
      <w:proofErr w:type="spellEnd"/>
      <w:r>
        <w:rPr>
          <w:rFonts w:eastAsia="Calibri"/>
          <w:iCs/>
          <w:szCs w:val="24"/>
        </w:rPr>
        <w:t>, dalyvavimui tarptautiniuose MTEPI projektuose ir tarptautinių partnerių paieškai“).</w:t>
      </w:r>
      <w:r>
        <w:rPr>
          <w:rFonts w:ascii="Calibri" w:eastAsia="Calibri" w:hAnsi="Calibri"/>
          <w:sz w:val="22"/>
          <w:szCs w:val="22"/>
        </w:rPr>
        <w:t xml:space="preserve"> </w:t>
      </w:r>
      <w:r>
        <w:rPr>
          <w:rFonts w:eastAsia="Calibri"/>
          <w:iCs/>
          <w:szCs w:val="24"/>
        </w:rPr>
        <w:t xml:space="preserve">Šis kriterijus taikomas projektams, kurių paraiškos finansavimui gauti pateiktos iki </w:t>
      </w:r>
      <w:r>
        <w:rPr>
          <w:rFonts w:eastAsia="Calibri"/>
          <w:iCs/>
          <w:szCs w:val="24"/>
        </w:rPr>
        <w:br/>
      </w:r>
      <w:r>
        <w:rPr>
          <w:rFonts w:eastAsia="Calibri"/>
          <w:iCs/>
          <w:szCs w:val="24"/>
        </w:rPr>
        <w:t>2014–2017 m. veiksmų plano galiojimo termino pabaigos.</w:t>
      </w:r>
    </w:p>
    <w:p w14:paraId="1D8CDD96" w14:textId="26A72A4B" w:rsidR="00AF6D15" w:rsidRDefault="00AF6D15" w:rsidP="00AF6D15">
      <w:pPr>
        <w:ind w:firstLine="709"/>
        <w:jc w:val="both"/>
        <w:rPr>
          <w:rFonts w:eastAsia="Calibri"/>
          <w:szCs w:val="24"/>
        </w:rPr>
      </w:pPr>
      <w:r>
        <w:rPr>
          <w:rFonts w:eastAsia="Calibri"/>
          <w:szCs w:val="24"/>
        </w:rPr>
        <w:t xml:space="preserve">16.2. 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w:t>
      </w:r>
      <w:r>
        <w:rPr>
          <w:rFonts w:eastAsia="Calibri"/>
          <w:szCs w:val="24"/>
        </w:rPr>
        <w:br/>
      </w:r>
      <w:r>
        <w:rPr>
          <w:rFonts w:eastAsia="Calibri"/>
          <w:szCs w:val="24"/>
        </w:rPr>
        <w:t>Nr. 411 „Dėl Prioritetinių mokslinių tyrimų ir eksperimentinės (socialinės, kultūrinės) plėtros ir inovacijų raidos (sumanios specializacijos) krypčių ir jų prioritetų įgyvendinimo programos patvirtinimo“</w:t>
      </w:r>
      <w:r>
        <w:rPr>
          <w:rFonts w:eastAsia="Calibri"/>
          <w:szCs w:val="24"/>
          <w:lang w:eastAsia="lt-LT"/>
        </w:rPr>
        <w:t xml:space="preserve"> (toliau – Prioritetinių mokslinių tyrimų ir eksperimentinės (socialinės, kultūrinės) plėtros ir inovacijų raidos (sumanios specializacijos) krypčių ir jų prioritetų įgyvendinimo programa)</w:t>
      </w:r>
      <w:r>
        <w:rPr>
          <w:rFonts w:eastAsia="Calibri"/>
          <w:szCs w:val="24"/>
        </w:rPr>
        <w:t>, nuostatas ir bent vieno Prioritetinių mokslinių tyrimų ir eksperimentinės (socialinės, kultūrinės) plėtros ir inovacijų raidos (sumanios specializacijos) krypčių ir jų prioritetų įgyvendinimo programoje nustatyto prioriteto veiksmų planą (v</w:t>
      </w:r>
      <w:r>
        <w:rPr>
          <w:rFonts w:eastAsia="Calibri"/>
          <w:iCs/>
          <w:szCs w:val="24"/>
        </w:rPr>
        <w:t>ertinama, ar projektas prisideda prie Prioritetinių mokslinių tyrimų ir eksperimentinės (socialinės, kultūrinės) plėtros ir inovacijų raidos (sumanios specializacijos) krypčių ir jų prioritetų įgyvendinimo programos 19.1</w:t>
      </w:r>
      <w:r>
        <w:rPr>
          <w:rFonts w:eastAsia="Calibri"/>
          <w:szCs w:val="24"/>
          <w:lang w:eastAsia="lt-LT"/>
        </w:rPr>
        <w:t xml:space="preserve"> papunktyje nurodyto</w:t>
      </w:r>
      <w:r>
        <w:rPr>
          <w:rFonts w:eastAsia="Calibri"/>
          <w:iCs/>
          <w:szCs w:val="24"/>
        </w:rPr>
        <w:t xml:space="preserve"> tikslo įgyvendinimo ir atitinka bent vieno konkretaus prioriteto veiksmų plane nustatytą bent vieną prioriteto teminį specifiškumą).</w:t>
      </w:r>
    </w:p>
    <w:p w14:paraId="401D86C7" w14:textId="77777777" w:rsidR="00AF6D15" w:rsidRDefault="00AF6D15" w:rsidP="00AF6D15">
      <w:pPr>
        <w:ind w:firstLine="709"/>
        <w:jc w:val="both"/>
        <w:rPr>
          <w:rFonts w:eastAsia="Calibri"/>
          <w:color w:val="000000"/>
          <w:szCs w:val="24"/>
        </w:rPr>
      </w:pPr>
      <w:r>
        <w:rPr>
          <w:rFonts w:eastAsia="Calibri"/>
          <w:color w:val="000000"/>
          <w:szCs w:val="24"/>
        </w:rPr>
        <w:t>16.3. Pareiškėjas yra juridinis asmuo, vykdantis MTEPI veiklą ir ją deklaruojantis Lietuvos statistikos departamentui (jeigu pareiškėjas yra klasterio koordinatorius, tuomet bent vienas jo narys, išskyrus mokslo ir studijų instituciją, turi vykdyti MTEPI veiklą ir ją deklaruoti Lietuvos statistikos departamentui)</w:t>
      </w:r>
      <w:r>
        <w:rPr>
          <w:rFonts w:eastAsia="Calibri"/>
          <w:i/>
          <w:color w:val="000000"/>
          <w:szCs w:val="24"/>
        </w:rPr>
        <w:t xml:space="preserve"> </w:t>
      </w:r>
      <w:r>
        <w:rPr>
          <w:rFonts w:eastAsia="Calibri"/>
          <w:color w:val="000000"/>
          <w:szCs w:val="24"/>
        </w:rPr>
        <w:t>(</w:t>
      </w:r>
      <w:r>
        <w:rPr>
          <w:rFonts w:eastAsia="Calibri"/>
          <w:iCs/>
          <w:color w:val="000000"/>
          <w:szCs w:val="24"/>
        </w:rPr>
        <w:t>vertinama, ar pareiškėjas yra juridinis asmuo, kuris vykdo MTEPI veiklą ir teikia MTEP statistinę ataskaitą MT-02 „Mokslinių tyrimų ir eksperimentinės plėtros statistinė ataskaita“ (toliau – ataskaita) Lietuvos statistikos departamentui (jeigu pareiškėjas yra klasterio koordinatorius, tuomet vertinama, ar bent vienas jo narys, išskyrus mokslo ir studijų instituciją, vykdo MTEPI veiklą ir teikia ataskaitą Lietuvos statistikos departamentui). Vertinama remiantis pareiškėjo paraiškoje pateikta informacija ir Lietuvos statistikos departamentui teiktos ataskaitos kopija už paskutinių vienų finansinių metų laikotarpį arba už pareiškėjo (arba pareiškėjo nario, jeigu pareiškėjas yra klasterio koordinatorius) veikimo laiką (jei pareiškėjas (arba pareiškėjo narys, jeigu pareiškėjas yra klasterio koordinatorius) veikia trumpiau nei vienus metus) iki paraiškos pateikimo ir dokumentu (elektroniniu laišku, kuriuo patvirtinamas ataskaitos pateikimo ir priėmimo Lietuvos statistikos departamentui faktas), patvirtinančiu šios ataskaitos pateikimą Lietuvos statistikos departamentui.</w:t>
      </w:r>
      <w:r>
        <w:rPr>
          <w:rFonts w:eastAsia="Calibri"/>
          <w:i/>
          <w:iCs/>
          <w:color w:val="000000"/>
          <w:szCs w:val="24"/>
        </w:rPr>
        <w:t xml:space="preserve"> </w:t>
      </w:r>
      <w:r>
        <w:rPr>
          <w:rFonts w:eastAsia="Calibri"/>
          <w:color w:val="000000"/>
          <w:szCs w:val="24"/>
        </w:rPr>
        <w:t xml:space="preserve"> </w:t>
      </w:r>
    </w:p>
    <w:p w14:paraId="47C85E7A" w14:textId="77777777" w:rsidR="00AF6D15" w:rsidRDefault="00AF6D15" w:rsidP="00AF6D15">
      <w:pPr>
        <w:ind w:firstLine="709"/>
        <w:jc w:val="both"/>
        <w:rPr>
          <w:rFonts w:eastAsia="Calibri"/>
          <w:color w:val="000000"/>
          <w:szCs w:val="24"/>
        </w:rPr>
      </w:pPr>
      <w:r>
        <w:rPr>
          <w:rFonts w:eastAsia="Calibri"/>
          <w:color w:val="000000"/>
          <w:szCs w:val="24"/>
        </w:rPr>
        <w:t>16.4. Pareiškėjas yra juridinis asmuo, kurio vienų finansinių metų apyvarta arba apyvarta per laiką nuo jo įregistravimo dienos (jeigu pareiškėjas veiklą vykdo trumpiau nei vienus finansinius metus) yra ne mažesnė kaip 1</w:t>
      </w:r>
      <w:r>
        <w:rPr>
          <w:rFonts w:eastAsia="Calibri"/>
          <w:color w:val="000000"/>
          <w:szCs w:val="24"/>
        </w:rPr>
        <w:t xml:space="preserve">0 </w:t>
      </w:r>
      <w:r>
        <w:rPr>
          <w:rFonts w:eastAsia="Calibri"/>
          <w:color w:val="000000"/>
          <w:szCs w:val="24"/>
        </w:rPr>
        <w:t xml:space="preserve">000 </w:t>
      </w:r>
      <w:proofErr w:type="spellStart"/>
      <w:r>
        <w:rPr>
          <w:rFonts w:eastAsia="Calibri"/>
          <w:color w:val="000000"/>
          <w:szCs w:val="24"/>
        </w:rPr>
        <w:t>Eur</w:t>
      </w:r>
      <w:proofErr w:type="spellEnd"/>
      <w:r>
        <w:rPr>
          <w:rFonts w:eastAsia="Calibri"/>
          <w:color w:val="000000"/>
          <w:szCs w:val="24"/>
        </w:rPr>
        <w:t xml:space="preserve"> (dešimt</w:t>
      </w:r>
      <w:r>
        <w:rPr>
          <w:rFonts w:eastAsia="Calibri"/>
          <w:color w:val="000000"/>
          <w:szCs w:val="24"/>
        </w:rPr>
        <w:t xml:space="preserve"> </w:t>
      </w:r>
      <w:r>
        <w:rPr>
          <w:rFonts w:eastAsia="Calibri"/>
          <w:color w:val="000000"/>
          <w:szCs w:val="24"/>
        </w:rPr>
        <w:t xml:space="preserve">tūkstančių eurų) (jeigu pareiškėjas yra klasterio koordinatorius, tuomet bent vieno jo nario vienų finansinių metų apyvarta arba apyvarta per laiką nuo </w:t>
      </w:r>
      <w:r>
        <w:rPr>
          <w:rFonts w:eastAsia="Calibri"/>
          <w:color w:val="000000"/>
          <w:szCs w:val="24"/>
        </w:rPr>
        <w:lastRenderedPageBreak/>
        <w:t>jo įregistravimo dienos (jeigu narys veiklą vykdo trumpiau nei vienus finansinius metus) yra ne mažesnė kaip 1</w:t>
      </w:r>
      <w:r>
        <w:rPr>
          <w:rFonts w:eastAsia="Calibri"/>
          <w:color w:val="000000"/>
          <w:szCs w:val="24"/>
        </w:rPr>
        <w:t xml:space="preserve">0 </w:t>
      </w:r>
      <w:r>
        <w:rPr>
          <w:rFonts w:eastAsia="Calibri"/>
          <w:color w:val="000000"/>
          <w:szCs w:val="24"/>
        </w:rPr>
        <w:t xml:space="preserve">000 </w:t>
      </w:r>
      <w:proofErr w:type="spellStart"/>
      <w:r>
        <w:rPr>
          <w:rFonts w:eastAsia="Calibri"/>
          <w:color w:val="000000"/>
          <w:szCs w:val="24"/>
        </w:rPr>
        <w:t>Eur</w:t>
      </w:r>
      <w:proofErr w:type="spellEnd"/>
      <w:r>
        <w:rPr>
          <w:rFonts w:eastAsia="Calibri"/>
          <w:color w:val="000000"/>
          <w:szCs w:val="24"/>
        </w:rPr>
        <w:t xml:space="preserve"> (dešimt</w:t>
      </w:r>
      <w:r>
        <w:rPr>
          <w:rFonts w:eastAsia="Calibri"/>
          <w:color w:val="000000"/>
          <w:szCs w:val="24"/>
        </w:rPr>
        <w:t xml:space="preserve"> </w:t>
      </w:r>
      <w:r>
        <w:rPr>
          <w:rFonts w:eastAsia="Calibri"/>
          <w:color w:val="000000"/>
          <w:szCs w:val="24"/>
        </w:rPr>
        <w:t>tūkstančių eurų) (</w:t>
      </w:r>
      <w:r>
        <w:rPr>
          <w:rFonts w:eastAsia="Calibri"/>
          <w:iCs/>
          <w:color w:val="000000"/>
          <w:szCs w:val="24"/>
        </w:rPr>
        <w:t xml:space="preserve">vertinama, ar </w:t>
      </w:r>
      <w:r>
        <w:rPr>
          <w:rFonts w:eastAsia="Calibri"/>
          <w:iCs/>
          <w:color w:val="000000"/>
          <w:szCs w:val="24"/>
        </w:rPr>
        <w:t>pareiškėj</w:t>
      </w:r>
      <w:r>
        <w:rPr>
          <w:rFonts w:eastAsia="Calibri"/>
          <w:iCs/>
          <w:color w:val="000000"/>
          <w:szCs w:val="24"/>
        </w:rPr>
        <w:t>o</w:t>
      </w:r>
      <w:r>
        <w:rPr>
          <w:rFonts w:eastAsia="Calibri"/>
          <w:iCs/>
          <w:color w:val="000000"/>
          <w:szCs w:val="24"/>
        </w:rPr>
        <w:t xml:space="preserve"> </w:t>
      </w:r>
      <w:r>
        <w:rPr>
          <w:rFonts w:eastAsia="Calibri"/>
          <w:iCs/>
          <w:color w:val="000000"/>
          <w:szCs w:val="24"/>
        </w:rPr>
        <w:t>o vienų finansinių metų apyvarta arba apyvarta per laiką nuo jo įregistravimo dienos (jeigu pareiškėjas veiklą vykdo trumpiau nei vienus finansinius metus) yra ne mažesnė kaip 1</w:t>
      </w:r>
      <w:r>
        <w:rPr>
          <w:rFonts w:eastAsia="Calibri"/>
          <w:iCs/>
          <w:color w:val="000000"/>
          <w:szCs w:val="24"/>
        </w:rPr>
        <w:t>0 </w:t>
      </w:r>
      <w:r>
        <w:rPr>
          <w:rFonts w:eastAsia="Calibri"/>
          <w:iCs/>
          <w:color w:val="000000"/>
          <w:szCs w:val="24"/>
        </w:rPr>
        <w:t>000 </w:t>
      </w:r>
      <w:proofErr w:type="spellStart"/>
      <w:r>
        <w:rPr>
          <w:rFonts w:eastAsia="Calibri"/>
          <w:iCs/>
          <w:color w:val="000000"/>
          <w:szCs w:val="24"/>
        </w:rPr>
        <w:t>Eur</w:t>
      </w:r>
      <w:proofErr w:type="spellEnd"/>
      <w:r>
        <w:rPr>
          <w:rFonts w:eastAsia="Calibri"/>
          <w:iCs/>
          <w:color w:val="000000"/>
          <w:szCs w:val="24"/>
        </w:rPr>
        <w:t xml:space="preserve"> </w:t>
      </w:r>
      <w:r>
        <w:rPr>
          <w:rFonts w:eastAsia="Calibri"/>
          <w:color w:val="000000"/>
          <w:szCs w:val="24"/>
        </w:rPr>
        <w:t>(dešimt</w:t>
      </w:r>
      <w:r>
        <w:rPr>
          <w:rFonts w:eastAsia="Calibri"/>
          <w:color w:val="000000"/>
          <w:szCs w:val="24"/>
        </w:rPr>
        <w:t xml:space="preserve"> </w:t>
      </w:r>
      <w:r>
        <w:rPr>
          <w:rFonts w:eastAsia="Calibri"/>
          <w:color w:val="000000"/>
          <w:szCs w:val="24"/>
        </w:rPr>
        <w:t>tūkstančių eurų)</w:t>
      </w:r>
      <w:r>
        <w:rPr>
          <w:rFonts w:eastAsia="Calibri"/>
          <w:iCs/>
          <w:color w:val="000000"/>
          <w:szCs w:val="24"/>
        </w:rPr>
        <w:t xml:space="preserve"> (jeigu pareiškėjas yra klasterio koordinatorius, tuomet vertinama, ar bent vieno jo nario vienų finansinių metų apyvarta arba apyvarta per laiką nuo jo įregistravimo dienos (jeigu narys veiklą vykdo trumpiau nei vienus finansinius metus) yra ne mažesnė kaip 1</w:t>
      </w:r>
      <w:r>
        <w:rPr>
          <w:rFonts w:eastAsia="Calibri"/>
          <w:iCs/>
          <w:color w:val="000000"/>
          <w:szCs w:val="24"/>
        </w:rPr>
        <w:t xml:space="preserve">0 </w:t>
      </w:r>
      <w:r>
        <w:rPr>
          <w:rFonts w:eastAsia="Calibri"/>
          <w:iCs/>
          <w:color w:val="000000"/>
          <w:szCs w:val="24"/>
        </w:rPr>
        <w:t xml:space="preserve">000 </w:t>
      </w:r>
      <w:proofErr w:type="spellStart"/>
      <w:r>
        <w:rPr>
          <w:rFonts w:eastAsia="Calibri"/>
          <w:iCs/>
          <w:color w:val="000000"/>
          <w:szCs w:val="24"/>
        </w:rPr>
        <w:t>Eur</w:t>
      </w:r>
      <w:proofErr w:type="spellEnd"/>
      <w:r>
        <w:rPr>
          <w:rFonts w:eastAsia="Calibri"/>
          <w:iCs/>
          <w:color w:val="000000"/>
          <w:szCs w:val="24"/>
        </w:rPr>
        <w:t xml:space="preserve"> </w:t>
      </w:r>
      <w:r>
        <w:rPr>
          <w:rFonts w:eastAsia="Calibri"/>
          <w:color w:val="000000"/>
          <w:szCs w:val="24"/>
        </w:rPr>
        <w:t>(dešim</w:t>
      </w:r>
      <w:r>
        <w:rPr>
          <w:rFonts w:eastAsia="Calibri"/>
          <w:color w:val="000000"/>
          <w:szCs w:val="24"/>
        </w:rPr>
        <w:t xml:space="preserve">t </w:t>
      </w:r>
      <w:r>
        <w:rPr>
          <w:rFonts w:eastAsia="Calibri"/>
          <w:color w:val="000000"/>
          <w:szCs w:val="24"/>
        </w:rPr>
        <w:t>tūkstančių eurų</w:t>
      </w:r>
      <w:r>
        <w:rPr>
          <w:rFonts w:eastAsia="Calibri"/>
          <w:iCs/>
          <w:color w:val="000000"/>
          <w:szCs w:val="24"/>
        </w:rPr>
        <w:t>). Pareiškėjo arba jo nario, jeigu pareiškėjas yra klasterio koordinatorius, apyvarta tikrinama pagal patvirtintus paskutinių finansinių metų arba laikotarpio nuo įregistravimo dienos iki paraiškos pateikimo dienos, jei pareiškėjas arba jo narys, jeigu pareiškėjas yra klasterio koordinatorius, veiklą vykdo trumpiau nei vienus finansinius metus, finansinės atskaitomybės dokumentus. Projekto atitiktis šiam kriterijui vertinama tik atliekant paraiškos vertinimą.</w:t>
      </w:r>
    </w:p>
    <w:p w14:paraId="6CDD5485" w14:textId="77777777" w:rsidR="00AF6D15" w:rsidRDefault="00AF6D15" w:rsidP="00AF6D15">
      <w:pPr>
        <w:ind w:firstLine="709"/>
        <w:jc w:val="both"/>
        <w:rPr>
          <w:rFonts w:eastAsia="Calibri"/>
          <w:szCs w:val="24"/>
          <w:lang w:eastAsia="lt-LT"/>
        </w:rPr>
      </w:pPr>
      <w:r>
        <w:rPr>
          <w:rFonts w:eastAsia="Calibri"/>
          <w:szCs w:val="24"/>
        </w:rPr>
        <w:t xml:space="preserve">16.5. </w:t>
      </w:r>
      <w:r>
        <w:rPr>
          <w:rFonts w:eastAsia="Calibri"/>
          <w:bCs/>
          <w:szCs w:val="24"/>
        </w:rPr>
        <w:t xml:space="preserve">Pareiškėjo veiklos ir (arba) projekto, kuriam ieškoma partnerių, pobūdis atitinka tarptautinės MTEPI veiklos iniciatyvos renginio teminį specifiškumą. Jeigu pareiškėjas yra klasterio koordinatorius, tuomet vertinama, ar bent vieno jo nario vykdomos veiklos pobūdis atitinka tarptautinės MTEPI veiklos iniciatyvos renginio teminį specifiškumą </w:t>
      </w:r>
      <w:r>
        <w:rPr>
          <w:rFonts w:eastAsia="Calibri"/>
          <w:szCs w:val="24"/>
        </w:rPr>
        <w:t>(</w:t>
      </w:r>
      <w:r>
        <w:rPr>
          <w:rFonts w:eastAsia="Calibri"/>
          <w:bCs/>
          <w:szCs w:val="24"/>
        </w:rPr>
        <w:t xml:space="preserve">vertinama, ar pareiškėjo (jeigu pareiškėjas yra klasterio koordinatorius, tuomet vertinama, ar bent vieno jo nario) vykdoma veikla ir (arba) projekto pobūdis atitinka MTEPI veiklos iniciatyvos renginio tematiką. </w:t>
      </w:r>
      <w:r>
        <w:rPr>
          <w:rFonts w:eastAsia="Calibri"/>
          <w:szCs w:val="24"/>
        </w:rPr>
        <w:t>Vertinama pagal pareiškėjo paraiškoje pateiktą informaciją, pardavimo pajamų struktūrą, renginio aprašymą (programą) ir pan.)</w:t>
      </w:r>
      <w:r>
        <w:rPr>
          <w:rFonts w:eastAsia="Calibri"/>
          <w:bCs/>
          <w:szCs w:val="24"/>
        </w:rPr>
        <w:t>.</w:t>
      </w:r>
    </w:p>
    <w:p w14:paraId="0200693B" w14:textId="76635483" w:rsidR="00AF6D15" w:rsidRDefault="00AF6D15" w:rsidP="00AF6D15">
      <w:pPr>
        <w:ind w:firstLine="709"/>
        <w:jc w:val="both"/>
        <w:rPr>
          <w:rFonts w:eastAsia="Calibri"/>
          <w:spacing w:val="-4"/>
          <w:szCs w:val="24"/>
        </w:rPr>
      </w:pPr>
      <w:r>
        <w:rPr>
          <w:rFonts w:eastAsia="Calibri"/>
          <w:szCs w:val="24"/>
        </w:rPr>
        <w:t xml:space="preserve">16.6. </w:t>
      </w:r>
      <w:r>
        <w:rPr>
          <w:rFonts w:eastAsia="Calibri"/>
          <w:bCs/>
          <w:szCs w:val="24"/>
          <w:lang w:eastAsia="lt-LT"/>
        </w:rPr>
        <w:t xml:space="preserve">Projektas prisideda prie Lietuvos inovacijų plėtros 2014–2020 metų programos įgyvendinimo 2018–2020 metų veiksmų plano, patvirtinto Lietuvos Respublikos ūkio ministro </w:t>
      </w:r>
      <w:r w:rsidR="0097531B">
        <w:rPr>
          <w:rFonts w:eastAsia="Calibri"/>
          <w:bCs/>
          <w:szCs w:val="24"/>
          <w:lang w:eastAsia="lt-LT"/>
        </w:rPr>
        <w:br/>
      </w:r>
      <w:r>
        <w:rPr>
          <w:rFonts w:eastAsia="Calibri"/>
          <w:bCs/>
          <w:szCs w:val="24"/>
          <w:lang w:eastAsia="lt-LT"/>
        </w:rPr>
        <w:t xml:space="preserve">2018 m. sausio 30 d. įsakymu Nr. 4-58 </w:t>
      </w:r>
      <w:r>
        <w:rPr>
          <w:rFonts w:eastAsia="Calibri"/>
          <w:bCs/>
          <w:szCs w:val="24"/>
        </w:rPr>
        <w:t>„Dėl Lietuvos inovacijų plėtros 2014–2020 metų programos įgyvendinimo 2018–2020 metų veiksmų plano p</w:t>
      </w:r>
      <w:r>
        <w:rPr>
          <w:rFonts w:eastAsia="Calibri"/>
          <w:szCs w:val="24"/>
        </w:rPr>
        <w:t>atvirtinimo“</w:t>
      </w:r>
      <w:r>
        <w:rPr>
          <w:rFonts w:eastAsia="Calibri"/>
          <w:bCs/>
          <w:szCs w:val="24"/>
          <w:lang w:eastAsia="lt-LT"/>
        </w:rPr>
        <w:t xml:space="preserve"> </w:t>
      </w:r>
      <w:r>
        <w:rPr>
          <w:rFonts w:eastAsia="Calibri"/>
          <w:szCs w:val="24"/>
          <w:lang w:eastAsia="lt-LT"/>
        </w:rPr>
        <w:t>(toliau – 2018–2020 m. veiksmų planas)</w:t>
      </w:r>
      <w:r>
        <w:rPr>
          <w:rFonts w:eastAsia="Calibri"/>
          <w:bCs/>
          <w:szCs w:val="24"/>
          <w:lang w:eastAsia="lt-LT"/>
        </w:rPr>
        <w:t xml:space="preserve">, įgyvendinimo (vertinama, ar projekto veiklos sritis atitinka </w:t>
      </w:r>
      <w:r>
        <w:rPr>
          <w:rFonts w:eastAsia="Calibri"/>
          <w:szCs w:val="24"/>
          <w:lang w:eastAsia="lt-LT"/>
        </w:rPr>
        <w:t xml:space="preserve">2018–2020 m. </w:t>
      </w:r>
      <w:r>
        <w:rPr>
          <w:rFonts w:eastAsia="Calibri"/>
          <w:bCs/>
          <w:szCs w:val="24"/>
          <w:lang w:eastAsia="lt-LT"/>
        </w:rPr>
        <w:t xml:space="preserve">veiksmų plano </w:t>
      </w:r>
      <w:r w:rsidR="0097531B">
        <w:rPr>
          <w:rFonts w:eastAsia="Calibri"/>
          <w:bCs/>
          <w:szCs w:val="24"/>
          <w:lang w:eastAsia="lt-LT"/>
        </w:rPr>
        <w:br/>
      </w:r>
      <w:r>
        <w:rPr>
          <w:rFonts w:eastAsia="Calibri"/>
          <w:bCs/>
          <w:szCs w:val="24"/>
          <w:lang w:eastAsia="lt-LT"/>
        </w:rPr>
        <w:t xml:space="preserve">3 tikslo „Skatinti vertės tinklų kūrimą, plėtrą ir </w:t>
      </w:r>
      <w:proofErr w:type="spellStart"/>
      <w:r>
        <w:rPr>
          <w:rFonts w:eastAsia="Calibri"/>
          <w:bCs/>
          <w:szCs w:val="24"/>
          <w:lang w:eastAsia="lt-LT"/>
        </w:rPr>
        <w:t>tarptautiškumą</w:t>
      </w:r>
      <w:proofErr w:type="spellEnd"/>
      <w:r>
        <w:rPr>
          <w:rFonts w:eastAsia="Calibri"/>
          <w:bCs/>
          <w:szCs w:val="24"/>
          <w:lang w:eastAsia="lt-LT"/>
        </w:rPr>
        <w:t>“ 3.2 uždavinio „Skatinti klasterių plėtrą ir integraciją į tarptautinius vertės kūrimo tinklus“ 3.2.3 veiksmą „</w:t>
      </w:r>
      <w:r>
        <w:rPr>
          <w:rFonts w:eastAsia="Calibri"/>
          <w:spacing w:val="-4"/>
          <w:szCs w:val="24"/>
        </w:rPr>
        <w:t xml:space="preserve">Skatinti ir teikti finansavimą verslo tarptautinei </w:t>
      </w:r>
      <w:proofErr w:type="spellStart"/>
      <w:r>
        <w:rPr>
          <w:rFonts w:eastAsia="Calibri"/>
          <w:spacing w:val="-4"/>
          <w:szCs w:val="24"/>
        </w:rPr>
        <w:t>tinklaveikai</w:t>
      </w:r>
      <w:proofErr w:type="spellEnd"/>
      <w:r>
        <w:rPr>
          <w:rFonts w:eastAsia="Calibri"/>
          <w:spacing w:val="-4"/>
          <w:szCs w:val="24"/>
        </w:rPr>
        <w:t>, dalyvavimui tarptautiniuose MTEPI projektuose, tarptautinių partnerių paieškai, veiklų identifikavimui“).</w:t>
      </w:r>
      <w:r>
        <w:rPr>
          <w:rFonts w:ascii="Calibri" w:eastAsia="Calibri" w:hAnsi="Calibri"/>
          <w:sz w:val="22"/>
          <w:szCs w:val="22"/>
        </w:rPr>
        <w:t xml:space="preserve"> </w:t>
      </w:r>
      <w:r>
        <w:rPr>
          <w:rFonts w:eastAsia="Calibri"/>
          <w:spacing w:val="-4"/>
          <w:szCs w:val="24"/>
        </w:rPr>
        <w:t>Šis kriterijus taikomas projektams, kurių paraiškos finansavimui gauti pateiktos nuo 2018–2020 m. veiksmų plano įsigaliojimo dienos.</w:t>
      </w:r>
      <w:r w:rsidR="00C255DC">
        <w:rPr>
          <w:rFonts w:eastAsia="Calibri"/>
          <w:spacing w:val="-4"/>
          <w:szCs w:val="24"/>
        </w:rPr>
        <w:t>“</w:t>
      </w:r>
    </w:p>
    <w:p w14:paraId="5BAE2D6F" w14:textId="5A65A2E9" w:rsidR="00C255DC" w:rsidRDefault="00C255DC" w:rsidP="00AF6D15">
      <w:pPr>
        <w:ind w:firstLine="709"/>
        <w:jc w:val="both"/>
        <w:rPr>
          <w:rFonts w:eastAsia="Calibri"/>
          <w:spacing w:val="-4"/>
          <w:szCs w:val="24"/>
        </w:rPr>
      </w:pPr>
      <w:r>
        <w:rPr>
          <w:rFonts w:eastAsia="Calibri"/>
          <w:spacing w:val="-4"/>
          <w:szCs w:val="24"/>
        </w:rPr>
        <w:t>12.4. Pakeičiu 66 punktą ir jį išdėstau taip:</w:t>
      </w:r>
    </w:p>
    <w:p w14:paraId="46B72ED9" w14:textId="49F01BF9" w:rsidR="00C920FA" w:rsidRDefault="00C255DC" w:rsidP="00C920FA">
      <w:pPr>
        <w:tabs>
          <w:tab w:val="left" w:pos="851"/>
        </w:tabs>
        <w:ind w:firstLine="709"/>
        <w:jc w:val="both"/>
        <w:rPr>
          <w:szCs w:val="24"/>
          <w:lang w:eastAsia="lt-LT"/>
        </w:rPr>
      </w:pPr>
      <w:r>
        <w:rPr>
          <w:rFonts w:eastAsia="Calibri"/>
          <w:spacing w:val="-4"/>
          <w:szCs w:val="24"/>
        </w:rPr>
        <w:t>„66.</w:t>
      </w:r>
      <w:r w:rsidR="00C920FA">
        <w:rPr>
          <w:rFonts w:eastAsia="Calibri"/>
          <w:spacing w:val="-4"/>
          <w:szCs w:val="24"/>
        </w:rPr>
        <w:t xml:space="preserve"> </w:t>
      </w:r>
      <w:r w:rsidR="00C920FA">
        <w:rPr>
          <w:szCs w:val="24"/>
          <w:lang w:eastAsia="lt-LT"/>
        </w:rPr>
        <w:t xml:space="preserve">Projektų įgyvendinimo priežiūrai bus sudaromas Projektų priežiūros komitetas, </w:t>
      </w:r>
      <w:r w:rsidR="00C920FA">
        <w:rPr>
          <w:szCs w:val="24"/>
        </w:rPr>
        <w:t xml:space="preserve">kuris stebi projekto įgyvendinimo pažangą ir teikia rekomendacijas projekto vykdytojui dėl projekto įgyvendinimo. Projektų priežiūros komitetas sudaromas iš įgyvendinančiosios institucijos, Ministerijos ir projekto vykdytojo atstovų, į Projektų priežiūros komiteto sudėtį gali būti kviečiami kitų institucijų, įstaigų ar organizacijų atstovai. </w:t>
      </w:r>
      <w:r w:rsidR="00C920FA">
        <w:rPr>
          <w:szCs w:val="24"/>
          <w:lang w:eastAsia="lt-LT"/>
        </w:rPr>
        <w:t>Projektų priežiūros komiteto sudėtis tvirtinama Lietuvos Respublikos ekonomikos ir inovacijų</w:t>
      </w:r>
      <w:r w:rsidR="00C920FA">
        <w:rPr>
          <w:szCs w:val="24"/>
          <w:lang w:eastAsia="lt-LT"/>
        </w:rPr>
        <w:t xml:space="preserve"> </w:t>
      </w:r>
      <w:r w:rsidR="00C920FA">
        <w:rPr>
          <w:szCs w:val="24"/>
          <w:lang w:eastAsia="lt-LT"/>
        </w:rPr>
        <w:t>ministro įsakymu, o jo veiklos principai nustatomi šio komiteto reglamente.</w:t>
      </w:r>
      <w:r w:rsidR="00C920FA">
        <w:rPr>
          <w:szCs w:val="24"/>
          <w:lang w:eastAsia="lt-LT"/>
        </w:rPr>
        <w:t>“</w:t>
      </w:r>
    </w:p>
    <w:p w14:paraId="1B6E0284" w14:textId="6A24E972" w:rsidR="00C920FA" w:rsidRDefault="00C920FA" w:rsidP="00C920FA">
      <w:pPr>
        <w:tabs>
          <w:tab w:val="left" w:pos="851"/>
        </w:tabs>
        <w:ind w:firstLine="709"/>
        <w:jc w:val="both"/>
        <w:rPr>
          <w:szCs w:val="24"/>
          <w:lang w:eastAsia="lt-LT"/>
        </w:rPr>
      </w:pPr>
      <w:r>
        <w:rPr>
          <w:szCs w:val="24"/>
          <w:lang w:eastAsia="lt-LT"/>
        </w:rPr>
        <w:t>12.5. Pakeičiu 4 priedo 2 punktą ir jį išdėstau taip:</w:t>
      </w:r>
    </w:p>
    <w:p w14:paraId="251C9D9F" w14:textId="77777777" w:rsidR="00BE2280" w:rsidRDefault="00BE2280" w:rsidP="00C920FA">
      <w:pPr>
        <w:tabs>
          <w:tab w:val="left" w:pos="851"/>
        </w:tabs>
        <w:ind w:firstLine="709"/>
        <w:jc w:val="both"/>
        <w:rPr>
          <w:szCs w:val="24"/>
          <w:lang w:eastAsia="lt-LT"/>
        </w:rPr>
      </w:pPr>
    </w:p>
    <w:p w14:paraId="16295C88" w14:textId="6D3D1F6B" w:rsidR="00BE2280" w:rsidRDefault="00BE2280" w:rsidP="00BE2280">
      <w:pPr>
        <w:widowControl w:val="0"/>
        <w:tabs>
          <w:tab w:val="left" w:pos="0"/>
          <w:tab w:val="left" w:pos="426"/>
        </w:tabs>
        <w:ind w:firstLine="709"/>
        <w:contextualSpacing/>
        <w:jc w:val="both"/>
        <w:textAlignment w:val="baseline"/>
        <w:rPr>
          <w:b/>
          <w:szCs w:val="24"/>
          <w:lang w:eastAsia="lt-LT"/>
        </w:rPr>
      </w:pPr>
      <w:r>
        <w:rPr>
          <w:b/>
          <w:caps/>
          <w:szCs w:val="24"/>
        </w:rPr>
        <w:t>„</w:t>
      </w:r>
      <w:r>
        <w:rPr>
          <w:b/>
          <w:caps/>
          <w:szCs w:val="24"/>
        </w:rPr>
        <w:t xml:space="preserve">2. </w:t>
      </w:r>
      <w:r>
        <w:rPr>
          <w:b/>
          <w:szCs w:val="24"/>
          <w:lang w:eastAsia="lt-LT"/>
        </w:rPr>
        <w:t>Gauta (planuojama gauti) valstybės pagalba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6"/>
        <w:gridCol w:w="1134"/>
        <w:gridCol w:w="1275"/>
        <w:gridCol w:w="1843"/>
        <w:gridCol w:w="1446"/>
      </w:tblGrid>
      <w:tr w:rsidR="00BE2280" w14:paraId="48857FAA" w14:textId="77777777" w:rsidTr="00FA6D08">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14:paraId="4BCF8454" w14:textId="77777777" w:rsidR="00BE2280" w:rsidRDefault="00BE2280" w:rsidP="00CB79C6">
            <w:pPr>
              <w:ind w:firstLine="851"/>
              <w:rPr>
                <w:szCs w:val="24"/>
                <w:lang w:eastAsia="lt-LT"/>
              </w:rPr>
            </w:pPr>
          </w:p>
        </w:tc>
        <w:tc>
          <w:tcPr>
            <w:tcW w:w="1956" w:type="dxa"/>
            <w:tcBorders>
              <w:top w:val="single" w:sz="4" w:space="0" w:color="auto"/>
              <w:left w:val="single" w:sz="4" w:space="0" w:color="auto"/>
              <w:bottom w:val="single" w:sz="4" w:space="0" w:color="auto"/>
              <w:right w:val="single" w:sz="4" w:space="0" w:color="auto"/>
            </w:tcBorders>
            <w:shd w:val="clear" w:color="auto" w:fill="E6E6E6"/>
          </w:tcPr>
          <w:p w14:paraId="731469D2" w14:textId="77777777" w:rsidR="00BE2280" w:rsidRDefault="00BE2280" w:rsidP="00CB79C6">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ekonomikos ir inovacijų</w:t>
            </w:r>
            <w:r>
              <w:rPr>
                <w:i/>
                <w:szCs w:val="24"/>
                <w:lang w:eastAsia="lt-LT"/>
              </w:rPr>
              <w:t xml:space="preserve"> </w:t>
            </w:r>
            <w:r>
              <w:rPr>
                <w:i/>
                <w:szCs w:val="24"/>
                <w:lang w:eastAsia="lt-LT"/>
              </w:rPr>
              <w:t>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12C9F49" w14:textId="77777777" w:rsidR="00BE2280" w:rsidRDefault="00BE2280" w:rsidP="00CB79C6">
            <w:pPr>
              <w:jc w:val="both"/>
              <w:rPr>
                <w:szCs w:val="24"/>
              </w:rPr>
            </w:pPr>
            <w:r>
              <w:rPr>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14:paraId="57E7B96A" w14:textId="77777777" w:rsidR="00BE2280" w:rsidRDefault="00BE2280" w:rsidP="00CB79C6">
            <w:pPr>
              <w:rPr>
                <w:szCs w:val="24"/>
                <w:lang w:eastAsia="lt-LT"/>
              </w:rPr>
            </w:pPr>
            <w:r>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6FC1081F" w14:textId="77777777" w:rsidR="00BE2280" w:rsidRDefault="00BE2280" w:rsidP="00CB79C6">
            <w:pPr>
              <w:rPr>
                <w:szCs w:val="24"/>
                <w:lang w:eastAsia="lt-LT"/>
              </w:rPr>
            </w:pPr>
            <w:r>
              <w:rPr>
                <w:szCs w:val="24"/>
                <w:lang w:eastAsia="lt-LT"/>
              </w:rPr>
              <w:t>Informacija apie valstybės pagalbos suteikimą, teikimo pagrindą</w:t>
            </w:r>
          </w:p>
        </w:tc>
        <w:tc>
          <w:tcPr>
            <w:tcW w:w="1446" w:type="dxa"/>
            <w:tcBorders>
              <w:top w:val="single" w:sz="4" w:space="0" w:color="auto"/>
              <w:left w:val="single" w:sz="4" w:space="0" w:color="auto"/>
              <w:bottom w:val="single" w:sz="4" w:space="0" w:color="auto"/>
              <w:right w:val="single" w:sz="4" w:space="0" w:color="auto"/>
            </w:tcBorders>
            <w:shd w:val="clear" w:color="auto" w:fill="E6E6E6"/>
          </w:tcPr>
          <w:p w14:paraId="5B618DB0" w14:textId="74BBB8E4" w:rsidR="00BE2280" w:rsidRDefault="00BE2280" w:rsidP="00CB79C6">
            <w:pPr>
              <w:rPr>
                <w:szCs w:val="24"/>
                <w:lang w:eastAsia="lt-LT"/>
              </w:rPr>
            </w:pPr>
            <w:r>
              <w:rPr>
                <w:szCs w:val="24"/>
                <w:lang w:eastAsia="lt-LT"/>
              </w:rPr>
              <w:t>Valstybės pagalbos suteikimo data</w:t>
            </w:r>
            <w:r>
              <w:rPr>
                <w:szCs w:val="24"/>
                <w:lang w:eastAsia="lt-LT"/>
              </w:rPr>
              <w:t>“</w:t>
            </w:r>
          </w:p>
        </w:tc>
      </w:tr>
      <w:tr w:rsidR="00BE2280" w14:paraId="2C562F81" w14:textId="77777777" w:rsidTr="00FA6D08">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14:paraId="447F77B9" w14:textId="77777777" w:rsidR="00BE2280" w:rsidRDefault="00BE2280" w:rsidP="00CB79C6">
            <w:pPr>
              <w:jc w:val="both"/>
              <w:rPr>
                <w:szCs w:val="24"/>
                <w:lang w:eastAsia="lt-LT"/>
              </w:rPr>
            </w:pPr>
            <w:r>
              <w:rPr>
                <w:szCs w:val="24"/>
                <w:lang w:eastAsia="lt-LT"/>
              </w:rPr>
              <w:t xml:space="preserve">2.1. Kita valstybės pagalba projektui finansuoti (pvz., </w:t>
            </w:r>
            <w:r>
              <w:rPr>
                <w:szCs w:val="24"/>
                <w:lang w:eastAsia="lt-LT"/>
              </w:rPr>
              <w:lastRenderedPageBreak/>
              <w:t xml:space="preserve">valstybės suteiktos garantijos, </w:t>
            </w:r>
            <w:proofErr w:type="spellStart"/>
            <w:r>
              <w:rPr>
                <w:szCs w:val="24"/>
                <w:lang w:eastAsia="lt-LT"/>
              </w:rPr>
              <w:t>mikrokreditai</w:t>
            </w:r>
            <w:proofErr w:type="spellEnd"/>
            <w:r>
              <w:rPr>
                <w:szCs w:val="24"/>
                <w:lang w:eastAsia="lt-LT"/>
              </w:rPr>
              <w:t>, garantuotų paskolų palūkanų kompensavimas, kita)</w:t>
            </w:r>
          </w:p>
        </w:tc>
        <w:tc>
          <w:tcPr>
            <w:tcW w:w="1956" w:type="dxa"/>
            <w:tcBorders>
              <w:top w:val="single" w:sz="4" w:space="0" w:color="auto"/>
              <w:left w:val="single" w:sz="4" w:space="0" w:color="auto"/>
              <w:bottom w:val="single" w:sz="4" w:space="0" w:color="auto"/>
              <w:right w:val="single" w:sz="4" w:space="0" w:color="auto"/>
            </w:tcBorders>
            <w:vAlign w:val="center"/>
          </w:tcPr>
          <w:p w14:paraId="6920BB50" w14:textId="77777777" w:rsidR="00BE2280" w:rsidRDefault="00BE2280" w:rsidP="00CB79C6">
            <w:pPr>
              <w:ind w:firstLine="851"/>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7BED45D" w14:textId="77777777" w:rsidR="00BE2280" w:rsidRDefault="00BE2280" w:rsidP="00CB79C6">
            <w:pPr>
              <w:ind w:firstLine="851"/>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EE5C7A1" w14:textId="77777777" w:rsidR="00BE2280" w:rsidRDefault="00BE2280" w:rsidP="00CB79C6">
            <w:pPr>
              <w:ind w:firstLine="851"/>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30284F25" w14:textId="77777777" w:rsidR="00BE2280" w:rsidRDefault="00BE2280" w:rsidP="00CB79C6">
            <w:pPr>
              <w:ind w:firstLine="851"/>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15710840" w14:textId="77777777" w:rsidR="00BE2280" w:rsidRDefault="00BE2280" w:rsidP="00CB79C6">
            <w:pPr>
              <w:ind w:firstLine="851"/>
              <w:rPr>
                <w:szCs w:val="24"/>
                <w:lang w:eastAsia="lt-LT"/>
              </w:rPr>
            </w:pPr>
          </w:p>
        </w:tc>
      </w:tr>
      <w:tr w:rsidR="00BE2280" w14:paraId="1AA39FFF" w14:textId="77777777" w:rsidTr="00FA6D08">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14:paraId="016940CF" w14:textId="77777777" w:rsidR="00BE2280" w:rsidRDefault="00BE2280" w:rsidP="00CB79C6">
            <w:pPr>
              <w:jc w:val="both"/>
              <w:rPr>
                <w:szCs w:val="24"/>
                <w:lang w:eastAsia="lt-LT"/>
              </w:rPr>
            </w:pPr>
            <w:r>
              <w:rPr>
                <w:szCs w:val="24"/>
                <w:lang w:eastAsia="lt-LT"/>
              </w:rPr>
              <w:t xml:space="preserve">2.2. Numatoma gauti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projektui įgyvendinti (nurodyti išlaidas, kurioms numatoma gauti </w:t>
            </w:r>
            <w:r>
              <w:rPr>
                <w:i/>
                <w:szCs w:val="24"/>
                <w:lang w:eastAsia="lt-LT"/>
              </w:rPr>
              <w:t xml:space="preserve">de </w:t>
            </w:r>
            <w:proofErr w:type="spellStart"/>
            <w:r>
              <w:rPr>
                <w:i/>
                <w:szCs w:val="24"/>
                <w:lang w:eastAsia="lt-LT"/>
              </w:rPr>
              <w:t>minimis</w:t>
            </w:r>
            <w:proofErr w:type="spellEnd"/>
            <w:r>
              <w:rPr>
                <w:szCs w:val="24"/>
                <w:lang w:eastAsia="lt-LT"/>
              </w:rPr>
              <w:t xml:space="preserve"> pagalbą)</w:t>
            </w:r>
          </w:p>
        </w:tc>
        <w:tc>
          <w:tcPr>
            <w:tcW w:w="1956" w:type="dxa"/>
            <w:tcBorders>
              <w:top w:val="single" w:sz="4" w:space="0" w:color="auto"/>
              <w:left w:val="single" w:sz="4" w:space="0" w:color="auto"/>
              <w:bottom w:val="single" w:sz="4" w:space="0" w:color="auto"/>
              <w:right w:val="single" w:sz="4" w:space="0" w:color="auto"/>
            </w:tcBorders>
            <w:vAlign w:val="center"/>
          </w:tcPr>
          <w:p w14:paraId="3DE7E99D" w14:textId="77777777" w:rsidR="00BE2280" w:rsidRDefault="00BE2280" w:rsidP="00CB79C6">
            <w:pPr>
              <w:ind w:firstLine="851"/>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4FA1085" w14:textId="77777777" w:rsidR="00BE2280" w:rsidRDefault="00BE2280" w:rsidP="00CB79C6">
            <w:pPr>
              <w:ind w:firstLine="851"/>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08586D26" w14:textId="77777777" w:rsidR="00BE2280" w:rsidRDefault="00BE2280" w:rsidP="00CB79C6">
            <w:pPr>
              <w:ind w:firstLine="851"/>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3601270" w14:textId="77777777" w:rsidR="00BE2280" w:rsidRDefault="00BE2280" w:rsidP="00CB79C6">
            <w:pPr>
              <w:ind w:firstLine="851"/>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57B01F0A" w14:textId="77777777" w:rsidR="00BE2280" w:rsidRDefault="00BE2280" w:rsidP="00CB79C6">
            <w:pPr>
              <w:ind w:firstLine="851"/>
              <w:rPr>
                <w:szCs w:val="24"/>
                <w:lang w:eastAsia="lt-LT"/>
              </w:rPr>
            </w:pPr>
          </w:p>
        </w:tc>
      </w:tr>
    </w:tbl>
    <w:p w14:paraId="123DB98E" w14:textId="77777777" w:rsidR="00BE2280" w:rsidRDefault="00BE2280" w:rsidP="00BE2280"/>
    <w:p w14:paraId="668D1903" w14:textId="77777777" w:rsidR="00C920FA" w:rsidRDefault="00C920FA" w:rsidP="00C920FA">
      <w:pPr>
        <w:tabs>
          <w:tab w:val="left" w:pos="851"/>
        </w:tabs>
        <w:ind w:firstLine="709"/>
        <w:jc w:val="both"/>
        <w:rPr>
          <w:szCs w:val="24"/>
          <w:lang w:eastAsia="lt-LT"/>
        </w:rPr>
      </w:pPr>
    </w:p>
    <w:p w14:paraId="0827ADB3" w14:textId="084C577D" w:rsidR="00C255DC" w:rsidRDefault="00C255DC" w:rsidP="00AF6D15">
      <w:pPr>
        <w:ind w:firstLine="709"/>
        <w:jc w:val="both"/>
        <w:rPr>
          <w:iCs/>
          <w:color w:val="000000"/>
          <w:szCs w:val="24"/>
        </w:rPr>
      </w:pPr>
    </w:p>
    <w:p w14:paraId="16E2B614" w14:textId="50B9EC4A" w:rsidR="00BF7EF5" w:rsidRDefault="00BF7EF5" w:rsidP="00BF7EF5">
      <w:pPr>
        <w:ind w:firstLine="709"/>
        <w:jc w:val="both"/>
        <w:rPr>
          <w:szCs w:val="24"/>
        </w:rPr>
      </w:pPr>
    </w:p>
    <w:p w14:paraId="786C5ACF" w14:textId="741E5E01" w:rsidR="00BF7EF5" w:rsidRDefault="00BF7EF5" w:rsidP="00E83014">
      <w:pPr>
        <w:ind w:firstLine="851"/>
        <w:jc w:val="both"/>
        <w:rPr>
          <w:bCs/>
          <w:szCs w:val="24"/>
        </w:rPr>
      </w:pPr>
    </w:p>
    <w:p w14:paraId="6F2213B2" w14:textId="6503CF61" w:rsidR="00FA5AC2" w:rsidRDefault="00FA5AC2" w:rsidP="004F1692">
      <w:pPr>
        <w:jc w:val="both"/>
        <w:rPr>
          <w:rFonts w:eastAsiaTheme="minorHAnsi"/>
          <w:szCs w:val="24"/>
        </w:rPr>
      </w:pPr>
    </w:p>
    <w:p w14:paraId="09F4D919" w14:textId="77777777" w:rsidR="00FF3071" w:rsidRDefault="00FF3071">
      <w:pPr>
        <w:ind w:firstLine="851"/>
        <w:jc w:val="both"/>
        <w:rPr>
          <w:rFonts w:eastAsiaTheme="minorHAnsi"/>
          <w:szCs w:val="24"/>
        </w:rPr>
      </w:pPr>
    </w:p>
    <w:p w14:paraId="095A7D04" w14:textId="77777777" w:rsidR="00FA5AC2" w:rsidRDefault="00FA5AC2">
      <w:pPr>
        <w:ind w:firstLine="851"/>
        <w:jc w:val="both"/>
        <w:rPr>
          <w:bCs/>
          <w:szCs w:val="24"/>
        </w:rPr>
      </w:pPr>
    </w:p>
    <w:tbl>
      <w:tblPr>
        <w:tblW w:w="0" w:type="auto"/>
        <w:tblLook w:val="01E0" w:firstRow="1" w:lastRow="1" w:firstColumn="1" w:lastColumn="1" w:noHBand="0" w:noVBand="0"/>
      </w:tblPr>
      <w:tblGrid>
        <w:gridCol w:w="4835"/>
        <w:gridCol w:w="4803"/>
      </w:tblGrid>
      <w:tr w:rsidR="00A04672" w14:paraId="7F12D505" w14:textId="77777777">
        <w:tc>
          <w:tcPr>
            <w:tcW w:w="4927" w:type="dxa"/>
          </w:tcPr>
          <w:p w14:paraId="6F7AC4E9" w14:textId="77777777" w:rsidR="00A04672" w:rsidRDefault="00672FFE">
            <w:pPr>
              <w:jc w:val="both"/>
              <w:rPr>
                <w:szCs w:val="24"/>
              </w:rPr>
            </w:pPr>
            <w:r>
              <w:rPr>
                <w:szCs w:val="24"/>
              </w:rPr>
              <w:t xml:space="preserve">Ekonomikos ir inovacijų </w:t>
            </w:r>
            <w:r w:rsidR="00192A94">
              <w:rPr>
                <w:szCs w:val="24"/>
              </w:rPr>
              <w:t>ministras</w:t>
            </w:r>
          </w:p>
        </w:tc>
        <w:tc>
          <w:tcPr>
            <w:tcW w:w="4927" w:type="dxa"/>
          </w:tcPr>
          <w:p w14:paraId="53E12344" w14:textId="77777777" w:rsidR="00A04672" w:rsidRDefault="00A04672">
            <w:pPr>
              <w:ind w:firstLine="851"/>
              <w:jc w:val="right"/>
              <w:rPr>
                <w:szCs w:val="24"/>
              </w:rPr>
            </w:pPr>
          </w:p>
        </w:tc>
      </w:tr>
    </w:tbl>
    <w:p w14:paraId="1083218C" w14:textId="77777777" w:rsidR="00A04672" w:rsidRDefault="00A04672"/>
    <w:p w14:paraId="11AAADBC" w14:textId="77777777" w:rsidR="00A04672" w:rsidRDefault="00A04672">
      <w:pPr>
        <w:ind w:firstLine="851"/>
        <w:jc w:val="both"/>
        <w:rPr>
          <w:szCs w:val="24"/>
        </w:rPr>
      </w:pPr>
    </w:p>
    <w:p w14:paraId="5BD7CFC6" w14:textId="77777777" w:rsidR="00A04672" w:rsidRDefault="00A04672">
      <w:pPr>
        <w:ind w:firstLine="851"/>
        <w:jc w:val="both"/>
        <w:rPr>
          <w:szCs w:val="24"/>
        </w:rPr>
      </w:pPr>
    </w:p>
    <w:p w14:paraId="014ACDE7" w14:textId="77777777" w:rsidR="00520EE7" w:rsidRDefault="00520EE7">
      <w:pPr>
        <w:ind w:firstLine="851"/>
        <w:jc w:val="both"/>
        <w:rPr>
          <w:szCs w:val="24"/>
        </w:rPr>
      </w:pPr>
    </w:p>
    <w:p w14:paraId="2DC9CAC5" w14:textId="77777777" w:rsidR="00520EE7" w:rsidRDefault="00520EE7">
      <w:pPr>
        <w:ind w:firstLine="851"/>
        <w:jc w:val="both"/>
        <w:rPr>
          <w:szCs w:val="24"/>
        </w:rPr>
      </w:pPr>
    </w:p>
    <w:p w14:paraId="3174B5B8" w14:textId="77777777" w:rsidR="00520EE7" w:rsidRDefault="00520EE7">
      <w:pPr>
        <w:ind w:firstLine="851"/>
        <w:jc w:val="both"/>
        <w:rPr>
          <w:szCs w:val="24"/>
        </w:rPr>
      </w:pPr>
    </w:p>
    <w:p w14:paraId="656C2421" w14:textId="77777777" w:rsidR="00520EE7" w:rsidRDefault="00520EE7">
      <w:pPr>
        <w:ind w:firstLine="851"/>
        <w:jc w:val="both"/>
        <w:rPr>
          <w:szCs w:val="24"/>
        </w:rPr>
      </w:pPr>
    </w:p>
    <w:p w14:paraId="00B2E4BD" w14:textId="77777777" w:rsidR="00520EE7" w:rsidRDefault="00520EE7">
      <w:pPr>
        <w:ind w:firstLine="851"/>
        <w:jc w:val="both"/>
        <w:rPr>
          <w:szCs w:val="24"/>
        </w:rPr>
      </w:pPr>
    </w:p>
    <w:p w14:paraId="69FDE140" w14:textId="77777777" w:rsidR="00520EE7" w:rsidRDefault="00520EE7">
      <w:pPr>
        <w:ind w:firstLine="851"/>
        <w:jc w:val="both"/>
        <w:rPr>
          <w:szCs w:val="24"/>
        </w:rPr>
      </w:pPr>
    </w:p>
    <w:p w14:paraId="536F006E" w14:textId="77777777" w:rsidR="00A608E8" w:rsidRDefault="00A608E8">
      <w:pPr>
        <w:ind w:firstLine="851"/>
        <w:jc w:val="both"/>
        <w:rPr>
          <w:szCs w:val="24"/>
        </w:rPr>
      </w:pPr>
    </w:p>
    <w:p w14:paraId="647065C2" w14:textId="77777777" w:rsidR="00A608E8" w:rsidRDefault="00A608E8">
      <w:pPr>
        <w:ind w:firstLine="851"/>
        <w:jc w:val="both"/>
        <w:rPr>
          <w:szCs w:val="24"/>
        </w:rPr>
      </w:pPr>
    </w:p>
    <w:p w14:paraId="46FCAF99" w14:textId="77777777" w:rsidR="00A608E8" w:rsidRDefault="00A608E8">
      <w:pPr>
        <w:ind w:firstLine="851"/>
        <w:jc w:val="both"/>
        <w:rPr>
          <w:szCs w:val="24"/>
        </w:rPr>
      </w:pPr>
    </w:p>
    <w:p w14:paraId="66E95E8A" w14:textId="77777777" w:rsidR="00A608E8" w:rsidRDefault="00A608E8">
      <w:pPr>
        <w:ind w:firstLine="851"/>
        <w:jc w:val="both"/>
        <w:rPr>
          <w:szCs w:val="24"/>
        </w:rPr>
      </w:pPr>
    </w:p>
    <w:p w14:paraId="73C99ADC" w14:textId="77777777" w:rsidR="00A608E8" w:rsidRDefault="00A608E8">
      <w:pPr>
        <w:ind w:firstLine="851"/>
        <w:jc w:val="both"/>
        <w:rPr>
          <w:szCs w:val="24"/>
        </w:rPr>
      </w:pPr>
      <w:bookmarkStart w:id="0" w:name="_GoBack"/>
      <w:bookmarkEnd w:id="0"/>
    </w:p>
    <w:p w14:paraId="1846DA2B" w14:textId="77777777" w:rsidR="00A608E8" w:rsidRDefault="00A608E8">
      <w:pPr>
        <w:ind w:firstLine="851"/>
        <w:jc w:val="both"/>
        <w:rPr>
          <w:szCs w:val="24"/>
        </w:rPr>
      </w:pPr>
    </w:p>
    <w:p w14:paraId="712C5AFE" w14:textId="77777777" w:rsidR="00A608E8" w:rsidRDefault="00A608E8">
      <w:pPr>
        <w:ind w:firstLine="851"/>
        <w:jc w:val="both"/>
        <w:rPr>
          <w:szCs w:val="24"/>
        </w:rPr>
      </w:pPr>
    </w:p>
    <w:p w14:paraId="4DABA507" w14:textId="77777777" w:rsidR="00A608E8" w:rsidRDefault="00A608E8">
      <w:pPr>
        <w:ind w:firstLine="851"/>
        <w:jc w:val="both"/>
        <w:rPr>
          <w:szCs w:val="24"/>
        </w:rPr>
      </w:pPr>
    </w:p>
    <w:p w14:paraId="13F0F9FD" w14:textId="77777777" w:rsidR="00A608E8" w:rsidRDefault="00A608E8">
      <w:pPr>
        <w:ind w:firstLine="851"/>
        <w:jc w:val="both"/>
        <w:rPr>
          <w:szCs w:val="24"/>
        </w:rPr>
      </w:pPr>
    </w:p>
    <w:p w14:paraId="1EB31396" w14:textId="77777777" w:rsidR="00A608E8" w:rsidRDefault="00A608E8">
      <w:pPr>
        <w:ind w:firstLine="851"/>
        <w:jc w:val="both"/>
        <w:rPr>
          <w:szCs w:val="24"/>
        </w:rPr>
      </w:pPr>
    </w:p>
    <w:p w14:paraId="57032F91" w14:textId="77777777" w:rsidR="00A608E8" w:rsidRDefault="00A608E8">
      <w:pPr>
        <w:ind w:firstLine="851"/>
        <w:jc w:val="both"/>
        <w:rPr>
          <w:szCs w:val="24"/>
        </w:rPr>
      </w:pPr>
    </w:p>
    <w:p w14:paraId="5B3299DC" w14:textId="77777777" w:rsidR="00A04672" w:rsidRPr="00672FFE" w:rsidRDefault="00FA5AC2">
      <w:pPr>
        <w:tabs>
          <w:tab w:val="center" w:pos="4819"/>
          <w:tab w:val="right" w:pos="9638"/>
        </w:tabs>
        <w:jc w:val="both"/>
        <w:rPr>
          <w:szCs w:val="24"/>
        </w:rPr>
      </w:pPr>
      <w:r w:rsidRPr="00672FFE">
        <w:rPr>
          <w:szCs w:val="24"/>
        </w:rPr>
        <w:t>P</w:t>
      </w:r>
      <w:r w:rsidR="00192A94" w:rsidRPr="00672FFE">
        <w:rPr>
          <w:szCs w:val="24"/>
        </w:rPr>
        <w:t xml:space="preserve">arengė </w:t>
      </w:r>
    </w:p>
    <w:p w14:paraId="3F457B24" w14:textId="77777777" w:rsidR="00A04672" w:rsidRPr="00672FFE" w:rsidRDefault="008F2E8A">
      <w:pPr>
        <w:tabs>
          <w:tab w:val="center" w:pos="4819"/>
          <w:tab w:val="right" w:pos="9638"/>
        </w:tabs>
        <w:jc w:val="both"/>
        <w:rPr>
          <w:szCs w:val="24"/>
        </w:rPr>
      </w:pPr>
      <w:r w:rsidRPr="00672FFE">
        <w:rPr>
          <w:szCs w:val="24"/>
        </w:rPr>
        <w:t xml:space="preserve">Ekonomikos ir inovacijų </w:t>
      </w:r>
      <w:r w:rsidR="00192A94" w:rsidRPr="00672FFE">
        <w:rPr>
          <w:szCs w:val="24"/>
        </w:rPr>
        <w:t xml:space="preserve">ministerijos Europos Sąjungos </w:t>
      </w:r>
      <w:r w:rsidRPr="00672FFE">
        <w:rPr>
          <w:szCs w:val="24"/>
        </w:rPr>
        <w:t xml:space="preserve">investicijų </w:t>
      </w:r>
    </w:p>
    <w:p w14:paraId="6791F555" w14:textId="77777777" w:rsidR="00A04672" w:rsidRPr="00672FFE" w:rsidRDefault="00192A94">
      <w:pPr>
        <w:tabs>
          <w:tab w:val="center" w:pos="4819"/>
          <w:tab w:val="right" w:pos="9638"/>
        </w:tabs>
        <w:jc w:val="both"/>
        <w:rPr>
          <w:szCs w:val="24"/>
        </w:rPr>
      </w:pPr>
      <w:r w:rsidRPr="00672FFE">
        <w:rPr>
          <w:szCs w:val="24"/>
        </w:rPr>
        <w:t>koordinavimo departamento</w:t>
      </w:r>
    </w:p>
    <w:p w14:paraId="657DB53D" w14:textId="77777777" w:rsidR="00672FFE" w:rsidRDefault="008F2E8A">
      <w:pPr>
        <w:tabs>
          <w:tab w:val="center" w:pos="4819"/>
          <w:tab w:val="right" w:pos="9638"/>
        </w:tabs>
        <w:jc w:val="both"/>
        <w:rPr>
          <w:szCs w:val="24"/>
        </w:rPr>
      </w:pPr>
      <w:r w:rsidRPr="00672FFE">
        <w:rPr>
          <w:szCs w:val="24"/>
        </w:rPr>
        <w:t>Europos Sąjungos investicijų planavimo</w:t>
      </w:r>
    </w:p>
    <w:p w14:paraId="229ECC90" w14:textId="77777777" w:rsidR="00A04672" w:rsidRPr="00672FFE" w:rsidRDefault="00192A94">
      <w:pPr>
        <w:tabs>
          <w:tab w:val="center" w:pos="4819"/>
          <w:tab w:val="right" w:pos="9638"/>
        </w:tabs>
        <w:jc w:val="both"/>
        <w:rPr>
          <w:szCs w:val="24"/>
        </w:rPr>
      </w:pPr>
      <w:r w:rsidRPr="00672FFE">
        <w:rPr>
          <w:szCs w:val="24"/>
        </w:rPr>
        <w:t>skyriaus vyriausioji specialistė</w:t>
      </w:r>
    </w:p>
    <w:p w14:paraId="411A7D44" w14:textId="77777777" w:rsidR="00A04672" w:rsidRPr="00672FFE" w:rsidRDefault="00A04672">
      <w:pPr>
        <w:tabs>
          <w:tab w:val="center" w:pos="4819"/>
          <w:tab w:val="right" w:pos="9638"/>
        </w:tabs>
        <w:jc w:val="both"/>
        <w:rPr>
          <w:szCs w:val="24"/>
        </w:rPr>
      </w:pPr>
    </w:p>
    <w:p w14:paraId="00E41613" w14:textId="2A05237C" w:rsidR="005430E4" w:rsidRDefault="00062609" w:rsidP="008D405F">
      <w:pPr>
        <w:tabs>
          <w:tab w:val="center" w:pos="4819"/>
          <w:tab w:val="right" w:pos="9638"/>
        </w:tabs>
        <w:jc w:val="both"/>
        <w:rPr>
          <w:rFonts w:eastAsia="Calibri"/>
          <w:szCs w:val="24"/>
        </w:rPr>
      </w:pPr>
      <w:r w:rsidRPr="00672FFE">
        <w:rPr>
          <w:szCs w:val="24"/>
        </w:rPr>
        <w:t xml:space="preserve">Edita </w:t>
      </w:r>
      <w:proofErr w:type="spellStart"/>
      <w:r w:rsidRPr="00672FFE">
        <w:rPr>
          <w:szCs w:val="24"/>
        </w:rPr>
        <w:t>Rudakaitė-Šaukštel</w:t>
      </w:r>
      <w:proofErr w:type="spellEnd"/>
    </w:p>
    <w:sectPr w:rsidR="005430E4" w:rsidSect="00AF6D15">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89F7" w14:textId="77777777" w:rsidR="000E2E31" w:rsidRDefault="000E2E31">
      <w:pPr>
        <w:ind w:firstLine="851"/>
        <w:jc w:val="both"/>
        <w:rPr>
          <w:szCs w:val="24"/>
        </w:rPr>
      </w:pPr>
      <w:r>
        <w:rPr>
          <w:szCs w:val="24"/>
        </w:rPr>
        <w:separator/>
      </w:r>
    </w:p>
    <w:p w14:paraId="6FCD87BE" w14:textId="77777777" w:rsidR="000E2E31" w:rsidRDefault="000E2E31"/>
    <w:p w14:paraId="3ADD7B03" w14:textId="77777777" w:rsidR="000E2E31" w:rsidRDefault="000E2E31">
      <w:pPr>
        <w:ind w:firstLine="851"/>
        <w:jc w:val="both"/>
        <w:rPr>
          <w:szCs w:val="24"/>
        </w:rPr>
      </w:pPr>
    </w:p>
  </w:endnote>
  <w:endnote w:type="continuationSeparator" w:id="0">
    <w:p w14:paraId="65D14FDC" w14:textId="77777777" w:rsidR="000E2E31" w:rsidRDefault="000E2E31">
      <w:pPr>
        <w:ind w:firstLine="851"/>
        <w:jc w:val="both"/>
        <w:rPr>
          <w:szCs w:val="24"/>
        </w:rPr>
      </w:pPr>
      <w:r>
        <w:rPr>
          <w:szCs w:val="24"/>
        </w:rPr>
        <w:continuationSeparator/>
      </w:r>
    </w:p>
    <w:p w14:paraId="29F197CB" w14:textId="77777777" w:rsidR="000E2E31" w:rsidRDefault="000E2E31"/>
    <w:p w14:paraId="34591DAA" w14:textId="77777777" w:rsidR="000E2E31" w:rsidRDefault="000E2E31">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378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F1C1"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3E91"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70B6" w14:textId="77777777" w:rsidR="000E2E31" w:rsidRDefault="000E2E31">
      <w:pPr>
        <w:ind w:firstLine="851"/>
        <w:jc w:val="both"/>
        <w:rPr>
          <w:szCs w:val="24"/>
        </w:rPr>
      </w:pPr>
      <w:r>
        <w:rPr>
          <w:szCs w:val="24"/>
        </w:rPr>
        <w:separator/>
      </w:r>
    </w:p>
    <w:p w14:paraId="1227C7B8" w14:textId="77777777" w:rsidR="000E2E31" w:rsidRDefault="000E2E31"/>
    <w:p w14:paraId="1B2589E7" w14:textId="77777777" w:rsidR="000E2E31" w:rsidRDefault="000E2E31">
      <w:pPr>
        <w:ind w:firstLine="851"/>
        <w:jc w:val="both"/>
        <w:rPr>
          <w:szCs w:val="24"/>
        </w:rPr>
      </w:pPr>
    </w:p>
  </w:footnote>
  <w:footnote w:type="continuationSeparator" w:id="0">
    <w:p w14:paraId="43903D15" w14:textId="77777777" w:rsidR="000E2E31" w:rsidRDefault="000E2E31">
      <w:pPr>
        <w:ind w:firstLine="851"/>
        <w:jc w:val="both"/>
        <w:rPr>
          <w:szCs w:val="24"/>
        </w:rPr>
      </w:pPr>
      <w:r>
        <w:rPr>
          <w:szCs w:val="24"/>
        </w:rPr>
        <w:continuationSeparator/>
      </w:r>
    </w:p>
    <w:p w14:paraId="0F841E22" w14:textId="77777777" w:rsidR="000E2E31" w:rsidRDefault="000E2E31"/>
    <w:p w14:paraId="5A84A71C" w14:textId="77777777" w:rsidR="000E2E31" w:rsidRDefault="000E2E31">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B861"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8A7D" w14:textId="3EEF1869"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FA6D08">
      <w:rPr>
        <w:noProof/>
        <w:szCs w:val="24"/>
      </w:rPr>
      <w:t>2</w:t>
    </w:r>
    <w:r>
      <w:rPr>
        <w:szCs w:val="24"/>
      </w:rPr>
      <w:fldChar w:fldCharType="end"/>
    </w:r>
  </w:p>
  <w:p w14:paraId="4CC29DA0"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B0F8"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3288A"/>
    <w:rsid w:val="00036743"/>
    <w:rsid w:val="00062609"/>
    <w:rsid w:val="000941B4"/>
    <w:rsid w:val="000A1209"/>
    <w:rsid w:val="000B164D"/>
    <w:rsid w:val="000B2419"/>
    <w:rsid w:val="000C7B3B"/>
    <w:rsid w:val="000E2E31"/>
    <w:rsid w:val="000F5031"/>
    <w:rsid w:val="00125D1B"/>
    <w:rsid w:val="00143CBF"/>
    <w:rsid w:val="00147642"/>
    <w:rsid w:val="00192A94"/>
    <w:rsid w:val="001A5DE9"/>
    <w:rsid w:val="001B5B75"/>
    <w:rsid w:val="001C1FF6"/>
    <w:rsid w:val="001D59BB"/>
    <w:rsid w:val="001D6C71"/>
    <w:rsid w:val="00206631"/>
    <w:rsid w:val="00226FBC"/>
    <w:rsid w:val="00250639"/>
    <w:rsid w:val="002D6B5A"/>
    <w:rsid w:val="002E42A9"/>
    <w:rsid w:val="002F21AE"/>
    <w:rsid w:val="003059DA"/>
    <w:rsid w:val="00351303"/>
    <w:rsid w:val="003525DC"/>
    <w:rsid w:val="00367189"/>
    <w:rsid w:val="003E11D3"/>
    <w:rsid w:val="003E30B8"/>
    <w:rsid w:val="003E730D"/>
    <w:rsid w:val="004064F7"/>
    <w:rsid w:val="00411A4D"/>
    <w:rsid w:val="00456B4C"/>
    <w:rsid w:val="00471613"/>
    <w:rsid w:val="0048442A"/>
    <w:rsid w:val="004845F2"/>
    <w:rsid w:val="004A13A8"/>
    <w:rsid w:val="004F1692"/>
    <w:rsid w:val="004F192B"/>
    <w:rsid w:val="00507E31"/>
    <w:rsid w:val="00520EE7"/>
    <w:rsid w:val="005251DE"/>
    <w:rsid w:val="005257F6"/>
    <w:rsid w:val="00535362"/>
    <w:rsid w:val="005430E4"/>
    <w:rsid w:val="00546485"/>
    <w:rsid w:val="005503B8"/>
    <w:rsid w:val="00571146"/>
    <w:rsid w:val="005754CF"/>
    <w:rsid w:val="005D0CD3"/>
    <w:rsid w:val="005E3EA8"/>
    <w:rsid w:val="005F6F1F"/>
    <w:rsid w:val="006438DB"/>
    <w:rsid w:val="00672FFE"/>
    <w:rsid w:val="006870A4"/>
    <w:rsid w:val="006A2D0B"/>
    <w:rsid w:val="006A55F7"/>
    <w:rsid w:val="006A7852"/>
    <w:rsid w:val="006B2242"/>
    <w:rsid w:val="006F5D90"/>
    <w:rsid w:val="00715B6B"/>
    <w:rsid w:val="00733A10"/>
    <w:rsid w:val="00735F7E"/>
    <w:rsid w:val="00745BC3"/>
    <w:rsid w:val="00754EFE"/>
    <w:rsid w:val="00791C53"/>
    <w:rsid w:val="007A1AC4"/>
    <w:rsid w:val="007A237B"/>
    <w:rsid w:val="007B5401"/>
    <w:rsid w:val="007B6BE9"/>
    <w:rsid w:val="007F2C8F"/>
    <w:rsid w:val="00821363"/>
    <w:rsid w:val="00880B9A"/>
    <w:rsid w:val="00887530"/>
    <w:rsid w:val="008948A8"/>
    <w:rsid w:val="008B1499"/>
    <w:rsid w:val="008C0105"/>
    <w:rsid w:val="008D405F"/>
    <w:rsid w:val="008D46BC"/>
    <w:rsid w:val="008F2E8A"/>
    <w:rsid w:val="008F6844"/>
    <w:rsid w:val="00914F13"/>
    <w:rsid w:val="0097531B"/>
    <w:rsid w:val="00A04672"/>
    <w:rsid w:val="00A13C8B"/>
    <w:rsid w:val="00A26E6A"/>
    <w:rsid w:val="00A30E10"/>
    <w:rsid w:val="00A361D2"/>
    <w:rsid w:val="00A602AB"/>
    <w:rsid w:val="00A608E8"/>
    <w:rsid w:val="00AA2EA6"/>
    <w:rsid w:val="00AB569C"/>
    <w:rsid w:val="00AE5EF5"/>
    <w:rsid w:val="00AF6D15"/>
    <w:rsid w:val="00AF77F6"/>
    <w:rsid w:val="00B03728"/>
    <w:rsid w:val="00B6416D"/>
    <w:rsid w:val="00B67712"/>
    <w:rsid w:val="00B77167"/>
    <w:rsid w:val="00B96A7B"/>
    <w:rsid w:val="00BA2517"/>
    <w:rsid w:val="00BC401C"/>
    <w:rsid w:val="00BE2280"/>
    <w:rsid w:val="00BE4B5C"/>
    <w:rsid w:val="00BF7EF5"/>
    <w:rsid w:val="00C255DC"/>
    <w:rsid w:val="00C2787F"/>
    <w:rsid w:val="00C66DA0"/>
    <w:rsid w:val="00C7320D"/>
    <w:rsid w:val="00C86DE3"/>
    <w:rsid w:val="00C920FA"/>
    <w:rsid w:val="00C94462"/>
    <w:rsid w:val="00CE2E61"/>
    <w:rsid w:val="00CF46C0"/>
    <w:rsid w:val="00D35D9B"/>
    <w:rsid w:val="00D47D10"/>
    <w:rsid w:val="00D63B2C"/>
    <w:rsid w:val="00DA7EB0"/>
    <w:rsid w:val="00DB00BE"/>
    <w:rsid w:val="00DC6F70"/>
    <w:rsid w:val="00DC74C6"/>
    <w:rsid w:val="00E223EA"/>
    <w:rsid w:val="00E54F29"/>
    <w:rsid w:val="00E63FE0"/>
    <w:rsid w:val="00E83014"/>
    <w:rsid w:val="00EA2FE1"/>
    <w:rsid w:val="00EB4186"/>
    <w:rsid w:val="00ED0306"/>
    <w:rsid w:val="00ED095B"/>
    <w:rsid w:val="00F03EBE"/>
    <w:rsid w:val="00F04E38"/>
    <w:rsid w:val="00F115D6"/>
    <w:rsid w:val="00F32FD8"/>
    <w:rsid w:val="00F40A37"/>
    <w:rsid w:val="00F72E3C"/>
    <w:rsid w:val="00FA5AC2"/>
    <w:rsid w:val="00FA6D08"/>
    <w:rsid w:val="00FC01EF"/>
    <w:rsid w:val="00FC12DE"/>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9D9818"/>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E25D-DF9D-42ED-8C61-E40DEAFE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7659</Words>
  <Characters>4366</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8</cp:revision>
  <cp:lastPrinted>2019-01-16T07:48:00Z</cp:lastPrinted>
  <dcterms:created xsi:type="dcterms:W3CDTF">2019-06-07T04:57:00Z</dcterms:created>
  <dcterms:modified xsi:type="dcterms:W3CDTF">2019-06-27T12:00:00Z</dcterms:modified>
</cp:coreProperties>
</file>