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AA34" w14:textId="14229D7B" w:rsidR="00E450AB" w:rsidRDefault="00E450AB">
      <w:pPr>
        <w:tabs>
          <w:tab w:val="center" w:pos="4153"/>
          <w:tab w:val="right" w:pos="8306"/>
        </w:tabs>
        <w:jc w:val="center"/>
        <w:rPr>
          <w:b/>
          <w:bCs/>
          <w:sz w:val="20"/>
        </w:rPr>
      </w:pPr>
    </w:p>
    <w:p w14:paraId="0F003B59" w14:textId="77777777" w:rsidR="00B511E1" w:rsidRPr="00E450AB" w:rsidRDefault="00B511E1">
      <w:pPr>
        <w:tabs>
          <w:tab w:val="center" w:pos="4153"/>
          <w:tab w:val="right" w:pos="8306"/>
        </w:tabs>
        <w:jc w:val="center"/>
        <w:rPr>
          <w:b/>
          <w:bCs/>
          <w:sz w:val="20"/>
        </w:rPr>
      </w:pPr>
    </w:p>
    <w:p w14:paraId="1EDDB15F" w14:textId="0334A56B" w:rsidR="00B34D86" w:rsidRDefault="00653477">
      <w:pPr>
        <w:tabs>
          <w:tab w:val="center" w:pos="4153"/>
          <w:tab w:val="right" w:pos="8306"/>
        </w:tabs>
        <w:jc w:val="center"/>
        <w:rPr>
          <w:b/>
          <w:bCs/>
          <w:szCs w:val="24"/>
        </w:rPr>
      </w:pPr>
      <w:r>
        <w:rPr>
          <w:b/>
          <w:bCs/>
          <w:szCs w:val="24"/>
        </w:rPr>
        <w:t>LIETUVOS RESPUBLIKOS SVEIKATOS APSAUGOS MINISTRAS</w:t>
      </w:r>
    </w:p>
    <w:p w14:paraId="1EDDB160" w14:textId="77777777" w:rsidR="00B34D86" w:rsidRDefault="00B34D86">
      <w:pPr>
        <w:tabs>
          <w:tab w:val="center" w:pos="4153"/>
          <w:tab w:val="right" w:pos="8306"/>
        </w:tabs>
        <w:jc w:val="center"/>
        <w:rPr>
          <w:b/>
          <w:bCs/>
          <w:szCs w:val="24"/>
        </w:rPr>
      </w:pPr>
    </w:p>
    <w:p w14:paraId="1EDDB161" w14:textId="77777777" w:rsidR="00B34D86" w:rsidRDefault="00653477">
      <w:pPr>
        <w:tabs>
          <w:tab w:val="center" w:pos="4153"/>
          <w:tab w:val="right" w:pos="8306"/>
        </w:tabs>
        <w:jc w:val="center"/>
        <w:rPr>
          <w:b/>
          <w:bCs/>
          <w:szCs w:val="24"/>
        </w:rPr>
      </w:pPr>
      <w:r>
        <w:rPr>
          <w:b/>
          <w:bCs/>
          <w:szCs w:val="24"/>
        </w:rPr>
        <w:t>ĮSAKYMAS</w:t>
      </w:r>
    </w:p>
    <w:p w14:paraId="1100426B" w14:textId="3FE3831A" w:rsidR="007C4F62" w:rsidRDefault="007C4F62" w:rsidP="00306FBE">
      <w:pPr>
        <w:ind w:right="-1"/>
        <w:jc w:val="center"/>
        <w:rPr>
          <w:color w:val="000000"/>
          <w:sz w:val="2"/>
          <w:szCs w:val="2"/>
        </w:rPr>
      </w:pPr>
      <w:r w:rsidRPr="007C4F62">
        <w:rPr>
          <w:b/>
          <w:bCs/>
          <w:color w:val="000000"/>
          <w:szCs w:val="24"/>
        </w:rPr>
        <w:t>DĖL LIETUVOS RESPUBLIKOS SVEIKATOS APSAUGOS MINISTRO 201</w:t>
      </w:r>
      <w:r w:rsidR="001C7729">
        <w:rPr>
          <w:b/>
          <w:bCs/>
          <w:color w:val="000000"/>
          <w:szCs w:val="24"/>
        </w:rPr>
        <w:t>7</w:t>
      </w:r>
      <w:r w:rsidRPr="007C4F62">
        <w:rPr>
          <w:b/>
          <w:bCs/>
          <w:color w:val="000000"/>
          <w:szCs w:val="24"/>
        </w:rPr>
        <w:t xml:space="preserve"> M. </w:t>
      </w:r>
      <w:r w:rsidR="00306FBE">
        <w:rPr>
          <w:b/>
          <w:bCs/>
          <w:color w:val="000000"/>
          <w:szCs w:val="24"/>
        </w:rPr>
        <w:t>RUGSĖJO</w:t>
      </w:r>
      <w:r w:rsidRPr="007C4F62">
        <w:rPr>
          <w:b/>
          <w:bCs/>
          <w:color w:val="000000"/>
          <w:szCs w:val="24"/>
        </w:rPr>
        <w:t xml:space="preserve"> </w:t>
      </w:r>
      <w:r w:rsidR="00306FBE">
        <w:rPr>
          <w:b/>
          <w:bCs/>
          <w:color w:val="000000"/>
          <w:szCs w:val="24"/>
        </w:rPr>
        <w:t>2</w:t>
      </w:r>
      <w:r w:rsidR="007A0EE3">
        <w:rPr>
          <w:b/>
          <w:bCs/>
          <w:color w:val="000000"/>
          <w:szCs w:val="24"/>
        </w:rPr>
        <w:t>5</w:t>
      </w:r>
      <w:r w:rsidRPr="007C4F62">
        <w:rPr>
          <w:b/>
          <w:bCs/>
          <w:color w:val="000000"/>
          <w:szCs w:val="24"/>
        </w:rPr>
        <w:t xml:space="preserve"> D. ĮSAKYMO NR. V-</w:t>
      </w:r>
      <w:r w:rsidR="00306FBE">
        <w:rPr>
          <w:b/>
          <w:bCs/>
          <w:color w:val="000000"/>
          <w:szCs w:val="24"/>
        </w:rPr>
        <w:t>11</w:t>
      </w:r>
      <w:r w:rsidR="007A0EE3">
        <w:rPr>
          <w:b/>
          <w:bCs/>
          <w:color w:val="000000"/>
          <w:szCs w:val="24"/>
        </w:rPr>
        <w:t>15</w:t>
      </w:r>
      <w:r w:rsidRPr="007C4F62">
        <w:rPr>
          <w:b/>
          <w:bCs/>
          <w:color w:val="000000"/>
          <w:szCs w:val="24"/>
        </w:rPr>
        <w:t xml:space="preserve"> „</w:t>
      </w:r>
      <w:r w:rsidR="00306FBE" w:rsidRPr="00306FBE">
        <w:rPr>
          <w:b/>
          <w:bCs/>
          <w:color w:val="000000"/>
          <w:szCs w:val="24"/>
        </w:rPr>
        <w:t xml:space="preserve">DĖL 2014–2020 METŲ EUROPOS SĄJUNGOS FONDŲ INVESTICIJŲ VEIKSMŲ PROGRAMOS 8 PRIORITETO „SOCIALINĖS </w:t>
      </w:r>
      <w:r w:rsidR="00D929FA">
        <w:rPr>
          <w:b/>
          <w:bCs/>
          <w:color w:val="000000"/>
          <w:szCs w:val="24"/>
        </w:rPr>
        <w:t>Į</w:t>
      </w:r>
      <w:r w:rsidR="00306FBE" w:rsidRPr="00306FBE">
        <w:rPr>
          <w:b/>
          <w:bCs/>
          <w:color w:val="000000"/>
          <w:szCs w:val="24"/>
        </w:rPr>
        <w:t xml:space="preserve">TRAUKTIES DIDINIMAS IR KOVA SU SKURDU“ PRIEMONĖS NR. </w:t>
      </w:r>
      <w:r w:rsidR="00D23511">
        <w:rPr>
          <w:b/>
          <w:bCs/>
          <w:color w:val="000000"/>
          <w:szCs w:val="24"/>
        </w:rPr>
        <w:t xml:space="preserve">                        </w:t>
      </w:r>
      <w:r w:rsidR="00306FBE" w:rsidRPr="00306FBE">
        <w:rPr>
          <w:b/>
          <w:bCs/>
          <w:color w:val="000000"/>
          <w:szCs w:val="24"/>
        </w:rPr>
        <w:t>08.1.3-CPVA-V-606</w:t>
      </w:r>
      <w:r w:rsidR="00D929FA">
        <w:rPr>
          <w:b/>
          <w:bCs/>
          <w:color w:val="000000"/>
          <w:szCs w:val="24"/>
        </w:rPr>
        <w:t xml:space="preserve"> </w:t>
      </w:r>
      <w:r w:rsidR="00306FBE" w:rsidRPr="00306FBE">
        <w:rPr>
          <w:b/>
          <w:bCs/>
          <w:color w:val="000000"/>
          <w:szCs w:val="24"/>
        </w:rPr>
        <w:t>„ONKOLOGINIŲ LIGŲ PREVENCIJOS, ANKSTYVOS DIAGNOSTIKOS IR GYDYMO PASLAUGŲ INFRASTRUKTŪROS TOBULINIMAS“ PROJEKTŲ FINANSAVIMO</w:t>
      </w:r>
      <w:r w:rsidR="00306FBE">
        <w:rPr>
          <w:b/>
          <w:bCs/>
          <w:color w:val="000000"/>
          <w:szCs w:val="24"/>
        </w:rPr>
        <w:t xml:space="preserve"> </w:t>
      </w:r>
      <w:r w:rsidR="00306FBE" w:rsidRPr="00306FBE">
        <w:rPr>
          <w:b/>
          <w:bCs/>
          <w:color w:val="000000"/>
          <w:szCs w:val="24"/>
        </w:rPr>
        <w:t xml:space="preserve">SĄLYGŲ APRAŠO NR. </w:t>
      </w:r>
      <w:r w:rsidR="007A0EE3">
        <w:rPr>
          <w:b/>
          <w:bCs/>
          <w:color w:val="000000"/>
          <w:szCs w:val="24"/>
        </w:rPr>
        <w:t>1</w:t>
      </w:r>
      <w:r w:rsidR="00306FBE" w:rsidRPr="00306FBE">
        <w:rPr>
          <w:b/>
          <w:bCs/>
          <w:color w:val="000000"/>
          <w:szCs w:val="24"/>
        </w:rPr>
        <w:t xml:space="preserve"> PATVIRTINIMO</w:t>
      </w:r>
      <w:r w:rsidRPr="007C4F62">
        <w:rPr>
          <w:b/>
          <w:bCs/>
          <w:color w:val="000000"/>
          <w:szCs w:val="24"/>
        </w:rPr>
        <w:t>“ PAKEITIMO</w:t>
      </w:r>
      <w:r>
        <w:rPr>
          <w:b/>
          <w:bCs/>
          <w:color w:val="000000"/>
          <w:szCs w:val="24"/>
        </w:rPr>
        <w:t xml:space="preserve"> </w:t>
      </w:r>
    </w:p>
    <w:p w14:paraId="1EDDB163" w14:textId="775F9882" w:rsidR="00B34D86" w:rsidRDefault="00B34D86" w:rsidP="00E450AB">
      <w:pPr>
        <w:ind w:right="-1"/>
        <w:jc w:val="center"/>
        <w:rPr>
          <w:color w:val="000000"/>
          <w:sz w:val="2"/>
          <w:szCs w:val="2"/>
        </w:rPr>
      </w:pPr>
    </w:p>
    <w:p w14:paraId="1EDDB164" w14:textId="77777777" w:rsidR="00B34D86" w:rsidRDefault="00B34D86">
      <w:pPr>
        <w:jc w:val="center"/>
        <w:rPr>
          <w:color w:val="000000"/>
          <w:szCs w:val="24"/>
        </w:rPr>
      </w:pPr>
    </w:p>
    <w:p w14:paraId="1EDDB165" w14:textId="5EB0456D" w:rsidR="00B34D86" w:rsidRDefault="00FB44C9">
      <w:pPr>
        <w:jc w:val="center"/>
        <w:rPr>
          <w:color w:val="000000"/>
          <w:szCs w:val="24"/>
        </w:rPr>
      </w:pPr>
      <w:r>
        <w:rPr>
          <w:color w:val="000000"/>
          <w:szCs w:val="24"/>
        </w:rPr>
        <w:t>201</w:t>
      </w:r>
      <w:r w:rsidR="00EC53CC">
        <w:rPr>
          <w:color w:val="000000"/>
          <w:szCs w:val="24"/>
        </w:rPr>
        <w:t>9</w:t>
      </w:r>
      <w:r w:rsidR="00251B0F">
        <w:rPr>
          <w:color w:val="000000"/>
          <w:szCs w:val="24"/>
        </w:rPr>
        <w:t xml:space="preserve"> m. </w:t>
      </w:r>
      <w:r w:rsidR="003713F0">
        <w:rPr>
          <w:color w:val="000000"/>
          <w:szCs w:val="24"/>
        </w:rPr>
        <w:t>liepos</w:t>
      </w:r>
      <w:r w:rsidR="002C2166">
        <w:rPr>
          <w:color w:val="000000"/>
          <w:szCs w:val="24"/>
        </w:rPr>
        <w:t xml:space="preserve"> </w:t>
      </w:r>
      <w:r w:rsidR="00B50D4D">
        <w:rPr>
          <w:color w:val="000000"/>
          <w:szCs w:val="24"/>
        </w:rPr>
        <w:t xml:space="preserve">   </w:t>
      </w:r>
      <w:r w:rsidR="002C2166">
        <w:rPr>
          <w:color w:val="000000"/>
          <w:szCs w:val="24"/>
        </w:rPr>
        <w:t xml:space="preserve"> </w:t>
      </w:r>
      <w:r w:rsidR="00F45C91">
        <w:rPr>
          <w:color w:val="000000"/>
          <w:szCs w:val="24"/>
        </w:rPr>
        <w:t>d. Nr. V-</w:t>
      </w:r>
    </w:p>
    <w:p w14:paraId="1EDDB166" w14:textId="77777777" w:rsidR="00B34D86" w:rsidRDefault="00653477">
      <w:pPr>
        <w:jc w:val="center"/>
        <w:rPr>
          <w:color w:val="000000"/>
          <w:szCs w:val="24"/>
        </w:rPr>
      </w:pPr>
      <w:r>
        <w:rPr>
          <w:color w:val="000000"/>
          <w:szCs w:val="24"/>
        </w:rPr>
        <w:t>Vilnius</w:t>
      </w:r>
    </w:p>
    <w:p w14:paraId="1EDDB167" w14:textId="77777777" w:rsidR="00B34D86" w:rsidRDefault="00B34D86" w:rsidP="00653477">
      <w:pPr>
        <w:rPr>
          <w:color w:val="000000"/>
          <w:szCs w:val="24"/>
        </w:rPr>
      </w:pPr>
    </w:p>
    <w:p w14:paraId="1EDDB168" w14:textId="77777777" w:rsidR="00B34D86" w:rsidRDefault="00B34D86" w:rsidP="00653477">
      <w:pPr>
        <w:jc w:val="both"/>
        <w:rPr>
          <w:color w:val="000000"/>
          <w:szCs w:val="24"/>
        </w:rPr>
      </w:pPr>
    </w:p>
    <w:p w14:paraId="2D709F26" w14:textId="179FB50F" w:rsidR="007C4F62" w:rsidRPr="002428F0" w:rsidRDefault="007C4F62" w:rsidP="00306FBE">
      <w:pPr>
        <w:ind w:firstLine="851"/>
        <w:jc w:val="both"/>
        <w:rPr>
          <w:color w:val="000000"/>
          <w:szCs w:val="24"/>
        </w:rPr>
      </w:pPr>
      <w:r w:rsidRPr="007C4F62">
        <w:rPr>
          <w:color w:val="000000"/>
          <w:szCs w:val="24"/>
        </w:rPr>
        <w:t>P a k e i č i u</w:t>
      </w:r>
      <w:r w:rsidRPr="002428F0">
        <w:rPr>
          <w:color w:val="000000"/>
          <w:szCs w:val="24"/>
        </w:rPr>
        <w:t xml:space="preserve"> 2014–2020 metų Europos Sąjungos fondų investicijų veiksmų programos 8</w:t>
      </w:r>
      <w:r>
        <w:rPr>
          <w:color w:val="000000"/>
          <w:szCs w:val="24"/>
        </w:rPr>
        <w:t> </w:t>
      </w:r>
      <w:r w:rsidRPr="002428F0">
        <w:rPr>
          <w:color w:val="000000"/>
          <w:szCs w:val="24"/>
        </w:rPr>
        <w:t>prioriteto „Socialinės įtraukties didinimas ir kova su skurdu“ priemonės Nr. 08.1.3-CPVA-V-606 „Onkologinių ligų prevencijos, ankstyvos diagnostikos ir gydymo paslaugų infrastruktūros tobulinimas“ projektų finansavimo sąlygų aprašą Nr.</w:t>
      </w:r>
      <w:r w:rsidR="00EC53CC">
        <w:rPr>
          <w:color w:val="000000"/>
          <w:szCs w:val="24"/>
        </w:rPr>
        <w:t xml:space="preserve"> </w:t>
      </w:r>
      <w:r w:rsidR="007A0EE3">
        <w:rPr>
          <w:color w:val="000000"/>
          <w:szCs w:val="24"/>
        </w:rPr>
        <w:t>1</w:t>
      </w:r>
      <w:r w:rsidRPr="002428F0">
        <w:rPr>
          <w:color w:val="000000"/>
          <w:szCs w:val="24"/>
        </w:rPr>
        <w:t xml:space="preserve">, patvirtintą Lietuvos Respublikos </w:t>
      </w:r>
      <w:r>
        <w:rPr>
          <w:color w:val="000000"/>
          <w:szCs w:val="24"/>
        </w:rPr>
        <w:t>sveikatos apsaugos ministro 201</w:t>
      </w:r>
      <w:r w:rsidR="00306FBE">
        <w:rPr>
          <w:color w:val="000000"/>
          <w:szCs w:val="24"/>
        </w:rPr>
        <w:t>7</w:t>
      </w:r>
      <w:r>
        <w:rPr>
          <w:color w:val="000000"/>
          <w:szCs w:val="24"/>
        </w:rPr>
        <w:t xml:space="preserve"> m. </w:t>
      </w:r>
      <w:r w:rsidR="00306FBE">
        <w:rPr>
          <w:color w:val="000000"/>
          <w:szCs w:val="24"/>
        </w:rPr>
        <w:t>rugsėjo 2</w:t>
      </w:r>
      <w:r w:rsidR="007A0EE3">
        <w:rPr>
          <w:color w:val="000000"/>
          <w:szCs w:val="24"/>
        </w:rPr>
        <w:t>5</w:t>
      </w:r>
      <w:r>
        <w:rPr>
          <w:color w:val="000000"/>
          <w:szCs w:val="24"/>
        </w:rPr>
        <w:t xml:space="preserve"> d. įsakymu Nr. V-</w:t>
      </w:r>
      <w:r w:rsidR="00306FBE">
        <w:rPr>
          <w:color w:val="000000"/>
          <w:szCs w:val="24"/>
        </w:rPr>
        <w:t>11</w:t>
      </w:r>
      <w:r w:rsidR="007A0EE3">
        <w:rPr>
          <w:color w:val="000000"/>
          <w:szCs w:val="24"/>
        </w:rPr>
        <w:t>15</w:t>
      </w:r>
      <w:r w:rsidRPr="002428F0">
        <w:rPr>
          <w:color w:val="000000"/>
          <w:szCs w:val="24"/>
        </w:rPr>
        <w:t xml:space="preserve"> „</w:t>
      </w:r>
      <w:r w:rsidR="00306FBE">
        <w:rPr>
          <w:color w:val="000000"/>
          <w:szCs w:val="24"/>
        </w:rPr>
        <w:t>D</w:t>
      </w:r>
      <w:r w:rsidR="00306FBE" w:rsidRPr="00306FBE">
        <w:rPr>
          <w:color w:val="000000"/>
          <w:szCs w:val="24"/>
        </w:rPr>
        <w:t xml:space="preserve">ėl 2014–2020 metų </w:t>
      </w:r>
      <w:r w:rsidR="00306FBE">
        <w:rPr>
          <w:color w:val="000000"/>
          <w:szCs w:val="24"/>
        </w:rPr>
        <w:t>E</w:t>
      </w:r>
      <w:r w:rsidR="00306FBE" w:rsidRPr="00306FBE">
        <w:rPr>
          <w:color w:val="000000"/>
          <w:szCs w:val="24"/>
        </w:rPr>
        <w:t xml:space="preserve">uropos </w:t>
      </w:r>
      <w:r w:rsidR="00306FBE">
        <w:rPr>
          <w:color w:val="000000"/>
          <w:szCs w:val="24"/>
        </w:rPr>
        <w:t>S</w:t>
      </w:r>
      <w:r w:rsidR="00306FBE" w:rsidRPr="00306FBE">
        <w:rPr>
          <w:color w:val="000000"/>
          <w:szCs w:val="24"/>
        </w:rPr>
        <w:t>ąjungos fondų investicijų veiksmų programos 8 prioriteto „</w:t>
      </w:r>
      <w:r w:rsidR="00306FBE">
        <w:rPr>
          <w:color w:val="000000"/>
          <w:szCs w:val="24"/>
        </w:rPr>
        <w:t>S</w:t>
      </w:r>
      <w:r w:rsidR="00306FBE" w:rsidRPr="00306FBE">
        <w:rPr>
          <w:color w:val="000000"/>
          <w:szCs w:val="24"/>
        </w:rPr>
        <w:t xml:space="preserve">ocialinės įtraukties didinimas ir kova su skurdu“ priemonės </w:t>
      </w:r>
      <w:r w:rsidR="00306FBE">
        <w:rPr>
          <w:color w:val="000000"/>
          <w:szCs w:val="24"/>
        </w:rPr>
        <w:t>N</w:t>
      </w:r>
      <w:r w:rsidR="00306FBE" w:rsidRPr="00306FBE">
        <w:rPr>
          <w:color w:val="000000"/>
          <w:szCs w:val="24"/>
        </w:rPr>
        <w:t>r. 08.1.3-CPVA-V-606 „</w:t>
      </w:r>
      <w:r w:rsidR="00306FBE">
        <w:rPr>
          <w:color w:val="000000"/>
          <w:szCs w:val="24"/>
        </w:rPr>
        <w:t>O</w:t>
      </w:r>
      <w:r w:rsidR="00306FBE" w:rsidRPr="00306FBE">
        <w:rPr>
          <w:color w:val="000000"/>
          <w:szCs w:val="24"/>
        </w:rPr>
        <w:t>nkologinių ligų prevencijos, ankstyvos diagnostikos ir gydymo paslaugų infrastruktūros tobulinimas“ projektų finansavimo</w:t>
      </w:r>
      <w:r w:rsidR="00306FBE">
        <w:rPr>
          <w:color w:val="000000"/>
          <w:szCs w:val="24"/>
        </w:rPr>
        <w:t xml:space="preserve"> </w:t>
      </w:r>
      <w:r w:rsidR="00306FBE" w:rsidRPr="00306FBE">
        <w:rPr>
          <w:color w:val="000000"/>
          <w:szCs w:val="24"/>
        </w:rPr>
        <w:t>sąlygų aprašo</w:t>
      </w:r>
      <w:r w:rsidR="00306FBE">
        <w:rPr>
          <w:color w:val="000000"/>
          <w:szCs w:val="24"/>
        </w:rPr>
        <w:t xml:space="preserve"> N</w:t>
      </w:r>
      <w:r w:rsidR="00306FBE" w:rsidRPr="00306FBE">
        <w:rPr>
          <w:color w:val="000000"/>
          <w:szCs w:val="24"/>
        </w:rPr>
        <w:t xml:space="preserve">r. </w:t>
      </w:r>
      <w:r w:rsidR="007A0EE3">
        <w:rPr>
          <w:color w:val="000000"/>
          <w:szCs w:val="24"/>
        </w:rPr>
        <w:t>1</w:t>
      </w:r>
      <w:r w:rsidR="00306FBE" w:rsidRPr="00306FBE">
        <w:rPr>
          <w:color w:val="000000"/>
          <w:szCs w:val="24"/>
        </w:rPr>
        <w:t xml:space="preserve"> patvirtinimo</w:t>
      </w:r>
      <w:r>
        <w:rPr>
          <w:color w:val="000000"/>
          <w:szCs w:val="24"/>
        </w:rPr>
        <w:t>“</w:t>
      </w:r>
      <w:r w:rsidRPr="002428F0">
        <w:rPr>
          <w:color w:val="000000"/>
          <w:szCs w:val="24"/>
        </w:rPr>
        <w:t>:</w:t>
      </w:r>
    </w:p>
    <w:p w14:paraId="68648F4E" w14:textId="5232E207" w:rsidR="00E41805" w:rsidRDefault="007C2928" w:rsidP="007C2928">
      <w:pPr>
        <w:pStyle w:val="ListParagraph"/>
        <w:tabs>
          <w:tab w:val="left" w:pos="1134"/>
        </w:tabs>
        <w:ind w:left="0" w:firstLine="851"/>
        <w:jc w:val="both"/>
        <w:rPr>
          <w:color w:val="000000"/>
          <w:szCs w:val="24"/>
        </w:rPr>
      </w:pPr>
      <w:r>
        <w:rPr>
          <w:color w:val="000000"/>
          <w:szCs w:val="24"/>
        </w:rPr>
        <w:t xml:space="preserve">1. </w:t>
      </w:r>
      <w:r w:rsidR="00E41805" w:rsidRPr="00E41805">
        <w:rPr>
          <w:color w:val="000000"/>
          <w:szCs w:val="24"/>
        </w:rPr>
        <w:t>Pakeičiu 7 punktą ir jį išdėstau taip:</w:t>
      </w:r>
    </w:p>
    <w:p w14:paraId="54964A39" w14:textId="54F59A50" w:rsidR="007C4F62" w:rsidRDefault="007C4F62" w:rsidP="00E41805">
      <w:pPr>
        <w:pStyle w:val="ListParagraph"/>
        <w:tabs>
          <w:tab w:val="left" w:pos="1134"/>
        </w:tabs>
        <w:ind w:left="0" w:firstLine="851"/>
        <w:jc w:val="both"/>
        <w:rPr>
          <w:color w:val="000000"/>
          <w:szCs w:val="24"/>
        </w:rPr>
      </w:pPr>
      <w:r w:rsidRPr="00E41805">
        <w:rPr>
          <w:color w:val="000000"/>
          <w:szCs w:val="24"/>
        </w:rPr>
        <w:t xml:space="preserve">„7. </w:t>
      </w:r>
      <w:r w:rsidR="00160954" w:rsidRPr="00E41805">
        <w:rPr>
          <w:color w:val="000000"/>
          <w:szCs w:val="24"/>
        </w:rPr>
        <w:t xml:space="preserve">Pagal Aprašą projektams įgyvendinti numatoma skirti iki </w:t>
      </w:r>
      <w:r w:rsidR="00C61DE1" w:rsidRPr="006F7E61">
        <w:rPr>
          <w:b/>
          <w:bCs/>
          <w:color w:val="000000"/>
          <w:szCs w:val="24"/>
        </w:rPr>
        <w:t>23 151 322</w:t>
      </w:r>
      <w:r w:rsidR="00C61DE1">
        <w:rPr>
          <w:color w:val="000000"/>
          <w:szCs w:val="24"/>
        </w:rPr>
        <w:t xml:space="preserve"> </w:t>
      </w:r>
      <w:r w:rsidR="003244BD" w:rsidRPr="00C61DE1">
        <w:rPr>
          <w:strike/>
          <w:color w:val="000000"/>
          <w:szCs w:val="24"/>
        </w:rPr>
        <w:t>11 429 172</w:t>
      </w:r>
      <w:r w:rsidR="00160954" w:rsidRPr="00E41805">
        <w:rPr>
          <w:color w:val="000000"/>
          <w:szCs w:val="24"/>
        </w:rPr>
        <w:t xml:space="preserve"> eurų (</w:t>
      </w:r>
      <w:r w:rsidR="00C61DE1" w:rsidRPr="006F7E61">
        <w:rPr>
          <w:b/>
          <w:bCs/>
          <w:color w:val="000000"/>
          <w:szCs w:val="24"/>
        </w:rPr>
        <w:t>dvidešimt trijų milijonų vieno šimto penkiasdešimt vieno tūkstančio trijų šimtų dvidešimt dviejų</w:t>
      </w:r>
      <w:r w:rsidR="00C61DE1">
        <w:rPr>
          <w:color w:val="000000"/>
          <w:szCs w:val="24"/>
        </w:rPr>
        <w:t xml:space="preserve"> </w:t>
      </w:r>
      <w:r w:rsidR="003244BD" w:rsidRPr="00C61DE1">
        <w:rPr>
          <w:strike/>
          <w:color w:val="000000"/>
          <w:szCs w:val="24"/>
        </w:rPr>
        <w:t>vienuolik</w:t>
      </w:r>
      <w:r w:rsidR="00250842" w:rsidRPr="00C61DE1">
        <w:rPr>
          <w:strike/>
          <w:color w:val="000000"/>
          <w:szCs w:val="24"/>
        </w:rPr>
        <w:t>os</w:t>
      </w:r>
      <w:r w:rsidR="00160954" w:rsidRPr="00C61DE1">
        <w:rPr>
          <w:strike/>
          <w:color w:val="000000"/>
          <w:szCs w:val="24"/>
        </w:rPr>
        <w:t xml:space="preserve"> milijonų </w:t>
      </w:r>
      <w:r w:rsidR="003244BD" w:rsidRPr="00C61DE1">
        <w:rPr>
          <w:strike/>
          <w:color w:val="000000"/>
          <w:szCs w:val="24"/>
        </w:rPr>
        <w:t>keturių šimtų dvidešimt devynių tūkstančių šimto septyniasdešimt dviejų</w:t>
      </w:r>
      <w:r w:rsidR="003244BD" w:rsidRPr="00E41805">
        <w:rPr>
          <w:color w:val="000000"/>
          <w:szCs w:val="24"/>
        </w:rPr>
        <w:t xml:space="preserve"> </w:t>
      </w:r>
      <w:r w:rsidR="00160954" w:rsidRPr="00E41805">
        <w:rPr>
          <w:color w:val="000000"/>
          <w:szCs w:val="24"/>
        </w:rPr>
        <w:t xml:space="preserve">eurų), iš kurių iki </w:t>
      </w:r>
      <w:r w:rsidR="00C61DE1" w:rsidRPr="006F7E61">
        <w:rPr>
          <w:b/>
          <w:bCs/>
          <w:color w:val="000000"/>
          <w:szCs w:val="24"/>
        </w:rPr>
        <w:t>17 848 520</w:t>
      </w:r>
      <w:r w:rsidR="00C61DE1">
        <w:rPr>
          <w:color w:val="000000"/>
          <w:szCs w:val="24"/>
        </w:rPr>
        <w:t xml:space="preserve"> </w:t>
      </w:r>
      <w:r w:rsidR="003244BD" w:rsidRPr="00C61DE1">
        <w:rPr>
          <w:strike/>
          <w:color w:val="000000"/>
          <w:szCs w:val="24"/>
        </w:rPr>
        <w:t>10 815 230</w:t>
      </w:r>
      <w:r w:rsidR="00160954" w:rsidRPr="00E41805">
        <w:rPr>
          <w:color w:val="000000"/>
          <w:szCs w:val="24"/>
        </w:rPr>
        <w:t> eurų (</w:t>
      </w:r>
      <w:r w:rsidR="00C61DE1" w:rsidRPr="006F7E61">
        <w:rPr>
          <w:b/>
          <w:bCs/>
          <w:color w:val="000000"/>
          <w:szCs w:val="24"/>
        </w:rPr>
        <w:t>septyniolikos milijonų aštuonių šimtų keturiadešimt aštuonių tūkstančių penkių šimtų dvidešimt</w:t>
      </w:r>
      <w:r w:rsidR="00C61DE1">
        <w:rPr>
          <w:color w:val="000000"/>
          <w:szCs w:val="24"/>
        </w:rPr>
        <w:t xml:space="preserve"> </w:t>
      </w:r>
      <w:r w:rsidR="003244BD" w:rsidRPr="00C61DE1">
        <w:rPr>
          <w:strike/>
          <w:color w:val="000000"/>
          <w:szCs w:val="24"/>
        </w:rPr>
        <w:t>dešimt</w:t>
      </w:r>
      <w:r w:rsidR="00661234" w:rsidRPr="00C61DE1">
        <w:rPr>
          <w:strike/>
          <w:color w:val="000000"/>
          <w:szCs w:val="24"/>
        </w:rPr>
        <w:t>ies</w:t>
      </w:r>
      <w:r w:rsidR="00160954" w:rsidRPr="00C61DE1">
        <w:rPr>
          <w:strike/>
          <w:color w:val="000000"/>
          <w:szCs w:val="24"/>
        </w:rPr>
        <w:t xml:space="preserve"> milijonų </w:t>
      </w:r>
      <w:r w:rsidR="003244BD" w:rsidRPr="00C61DE1">
        <w:rPr>
          <w:strike/>
          <w:color w:val="000000"/>
          <w:szCs w:val="24"/>
        </w:rPr>
        <w:t>aštuonių</w:t>
      </w:r>
      <w:r w:rsidR="00160954" w:rsidRPr="00C61DE1">
        <w:rPr>
          <w:strike/>
          <w:color w:val="000000"/>
          <w:szCs w:val="24"/>
        </w:rPr>
        <w:t xml:space="preserve"> šimtų </w:t>
      </w:r>
      <w:r w:rsidR="003244BD" w:rsidRPr="00C61DE1">
        <w:rPr>
          <w:strike/>
          <w:color w:val="000000"/>
          <w:szCs w:val="24"/>
        </w:rPr>
        <w:t xml:space="preserve">penkiolikos </w:t>
      </w:r>
      <w:r w:rsidR="00160954" w:rsidRPr="00C61DE1">
        <w:rPr>
          <w:strike/>
          <w:color w:val="000000"/>
          <w:szCs w:val="24"/>
        </w:rPr>
        <w:t xml:space="preserve">tūkstančių </w:t>
      </w:r>
      <w:r w:rsidR="00250842" w:rsidRPr="00C61DE1">
        <w:rPr>
          <w:strike/>
          <w:color w:val="000000"/>
          <w:szCs w:val="24"/>
        </w:rPr>
        <w:t>dviejų šimtų trisdešimt</w:t>
      </w:r>
      <w:r w:rsidR="00250842" w:rsidRPr="00E41805">
        <w:rPr>
          <w:color w:val="000000"/>
          <w:szCs w:val="24"/>
        </w:rPr>
        <w:t xml:space="preserve"> </w:t>
      </w:r>
      <w:r w:rsidR="00160954" w:rsidRPr="00E41805">
        <w:rPr>
          <w:color w:val="000000"/>
          <w:szCs w:val="24"/>
        </w:rPr>
        <w:t xml:space="preserve">eurų) – Europos regioninės plėtros fondo lėšos, iki </w:t>
      </w:r>
      <w:r w:rsidR="006F7E61">
        <w:rPr>
          <w:color w:val="000000"/>
          <w:szCs w:val="24"/>
        </w:rPr>
        <w:t xml:space="preserve">      </w:t>
      </w:r>
      <w:r w:rsidR="008E4A99" w:rsidRPr="006F7E61">
        <w:rPr>
          <w:b/>
          <w:bCs/>
          <w:color w:val="000000"/>
          <w:szCs w:val="24"/>
        </w:rPr>
        <w:t>5 302 802</w:t>
      </w:r>
      <w:r w:rsidR="008E4A99">
        <w:rPr>
          <w:color w:val="000000"/>
          <w:szCs w:val="24"/>
        </w:rPr>
        <w:t xml:space="preserve"> </w:t>
      </w:r>
      <w:r w:rsidR="00250842" w:rsidRPr="00C61DE1">
        <w:rPr>
          <w:strike/>
          <w:color w:val="000000"/>
          <w:szCs w:val="24"/>
        </w:rPr>
        <w:t>613 942</w:t>
      </w:r>
      <w:r w:rsidR="00160954" w:rsidRPr="00E41805">
        <w:rPr>
          <w:color w:val="000000"/>
          <w:szCs w:val="24"/>
        </w:rPr>
        <w:t xml:space="preserve"> </w:t>
      </w:r>
      <w:r w:rsidR="003D57F0" w:rsidRPr="00E41805">
        <w:rPr>
          <w:color w:val="000000"/>
          <w:szCs w:val="24"/>
        </w:rPr>
        <w:t xml:space="preserve">eurų </w:t>
      </w:r>
      <w:r w:rsidR="00160954" w:rsidRPr="00E41805">
        <w:rPr>
          <w:color w:val="000000"/>
          <w:szCs w:val="24"/>
        </w:rPr>
        <w:t>(</w:t>
      </w:r>
      <w:r w:rsidR="008E4A99" w:rsidRPr="006F7E61">
        <w:rPr>
          <w:b/>
          <w:bCs/>
          <w:color w:val="000000"/>
          <w:szCs w:val="24"/>
        </w:rPr>
        <w:t>penkių milijonų trijų šimtų dviejų tūkstančių aštuonių šimtų dviejų</w:t>
      </w:r>
      <w:r w:rsidR="008E4A99" w:rsidRPr="008E4A99">
        <w:rPr>
          <w:color w:val="000000"/>
          <w:szCs w:val="24"/>
        </w:rPr>
        <w:t xml:space="preserve"> </w:t>
      </w:r>
      <w:r w:rsidR="00250842" w:rsidRPr="008E4A99">
        <w:rPr>
          <w:strike/>
          <w:color w:val="000000"/>
          <w:szCs w:val="24"/>
        </w:rPr>
        <w:t>šešių</w:t>
      </w:r>
      <w:r w:rsidR="00160954" w:rsidRPr="008E4A99">
        <w:rPr>
          <w:strike/>
          <w:color w:val="000000"/>
          <w:szCs w:val="24"/>
        </w:rPr>
        <w:t xml:space="preserve"> šimtų </w:t>
      </w:r>
      <w:r w:rsidR="00250842" w:rsidRPr="008E4A99">
        <w:rPr>
          <w:strike/>
          <w:color w:val="000000"/>
          <w:szCs w:val="24"/>
        </w:rPr>
        <w:t xml:space="preserve">trylikos </w:t>
      </w:r>
      <w:r w:rsidR="00160954" w:rsidRPr="008E4A99">
        <w:rPr>
          <w:strike/>
          <w:color w:val="000000"/>
          <w:szCs w:val="24"/>
        </w:rPr>
        <w:t xml:space="preserve">tūkstančių </w:t>
      </w:r>
      <w:r w:rsidR="00250842" w:rsidRPr="008E4A99">
        <w:rPr>
          <w:strike/>
          <w:color w:val="000000"/>
          <w:szCs w:val="24"/>
        </w:rPr>
        <w:t>devynių šimtų keturi</w:t>
      </w:r>
      <w:r w:rsidR="004E5214" w:rsidRPr="008E4A99">
        <w:rPr>
          <w:strike/>
          <w:color w:val="000000"/>
          <w:szCs w:val="24"/>
        </w:rPr>
        <w:t>a</w:t>
      </w:r>
      <w:r w:rsidR="00250842" w:rsidRPr="008E4A99">
        <w:rPr>
          <w:strike/>
          <w:color w:val="000000"/>
          <w:szCs w:val="24"/>
        </w:rPr>
        <w:t>sdešimt dviejų</w:t>
      </w:r>
      <w:r w:rsidR="00250842" w:rsidRPr="00E41805">
        <w:rPr>
          <w:color w:val="000000"/>
          <w:szCs w:val="24"/>
        </w:rPr>
        <w:t xml:space="preserve"> </w:t>
      </w:r>
      <w:r w:rsidR="00160954" w:rsidRPr="00E41805">
        <w:rPr>
          <w:color w:val="000000"/>
          <w:szCs w:val="24"/>
        </w:rPr>
        <w:t>eurų) – Lietuvos Respublikos valstybės biudžeto lėšos</w:t>
      </w:r>
      <w:r w:rsidR="00306FBE" w:rsidRPr="00E41805">
        <w:rPr>
          <w:color w:val="000000"/>
          <w:szCs w:val="24"/>
        </w:rPr>
        <w:t>.</w:t>
      </w:r>
      <w:r w:rsidR="00250842" w:rsidRPr="00E41805">
        <w:rPr>
          <w:color w:val="000000"/>
          <w:szCs w:val="24"/>
        </w:rPr>
        <w:t xml:space="preserve"> </w:t>
      </w:r>
      <w:r w:rsidR="00DF11B6" w:rsidRPr="00E41805">
        <w:rPr>
          <w:color w:val="000000"/>
          <w:szCs w:val="24"/>
        </w:rPr>
        <w:t>Priimdama sprendimą dėl projektų finansavimo, Ministerija turi teisę šiame punkte nurodytą sumą padidinti, neviršydama Priemonių įgyvendinimo plane nurodytos Priemonei skirtos lėšų sumos ir nepažeisdama teisėtų pareiškėjų lūkesčių.</w:t>
      </w:r>
      <w:r w:rsidRPr="00E41805">
        <w:rPr>
          <w:color w:val="000000"/>
          <w:szCs w:val="24"/>
        </w:rPr>
        <w:t>“</w:t>
      </w:r>
    </w:p>
    <w:p w14:paraId="31A570C7" w14:textId="5022EDF3" w:rsidR="008E4A99" w:rsidRDefault="007C2928" w:rsidP="007C2928">
      <w:pPr>
        <w:pStyle w:val="ListParagraph"/>
        <w:tabs>
          <w:tab w:val="left" w:pos="1134"/>
        </w:tabs>
        <w:ind w:left="1211" w:hanging="360"/>
        <w:jc w:val="both"/>
        <w:rPr>
          <w:color w:val="000000"/>
          <w:szCs w:val="24"/>
        </w:rPr>
      </w:pPr>
      <w:r>
        <w:rPr>
          <w:color w:val="000000"/>
          <w:szCs w:val="24"/>
        </w:rPr>
        <w:t xml:space="preserve">2. </w:t>
      </w:r>
      <w:r w:rsidR="008E4A99">
        <w:rPr>
          <w:color w:val="000000"/>
          <w:szCs w:val="24"/>
        </w:rPr>
        <w:t>Pakeičiu 11 punktą ir jį išdėstau taip:</w:t>
      </w:r>
    </w:p>
    <w:p w14:paraId="55010432" w14:textId="7C7326B0" w:rsidR="008E4A99" w:rsidRDefault="008E4A99" w:rsidP="008E4A99">
      <w:pPr>
        <w:tabs>
          <w:tab w:val="left" w:pos="1134"/>
        </w:tabs>
        <w:ind w:firstLine="851"/>
        <w:jc w:val="both"/>
        <w:rPr>
          <w:color w:val="000000"/>
          <w:szCs w:val="24"/>
        </w:rPr>
      </w:pPr>
      <w:r>
        <w:rPr>
          <w:color w:val="000000"/>
          <w:szCs w:val="24"/>
        </w:rPr>
        <w:t>„</w:t>
      </w:r>
      <w:r w:rsidR="00C60305">
        <w:rPr>
          <w:color w:val="000000"/>
          <w:szCs w:val="24"/>
        </w:rPr>
        <w:t xml:space="preserve">11. </w:t>
      </w:r>
      <w:bookmarkStart w:id="0" w:name="_GoBack"/>
      <w:bookmarkEnd w:id="0"/>
      <w:r w:rsidRPr="008E4A99">
        <w:rPr>
          <w:color w:val="000000"/>
          <w:szCs w:val="24"/>
        </w:rPr>
        <w:t xml:space="preserve">Pagal Apraše nurodytą remiamą veiklą valstybės projektų sąrašą numatoma sudaryti iki </w:t>
      </w:r>
      <w:r>
        <w:rPr>
          <w:color w:val="000000"/>
          <w:szCs w:val="24"/>
        </w:rPr>
        <w:t xml:space="preserve">2019 m. III </w:t>
      </w:r>
      <w:r w:rsidRPr="008E4A99">
        <w:rPr>
          <w:strike/>
          <w:color w:val="000000"/>
          <w:szCs w:val="24"/>
        </w:rPr>
        <w:t>2017 m. IV</w:t>
      </w:r>
      <w:r w:rsidRPr="008E4A99">
        <w:rPr>
          <w:color w:val="000000"/>
          <w:szCs w:val="24"/>
        </w:rPr>
        <w:t xml:space="preserve"> ketvirčio pabaigos.</w:t>
      </w:r>
      <w:r>
        <w:rPr>
          <w:color w:val="000000"/>
          <w:szCs w:val="24"/>
        </w:rPr>
        <w:t>“</w:t>
      </w:r>
    </w:p>
    <w:p w14:paraId="54EBF8D4" w14:textId="76A2C3B3" w:rsidR="008E4A99" w:rsidRDefault="007C2928" w:rsidP="007C2928">
      <w:pPr>
        <w:pStyle w:val="ListParagraph"/>
        <w:tabs>
          <w:tab w:val="left" w:pos="1134"/>
        </w:tabs>
        <w:ind w:left="1211" w:hanging="360"/>
        <w:jc w:val="both"/>
        <w:rPr>
          <w:color w:val="000000"/>
          <w:szCs w:val="24"/>
        </w:rPr>
      </w:pPr>
      <w:r>
        <w:rPr>
          <w:color w:val="000000"/>
          <w:szCs w:val="24"/>
        </w:rPr>
        <w:t xml:space="preserve">3. </w:t>
      </w:r>
      <w:r w:rsidR="008E4A99">
        <w:rPr>
          <w:color w:val="000000"/>
          <w:szCs w:val="24"/>
        </w:rPr>
        <w:t>Pakeičiu 12 punktą ir jį išdėstau taip:</w:t>
      </w:r>
    </w:p>
    <w:p w14:paraId="48B5393C" w14:textId="5AE0B1BE" w:rsidR="008E4A99" w:rsidRDefault="008E4A99" w:rsidP="008E4A99">
      <w:pPr>
        <w:tabs>
          <w:tab w:val="left" w:pos="1134"/>
        </w:tabs>
        <w:ind w:firstLine="851"/>
        <w:jc w:val="both"/>
        <w:rPr>
          <w:color w:val="000000"/>
          <w:szCs w:val="24"/>
        </w:rPr>
      </w:pPr>
      <w:r>
        <w:rPr>
          <w:color w:val="000000"/>
          <w:szCs w:val="24"/>
        </w:rPr>
        <w:t>„</w:t>
      </w:r>
      <w:r w:rsidR="00086127">
        <w:rPr>
          <w:color w:val="000000"/>
          <w:szCs w:val="24"/>
        </w:rPr>
        <w:t xml:space="preserve">12. </w:t>
      </w:r>
      <w:r w:rsidRPr="008E4A99">
        <w:rPr>
          <w:color w:val="000000"/>
          <w:szCs w:val="24"/>
        </w:rPr>
        <w:t xml:space="preserve">Pagal Aprašą galimi pareiškėjai: Lietuvos sveikatos mokslų universiteto ligoninė Kauno klinikos, Nacionalinis vėžio institutas, Viešoji įstaiga Vilniaus universiteto ligoninė Santaros klinikos. </w:t>
      </w:r>
      <w:r w:rsidRPr="008E4A99">
        <w:rPr>
          <w:strike/>
          <w:color w:val="000000"/>
          <w:szCs w:val="24"/>
        </w:rPr>
        <w:t>Partneriai negalimi.</w:t>
      </w:r>
      <w:r>
        <w:rPr>
          <w:color w:val="000000"/>
          <w:szCs w:val="24"/>
        </w:rPr>
        <w:t xml:space="preserve"> </w:t>
      </w:r>
      <w:r w:rsidR="00884429" w:rsidRPr="00884429">
        <w:rPr>
          <w:b/>
          <w:bCs/>
          <w:color w:val="000000"/>
          <w:szCs w:val="24"/>
        </w:rPr>
        <w:t xml:space="preserve">Pagal Aprašą galimi partneriai tik projekte, kurį įgyvendinus sukuriama branduolinės medicinos tyrimų centro (ciklotrono) infrastruktūra, yra Lietuvos sveikatos mokslų universitetas ir Kauno technologijos universitetas. Pareiškėjas yra tiesiogiai atsakingas už projekto parengimą, įgyvendinimą ir rezultatus, nepriklausomai nuo to, ar pareiškėjas projektą įgyvendina vienas, ar kartu su partneriais. </w:t>
      </w:r>
      <w:r w:rsidR="00884429">
        <w:rPr>
          <w:b/>
          <w:bCs/>
          <w:color w:val="000000"/>
          <w:szCs w:val="24"/>
        </w:rPr>
        <w:t>P</w:t>
      </w:r>
      <w:r w:rsidR="00884429" w:rsidRPr="00884429">
        <w:rPr>
          <w:b/>
          <w:bCs/>
          <w:color w:val="000000"/>
          <w:szCs w:val="24"/>
        </w:rPr>
        <w:t xml:space="preserve">areiškėjas su partneriu iki projekto sutarties pasirašymo </w:t>
      </w:r>
      <w:r w:rsidR="00884429">
        <w:rPr>
          <w:b/>
          <w:bCs/>
          <w:color w:val="000000"/>
          <w:szCs w:val="24"/>
        </w:rPr>
        <w:t xml:space="preserve">turi </w:t>
      </w:r>
      <w:r w:rsidR="00884429" w:rsidRPr="00884429">
        <w:rPr>
          <w:b/>
          <w:bCs/>
          <w:color w:val="000000"/>
          <w:szCs w:val="24"/>
        </w:rPr>
        <w:t>sudaryti sutartį, kurioje nustatytų tarpusavio teises ir pareigas įgyvendinant projektą.</w:t>
      </w:r>
      <w:r>
        <w:rPr>
          <w:color w:val="000000"/>
          <w:szCs w:val="24"/>
        </w:rPr>
        <w:t>“</w:t>
      </w:r>
    </w:p>
    <w:p w14:paraId="18776C91" w14:textId="2BD6C05B" w:rsidR="008E4A99" w:rsidRDefault="007C2928" w:rsidP="007C2928">
      <w:pPr>
        <w:pStyle w:val="ListParagraph"/>
        <w:tabs>
          <w:tab w:val="left" w:pos="851"/>
        </w:tabs>
        <w:ind w:left="0" w:firstLine="851"/>
        <w:jc w:val="both"/>
        <w:rPr>
          <w:color w:val="000000"/>
          <w:szCs w:val="24"/>
        </w:rPr>
      </w:pPr>
      <w:r>
        <w:rPr>
          <w:color w:val="000000"/>
          <w:szCs w:val="24"/>
        </w:rPr>
        <w:t xml:space="preserve">4. </w:t>
      </w:r>
      <w:r w:rsidR="00C12FF2">
        <w:rPr>
          <w:color w:val="000000"/>
          <w:szCs w:val="24"/>
        </w:rPr>
        <w:t>Pakeičiu 14 punktą ir jį išdėstau taip:</w:t>
      </w:r>
    </w:p>
    <w:p w14:paraId="6B9A4E76" w14:textId="2B6A2DB9" w:rsidR="00C12FF2" w:rsidRPr="00C12FF2" w:rsidRDefault="00C12FF2" w:rsidP="00C12FF2">
      <w:pPr>
        <w:tabs>
          <w:tab w:val="left" w:pos="1134"/>
        </w:tabs>
        <w:ind w:firstLine="851"/>
        <w:jc w:val="both"/>
        <w:rPr>
          <w:color w:val="000000"/>
          <w:szCs w:val="24"/>
        </w:rPr>
      </w:pPr>
      <w:r>
        <w:rPr>
          <w:color w:val="000000"/>
          <w:szCs w:val="24"/>
        </w:rPr>
        <w:lastRenderedPageBreak/>
        <w:t>„</w:t>
      </w:r>
      <w:r w:rsidRPr="00C12FF2">
        <w:rPr>
          <w:color w:val="000000"/>
          <w:szCs w:val="24"/>
        </w:rPr>
        <w:t>14. Projektas turi atitikti specialųjį projektų atrankos kriterijų (-us), patvirtintą (-us) Veiksmų programos stebėsenos komiteto 2016 m. rugsėjo 8 d. posėdžio nutarimu Nr. 44P-17.1 (19)</w:t>
      </w:r>
      <w:r w:rsidRPr="00C12FF2">
        <w:rPr>
          <w:b/>
          <w:bCs/>
          <w:color w:val="000000"/>
          <w:szCs w:val="24"/>
        </w:rPr>
        <w:t>,</w:t>
      </w:r>
      <w:r w:rsidRPr="00C12FF2">
        <w:rPr>
          <w:color w:val="000000"/>
          <w:szCs w:val="24"/>
        </w:rPr>
        <w:t xml:space="preserve"> </w:t>
      </w:r>
      <w:r w:rsidRPr="00C12FF2">
        <w:rPr>
          <w:strike/>
          <w:color w:val="000000"/>
          <w:szCs w:val="24"/>
        </w:rPr>
        <w:t>ir</w:t>
      </w:r>
      <w:r w:rsidRPr="00C12FF2">
        <w:rPr>
          <w:color w:val="000000"/>
          <w:szCs w:val="24"/>
        </w:rPr>
        <w:t xml:space="preserve"> 2017 m. vasario 2 d. posėdžio nutarimu Nr. 44P-1.1 (23) </w:t>
      </w:r>
      <w:r w:rsidRPr="00C12FF2">
        <w:rPr>
          <w:b/>
          <w:bCs/>
          <w:color w:val="000000"/>
          <w:szCs w:val="24"/>
        </w:rPr>
        <w:t>ir 2018 m. lapkričio 29 d. posėdžio nutarimu Nr. 44P-5 (35)</w:t>
      </w:r>
      <w:r w:rsidRPr="00C12FF2">
        <w:rPr>
          <w:color w:val="000000"/>
          <w:szCs w:val="24"/>
        </w:rPr>
        <w:t>: Vėžio kontrolės programos nuostatas ir Vėžio kontrolės programos priemonių plano priemones. Vertinama, ar projektai (veiklos ir pareiškėjai) atitinka specialųjį projektų atrankos kriterijų (-us), t. y. įgyvendina Vėžio kontrolės programos 79.8 papunktyje numatytą veiklos kryptį ir įgyvendina Vėžio kontrolės programos priemonių plano 4.16 papunktyje numatytą priemonę.</w:t>
      </w:r>
      <w:r>
        <w:rPr>
          <w:color w:val="000000"/>
          <w:szCs w:val="24"/>
        </w:rPr>
        <w:t>“</w:t>
      </w:r>
    </w:p>
    <w:p w14:paraId="094AE141" w14:textId="7161BFB2" w:rsidR="00653477" w:rsidRDefault="007C2928" w:rsidP="007C2928">
      <w:pPr>
        <w:pStyle w:val="ListParagraph"/>
        <w:tabs>
          <w:tab w:val="left" w:pos="1134"/>
        </w:tabs>
        <w:ind w:left="851"/>
      </w:pPr>
      <w:r>
        <w:t xml:space="preserve">5. </w:t>
      </w:r>
      <w:r w:rsidR="00C12FF2">
        <w:t xml:space="preserve">Pakeičiu </w:t>
      </w:r>
      <w:r>
        <w:t>17</w:t>
      </w:r>
      <w:r w:rsidR="00C12FF2">
        <w:t xml:space="preserve"> punktą ir jį išdėstau taip:</w:t>
      </w:r>
    </w:p>
    <w:p w14:paraId="05DCAEAF" w14:textId="451D05D7" w:rsidR="00C12FF2" w:rsidRDefault="007C2928" w:rsidP="00C12FF2">
      <w:pPr>
        <w:pStyle w:val="ListParagraph"/>
        <w:tabs>
          <w:tab w:val="left" w:pos="1134"/>
        </w:tabs>
        <w:ind w:left="0" w:firstLine="851"/>
        <w:jc w:val="both"/>
      </w:pPr>
      <w:r>
        <w:t>„</w:t>
      </w:r>
      <w:r w:rsidR="00C12FF2">
        <w:t xml:space="preserve">17. </w:t>
      </w:r>
      <w:r w:rsidR="00C12FF2" w:rsidRPr="00C12FF2">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w:t>
      </w:r>
      <w:r w:rsidR="00C12FF2" w:rsidRPr="00C12FF2">
        <w:rPr>
          <w:b/>
          <w:bCs/>
        </w:rPr>
        <w:t>Prireikus pratęsti projekto veiklų įgyvendinimo laikotarpį ilgiau, nei nurodyta šiame punkte, projekto sutarties keitimas turi būti derinamas su ministerija.</w:t>
      </w:r>
      <w:r w:rsidR="00C12FF2" w:rsidRPr="00C12FF2">
        <w:t>“</w:t>
      </w:r>
    </w:p>
    <w:p w14:paraId="3C1E206C" w14:textId="37306CC6" w:rsidR="00653477" w:rsidRDefault="007C2928" w:rsidP="007C2928">
      <w:pPr>
        <w:ind w:firstLine="851"/>
      </w:pPr>
      <w:r>
        <w:t>6. Pakeičiu 20 punktą ir jį išdėstau taip:</w:t>
      </w:r>
    </w:p>
    <w:p w14:paraId="57C9A73E" w14:textId="1901FA5E" w:rsidR="007C2928" w:rsidRDefault="007C2928" w:rsidP="007C2928">
      <w:pPr>
        <w:ind w:firstLine="851"/>
        <w:jc w:val="both"/>
      </w:pPr>
      <w:r>
        <w:t xml:space="preserve">„20. </w:t>
      </w:r>
      <w:r w:rsidRPr="007C2928">
        <w:t>Projekto parengtumui taikomi šie reikalavimai</w:t>
      </w:r>
      <w:r>
        <w:t xml:space="preserve"> </w:t>
      </w:r>
      <w:r w:rsidRPr="007C2928">
        <w:rPr>
          <w:b/>
          <w:bCs/>
        </w:rPr>
        <w:t>(20.3 ir 20.4 papunkčiuose nu</w:t>
      </w:r>
      <w:r w:rsidR="00162558">
        <w:rPr>
          <w:b/>
          <w:bCs/>
        </w:rPr>
        <w:t xml:space="preserve">rodyti </w:t>
      </w:r>
      <w:r w:rsidRPr="007C2928">
        <w:rPr>
          <w:b/>
          <w:bCs/>
        </w:rPr>
        <w:t>reikalavimai taikomi tik projekto, kurį įgyvendinus sukuriama branduolinės medicinos tyrimų centro (ciklotrono) infrastruktūra, parengtumui)</w:t>
      </w:r>
      <w:r w:rsidRPr="007C2928">
        <w:t>:</w:t>
      </w:r>
    </w:p>
    <w:p w14:paraId="6C6FD290" w14:textId="65692196" w:rsidR="004B784B" w:rsidRDefault="004B784B" w:rsidP="004B784B">
      <w:pPr>
        <w:ind w:firstLine="851"/>
        <w:jc w:val="both"/>
      </w:pPr>
      <w:r>
        <w:t>20.1. Jei projekte numatoma vykdyti statybos darbus, įgyvendinančiajai institucijai pateikdamas paraišką pareiškėjas turi turėti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STR 1.04.04:2017 „Statinio projektavimas, projekto ekspertizė“),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w:t>
      </w:r>
    </w:p>
    <w:p w14:paraId="26F333C2" w14:textId="18EDBE86" w:rsidR="007C2928" w:rsidRDefault="004B784B" w:rsidP="004B784B">
      <w:pPr>
        <w:ind w:firstLine="851"/>
        <w:jc w:val="both"/>
      </w:pPr>
      <w:r>
        <w:t>20.2. Iki paraiškos pateikimo įgyvendinančiajai institucijai turi būti parengti ir su įgyvendinančiąja institucija iš anksto suderinti sveikatos apsaugos ministro įsakymu patvirtintame Priemonės valstybės projektų sąraše nurodytų pirkimų dokumentai.</w:t>
      </w:r>
    </w:p>
    <w:p w14:paraId="1B590B72" w14:textId="4D523E36" w:rsidR="00955829" w:rsidRDefault="00955829" w:rsidP="007C2928">
      <w:pPr>
        <w:ind w:firstLine="851"/>
        <w:jc w:val="both"/>
      </w:pPr>
      <w:r w:rsidRPr="00955829">
        <w:rPr>
          <w:b/>
          <w:bCs/>
        </w:rPr>
        <w:t>20.3. Išduotos prisijungimo sąlygos bei specialieji reikalavimai (tuo atveju, kai statinio projektas nėra parengtas); patvirtintas statinio projektas ir išduotas statybą leidžiantis dokumentas (jei statinio projektas yra parengtas).</w:t>
      </w:r>
    </w:p>
    <w:p w14:paraId="0381FD18" w14:textId="3E8A1C45" w:rsidR="00955829" w:rsidRPr="00955829" w:rsidRDefault="00955829" w:rsidP="007C2928">
      <w:pPr>
        <w:ind w:firstLine="851"/>
        <w:jc w:val="both"/>
      </w:pPr>
      <w:r w:rsidRPr="00955829">
        <w:rPr>
          <w:b/>
          <w:bCs/>
        </w:rPr>
        <w:t>20.4.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 turi būti atliktas „Natura 2000“ teritorijų reikšmingumo nustatymas.</w:t>
      </w:r>
      <w:r>
        <w:t>“</w:t>
      </w:r>
    </w:p>
    <w:p w14:paraId="6ACE9E48" w14:textId="327A4558" w:rsidR="00653477" w:rsidRDefault="001A4E0E" w:rsidP="00162558">
      <w:pPr>
        <w:ind w:firstLine="851"/>
      </w:pPr>
      <w:r>
        <w:t>7</w:t>
      </w:r>
      <w:r w:rsidR="00162558">
        <w:t>. Papildau 20</w:t>
      </w:r>
      <w:r w:rsidR="00162558" w:rsidRPr="00162558">
        <w:rPr>
          <w:vertAlign w:val="superscript"/>
        </w:rPr>
        <w:t>1</w:t>
      </w:r>
      <w:r w:rsidR="00162558">
        <w:t xml:space="preserve"> punktu:</w:t>
      </w:r>
    </w:p>
    <w:p w14:paraId="78277204" w14:textId="2D92381F" w:rsidR="00162558" w:rsidRPr="00162558" w:rsidRDefault="00162558" w:rsidP="00162558">
      <w:pPr>
        <w:ind w:firstLine="851"/>
        <w:jc w:val="both"/>
      </w:pPr>
      <w:r>
        <w:t>„</w:t>
      </w:r>
      <w:r w:rsidR="003713F0" w:rsidRPr="003713F0">
        <w:rPr>
          <w:b/>
          <w:bCs/>
        </w:rPr>
        <w:t>20</w:t>
      </w:r>
      <w:r w:rsidR="003713F0" w:rsidRPr="003713F0">
        <w:rPr>
          <w:b/>
          <w:bCs/>
          <w:vertAlign w:val="superscript"/>
        </w:rPr>
        <w:t>1</w:t>
      </w:r>
      <w:r w:rsidR="003713F0" w:rsidRPr="003713F0">
        <w:rPr>
          <w:b/>
          <w:bCs/>
        </w:rPr>
        <w:t>.</w:t>
      </w:r>
      <w:r w:rsidR="003713F0">
        <w:t xml:space="preserve"> </w:t>
      </w:r>
      <w:r w:rsidRPr="003713F0">
        <w:rPr>
          <w:b/>
          <w:bCs/>
        </w:rPr>
        <w:t>Paraiškos</w:t>
      </w:r>
      <w:r w:rsidRPr="00162558">
        <w:rPr>
          <w:b/>
          <w:bCs/>
        </w:rPr>
        <w:t xml:space="preserve"> pateikimo dieną nepateikus 20 punkte nurodytų projekto parengtumui būtinų dokumentų, paraiška atmetama neprašant pareiškėjo pateikti papildomų duomenų, papildyti ar patikslinti paraiškoje pateiktos informacijos.</w:t>
      </w:r>
      <w:r>
        <w:t>“</w:t>
      </w:r>
    </w:p>
    <w:p w14:paraId="2632BC45" w14:textId="5A896C4D" w:rsidR="00955829" w:rsidRDefault="001A4E0E" w:rsidP="00162558">
      <w:pPr>
        <w:ind w:firstLine="851"/>
      </w:pPr>
      <w:r>
        <w:t>8</w:t>
      </w:r>
      <w:r w:rsidR="00162558">
        <w:t xml:space="preserve">. </w:t>
      </w:r>
      <w:r w:rsidR="006F7E61" w:rsidRPr="006F7E61">
        <w:t xml:space="preserve">Pakeičiu </w:t>
      </w:r>
      <w:r w:rsidR="006F7E61">
        <w:t>29</w:t>
      </w:r>
      <w:r w:rsidR="006F7E61" w:rsidRPr="006F7E61">
        <w:t xml:space="preserve"> punkt</w:t>
      </w:r>
      <w:r w:rsidR="00884429">
        <w:t>ą</w:t>
      </w:r>
      <w:r w:rsidR="006F7E61" w:rsidRPr="006F7E61">
        <w:t xml:space="preserve"> ir jį išdėstau taip:</w:t>
      </w:r>
    </w:p>
    <w:p w14:paraId="650CA61B" w14:textId="641DFD6E" w:rsidR="00884429" w:rsidRDefault="00884429" w:rsidP="00162558">
      <w:pPr>
        <w:ind w:firstLine="851"/>
      </w:pPr>
      <w:r>
        <w:t>„</w:t>
      </w:r>
      <w:r w:rsidR="003713F0">
        <w:t xml:space="preserve">29. </w:t>
      </w:r>
      <w:r w:rsidRPr="00884429">
        <w:t>Pagal Aprašą tinkamų arba netinkamų finansuoti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552"/>
        <w:gridCol w:w="5811"/>
      </w:tblGrid>
      <w:tr w:rsidR="00884429" w:rsidRPr="00803E99" w14:paraId="2CFCCF1C" w14:textId="77777777" w:rsidTr="006250F5">
        <w:tc>
          <w:tcPr>
            <w:tcW w:w="127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96FDD1B" w14:textId="77777777" w:rsidR="00884429" w:rsidRPr="00803E99" w:rsidRDefault="00884429" w:rsidP="006250F5">
            <w:pPr>
              <w:rPr>
                <w:lang w:eastAsia="lt-LT"/>
              </w:rPr>
            </w:pPr>
            <w:r w:rsidRPr="00803E99">
              <w:rPr>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21ACB" w14:textId="77777777" w:rsidR="00884429" w:rsidRPr="00803E99" w:rsidRDefault="00884429" w:rsidP="006250F5">
            <w:pPr>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AAA3F" w14:textId="77777777" w:rsidR="00884429" w:rsidRPr="00803E99" w:rsidRDefault="00884429" w:rsidP="003713F0">
            <w:pPr>
              <w:jc w:val="both"/>
              <w:rPr>
                <w:lang w:eastAsia="lt-LT"/>
              </w:rPr>
            </w:pPr>
            <w:r w:rsidRPr="00803E99">
              <w:rPr>
                <w:lang w:eastAsia="lt-LT"/>
              </w:rPr>
              <w:t>Reikalavimai ir paaiškinimai</w:t>
            </w:r>
          </w:p>
          <w:p w14:paraId="58721E2F" w14:textId="77777777" w:rsidR="00884429" w:rsidRPr="00803E99" w:rsidRDefault="00884429" w:rsidP="003713F0">
            <w:pPr>
              <w:jc w:val="both"/>
              <w:rPr>
                <w:lang w:eastAsia="lt-LT"/>
              </w:rPr>
            </w:pPr>
          </w:p>
        </w:tc>
      </w:tr>
      <w:tr w:rsidR="00884429" w:rsidRPr="00803E99" w14:paraId="45CC1A45" w14:textId="77777777" w:rsidTr="006250F5">
        <w:trPr>
          <w:trHeight w:val="567"/>
        </w:trPr>
        <w:tc>
          <w:tcPr>
            <w:tcW w:w="1276" w:type="dxa"/>
            <w:tcBorders>
              <w:top w:val="single" w:sz="4" w:space="0" w:color="auto"/>
              <w:left w:val="single" w:sz="4" w:space="0" w:color="auto"/>
              <w:right w:val="single" w:sz="4" w:space="0" w:color="auto"/>
            </w:tcBorders>
            <w:shd w:val="clear" w:color="auto" w:fill="FFFFFF"/>
            <w:vAlign w:val="center"/>
          </w:tcPr>
          <w:p w14:paraId="79A23D6F" w14:textId="77777777" w:rsidR="00884429" w:rsidRPr="00803E99" w:rsidRDefault="00884429" w:rsidP="006250F5">
            <w:pPr>
              <w:rPr>
                <w:lang w:eastAsia="lt-LT"/>
              </w:rPr>
            </w:pPr>
            <w:r>
              <w:rPr>
                <w:lang w:eastAsia="lt-LT"/>
              </w:rPr>
              <w:t>1</w:t>
            </w:r>
            <w:r w:rsidRPr="00803E99">
              <w:rPr>
                <w:lang w:eastAsia="lt-LT"/>
              </w:rPr>
              <w:t>.</w:t>
            </w:r>
          </w:p>
        </w:tc>
        <w:tc>
          <w:tcPr>
            <w:tcW w:w="2552" w:type="dxa"/>
            <w:tcBorders>
              <w:top w:val="single" w:sz="4" w:space="0" w:color="auto"/>
              <w:left w:val="single" w:sz="4" w:space="0" w:color="auto"/>
              <w:right w:val="single" w:sz="4" w:space="0" w:color="auto"/>
            </w:tcBorders>
            <w:shd w:val="clear" w:color="auto" w:fill="FFFFFF"/>
            <w:vAlign w:val="center"/>
          </w:tcPr>
          <w:p w14:paraId="601BCA7A" w14:textId="77777777" w:rsidR="00884429" w:rsidRPr="00803E99" w:rsidRDefault="00884429" w:rsidP="006250F5">
            <w:pPr>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25338D9A" w14:textId="77777777" w:rsidR="00884429" w:rsidRPr="001A1F5A" w:rsidRDefault="00884429" w:rsidP="003713F0">
            <w:pPr>
              <w:jc w:val="both"/>
              <w:rPr>
                <w:lang w:eastAsia="lt-LT"/>
              </w:rPr>
            </w:pPr>
            <w:r w:rsidRPr="00803E99">
              <w:rPr>
                <w:lang w:eastAsia="lt-LT"/>
              </w:rPr>
              <w:t>Netinkama finansuoti</w:t>
            </w:r>
            <w:r>
              <w:rPr>
                <w:lang w:eastAsia="lt-LT"/>
              </w:rPr>
              <w:t>.</w:t>
            </w:r>
          </w:p>
        </w:tc>
      </w:tr>
      <w:tr w:rsidR="00884429" w:rsidRPr="00803E99" w14:paraId="024E592D" w14:textId="77777777" w:rsidTr="006250F5">
        <w:trPr>
          <w:trHeight w:val="57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8B44A" w14:textId="77777777" w:rsidR="00884429" w:rsidRPr="00803E99" w:rsidRDefault="00884429" w:rsidP="006250F5">
            <w:pPr>
              <w:rPr>
                <w:lang w:eastAsia="lt-LT"/>
              </w:rPr>
            </w:pPr>
            <w:r w:rsidRPr="00803E99">
              <w:rPr>
                <w:lang w:eastAsia="lt-LT"/>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C951F3" w14:textId="77777777" w:rsidR="00884429" w:rsidRPr="00803E99" w:rsidRDefault="00884429" w:rsidP="006250F5">
            <w:pPr>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E59B3A9" w14:textId="77777777" w:rsidR="00884429" w:rsidRPr="00803E99" w:rsidRDefault="00884429" w:rsidP="003713F0">
            <w:pPr>
              <w:jc w:val="both"/>
              <w:rPr>
                <w:lang w:eastAsia="lt-LT"/>
              </w:rPr>
            </w:pPr>
            <w:r w:rsidRPr="00803E99">
              <w:rPr>
                <w:lang w:eastAsia="lt-LT"/>
              </w:rPr>
              <w:t>Netinkama finansuoti</w:t>
            </w:r>
            <w:r>
              <w:rPr>
                <w:lang w:eastAsia="lt-LT"/>
              </w:rPr>
              <w:t>.</w:t>
            </w:r>
          </w:p>
        </w:tc>
      </w:tr>
      <w:tr w:rsidR="00884429" w:rsidRPr="00803E99" w14:paraId="564635DC" w14:textId="77777777" w:rsidTr="006250F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FD3B7" w14:textId="77777777" w:rsidR="00884429" w:rsidRPr="00803E99" w:rsidRDefault="00884429" w:rsidP="006250F5">
            <w:pPr>
              <w:rPr>
                <w:lang w:eastAsia="lt-LT"/>
              </w:rPr>
            </w:pPr>
            <w:r w:rsidRPr="00803E99">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9C815" w14:textId="77777777" w:rsidR="00884429" w:rsidRPr="00803E99" w:rsidRDefault="00884429" w:rsidP="006250F5">
            <w:pPr>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1EDABBD" w14:textId="77777777" w:rsidR="00884429" w:rsidRPr="003713F0" w:rsidRDefault="00884429" w:rsidP="003713F0">
            <w:pPr>
              <w:tabs>
                <w:tab w:val="left" w:pos="993"/>
              </w:tabs>
              <w:jc w:val="both"/>
              <w:rPr>
                <w:bCs/>
              </w:rPr>
            </w:pPr>
            <w:r w:rsidRPr="003713F0">
              <w:rPr>
                <w:bCs/>
                <w:lang w:eastAsia="lt-LT"/>
              </w:rPr>
              <w:t>Tinkamomis finansuoti laikomos išlaidos, atitinkančios Rekomendacijų dėl projektų išlaidų atitikties 1 lentelės „</w:t>
            </w:r>
            <w:r w:rsidRPr="003713F0">
              <w:rPr>
                <w:bCs/>
              </w:rPr>
              <w:t>Projekto biudžeto išlaidų kategorijų aprašas“ šios kategorijos nuostatas.</w:t>
            </w:r>
          </w:p>
          <w:p w14:paraId="05E250E6" w14:textId="5A57D9A0" w:rsidR="00884429" w:rsidRPr="00B460CC" w:rsidRDefault="00884429" w:rsidP="003713F0">
            <w:pPr>
              <w:jc w:val="both"/>
              <w:rPr>
                <w:rFonts w:eastAsia="Calibri"/>
                <w:lang w:eastAsia="lt-LT"/>
              </w:rPr>
            </w:pPr>
            <w:r w:rsidRPr="000C5D3A">
              <w:rPr>
                <w:lang w:eastAsia="lt-LT"/>
              </w:rPr>
              <w:t xml:space="preserve">Projekto išlaidos </w:t>
            </w:r>
            <w:r w:rsidRPr="00E60072">
              <w:rPr>
                <w:lang w:eastAsia="lt-LT"/>
              </w:rPr>
              <w:t xml:space="preserve">pagal fiksuotąją normą apmokamos vadovaujantis Aprašo </w:t>
            </w:r>
            <w:r w:rsidRPr="00884429">
              <w:rPr>
                <w:b/>
                <w:bCs/>
                <w:lang w:eastAsia="lt-LT"/>
              </w:rPr>
              <w:t>31</w:t>
            </w:r>
            <w:r>
              <w:rPr>
                <w:lang w:eastAsia="lt-LT"/>
              </w:rPr>
              <w:t xml:space="preserve"> </w:t>
            </w:r>
            <w:r w:rsidRPr="00884429">
              <w:rPr>
                <w:strike/>
                <w:lang w:eastAsia="lt-LT"/>
              </w:rPr>
              <w:t>32</w:t>
            </w:r>
            <w:r w:rsidRPr="00E60072">
              <w:rPr>
                <w:lang w:eastAsia="lt-LT"/>
              </w:rPr>
              <w:t xml:space="preserve"> punktu</w:t>
            </w:r>
            <w:r w:rsidRPr="00B4005E">
              <w:rPr>
                <w:lang w:eastAsia="lt-LT"/>
              </w:rPr>
              <w:t>.</w:t>
            </w:r>
          </w:p>
        </w:tc>
      </w:tr>
      <w:tr w:rsidR="00884429" w:rsidRPr="00803E99" w14:paraId="2AB0E15F" w14:textId="77777777" w:rsidTr="006250F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D1C80" w14:textId="77777777" w:rsidR="00884429" w:rsidRPr="00803E99" w:rsidRDefault="00884429" w:rsidP="006250F5">
            <w:pPr>
              <w:rPr>
                <w:lang w:eastAsia="lt-LT"/>
              </w:rPr>
            </w:pPr>
            <w:r w:rsidRPr="00803E99">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B43B3" w14:textId="77777777" w:rsidR="00884429" w:rsidRPr="00803E99" w:rsidRDefault="00884429" w:rsidP="006250F5">
            <w:pPr>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7B104C5" w14:textId="77777777" w:rsidR="00884429" w:rsidRPr="00B460CC" w:rsidRDefault="00884429" w:rsidP="003713F0">
            <w:pPr>
              <w:jc w:val="both"/>
              <w:rPr>
                <w:bCs/>
              </w:rPr>
            </w:pPr>
            <w:r w:rsidRPr="00B460CC">
              <w:rPr>
                <w:bCs/>
                <w:lang w:eastAsia="lt-LT"/>
              </w:rPr>
              <w:t>Tinkamomis finansuoti laikomos išlaidos, atitinkančios Rekomendacijų dėl išlaidų atitikties 1 lentelės „</w:t>
            </w:r>
            <w:r w:rsidRPr="00B460CC">
              <w:rPr>
                <w:bCs/>
              </w:rPr>
              <w:t>Projekto biudžeto išlaidų kategorijų aprašas“ šios kategorijos nuostatas, išskyrus šiuos ribojimus:</w:t>
            </w:r>
          </w:p>
          <w:p w14:paraId="2D10ABC5" w14:textId="77777777" w:rsidR="00884429" w:rsidRPr="00B460CC" w:rsidRDefault="00884429" w:rsidP="003713F0">
            <w:pPr>
              <w:jc w:val="both"/>
              <w:rPr>
                <w:lang w:eastAsia="lt-LT"/>
              </w:rPr>
            </w:pPr>
            <w:r w:rsidRPr="00B460CC">
              <w:rPr>
                <w:lang w:eastAsia="lt-LT"/>
              </w:rPr>
              <w:t>1</w:t>
            </w:r>
            <w:r>
              <w:rPr>
                <w:lang w:eastAsia="lt-LT"/>
              </w:rPr>
              <w:t>.</w:t>
            </w:r>
            <w:r>
              <w:rPr>
                <w:bCs/>
              </w:rPr>
              <w:t xml:space="preserve"> išlaidos, skirtos vienkartinėms medicinos priemonėms įsigyti</w:t>
            </w:r>
            <w:r w:rsidRPr="00B460CC">
              <w:rPr>
                <w:bCs/>
              </w:rPr>
              <w:t>, yra netinkamos finansuoti;</w:t>
            </w:r>
            <w:r w:rsidRPr="00B460CC">
              <w:rPr>
                <w:lang w:eastAsia="lt-LT"/>
              </w:rPr>
              <w:t xml:space="preserve"> </w:t>
            </w:r>
          </w:p>
          <w:p w14:paraId="739A72DD" w14:textId="7744B819" w:rsidR="00884429" w:rsidRDefault="00884429" w:rsidP="003713F0">
            <w:pPr>
              <w:jc w:val="both"/>
              <w:rPr>
                <w:bCs/>
              </w:rPr>
            </w:pPr>
            <w:r w:rsidRPr="00B460CC">
              <w:rPr>
                <w:lang w:eastAsia="lt-LT"/>
              </w:rPr>
              <w:t xml:space="preserve">2. </w:t>
            </w:r>
            <w:r w:rsidRPr="007547E8">
              <w:rPr>
                <w:bCs/>
              </w:rPr>
              <w:t>transporto priemonių įsigijimo išlaidos yra netinkamos finansuoti</w:t>
            </w:r>
            <w:r w:rsidRPr="00884429">
              <w:rPr>
                <w:bCs/>
                <w:strike/>
              </w:rPr>
              <w:t>;</w:t>
            </w:r>
            <w:r w:rsidRPr="00884429">
              <w:rPr>
                <w:b/>
              </w:rPr>
              <w:t>.</w:t>
            </w:r>
          </w:p>
          <w:p w14:paraId="07358160" w14:textId="77777777" w:rsidR="00884429" w:rsidRPr="00884429" w:rsidRDefault="00884429" w:rsidP="003713F0">
            <w:pPr>
              <w:jc w:val="both"/>
              <w:rPr>
                <w:rFonts w:eastAsia="Calibri"/>
                <w:strike/>
                <w:lang w:eastAsia="lt-LT"/>
              </w:rPr>
            </w:pPr>
            <w:r w:rsidRPr="00884429">
              <w:rPr>
                <w:bCs/>
                <w:strike/>
              </w:rPr>
              <w:t>3. baldų įsigijimo išlaidos yra netinkamos finansuoti.</w:t>
            </w:r>
          </w:p>
        </w:tc>
      </w:tr>
      <w:tr w:rsidR="00884429" w:rsidRPr="00803E99" w14:paraId="37309DC8" w14:textId="77777777" w:rsidTr="006250F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2B467" w14:textId="77777777" w:rsidR="00884429" w:rsidRPr="00803E99" w:rsidRDefault="00884429" w:rsidP="006250F5">
            <w:pPr>
              <w:rPr>
                <w:lang w:eastAsia="lt-LT"/>
              </w:rPr>
            </w:pPr>
            <w:r w:rsidRPr="00803E99">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FCAC7" w14:textId="77777777" w:rsidR="00884429" w:rsidRPr="00803E99" w:rsidRDefault="00884429" w:rsidP="006250F5">
            <w:pPr>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D631BB2" w14:textId="77777777" w:rsidR="00884429" w:rsidRPr="00A2295A" w:rsidRDefault="00884429" w:rsidP="003713F0">
            <w:pPr>
              <w:jc w:val="both"/>
              <w:rPr>
                <w:bCs/>
                <w:lang w:eastAsia="lt-LT"/>
              </w:rPr>
            </w:pPr>
            <w:r w:rsidRPr="00A2295A">
              <w:rPr>
                <w:bCs/>
                <w:lang w:eastAsia="lt-LT"/>
              </w:rPr>
              <w:t>Tinkamomis finansuoti laikomos i</w:t>
            </w:r>
            <w:r>
              <w:rPr>
                <w:bCs/>
                <w:lang w:eastAsia="lt-LT"/>
              </w:rPr>
              <w:t>nvesticijų</w:t>
            </w:r>
            <w:r w:rsidRPr="00B460CC">
              <w:rPr>
                <w:bCs/>
                <w:lang w:eastAsia="lt-LT"/>
              </w:rPr>
              <w:t xml:space="preserve"> projekto parengimo išlaidos</w:t>
            </w:r>
            <w:r>
              <w:rPr>
                <w:bCs/>
                <w:lang w:eastAsia="lt-LT"/>
              </w:rPr>
              <w:t xml:space="preserve">, jei vadovaujantis </w:t>
            </w:r>
            <w:r w:rsidRPr="00E60072">
              <w:rPr>
                <w:bCs/>
                <w:lang w:eastAsia="lt-LT"/>
              </w:rPr>
              <w:t>Aprašo 35.</w:t>
            </w:r>
            <w:r w:rsidRPr="002F7899">
              <w:rPr>
                <w:bCs/>
                <w:lang w:eastAsia="lt-LT"/>
              </w:rPr>
              <w:t>2 papunkčiu jį rengti privaloma.</w:t>
            </w:r>
            <w:r w:rsidRPr="00A2295A">
              <w:rPr>
                <w:bCs/>
                <w:lang w:eastAsia="lt-LT"/>
              </w:rPr>
              <w:t xml:space="preserve"> </w:t>
            </w:r>
            <w:r>
              <w:rPr>
                <w:bCs/>
                <w:lang w:eastAsia="lt-LT"/>
              </w:rPr>
              <w:t>Investicijų projekto parengimo kaina negali viršyti 4 000 eurų.</w:t>
            </w:r>
          </w:p>
          <w:p w14:paraId="7E2A489D" w14:textId="639490C6" w:rsidR="00884429" w:rsidRPr="00B460CC" w:rsidRDefault="00884429" w:rsidP="003713F0">
            <w:pPr>
              <w:jc w:val="both"/>
              <w:rPr>
                <w:rFonts w:eastAsia="Calibri"/>
                <w:lang w:eastAsia="lt-LT"/>
              </w:rPr>
            </w:pPr>
            <w:r w:rsidRPr="00A2295A">
              <w:rPr>
                <w:bCs/>
                <w:lang w:eastAsia="lt-LT"/>
              </w:rPr>
              <w:t xml:space="preserve">Projekto išlaidos pagal fiksuotąją normą apmokamos vadovaujantis Aprašo </w:t>
            </w:r>
            <w:r w:rsidRPr="00884429">
              <w:rPr>
                <w:b/>
                <w:lang w:eastAsia="lt-LT"/>
              </w:rPr>
              <w:t>31</w:t>
            </w:r>
            <w:r>
              <w:rPr>
                <w:bCs/>
                <w:lang w:eastAsia="lt-LT"/>
              </w:rPr>
              <w:t xml:space="preserve"> </w:t>
            </w:r>
            <w:r w:rsidRPr="00884429">
              <w:rPr>
                <w:bCs/>
                <w:strike/>
                <w:lang w:eastAsia="lt-LT"/>
              </w:rPr>
              <w:t>32</w:t>
            </w:r>
            <w:r w:rsidRPr="00A2295A">
              <w:rPr>
                <w:bCs/>
                <w:lang w:eastAsia="lt-LT"/>
              </w:rPr>
              <w:t xml:space="preserve"> punktu.</w:t>
            </w:r>
          </w:p>
        </w:tc>
      </w:tr>
      <w:tr w:rsidR="00884429" w:rsidRPr="00803E99" w14:paraId="76C3C603" w14:textId="77777777" w:rsidTr="006250F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1C71D" w14:textId="77777777" w:rsidR="00884429" w:rsidRPr="00803E99" w:rsidRDefault="00884429" w:rsidP="006250F5">
            <w:pPr>
              <w:rPr>
                <w:lang w:eastAsia="lt-LT"/>
              </w:rPr>
            </w:pPr>
            <w:r w:rsidRPr="00803E99">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08BFD" w14:textId="77777777" w:rsidR="00884429" w:rsidRPr="00803E99" w:rsidRDefault="00884429" w:rsidP="006250F5">
            <w:pPr>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A672455" w14:textId="77777777" w:rsidR="00884429" w:rsidRPr="00B460CC" w:rsidRDefault="00884429" w:rsidP="003713F0">
            <w:pPr>
              <w:jc w:val="both"/>
              <w:rPr>
                <w:lang w:eastAsia="lt-LT"/>
              </w:rPr>
            </w:pPr>
            <w:r w:rsidRPr="00B460CC">
              <w:rPr>
                <w:lang w:eastAsia="lt-LT"/>
              </w:rPr>
              <w:t>Tinkamomis finansuoti laikomos tik privalomos informavimo apie projektą priemonės pagal Projektų taisyklių 450.1 – 450.6 papunkčius.</w:t>
            </w:r>
          </w:p>
          <w:p w14:paraId="01E985EF" w14:textId="3EF5C2ED" w:rsidR="00884429" w:rsidRPr="00B460CC" w:rsidRDefault="00884429" w:rsidP="003713F0">
            <w:pPr>
              <w:spacing w:line="276" w:lineRule="auto"/>
              <w:jc w:val="both"/>
              <w:rPr>
                <w:rFonts w:eastAsia="Calibri"/>
                <w:lang w:eastAsia="lt-LT"/>
              </w:rPr>
            </w:pPr>
            <w:r w:rsidRPr="00B460CC">
              <w:rPr>
                <w:rFonts w:eastAsia="Calibri"/>
                <w:lang w:eastAsia="lt-LT"/>
              </w:rPr>
              <w:t xml:space="preserve">Projekto išlaidos pagal fiksuotąją normą apmokamos vadovaujantis Aprašo </w:t>
            </w:r>
            <w:r w:rsidRPr="00884429">
              <w:rPr>
                <w:rFonts w:eastAsia="Calibri"/>
                <w:b/>
                <w:bCs/>
                <w:lang w:eastAsia="lt-LT"/>
              </w:rPr>
              <w:t>31</w:t>
            </w:r>
            <w:r>
              <w:rPr>
                <w:rFonts w:eastAsia="Calibri"/>
                <w:lang w:eastAsia="lt-LT"/>
              </w:rPr>
              <w:t xml:space="preserve"> </w:t>
            </w:r>
            <w:r w:rsidRPr="00884429">
              <w:rPr>
                <w:rFonts w:eastAsia="Calibri"/>
                <w:strike/>
                <w:lang w:eastAsia="lt-LT"/>
              </w:rPr>
              <w:t>32</w:t>
            </w:r>
            <w:r w:rsidRPr="00B460CC">
              <w:rPr>
                <w:rFonts w:eastAsia="Calibri"/>
                <w:lang w:eastAsia="lt-LT"/>
              </w:rPr>
              <w:t xml:space="preserve"> punktu.</w:t>
            </w:r>
          </w:p>
        </w:tc>
      </w:tr>
      <w:tr w:rsidR="00884429" w:rsidRPr="00803E99" w14:paraId="4DB3349C" w14:textId="77777777" w:rsidTr="006250F5">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05707" w14:textId="77777777" w:rsidR="00884429" w:rsidRPr="00803E99" w:rsidRDefault="00884429" w:rsidP="006250F5">
            <w:pPr>
              <w:rPr>
                <w:lang w:eastAsia="lt-LT"/>
              </w:rPr>
            </w:pPr>
            <w:r w:rsidRPr="00803E99">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794B6" w14:textId="77777777" w:rsidR="00884429" w:rsidRPr="00803E99" w:rsidRDefault="00884429" w:rsidP="006250F5">
            <w:pPr>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3C0FCE8" w14:textId="31B15245" w:rsidR="00884429" w:rsidRPr="00B460CC" w:rsidRDefault="00884429" w:rsidP="003713F0">
            <w:pPr>
              <w:jc w:val="both"/>
              <w:rPr>
                <w:lang w:eastAsia="lt-LT"/>
              </w:rPr>
            </w:pPr>
            <w:r w:rsidRPr="00B460CC">
              <w:rPr>
                <w:lang w:eastAsia="lt-LT"/>
              </w:rPr>
              <w:t>Projektui taikoma fiksuotoji projekto išlaidų norma netiesioginėms išlaidoms skaičiuojama vadovaujantis Projektų taisyklių 10 priedu.</w:t>
            </w:r>
            <w:r w:rsidR="00B62157">
              <w:rPr>
                <w:lang w:eastAsia="lt-LT"/>
              </w:rPr>
              <w:t>“</w:t>
            </w:r>
          </w:p>
        </w:tc>
      </w:tr>
    </w:tbl>
    <w:p w14:paraId="67726655" w14:textId="09F2AD8A" w:rsidR="00162558" w:rsidRDefault="001A4E0E" w:rsidP="006F7E61">
      <w:pPr>
        <w:ind w:firstLine="851"/>
        <w:jc w:val="both"/>
      </w:pPr>
      <w:r>
        <w:t>9</w:t>
      </w:r>
      <w:r w:rsidR="006F7E61">
        <w:t>. Pakeičiu 31 punktą ir jį išdėstau taip:</w:t>
      </w:r>
    </w:p>
    <w:p w14:paraId="15449CAC" w14:textId="2CF588C5" w:rsidR="00955829" w:rsidRDefault="006F7E61" w:rsidP="002A1430">
      <w:pPr>
        <w:ind w:firstLine="851"/>
        <w:jc w:val="both"/>
      </w:pPr>
      <w:r>
        <w:t>„</w:t>
      </w:r>
      <w:r w:rsidR="003713F0">
        <w:t xml:space="preserve">31. </w:t>
      </w:r>
      <w:r w:rsidR="002A1430" w:rsidRPr="002A1430">
        <w:rPr>
          <w:b/>
          <w:bCs/>
        </w:rPr>
        <w:t>Įgyvendinant projekto veiklas 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w:t>
      </w:r>
      <w:r w:rsidR="002A1430">
        <w:t xml:space="preserve"> </w:t>
      </w:r>
      <w:r w:rsidR="002A1430" w:rsidRPr="002A1430">
        <w:rPr>
          <w:strike/>
        </w:rPr>
        <w:t>Projektą vykdančio personalo darbo užmokesčio išlaidos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w:t>
      </w:r>
      <w:r w:rsidR="002A1430" w:rsidRPr="002A1430">
        <w:t>.</w:t>
      </w:r>
      <w:r w:rsidR="002A1430">
        <w:t xml:space="preserve"> </w:t>
      </w:r>
      <w:r w:rsidR="002A1430" w:rsidRPr="002A1430">
        <w:t xml:space="preserve">Nurodyta ataskaita skelbiama </w:t>
      </w:r>
      <w:r w:rsidR="00133AB4">
        <w:fldChar w:fldCharType="begin"/>
      </w:r>
      <w:r w:rsidR="00133AB4">
        <w:instrText xml:space="preserve"> HYPERLINK "http://www.esinvesticijos.lt/lt/dokumentai/supaprastinto-islaidu-apmokejimo-tyrimai" </w:instrText>
      </w:r>
      <w:r w:rsidR="00133AB4">
        <w:fldChar w:fldCharType="separate"/>
      </w:r>
      <w:r w:rsidR="002A1430" w:rsidRPr="0055342F">
        <w:rPr>
          <w:rStyle w:val="Hyperlink"/>
        </w:rPr>
        <w:t>http://www.esinvesticijos.lt/lt/dokumentai/supaprastinto-islaidu-apmokejimo-tyrimai</w:t>
      </w:r>
      <w:r w:rsidR="00133AB4">
        <w:rPr>
          <w:rStyle w:val="Hyperlink"/>
        </w:rPr>
        <w:fldChar w:fldCharType="end"/>
      </w:r>
      <w:r w:rsidR="002A1430" w:rsidRPr="002A1430">
        <w:t>).</w:t>
      </w:r>
      <w:r w:rsidR="00FF18EE">
        <w:t>“</w:t>
      </w:r>
    </w:p>
    <w:p w14:paraId="3AECA3D5" w14:textId="4344536F" w:rsidR="002A1430" w:rsidRDefault="001A4E0E" w:rsidP="002A1430">
      <w:pPr>
        <w:ind w:firstLine="851"/>
        <w:jc w:val="both"/>
      </w:pPr>
      <w:r>
        <w:t>10</w:t>
      </w:r>
      <w:r w:rsidR="003C317F">
        <w:t xml:space="preserve">. Pakeičiu 32 punktą </w:t>
      </w:r>
      <w:r w:rsidR="00711620">
        <w:t xml:space="preserve">ir </w:t>
      </w:r>
      <w:r w:rsidR="003C317F">
        <w:t>jį išdėstau taip:</w:t>
      </w:r>
    </w:p>
    <w:p w14:paraId="19D48D84" w14:textId="1D9F4084" w:rsidR="003C317F" w:rsidRDefault="003C317F" w:rsidP="002A1430">
      <w:pPr>
        <w:ind w:firstLine="851"/>
        <w:jc w:val="both"/>
      </w:pPr>
      <w:r>
        <w:t xml:space="preserve">„32. </w:t>
      </w:r>
      <w:r w:rsidRPr="003C317F">
        <w:t xml:space="preserve">Išlaidos, apmokamos taikant Aprašo 29 punkto lentelės 7 punkte ir 31 punkte nurodytas fiksuotąsias normas, turi atitikti </w:t>
      </w:r>
      <w:r w:rsidRPr="003C317F">
        <w:rPr>
          <w:strike/>
        </w:rPr>
        <w:t>Projektų taisyklių 35 skirsnį.</w:t>
      </w:r>
      <w:r w:rsidRPr="003C317F">
        <w:t xml:space="preserve"> </w:t>
      </w:r>
      <w:r w:rsidRPr="003C317F">
        <w:rPr>
          <w:b/>
          <w:bCs/>
        </w:rPr>
        <w:t>šias nuostatas:</w:t>
      </w:r>
    </w:p>
    <w:p w14:paraId="6AC7B013" w14:textId="5724B408" w:rsidR="00955829" w:rsidRPr="00B56CA2" w:rsidRDefault="00B56CA2" w:rsidP="00AA531D">
      <w:pPr>
        <w:ind w:firstLine="851"/>
        <w:jc w:val="both"/>
      </w:pPr>
      <w:r w:rsidRPr="00B56CA2">
        <w:rPr>
          <w:b/>
          <w:bCs/>
        </w:rPr>
        <w:t>32.1. pagal fiksuotąją normą apmokamos išlaidos turi atitikti Projektų taisyklių 35 skirsnį;</w:t>
      </w:r>
    </w:p>
    <w:p w14:paraId="361B76BE" w14:textId="569A3D86" w:rsidR="00B56CA2" w:rsidRDefault="00B56CA2" w:rsidP="00AA531D">
      <w:pPr>
        <w:ind w:firstLine="851"/>
        <w:jc w:val="both"/>
      </w:pPr>
      <w:r w:rsidRPr="00B56CA2">
        <w:rPr>
          <w:b/>
          <w:bCs/>
        </w:rPr>
        <w:t xml:space="preserve">32.2. projekto įgyvendinimo metu vadovaujančiajai ar audito institucijoms nustačius, kad fiksuotoji norma  buvo netinkamai nustatyta, patikslintas dydis ar jo taikymo sąlygos </w:t>
      </w:r>
      <w:r w:rsidRPr="00B56CA2">
        <w:rPr>
          <w:b/>
          <w:bCs/>
        </w:rPr>
        <w:lastRenderedPageBreak/>
        <w:t>taikomi projekto veiksmų, vykdomų nuo dydžio ar jo taikymo sąlygų patikslinimo įsigaliojimo dienos, išlaidoms apmokėti.</w:t>
      </w:r>
      <w:r>
        <w:t>“</w:t>
      </w:r>
    </w:p>
    <w:p w14:paraId="59C85056" w14:textId="02FB00FF" w:rsidR="00955829" w:rsidRDefault="00711620" w:rsidP="00711620">
      <w:pPr>
        <w:ind w:firstLine="851"/>
      </w:pPr>
      <w:r>
        <w:t>1</w:t>
      </w:r>
      <w:r w:rsidR="001A4E0E">
        <w:t>1</w:t>
      </w:r>
      <w:r>
        <w:t>. Pakeičiu 43.3 papunktį jį išdėstau taip:</w:t>
      </w:r>
    </w:p>
    <w:p w14:paraId="042BF873" w14:textId="5302783E" w:rsidR="00711620" w:rsidRDefault="00711620" w:rsidP="00711620">
      <w:pPr>
        <w:ind w:firstLine="851"/>
        <w:jc w:val="both"/>
      </w:pPr>
      <w:r>
        <w:t xml:space="preserve">„43.3. </w:t>
      </w:r>
      <w:r w:rsidRPr="00711620">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 skelbiama: </w:t>
      </w:r>
      <w:r w:rsidR="00133AB4">
        <w:fldChar w:fldCharType="begin"/>
      </w:r>
      <w:r w:rsidR="00133AB4">
        <w:instrText xml:space="preserve"> HYPERLINK "http://www.esinvesticijos.lt/lt/dokumentai/3-priedas-informacija-apie-aplinkosauginius-reikalavimus" </w:instrText>
      </w:r>
      <w:r w:rsidR="00133AB4">
        <w:fldChar w:fldCharType="separate"/>
      </w:r>
      <w:r w:rsidR="00D14340" w:rsidRPr="0055342F">
        <w:rPr>
          <w:rStyle w:val="Hyperlink"/>
        </w:rPr>
        <w:t>http://www.esinvesticijos.lt/lt/dokumentai/3-priedas-informacija-apie-aplinkosauginius-reikalavimus</w:t>
      </w:r>
      <w:r w:rsidR="00133AB4">
        <w:rPr>
          <w:rStyle w:val="Hyperlink"/>
        </w:rPr>
        <w:fldChar w:fldCharType="end"/>
      </w:r>
      <w:r w:rsidRPr="00711620">
        <w:t xml:space="preserve">); </w:t>
      </w:r>
      <w:r w:rsidRPr="00D14340">
        <w:rPr>
          <w:b/>
          <w:bCs/>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 turi būti atliktas „Natura 2000“ teritorijų reikšmingumo nustatymas</w:t>
      </w:r>
      <w:r w:rsidR="00D14340">
        <w:rPr>
          <w:b/>
          <w:bCs/>
        </w:rPr>
        <w:t>;</w:t>
      </w:r>
      <w:r w:rsidR="00FF18EE" w:rsidRPr="00FF18EE">
        <w:t>“</w:t>
      </w:r>
    </w:p>
    <w:p w14:paraId="57F0C33D" w14:textId="307096F2" w:rsidR="00955829" w:rsidRDefault="00DB0319" w:rsidP="00DB0319">
      <w:pPr>
        <w:ind w:firstLine="851"/>
      </w:pPr>
      <w:r>
        <w:t>1</w:t>
      </w:r>
      <w:r w:rsidR="001A4E0E">
        <w:t>2</w:t>
      </w:r>
      <w:r>
        <w:t>. Pakeičiu 43.12 papunktį jį išdėstau taip:</w:t>
      </w:r>
    </w:p>
    <w:p w14:paraId="7F8D295B" w14:textId="38360EC2" w:rsidR="00955829" w:rsidRDefault="00DB0319" w:rsidP="00DB0319">
      <w:pPr>
        <w:ind w:firstLine="851"/>
        <w:jc w:val="both"/>
      </w:pPr>
      <w:r>
        <w:t xml:space="preserve">„43.12. </w:t>
      </w:r>
      <w:r w:rsidRPr="00DB0319">
        <w:t xml:space="preserve">jei projekte numatomi statybos darbai ir statinio projektą rengti privaloma, tačiau jis dar nėra parengtas ir patvirtintas, prisijungimo sąlygų, specialiųjų reikalavimų </w:t>
      </w:r>
      <w:r w:rsidRPr="00DB0319">
        <w:rPr>
          <w:strike/>
        </w:rPr>
        <w:t>(jeigu tokie gauti)</w:t>
      </w:r>
      <w:r w:rsidRPr="00DB0319">
        <w:t xml:space="preserve"> patvirtintas kopijas. Jei statybos darbus planuojama vykdyti kultūros paveldo statiniuose ar statiniuose, esančiuose kultūros paveldo objektų teritorijose, gali būti prašoma pateikti ir papildomų, Lietuvos Respublikos statybos įstatyme nustatytų reikalingų dokumentų kopijas</w:t>
      </w:r>
      <w:r>
        <w:t>;“</w:t>
      </w:r>
    </w:p>
    <w:p w14:paraId="0CE0FD9A" w14:textId="5498EDA2" w:rsidR="00DB0319" w:rsidRDefault="00DB0319" w:rsidP="00DB0319">
      <w:pPr>
        <w:ind w:firstLine="851"/>
        <w:jc w:val="both"/>
      </w:pPr>
      <w:r>
        <w:t>1</w:t>
      </w:r>
      <w:r w:rsidR="001A4E0E">
        <w:t>3</w:t>
      </w:r>
      <w:r>
        <w:t>. Pakeičiu 48 punktą ir jį išdėstau taip:</w:t>
      </w:r>
    </w:p>
    <w:p w14:paraId="09BAC49F" w14:textId="3D146012" w:rsidR="00DB0319" w:rsidRDefault="00DB0319" w:rsidP="00DB0319">
      <w:pPr>
        <w:ind w:firstLine="851"/>
        <w:jc w:val="both"/>
      </w:pPr>
      <w:r>
        <w:t xml:space="preserve">„48. </w:t>
      </w:r>
      <w:r w:rsidRPr="00DB0319">
        <w:t xml:space="preserve">Paraiškos vertinimo metu įgyvendinančioji institucija gali paprašyti pareiškėjo pateikti trūkstamą informaciją ir (arba) dokumentus, </w:t>
      </w:r>
      <w:r w:rsidRPr="00DB0319">
        <w:rPr>
          <w:b/>
          <w:bCs/>
        </w:rPr>
        <w:t>išskyrus Aprašo 20 punkte nurodytus projekto parengtumo dokumentus</w:t>
      </w:r>
      <w:r w:rsidRPr="00DB0319">
        <w:t>. Pareiškėjas privalo pateikti šią informaciją ir (arba) dokumentus per įgyvendinančiosios institucijos nustatytą terminą</w:t>
      </w:r>
      <w:r w:rsidR="00FF18EE">
        <w:t>.“</w:t>
      </w:r>
    </w:p>
    <w:p w14:paraId="234D20E6" w14:textId="22017ADF" w:rsidR="00DB0319" w:rsidRDefault="00DB0319" w:rsidP="00DB0319">
      <w:pPr>
        <w:ind w:firstLine="851"/>
      </w:pPr>
      <w:r>
        <w:t>1</w:t>
      </w:r>
      <w:r w:rsidR="001A4E0E">
        <w:t>4</w:t>
      </w:r>
      <w:r>
        <w:t xml:space="preserve">. </w:t>
      </w:r>
      <w:r w:rsidR="003026BB">
        <w:t>Papildau 60</w:t>
      </w:r>
      <w:r w:rsidR="003026BB" w:rsidRPr="003026BB">
        <w:rPr>
          <w:vertAlign w:val="superscript"/>
        </w:rPr>
        <w:t>1</w:t>
      </w:r>
      <w:r w:rsidR="003026BB">
        <w:t xml:space="preserve"> punktu:</w:t>
      </w:r>
    </w:p>
    <w:p w14:paraId="6C03D5C5" w14:textId="3F67139C" w:rsidR="003026BB" w:rsidRPr="001A4E0E" w:rsidRDefault="003026BB" w:rsidP="003026BB">
      <w:pPr>
        <w:ind w:firstLine="851"/>
        <w:jc w:val="both"/>
        <w:rPr>
          <w:b/>
          <w:bCs/>
        </w:rPr>
      </w:pPr>
      <w:r w:rsidRPr="00FF18EE">
        <w:t>„</w:t>
      </w:r>
      <w:r w:rsidRPr="001A4E0E">
        <w:rPr>
          <w:b/>
          <w:bCs/>
        </w:rPr>
        <w:t>60</w:t>
      </w:r>
      <w:r w:rsidRPr="001A4E0E">
        <w:rPr>
          <w:b/>
          <w:bCs/>
          <w:vertAlign w:val="superscript"/>
        </w:rPr>
        <w:t>1</w:t>
      </w:r>
      <w:r w:rsidRPr="001A4E0E">
        <w:rPr>
          <w:b/>
          <w:bCs/>
        </w:rPr>
        <w:t>. Projekto, kurį įgyvendinus sukuriama branduolinės medicinos tyrimų centro (ciklotrono) infrastruktūra, sutartyje be kitų šiame skyriuje nustatytų reikalavimų nustatomi šie reikalavimai:</w:t>
      </w:r>
    </w:p>
    <w:p w14:paraId="05788FCC" w14:textId="38F8E43D" w:rsidR="00DB0319" w:rsidRPr="001A4E0E" w:rsidRDefault="003026BB" w:rsidP="001A4E0E">
      <w:pPr>
        <w:ind w:firstLine="851"/>
        <w:jc w:val="both"/>
        <w:rPr>
          <w:b/>
          <w:bCs/>
        </w:rPr>
      </w:pPr>
      <w:r w:rsidRPr="001A4E0E">
        <w:rPr>
          <w:b/>
          <w:bCs/>
        </w:rPr>
        <w:t>60</w:t>
      </w:r>
      <w:r w:rsidRPr="001A4E0E">
        <w:rPr>
          <w:b/>
          <w:bCs/>
          <w:vertAlign w:val="superscript"/>
        </w:rPr>
        <w:t>1</w:t>
      </w:r>
      <w:r w:rsidRPr="001A4E0E">
        <w:rPr>
          <w:b/>
          <w:bCs/>
        </w:rPr>
        <w:t xml:space="preserve">.1. </w:t>
      </w:r>
      <w:r w:rsidR="0001010B" w:rsidRPr="001A4E0E">
        <w:rPr>
          <w:b/>
          <w:bCs/>
        </w:rPr>
        <w:t xml:space="preserve">Projekto vykdytojas su galutiniu </w:t>
      </w:r>
      <w:r w:rsidR="00043FBF" w:rsidRPr="001A4E0E">
        <w:rPr>
          <w:b/>
          <w:bCs/>
        </w:rPr>
        <w:t>mokėjimo prašymu pateikia licenciją vykdyti veiklą su jonizuojančiosios spinduliuotės šaltiniais.</w:t>
      </w:r>
    </w:p>
    <w:p w14:paraId="4768E33B" w14:textId="4BB1305D" w:rsidR="003026BB" w:rsidRPr="001A4E0E" w:rsidRDefault="003026BB" w:rsidP="001A4E0E">
      <w:pPr>
        <w:ind w:firstLine="851"/>
        <w:jc w:val="both"/>
        <w:rPr>
          <w:b/>
          <w:bCs/>
        </w:rPr>
      </w:pPr>
      <w:r w:rsidRPr="001A4E0E">
        <w:rPr>
          <w:b/>
          <w:bCs/>
        </w:rPr>
        <w:t>60</w:t>
      </w:r>
      <w:r w:rsidRPr="001A4E0E">
        <w:rPr>
          <w:b/>
          <w:bCs/>
          <w:vertAlign w:val="superscript"/>
        </w:rPr>
        <w:t>1</w:t>
      </w:r>
      <w:r w:rsidRPr="001A4E0E">
        <w:rPr>
          <w:b/>
          <w:bCs/>
        </w:rPr>
        <w:t>.2. Projekto vykdytojas ne vėliau kaip per 6 mėnesius po projekto finansavimo pabaigos turi įgyti radiofarmacinių vaistinių preparatų gamybos licenciją</w:t>
      </w:r>
      <w:r w:rsidR="00043FBF" w:rsidRPr="001A4E0E">
        <w:rPr>
          <w:b/>
          <w:bCs/>
        </w:rPr>
        <w:t>.</w:t>
      </w:r>
    </w:p>
    <w:p w14:paraId="1DE23636" w14:textId="4B5E935F" w:rsidR="003026BB" w:rsidRPr="001A4E0E" w:rsidRDefault="003026BB" w:rsidP="001A4E0E">
      <w:pPr>
        <w:ind w:firstLine="851"/>
        <w:jc w:val="both"/>
        <w:rPr>
          <w:b/>
          <w:bCs/>
        </w:rPr>
      </w:pPr>
      <w:r w:rsidRPr="001A4E0E">
        <w:rPr>
          <w:b/>
          <w:bCs/>
        </w:rPr>
        <w:t>60</w:t>
      </w:r>
      <w:r w:rsidRPr="001A4E0E">
        <w:rPr>
          <w:b/>
          <w:bCs/>
          <w:vertAlign w:val="superscript"/>
        </w:rPr>
        <w:t>1</w:t>
      </w:r>
      <w:r w:rsidRPr="001A4E0E">
        <w:rPr>
          <w:b/>
          <w:bCs/>
        </w:rPr>
        <w:t xml:space="preserve">.3. </w:t>
      </w:r>
      <w:r w:rsidR="00043FBF" w:rsidRPr="001A4E0E">
        <w:rPr>
          <w:b/>
          <w:bCs/>
        </w:rPr>
        <w:t>Projekto vykdytojas ne vėliau kaip per 12 mėnesių po projekto finansavimo pabaigos turi įregistruoti branduolinės medicinos tyrimų centre (ciklotronu) pagamintus radiofarmacinius vaistinius preparatus</w:t>
      </w:r>
      <w:r w:rsidR="00D468A5">
        <w:rPr>
          <w:b/>
          <w:bCs/>
        </w:rPr>
        <w:t xml:space="preserve"> (išskyrus </w:t>
      </w:r>
      <w:r w:rsidR="00D468A5" w:rsidRPr="00D468A5">
        <w:rPr>
          <w:b/>
          <w:bCs/>
        </w:rPr>
        <w:t xml:space="preserve">ekstemporalius </w:t>
      </w:r>
      <w:r w:rsidR="00D468A5">
        <w:rPr>
          <w:b/>
          <w:bCs/>
        </w:rPr>
        <w:t xml:space="preserve">radiofarmacinius </w:t>
      </w:r>
      <w:r w:rsidR="00D468A5" w:rsidRPr="00D468A5">
        <w:rPr>
          <w:b/>
          <w:bCs/>
        </w:rPr>
        <w:t>vaistinius preparatus</w:t>
      </w:r>
      <w:r w:rsidR="00D468A5">
        <w:rPr>
          <w:b/>
          <w:bCs/>
        </w:rPr>
        <w:t>)</w:t>
      </w:r>
      <w:r w:rsidR="00043FBF" w:rsidRPr="001A4E0E">
        <w:rPr>
          <w:b/>
          <w:bCs/>
        </w:rPr>
        <w:t xml:space="preserve"> Lietuvos Respublikos vaistinių preparatų registre arba Bendrijos vaistinių preparatų registre.</w:t>
      </w:r>
    </w:p>
    <w:p w14:paraId="0A467F0D" w14:textId="3B6EF374" w:rsidR="003026BB" w:rsidRPr="001A4E0E" w:rsidRDefault="003026BB" w:rsidP="001A4E0E">
      <w:pPr>
        <w:ind w:firstLine="851"/>
        <w:jc w:val="both"/>
        <w:rPr>
          <w:b/>
          <w:bCs/>
        </w:rPr>
      </w:pPr>
      <w:r w:rsidRPr="001A4E0E">
        <w:rPr>
          <w:b/>
          <w:bCs/>
        </w:rPr>
        <w:t>60</w:t>
      </w:r>
      <w:r w:rsidRPr="001A4E0E">
        <w:rPr>
          <w:b/>
          <w:bCs/>
          <w:vertAlign w:val="superscript"/>
        </w:rPr>
        <w:t>1</w:t>
      </w:r>
      <w:r w:rsidRPr="001A4E0E">
        <w:rPr>
          <w:b/>
          <w:bCs/>
        </w:rPr>
        <w:t>.</w:t>
      </w:r>
      <w:r w:rsidR="00043FBF" w:rsidRPr="001A4E0E">
        <w:rPr>
          <w:b/>
          <w:bCs/>
        </w:rPr>
        <w:t>4</w:t>
      </w:r>
      <w:r w:rsidRPr="001A4E0E">
        <w:rPr>
          <w:b/>
          <w:bCs/>
        </w:rPr>
        <w:t xml:space="preserve">. </w:t>
      </w:r>
      <w:r w:rsidR="00043FBF" w:rsidRPr="001A4E0E">
        <w:rPr>
          <w:b/>
          <w:bCs/>
        </w:rPr>
        <w:t>Projekto vykdytojas privalo teikti viešojo pirkimo pasiūlymus visuose Lietuvos Respublikoje skelbiamuose viešuosiuose pirkimuose dėl radiofarmacinių vaistinių preparatų, kuri</w:t>
      </w:r>
      <w:r w:rsidR="00CB7151" w:rsidRPr="001A4E0E">
        <w:rPr>
          <w:b/>
          <w:bCs/>
        </w:rPr>
        <w:t>uos</w:t>
      </w:r>
      <w:r w:rsidR="00043FBF" w:rsidRPr="001A4E0E">
        <w:rPr>
          <w:b/>
          <w:bCs/>
        </w:rPr>
        <w:t xml:space="preserve"> projekto vydytojas yra įregistravęs, įsigijimo.</w:t>
      </w:r>
    </w:p>
    <w:p w14:paraId="221FE6DE" w14:textId="05025062" w:rsidR="00CB7151" w:rsidRDefault="00CB7151" w:rsidP="001A4E0E">
      <w:pPr>
        <w:ind w:firstLine="851"/>
        <w:jc w:val="both"/>
      </w:pPr>
      <w:r w:rsidRPr="001A4E0E">
        <w:rPr>
          <w:b/>
          <w:bCs/>
        </w:rPr>
        <w:t>60</w:t>
      </w:r>
      <w:r w:rsidRPr="001A4E0E">
        <w:rPr>
          <w:b/>
          <w:bCs/>
          <w:vertAlign w:val="superscript"/>
        </w:rPr>
        <w:t>1</w:t>
      </w:r>
      <w:r w:rsidRPr="001A4E0E">
        <w:rPr>
          <w:b/>
          <w:bCs/>
        </w:rPr>
        <w:t>.</w:t>
      </w:r>
      <w:r w:rsidR="00FE74F0">
        <w:rPr>
          <w:b/>
          <w:bCs/>
        </w:rPr>
        <w:t>5</w:t>
      </w:r>
      <w:r w:rsidRPr="001A4E0E">
        <w:rPr>
          <w:b/>
          <w:bCs/>
        </w:rPr>
        <w:t>. Projekto vykdytojas turi užtikrinti, kad trečiais</w:t>
      </w:r>
      <w:r w:rsidR="00BE4FCE">
        <w:rPr>
          <w:b/>
          <w:bCs/>
        </w:rPr>
        <w:t>, ketvirtais</w:t>
      </w:r>
      <w:r w:rsidRPr="001A4E0E">
        <w:rPr>
          <w:b/>
          <w:bCs/>
        </w:rPr>
        <w:t xml:space="preserve"> ir </w:t>
      </w:r>
      <w:r w:rsidR="00BE4FCE">
        <w:rPr>
          <w:b/>
          <w:bCs/>
        </w:rPr>
        <w:t>penktais</w:t>
      </w:r>
      <w:r w:rsidRPr="001A4E0E">
        <w:rPr>
          <w:b/>
          <w:bCs/>
        </w:rPr>
        <w:t xml:space="preserve"> metais po projekto finansavimo pabaigos jo branduolinės medicinos tyrimų centre (ciklotronu) per metus bus pagaminta ne mažiau nei </w:t>
      </w:r>
      <w:r w:rsidR="00E02547">
        <w:rPr>
          <w:b/>
          <w:bCs/>
        </w:rPr>
        <w:t>5</w:t>
      </w:r>
      <w:r w:rsidRPr="001A4E0E">
        <w:rPr>
          <w:b/>
          <w:bCs/>
        </w:rPr>
        <w:t xml:space="preserve"> 000 radionuklidų dozių</w:t>
      </w:r>
      <w:r w:rsidR="003713F0" w:rsidRPr="003713F0">
        <w:rPr>
          <w:b/>
          <w:bCs/>
        </w:rPr>
        <w:t>, naudojamų pozitronų emisijos tomografijos paslaugoms teikti.</w:t>
      </w:r>
      <w:r w:rsidR="001A4E0E" w:rsidRPr="00FF18EE">
        <w:t>“</w:t>
      </w:r>
    </w:p>
    <w:p w14:paraId="23448072" w14:textId="74FB9394" w:rsidR="001A4E0E" w:rsidRDefault="001A4E0E" w:rsidP="00AE695B">
      <w:pPr>
        <w:jc w:val="both"/>
      </w:pPr>
    </w:p>
    <w:p w14:paraId="72598FB8" w14:textId="77777777" w:rsidR="00105D31" w:rsidRDefault="00105D31" w:rsidP="00AE695B">
      <w:pPr>
        <w:jc w:val="both"/>
      </w:pPr>
    </w:p>
    <w:p w14:paraId="12EA8BEC" w14:textId="2DD36E8A" w:rsidR="00AE695B" w:rsidRDefault="000606B6" w:rsidP="00AE695B">
      <w:pPr>
        <w:jc w:val="both"/>
      </w:pPr>
      <w:r>
        <w:t>Sveikatos apsaugos ministras</w:t>
      </w:r>
      <w:r w:rsidR="00AE695B">
        <w:t xml:space="preserve">                                                                              </w:t>
      </w:r>
      <w:r>
        <w:t xml:space="preserve">        Aurelijus Veryga</w:t>
      </w:r>
    </w:p>
    <w:p w14:paraId="154F24C2" w14:textId="05237FFA" w:rsidR="00653477" w:rsidRDefault="00653477" w:rsidP="00653477">
      <w:pPr>
        <w:rPr>
          <w:bCs/>
          <w:szCs w:val="24"/>
        </w:rPr>
      </w:pPr>
    </w:p>
    <w:p w14:paraId="21950424" w14:textId="77777777" w:rsidR="00D669E9" w:rsidRPr="00D669E9" w:rsidRDefault="00D669E9" w:rsidP="00D669E9">
      <w:pPr>
        <w:rPr>
          <w:szCs w:val="24"/>
        </w:rPr>
      </w:pPr>
    </w:p>
    <w:p w14:paraId="324BED48" w14:textId="42A10D1E" w:rsidR="00D669E9" w:rsidRDefault="00D669E9" w:rsidP="00D669E9">
      <w:pPr>
        <w:rPr>
          <w:szCs w:val="24"/>
        </w:rPr>
      </w:pPr>
    </w:p>
    <w:p w14:paraId="59011F0D" w14:textId="6EE857C8" w:rsidR="00BE52B1" w:rsidRPr="00BE52B1" w:rsidRDefault="00BE52B1" w:rsidP="00BE52B1">
      <w:pPr>
        <w:rPr>
          <w:sz w:val="22"/>
          <w:szCs w:val="22"/>
        </w:rPr>
      </w:pPr>
      <w:r w:rsidRPr="00BE52B1">
        <w:rPr>
          <w:sz w:val="22"/>
          <w:szCs w:val="22"/>
        </w:rPr>
        <w:t>A. Suveizdienė, tel. 266 1497, el. p. asta.suveizdiene</w:t>
      </w:r>
      <w:r w:rsidRPr="00BE52B1">
        <w:rPr>
          <w:sz w:val="22"/>
          <w:szCs w:val="22"/>
          <w:lang w:val="en-US"/>
        </w:rPr>
        <w:t>@</w:t>
      </w:r>
      <w:proofErr w:type="spellStart"/>
      <w:r w:rsidRPr="00BE52B1">
        <w:rPr>
          <w:sz w:val="22"/>
          <w:szCs w:val="22"/>
          <w:lang w:val="en-US"/>
        </w:rPr>
        <w:t>sam.lt</w:t>
      </w:r>
      <w:proofErr w:type="spellEnd"/>
    </w:p>
    <w:sectPr w:rsidR="00BE52B1" w:rsidRPr="00BE52B1" w:rsidSect="00653477">
      <w:headerReference w:type="even" r:id="rId7"/>
      <w:headerReference w:type="default" r:id="rId8"/>
      <w:footerReference w:type="even" r:id="rId9"/>
      <w:footerReference w:type="default" r:id="rId10"/>
      <w:headerReference w:type="first" r:id="rId11"/>
      <w:pgSz w:w="11906" w:h="16838" w:code="9"/>
      <w:pgMar w:top="1134"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962C8" w14:textId="77777777" w:rsidR="00685C3F" w:rsidRDefault="00685C3F">
      <w:pPr>
        <w:rPr>
          <w:szCs w:val="24"/>
        </w:rPr>
      </w:pPr>
      <w:r>
        <w:rPr>
          <w:szCs w:val="24"/>
        </w:rPr>
        <w:separator/>
      </w:r>
    </w:p>
  </w:endnote>
  <w:endnote w:type="continuationSeparator" w:id="0">
    <w:p w14:paraId="649F50E4" w14:textId="77777777" w:rsidR="00685C3F" w:rsidRDefault="00685C3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3" w14:textId="77777777" w:rsidR="00B34D86" w:rsidRDefault="00B34D8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4" w14:textId="77777777" w:rsidR="00B34D86" w:rsidRDefault="00B34D8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53F5" w14:textId="77777777" w:rsidR="00685C3F" w:rsidRDefault="00685C3F">
      <w:pPr>
        <w:rPr>
          <w:szCs w:val="24"/>
        </w:rPr>
      </w:pPr>
      <w:r>
        <w:rPr>
          <w:szCs w:val="24"/>
        </w:rPr>
        <w:separator/>
      </w:r>
    </w:p>
  </w:footnote>
  <w:footnote w:type="continuationSeparator" w:id="0">
    <w:p w14:paraId="1768A0CC" w14:textId="77777777" w:rsidR="00685C3F" w:rsidRDefault="00685C3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1F" w14:textId="77777777" w:rsidR="00B34D86" w:rsidRDefault="0065347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B34D86" w:rsidRDefault="00B34D8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1" w14:textId="6FC0E28C" w:rsidR="00B34D86" w:rsidRDefault="00653477" w:rsidP="00653477">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sidR="00D64AFF">
      <w:rPr>
        <w:noProof/>
        <w:szCs w:val="24"/>
      </w:rPr>
      <w:t>2</w:t>
    </w:r>
    <w:r>
      <w:rPr>
        <w:szCs w:val="24"/>
      </w:rPr>
      <w:fldChar w:fldCharType="end"/>
    </w:r>
  </w:p>
  <w:p w14:paraId="1EDDB322" w14:textId="77777777" w:rsidR="00B34D86" w:rsidRDefault="00B34D8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5" w14:textId="780FE073" w:rsidR="00B34D86" w:rsidRPr="00B511E1" w:rsidRDefault="00B511E1" w:rsidP="00B511E1">
    <w:pPr>
      <w:tabs>
        <w:tab w:val="center" w:pos="4819"/>
        <w:tab w:val="right" w:pos="9638"/>
      </w:tabs>
      <w:jc w:val="right"/>
      <w:rPr>
        <w:b/>
        <w:bCs/>
        <w:i/>
        <w:iCs/>
      </w:rPr>
    </w:pPr>
    <w:r w:rsidRPr="00B511E1">
      <w:rPr>
        <w:b/>
        <w:bCs/>
        <w:i/>
        <w:i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65DC0"/>
    <w:multiLevelType w:val="hybridMultilevel"/>
    <w:tmpl w:val="3378C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4760FB"/>
    <w:multiLevelType w:val="hybridMultilevel"/>
    <w:tmpl w:val="0052AEA2"/>
    <w:lvl w:ilvl="0" w:tplc="99E219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1010B"/>
    <w:rsid w:val="00043FBF"/>
    <w:rsid w:val="000606B6"/>
    <w:rsid w:val="00086127"/>
    <w:rsid w:val="00105D31"/>
    <w:rsid w:val="00133AB4"/>
    <w:rsid w:val="00160954"/>
    <w:rsid w:val="00162558"/>
    <w:rsid w:val="001759F5"/>
    <w:rsid w:val="00191543"/>
    <w:rsid w:val="001A4E0E"/>
    <w:rsid w:val="001C7729"/>
    <w:rsid w:val="001D0AE8"/>
    <w:rsid w:val="00250842"/>
    <w:rsid w:val="00251B0F"/>
    <w:rsid w:val="00290778"/>
    <w:rsid w:val="002A1430"/>
    <w:rsid w:val="002C2166"/>
    <w:rsid w:val="002F12CA"/>
    <w:rsid w:val="003026BB"/>
    <w:rsid w:val="00306FBE"/>
    <w:rsid w:val="00314CE2"/>
    <w:rsid w:val="00314EE3"/>
    <w:rsid w:val="003244BD"/>
    <w:rsid w:val="00325CB1"/>
    <w:rsid w:val="00343945"/>
    <w:rsid w:val="003713F0"/>
    <w:rsid w:val="003C317F"/>
    <w:rsid w:val="003C6615"/>
    <w:rsid w:val="003D57F0"/>
    <w:rsid w:val="00405AED"/>
    <w:rsid w:val="004107B4"/>
    <w:rsid w:val="004148F9"/>
    <w:rsid w:val="004270A0"/>
    <w:rsid w:val="004B784B"/>
    <w:rsid w:val="004C0EFE"/>
    <w:rsid w:val="004D1764"/>
    <w:rsid w:val="004D743A"/>
    <w:rsid w:val="004E5214"/>
    <w:rsid w:val="004F5880"/>
    <w:rsid w:val="004F6E50"/>
    <w:rsid w:val="005134A6"/>
    <w:rsid w:val="00540236"/>
    <w:rsid w:val="00542056"/>
    <w:rsid w:val="00546293"/>
    <w:rsid w:val="005635C8"/>
    <w:rsid w:val="00580BD1"/>
    <w:rsid w:val="005F7AC3"/>
    <w:rsid w:val="006132F7"/>
    <w:rsid w:val="00627B66"/>
    <w:rsid w:val="00653477"/>
    <w:rsid w:val="00661234"/>
    <w:rsid w:val="00685C3F"/>
    <w:rsid w:val="006E3131"/>
    <w:rsid w:val="006F7E61"/>
    <w:rsid w:val="007017C0"/>
    <w:rsid w:val="00711620"/>
    <w:rsid w:val="007173CC"/>
    <w:rsid w:val="00724928"/>
    <w:rsid w:val="0072670B"/>
    <w:rsid w:val="007332AC"/>
    <w:rsid w:val="00764AE3"/>
    <w:rsid w:val="00783E0D"/>
    <w:rsid w:val="00792694"/>
    <w:rsid w:val="007A0EE3"/>
    <w:rsid w:val="007C1B07"/>
    <w:rsid w:val="007C2928"/>
    <w:rsid w:val="007C4F62"/>
    <w:rsid w:val="007D52E0"/>
    <w:rsid w:val="0080040C"/>
    <w:rsid w:val="00802704"/>
    <w:rsid w:val="00815E3F"/>
    <w:rsid w:val="00877D5B"/>
    <w:rsid w:val="00884429"/>
    <w:rsid w:val="008A7B3E"/>
    <w:rsid w:val="008E4A99"/>
    <w:rsid w:val="008F7A54"/>
    <w:rsid w:val="0093461A"/>
    <w:rsid w:val="00955829"/>
    <w:rsid w:val="00981D44"/>
    <w:rsid w:val="009A2DA6"/>
    <w:rsid w:val="009C3E5F"/>
    <w:rsid w:val="00A03E03"/>
    <w:rsid w:val="00A04AB2"/>
    <w:rsid w:val="00A40027"/>
    <w:rsid w:val="00A52C8B"/>
    <w:rsid w:val="00A676B3"/>
    <w:rsid w:val="00A67C6A"/>
    <w:rsid w:val="00A90188"/>
    <w:rsid w:val="00AA531D"/>
    <w:rsid w:val="00AB075B"/>
    <w:rsid w:val="00AE695B"/>
    <w:rsid w:val="00AF6E8A"/>
    <w:rsid w:val="00B10329"/>
    <w:rsid w:val="00B34D86"/>
    <w:rsid w:val="00B4059A"/>
    <w:rsid w:val="00B50D4D"/>
    <w:rsid w:val="00B511E1"/>
    <w:rsid w:val="00B56CA2"/>
    <w:rsid w:val="00B62157"/>
    <w:rsid w:val="00BB7B9F"/>
    <w:rsid w:val="00BE4FCE"/>
    <w:rsid w:val="00BE52B1"/>
    <w:rsid w:val="00C0455A"/>
    <w:rsid w:val="00C12FF2"/>
    <w:rsid w:val="00C25C26"/>
    <w:rsid w:val="00C36E31"/>
    <w:rsid w:val="00C60305"/>
    <w:rsid w:val="00C61DE1"/>
    <w:rsid w:val="00C75195"/>
    <w:rsid w:val="00CB7151"/>
    <w:rsid w:val="00CC6DAB"/>
    <w:rsid w:val="00CD4FE1"/>
    <w:rsid w:val="00CE6C0C"/>
    <w:rsid w:val="00D14340"/>
    <w:rsid w:val="00D23511"/>
    <w:rsid w:val="00D42BDE"/>
    <w:rsid w:val="00D468A5"/>
    <w:rsid w:val="00D53233"/>
    <w:rsid w:val="00D64AFF"/>
    <w:rsid w:val="00D6661C"/>
    <w:rsid w:val="00D669E9"/>
    <w:rsid w:val="00D75270"/>
    <w:rsid w:val="00D806D0"/>
    <w:rsid w:val="00D87420"/>
    <w:rsid w:val="00D910BA"/>
    <w:rsid w:val="00D91D42"/>
    <w:rsid w:val="00D929FA"/>
    <w:rsid w:val="00DA4B58"/>
    <w:rsid w:val="00DB0319"/>
    <w:rsid w:val="00DE564B"/>
    <w:rsid w:val="00DF11B6"/>
    <w:rsid w:val="00E02547"/>
    <w:rsid w:val="00E07044"/>
    <w:rsid w:val="00E11FDC"/>
    <w:rsid w:val="00E20602"/>
    <w:rsid w:val="00E41805"/>
    <w:rsid w:val="00E450AB"/>
    <w:rsid w:val="00EB6034"/>
    <w:rsid w:val="00EC53CC"/>
    <w:rsid w:val="00ED5425"/>
    <w:rsid w:val="00EE2E6B"/>
    <w:rsid w:val="00EF059C"/>
    <w:rsid w:val="00EF2A92"/>
    <w:rsid w:val="00EF2E34"/>
    <w:rsid w:val="00F42095"/>
    <w:rsid w:val="00F45C91"/>
    <w:rsid w:val="00F66FA7"/>
    <w:rsid w:val="00F864E0"/>
    <w:rsid w:val="00F9185F"/>
    <w:rsid w:val="00FB44C9"/>
    <w:rsid w:val="00FD109E"/>
    <w:rsid w:val="00FE74F0"/>
    <w:rsid w:val="00FE7B1A"/>
    <w:rsid w:val="00FF1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DB15C"/>
  <w15:docId w15:val="{D7BA32A3-780C-4B52-AA6E-222F7F3D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53477"/>
    <w:rPr>
      <w:rFonts w:ascii="Tahoma" w:hAnsi="Tahoma" w:cs="Tahoma"/>
      <w:sz w:val="16"/>
      <w:szCs w:val="16"/>
    </w:rPr>
  </w:style>
  <w:style w:type="character" w:customStyle="1" w:styleId="BalloonTextChar">
    <w:name w:val="Balloon Text Char"/>
    <w:basedOn w:val="DefaultParagraphFont"/>
    <w:link w:val="BalloonText"/>
    <w:rsid w:val="00653477"/>
    <w:rPr>
      <w:rFonts w:ascii="Tahoma" w:hAnsi="Tahoma" w:cs="Tahoma"/>
      <w:sz w:val="16"/>
      <w:szCs w:val="16"/>
    </w:rPr>
  </w:style>
  <w:style w:type="paragraph" w:styleId="Footer">
    <w:name w:val="footer"/>
    <w:basedOn w:val="Normal"/>
    <w:link w:val="FooterChar"/>
    <w:uiPriority w:val="99"/>
    <w:unhideWhenUsed/>
    <w:rsid w:val="00D64AFF"/>
    <w:pPr>
      <w:tabs>
        <w:tab w:val="center" w:pos="4680"/>
        <w:tab w:val="right" w:pos="9360"/>
      </w:tabs>
    </w:pPr>
    <w:rPr>
      <w:rFonts w:asciiTheme="minorHAnsi" w:eastAsiaTheme="minorHAnsi" w:hAnsiTheme="minorHAnsi" w:cstheme="minorBidi"/>
      <w:sz w:val="21"/>
      <w:szCs w:val="21"/>
      <w:lang w:eastAsia="lt-LT"/>
    </w:rPr>
  </w:style>
  <w:style w:type="character" w:customStyle="1" w:styleId="FooterChar">
    <w:name w:val="Footer Char"/>
    <w:basedOn w:val="DefaultParagraphFont"/>
    <w:link w:val="Footer"/>
    <w:uiPriority w:val="99"/>
    <w:rsid w:val="00D64AFF"/>
    <w:rPr>
      <w:rFonts w:asciiTheme="minorHAnsi" w:eastAsiaTheme="minorHAnsi" w:hAnsiTheme="minorHAnsi" w:cstheme="minorBidi"/>
      <w:sz w:val="21"/>
      <w:szCs w:val="21"/>
      <w:lang w:eastAsia="lt-LT"/>
    </w:rPr>
  </w:style>
  <w:style w:type="paragraph" w:styleId="ListParagraph">
    <w:name w:val="List Paragraph"/>
    <w:basedOn w:val="Normal"/>
    <w:uiPriority w:val="34"/>
    <w:qFormat/>
    <w:rsid w:val="00E41805"/>
    <w:pPr>
      <w:ind w:left="720"/>
      <w:contextualSpacing/>
    </w:pPr>
  </w:style>
  <w:style w:type="character" w:styleId="CommentReference">
    <w:name w:val="annotation reference"/>
    <w:basedOn w:val="DefaultParagraphFont"/>
    <w:semiHidden/>
    <w:unhideWhenUsed/>
    <w:rsid w:val="006F7E61"/>
    <w:rPr>
      <w:sz w:val="16"/>
      <w:szCs w:val="16"/>
    </w:rPr>
  </w:style>
  <w:style w:type="paragraph" w:styleId="CommentText">
    <w:name w:val="annotation text"/>
    <w:basedOn w:val="Normal"/>
    <w:link w:val="CommentTextChar"/>
    <w:semiHidden/>
    <w:unhideWhenUsed/>
    <w:rsid w:val="006F7E61"/>
    <w:rPr>
      <w:sz w:val="20"/>
    </w:rPr>
  </w:style>
  <w:style w:type="character" w:customStyle="1" w:styleId="CommentTextChar">
    <w:name w:val="Comment Text Char"/>
    <w:basedOn w:val="DefaultParagraphFont"/>
    <w:link w:val="CommentText"/>
    <w:semiHidden/>
    <w:rsid w:val="006F7E61"/>
    <w:rPr>
      <w:sz w:val="20"/>
    </w:rPr>
  </w:style>
  <w:style w:type="character" w:styleId="Hyperlink">
    <w:name w:val="Hyperlink"/>
    <w:basedOn w:val="DefaultParagraphFont"/>
    <w:unhideWhenUsed/>
    <w:rsid w:val="002A1430"/>
    <w:rPr>
      <w:color w:val="0000FF" w:themeColor="hyperlink"/>
      <w:u w:val="single"/>
    </w:rPr>
  </w:style>
  <w:style w:type="character" w:styleId="UnresolvedMention">
    <w:name w:val="Unresolved Mention"/>
    <w:basedOn w:val="DefaultParagraphFont"/>
    <w:uiPriority w:val="99"/>
    <w:semiHidden/>
    <w:unhideWhenUsed/>
    <w:rsid w:val="002A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8719</Words>
  <Characters>4970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13662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Asta Suveizdiene</cp:lastModifiedBy>
  <cp:revision>11</cp:revision>
  <cp:lastPrinted>2019-06-18T10:54:00Z</cp:lastPrinted>
  <dcterms:created xsi:type="dcterms:W3CDTF">2019-07-01T15:17:00Z</dcterms:created>
  <dcterms:modified xsi:type="dcterms:W3CDTF">2019-07-02T11:26:00Z</dcterms:modified>
</cp:coreProperties>
</file>