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39"/>
        <w:gridCol w:w="6667"/>
        <w:gridCol w:w="1842"/>
        <w:gridCol w:w="3256"/>
      </w:tblGrid>
      <w:tr w:rsidR="006F26C5" w:rsidRPr="00FC2A3D" w:rsidTr="003A08DA">
        <w:trPr>
          <w:cantSplit/>
        </w:trPr>
        <w:tc>
          <w:tcPr>
            <w:tcW w:w="675" w:type="dxa"/>
            <w:tcBorders>
              <w:top w:val="nil"/>
              <w:left w:val="nil"/>
              <w:bottom w:val="nil"/>
              <w:right w:val="nil"/>
            </w:tcBorders>
            <w:shd w:val="clear" w:color="auto" w:fill="auto"/>
          </w:tcPr>
          <w:p w:rsidR="006F26C5" w:rsidRPr="00FC2A3D" w:rsidRDefault="006F26C5" w:rsidP="00FC2A3D">
            <w:pPr>
              <w:widowControl w:val="0"/>
              <w:tabs>
                <w:tab w:val="left" w:pos="187"/>
                <w:tab w:val="left" w:pos="7560"/>
              </w:tabs>
              <w:spacing w:after="0" w:line="240" w:lineRule="auto"/>
              <w:rPr>
                <w:rFonts w:ascii="Times New Roman" w:hAnsi="Times New Roman" w:cs="Times New Roman"/>
                <w:b/>
                <w:sz w:val="20"/>
                <w:szCs w:val="20"/>
              </w:rPr>
            </w:pPr>
          </w:p>
        </w:tc>
        <w:tc>
          <w:tcPr>
            <w:tcW w:w="2439" w:type="dxa"/>
            <w:tcBorders>
              <w:top w:val="nil"/>
              <w:left w:val="nil"/>
              <w:bottom w:val="nil"/>
              <w:right w:val="nil"/>
            </w:tcBorders>
          </w:tcPr>
          <w:p w:rsidR="006F26C5" w:rsidRPr="00FC2A3D" w:rsidRDefault="006F26C5" w:rsidP="00FC2A3D">
            <w:pPr>
              <w:widowControl w:val="0"/>
              <w:tabs>
                <w:tab w:val="left" w:pos="7560"/>
              </w:tabs>
              <w:spacing w:after="0" w:line="240" w:lineRule="auto"/>
              <w:ind w:firstLine="11"/>
              <w:rPr>
                <w:rFonts w:ascii="Times New Roman" w:hAnsi="Times New Roman" w:cs="Times New Roman"/>
                <w:b/>
                <w:sz w:val="20"/>
                <w:szCs w:val="20"/>
              </w:rPr>
            </w:pPr>
          </w:p>
        </w:tc>
        <w:tc>
          <w:tcPr>
            <w:tcW w:w="6667" w:type="dxa"/>
            <w:tcBorders>
              <w:top w:val="nil"/>
              <w:left w:val="nil"/>
              <w:bottom w:val="nil"/>
              <w:right w:val="nil"/>
            </w:tcBorders>
            <w:shd w:val="clear" w:color="auto" w:fill="auto"/>
          </w:tcPr>
          <w:p w:rsidR="006F26C5" w:rsidRPr="00FC2A3D" w:rsidRDefault="006F26C5" w:rsidP="00FC2A3D">
            <w:pPr>
              <w:widowControl w:val="0"/>
              <w:tabs>
                <w:tab w:val="left" w:pos="7560"/>
              </w:tabs>
              <w:spacing w:after="0" w:line="240" w:lineRule="auto"/>
              <w:jc w:val="center"/>
              <w:rPr>
                <w:rFonts w:ascii="Times New Roman" w:hAnsi="Times New Roman" w:cs="Times New Roman"/>
                <w:b/>
                <w:sz w:val="20"/>
                <w:szCs w:val="20"/>
              </w:rPr>
            </w:pPr>
            <w:r w:rsidRPr="00FC2A3D">
              <w:rPr>
                <w:rFonts w:ascii="Times New Roman" w:hAnsi="Times New Roman" w:cs="Times New Roman"/>
                <w:b/>
                <w:sz w:val="20"/>
                <w:szCs w:val="20"/>
              </w:rPr>
              <w:t>PASTABŲ DERINIMO LENTELĖ DĖL PRIEMONĖS „</w:t>
            </w:r>
            <w:r w:rsidR="001C0289" w:rsidRPr="00FC2A3D">
              <w:rPr>
                <w:rFonts w:ascii="Times New Roman" w:hAnsi="Times New Roman" w:cs="Times New Roman"/>
                <w:b/>
                <w:sz w:val="20"/>
                <w:szCs w:val="20"/>
              </w:rPr>
              <w:t>Skaitmeninių inovacijų centrai</w:t>
            </w:r>
            <w:r w:rsidRPr="00FC2A3D">
              <w:rPr>
                <w:rFonts w:ascii="Times New Roman" w:hAnsi="Times New Roman" w:cs="Times New Roman"/>
                <w:b/>
                <w:sz w:val="20"/>
                <w:szCs w:val="20"/>
              </w:rPr>
              <w:t xml:space="preserve">“ </w:t>
            </w:r>
            <w:r w:rsidR="003A511D" w:rsidRPr="00FC2A3D">
              <w:rPr>
                <w:rFonts w:ascii="Times New Roman" w:hAnsi="Times New Roman" w:cs="Times New Roman"/>
                <w:b/>
                <w:sz w:val="20"/>
                <w:szCs w:val="20"/>
              </w:rPr>
              <w:t>projektų atrankos</w:t>
            </w:r>
            <w:r w:rsidR="001C0289" w:rsidRPr="00FC2A3D">
              <w:rPr>
                <w:rFonts w:ascii="Times New Roman" w:hAnsi="Times New Roman" w:cs="Times New Roman"/>
                <w:b/>
                <w:sz w:val="20"/>
                <w:szCs w:val="20"/>
              </w:rPr>
              <w:t xml:space="preserve"> kriterijų</w:t>
            </w:r>
          </w:p>
          <w:p w:rsidR="00617C56" w:rsidRPr="00FC2A3D" w:rsidRDefault="0027606E" w:rsidP="00FC2A3D">
            <w:pPr>
              <w:widowControl w:val="0"/>
              <w:tabs>
                <w:tab w:val="left" w:pos="7560"/>
              </w:tabs>
              <w:spacing w:after="0" w:line="240" w:lineRule="auto"/>
              <w:jc w:val="center"/>
              <w:rPr>
                <w:rFonts w:ascii="Times New Roman" w:hAnsi="Times New Roman" w:cs="Times New Roman"/>
                <w:b/>
                <w:sz w:val="20"/>
                <w:szCs w:val="20"/>
              </w:rPr>
            </w:pPr>
            <w:r w:rsidRPr="00FC2A3D">
              <w:rPr>
                <w:rFonts w:ascii="Times New Roman" w:hAnsi="Times New Roman" w:cs="Times New Roman"/>
                <w:b/>
                <w:sz w:val="20"/>
                <w:szCs w:val="20"/>
              </w:rPr>
              <w:t>201</w:t>
            </w:r>
            <w:r w:rsidR="003A511D" w:rsidRPr="00FC2A3D">
              <w:rPr>
                <w:rFonts w:ascii="Times New Roman" w:hAnsi="Times New Roman" w:cs="Times New Roman"/>
                <w:b/>
                <w:sz w:val="20"/>
                <w:szCs w:val="20"/>
              </w:rPr>
              <w:t>9</w:t>
            </w:r>
            <w:r w:rsidRPr="00FC2A3D">
              <w:rPr>
                <w:rFonts w:ascii="Times New Roman" w:hAnsi="Times New Roman" w:cs="Times New Roman"/>
                <w:b/>
                <w:sz w:val="20"/>
                <w:szCs w:val="20"/>
              </w:rPr>
              <w:t>-0</w:t>
            </w:r>
            <w:r w:rsidR="003A511D" w:rsidRPr="00FC2A3D">
              <w:rPr>
                <w:rFonts w:ascii="Times New Roman" w:hAnsi="Times New Roman" w:cs="Times New Roman"/>
                <w:b/>
                <w:sz w:val="20"/>
                <w:szCs w:val="20"/>
              </w:rPr>
              <w:t>5</w:t>
            </w:r>
            <w:r w:rsidRPr="00FC2A3D">
              <w:rPr>
                <w:rFonts w:ascii="Times New Roman" w:hAnsi="Times New Roman" w:cs="Times New Roman"/>
                <w:b/>
                <w:sz w:val="20"/>
                <w:szCs w:val="20"/>
              </w:rPr>
              <w:t>-2</w:t>
            </w:r>
            <w:r w:rsidR="003A511D" w:rsidRPr="00FC2A3D">
              <w:rPr>
                <w:rFonts w:ascii="Times New Roman" w:hAnsi="Times New Roman" w:cs="Times New Roman"/>
                <w:b/>
                <w:sz w:val="20"/>
                <w:szCs w:val="20"/>
              </w:rPr>
              <w:t>0</w:t>
            </w:r>
          </w:p>
        </w:tc>
        <w:tc>
          <w:tcPr>
            <w:tcW w:w="1842" w:type="dxa"/>
            <w:tcBorders>
              <w:top w:val="nil"/>
              <w:left w:val="nil"/>
              <w:bottom w:val="nil"/>
              <w:right w:val="nil"/>
            </w:tcBorders>
          </w:tcPr>
          <w:p w:rsidR="006F26C5" w:rsidRPr="00FC2A3D" w:rsidRDefault="006F26C5" w:rsidP="00FC2A3D">
            <w:pPr>
              <w:widowControl w:val="0"/>
              <w:tabs>
                <w:tab w:val="left" w:pos="7560"/>
              </w:tabs>
              <w:spacing w:after="0" w:line="240" w:lineRule="auto"/>
              <w:rPr>
                <w:rFonts w:ascii="Times New Roman" w:hAnsi="Times New Roman" w:cs="Times New Roman"/>
                <w:b/>
                <w:sz w:val="20"/>
                <w:szCs w:val="20"/>
              </w:rPr>
            </w:pPr>
          </w:p>
        </w:tc>
        <w:tc>
          <w:tcPr>
            <w:tcW w:w="3256" w:type="dxa"/>
            <w:tcBorders>
              <w:top w:val="nil"/>
              <w:left w:val="nil"/>
              <w:bottom w:val="nil"/>
              <w:right w:val="nil"/>
            </w:tcBorders>
          </w:tcPr>
          <w:p w:rsidR="006F26C5" w:rsidRPr="00FC2A3D" w:rsidRDefault="006F26C5" w:rsidP="00FC2A3D">
            <w:pPr>
              <w:widowControl w:val="0"/>
              <w:tabs>
                <w:tab w:val="left" w:pos="7560"/>
              </w:tabs>
              <w:spacing w:after="0" w:line="240" w:lineRule="auto"/>
              <w:rPr>
                <w:rFonts w:ascii="Times New Roman" w:hAnsi="Times New Roman" w:cs="Times New Roman"/>
                <w:b/>
                <w:sz w:val="20"/>
                <w:szCs w:val="20"/>
              </w:rPr>
            </w:pPr>
          </w:p>
        </w:tc>
      </w:tr>
      <w:tr w:rsidR="00F76567" w:rsidRPr="00FC2A3D" w:rsidTr="003A08DA">
        <w:trPr>
          <w:tblHeader/>
        </w:trPr>
        <w:tc>
          <w:tcPr>
            <w:tcW w:w="675" w:type="dxa"/>
            <w:tcBorders>
              <w:top w:val="nil"/>
              <w:left w:val="nil"/>
              <w:bottom w:val="single" w:sz="4" w:space="0" w:color="auto"/>
              <w:right w:val="nil"/>
            </w:tcBorders>
            <w:shd w:val="clear" w:color="auto" w:fill="auto"/>
          </w:tcPr>
          <w:p w:rsidR="00F76567" w:rsidRPr="00FC2A3D" w:rsidRDefault="00F76567" w:rsidP="00FC2A3D">
            <w:pPr>
              <w:widowControl w:val="0"/>
              <w:tabs>
                <w:tab w:val="left" w:pos="187"/>
                <w:tab w:val="left" w:pos="7560"/>
              </w:tabs>
              <w:spacing w:after="0" w:line="240" w:lineRule="auto"/>
              <w:rPr>
                <w:rFonts w:ascii="Times New Roman" w:hAnsi="Times New Roman" w:cs="Times New Roman"/>
                <w:b/>
                <w:sz w:val="20"/>
                <w:szCs w:val="20"/>
              </w:rPr>
            </w:pPr>
          </w:p>
        </w:tc>
        <w:tc>
          <w:tcPr>
            <w:tcW w:w="2439" w:type="dxa"/>
            <w:tcBorders>
              <w:top w:val="nil"/>
              <w:left w:val="nil"/>
              <w:bottom w:val="single" w:sz="4" w:space="0" w:color="auto"/>
              <w:right w:val="nil"/>
            </w:tcBorders>
          </w:tcPr>
          <w:p w:rsidR="00F76567" w:rsidRPr="00FC2A3D" w:rsidRDefault="00F76567" w:rsidP="00FC2A3D">
            <w:pPr>
              <w:widowControl w:val="0"/>
              <w:tabs>
                <w:tab w:val="left" w:pos="7560"/>
              </w:tabs>
              <w:spacing w:after="0" w:line="240" w:lineRule="auto"/>
              <w:ind w:firstLine="11"/>
              <w:rPr>
                <w:rFonts w:ascii="Times New Roman" w:hAnsi="Times New Roman" w:cs="Times New Roman"/>
                <w:b/>
                <w:sz w:val="20"/>
                <w:szCs w:val="20"/>
              </w:rPr>
            </w:pPr>
          </w:p>
        </w:tc>
        <w:tc>
          <w:tcPr>
            <w:tcW w:w="6667" w:type="dxa"/>
            <w:tcBorders>
              <w:top w:val="nil"/>
              <w:left w:val="nil"/>
              <w:bottom w:val="single" w:sz="4" w:space="0" w:color="auto"/>
              <w:right w:val="nil"/>
            </w:tcBorders>
            <w:shd w:val="clear" w:color="auto" w:fill="auto"/>
          </w:tcPr>
          <w:p w:rsidR="00F76567" w:rsidRPr="00FC2A3D" w:rsidRDefault="00F76567" w:rsidP="00FC2A3D">
            <w:pPr>
              <w:widowControl w:val="0"/>
              <w:tabs>
                <w:tab w:val="left" w:pos="7560"/>
              </w:tabs>
              <w:spacing w:after="0" w:line="240" w:lineRule="auto"/>
              <w:rPr>
                <w:rFonts w:ascii="Times New Roman" w:hAnsi="Times New Roman" w:cs="Times New Roman"/>
                <w:b/>
                <w:sz w:val="20"/>
                <w:szCs w:val="20"/>
              </w:rPr>
            </w:pPr>
          </w:p>
        </w:tc>
        <w:tc>
          <w:tcPr>
            <w:tcW w:w="1842" w:type="dxa"/>
            <w:tcBorders>
              <w:top w:val="nil"/>
              <w:left w:val="nil"/>
              <w:bottom w:val="single" w:sz="4" w:space="0" w:color="auto"/>
              <w:right w:val="nil"/>
            </w:tcBorders>
          </w:tcPr>
          <w:p w:rsidR="00F76567" w:rsidRPr="00FC2A3D" w:rsidRDefault="00F76567" w:rsidP="00FC2A3D">
            <w:pPr>
              <w:widowControl w:val="0"/>
              <w:tabs>
                <w:tab w:val="left" w:pos="7560"/>
              </w:tabs>
              <w:spacing w:after="0" w:line="240" w:lineRule="auto"/>
              <w:rPr>
                <w:rFonts w:ascii="Times New Roman" w:hAnsi="Times New Roman" w:cs="Times New Roman"/>
                <w:b/>
                <w:sz w:val="20"/>
                <w:szCs w:val="20"/>
              </w:rPr>
            </w:pPr>
          </w:p>
        </w:tc>
        <w:tc>
          <w:tcPr>
            <w:tcW w:w="3256" w:type="dxa"/>
            <w:tcBorders>
              <w:top w:val="nil"/>
              <w:left w:val="nil"/>
              <w:bottom w:val="single" w:sz="4" w:space="0" w:color="auto"/>
              <w:right w:val="nil"/>
            </w:tcBorders>
          </w:tcPr>
          <w:p w:rsidR="00F76567" w:rsidRPr="00FC2A3D" w:rsidRDefault="00F76567" w:rsidP="00FC2A3D">
            <w:pPr>
              <w:widowControl w:val="0"/>
              <w:tabs>
                <w:tab w:val="left" w:pos="7560"/>
              </w:tabs>
              <w:spacing w:after="0" w:line="240" w:lineRule="auto"/>
              <w:rPr>
                <w:rFonts w:ascii="Times New Roman" w:hAnsi="Times New Roman" w:cs="Times New Roman"/>
                <w:b/>
                <w:sz w:val="20"/>
                <w:szCs w:val="20"/>
              </w:rPr>
            </w:pPr>
          </w:p>
        </w:tc>
      </w:tr>
      <w:tr w:rsidR="00F47FC1" w:rsidRPr="00FC2A3D" w:rsidTr="003A08DA">
        <w:trPr>
          <w:tblHead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F47FC1" w:rsidRPr="00FC2A3D" w:rsidRDefault="00F47FC1" w:rsidP="00FC2A3D">
            <w:pPr>
              <w:widowControl w:val="0"/>
              <w:tabs>
                <w:tab w:val="left" w:pos="187"/>
                <w:tab w:val="left" w:pos="7560"/>
              </w:tabs>
              <w:spacing w:after="0" w:line="240" w:lineRule="auto"/>
              <w:jc w:val="both"/>
              <w:rPr>
                <w:rFonts w:ascii="Times New Roman" w:hAnsi="Times New Roman" w:cs="Times New Roman"/>
                <w:b/>
                <w:sz w:val="20"/>
                <w:szCs w:val="20"/>
              </w:rPr>
            </w:pPr>
            <w:r w:rsidRPr="00FC2A3D">
              <w:rPr>
                <w:rFonts w:ascii="Times New Roman" w:hAnsi="Times New Roman" w:cs="Times New Roman"/>
                <w:b/>
                <w:sz w:val="20"/>
                <w:szCs w:val="20"/>
              </w:rPr>
              <w:t>Eil. Nr.</w:t>
            </w:r>
          </w:p>
        </w:tc>
        <w:tc>
          <w:tcPr>
            <w:tcW w:w="2439" w:type="dxa"/>
            <w:tcBorders>
              <w:top w:val="single" w:sz="4" w:space="0" w:color="auto"/>
              <w:left w:val="single" w:sz="4" w:space="0" w:color="auto"/>
              <w:bottom w:val="single" w:sz="4" w:space="0" w:color="auto"/>
              <w:right w:val="single" w:sz="4" w:space="0" w:color="auto"/>
            </w:tcBorders>
          </w:tcPr>
          <w:p w:rsidR="00F47FC1" w:rsidRPr="00FC2A3D" w:rsidRDefault="00F47FC1" w:rsidP="00FC2A3D">
            <w:pPr>
              <w:widowControl w:val="0"/>
              <w:tabs>
                <w:tab w:val="left" w:pos="7560"/>
              </w:tabs>
              <w:spacing w:after="0" w:line="240" w:lineRule="auto"/>
              <w:ind w:firstLine="11"/>
              <w:jc w:val="both"/>
              <w:rPr>
                <w:rFonts w:ascii="Times New Roman" w:hAnsi="Times New Roman" w:cs="Times New Roman"/>
                <w:b/>
                <w:sz w:val="20"/>
                <w:szCs w:val="20"/>
              </w:rPr>
            </w:pPr>
            <w:r w:rsidRPr="00FC2A3D">
              <w:rPr>
                <w:rFonts w:ascii="Times New Roman" w:hAnsi="Times New Roman" w:cs="Times New Roman"/>
                <w:b/>
                <w:sz w:val="20"/>
                <w:szCs w:val="20"/>
              </w:rPr>
              <w:t>Juridinis arba fizinis asmuo</w:t>
            </w:r>
          </w:p>
        </w:tc>
        <w:tc>
          <w:tcPr>
            <w:tcW w:w="6667" w:type="dxa"/>
            <w:tcBorders>
              <w:top w:val="single" w:sz="4" w:space="0" w:color="auto"/>
              <w:left w:val="single" w:sz="4" w:space="0" w:color="auto"/>
              <w:bottom w:val="single" w:sz="4" w:space="0" w:color="auto"/>
              <w:right w:val="single" w:sz="4" w:space="0" w:color="auto"/>
            </w:tcBorders>
            <w:shd w:val="clear" w:color="auto" w:fill="auto"/>
            <w:hideMark/>
          </w:tcPr>
          <w:p w:rsidR="00F47FC1" w:rsidRPr="00FC2A3D" w:rsidRDefault="00F47FC1" w:rsidP="00FC2A3D">
            <w:pPr>
              <w:widowControl w:val="0"/>
              <w:tabs>
                <w:tab w:val="left" w:pos="7560"/>
              </w:tabs>
              <w:spacing w:after="0" w:line="240" w:lineRule="auto"/>
              <w:jc w:val="both"/>
              <w:rPr>
                <w:rFonts w:ascii="Times New Roman" w:hAnsi="Times New Roman" w:cs="Times New Roman"/>
                <w:b/>
                <w:sz w:val="20"/>
                <w:szCs w:val="20"/>
              </w:rPr>
            </w:pPr>
            <w:r w:rsidRPr="00FC2A3D">
              <w:rPr>
                <w:rFonts w:ascii="Times New Roman" w:hAnsi="Times New Roman" w:cs="Times New Roman"/>
                <w:b/>
                <w:sz w:val="20"/>
                <w:szCs w:val="20"/>
              </w:rPr>
              <w:t>Pastabos ir (ar) pasiūlymai</w:t>
            </w:r>
          </w:p>
        </w:tc>
        <w:tc>
          <w:tcPr>
            <w:tcW w:w="1842" w:type="dxa"/>
            <w:tcBorders>
              <w:top w:val="single" w:sz="4" w:space="0" w:color="auto"/>
              <w:left w:val="single" w:sz="4" w:space="0" w:color="auto"/>
              <w:bottom w:val="single" w:sz="4" w:space="0" w:color="auto"/>
              <w:right w:val="single" w:sz="4" w:space="0" w:color="auto"/>
            </w:tcBorders>
          </w:tcPr>
          <w:p w:rsidR="00F47FC1" w:rsidRPr="00FC2A3D" w:rsidRDefault="00EE5914" w:rsidP="00FC2A3D">
            <w:pPr>
              <w:widowControl w:val="0"/>
              <w:tabs>
                <w:tab w:val="left" w:pos="7560"/>
              </w:tabs>
              <w:spacing w:after="0" w:line="240" w:lineRule="auto"/>
              <w:jc w:val="both"/>
              <w:rPr>
                <w:rFonts w:ascii="Times New Roman" w:hAnsi="Times New Roman" w:cs="Times New Roman"/>
                <w:b/>
                <w:sz w:val="20"/>
                <w:szCs w:val="20"/>
              </w:rPr>
            </w:pPr>
            <w:r w:rsidRPr="00FC2A3D">
              <w:rPr>
                <w:rFonts w:ascii="Times New Roman" w:hAnsi="Times New Roman" w:cs="Times New Roman"/>
                <w:b/>
                <w:sz w:val="20"/>
                <w:szCs w:val="20"/>
              </w:rPr>
              <w:t>EIMIN</w:t>
            </w:r>
            <w:r w:rsidR="00F47FC1" w:rsidRPr="00FC2A3D">
              <w:rPr>
                <w:rFonts w:ascii="Times New Roman" w:hAnsi="Times New Roman" w:cs="Times New Roman"/>
                <w:b/>
                <w:sz w:val="20"/>
                <w:szCs w:val="20"/>
              </w:rPr>
              <w:t xml:space="preserve"> pozicija</w:t>
            </w:r>
          </w:p>
        </w:tc>
        <w:tc>
          <w:tcPr>
            <w:tcW w:w="3256" w:type="dxa"/>
            <w:tcBorders>
              <w:top w:val="single" w:sz="4" w:space="0" w:color="auto"/>
              <w:left w:val="single" w:sz="4" w:space="0" w:color="auto"/>
              <w:bottom w:val="single" w:sz="4" w:space="0" w:color="auto"/>
              <w:right w:val="single" w:sz="4" w:space="0" w:color="auto"/>
            </w:tcBorders>
          </w:tcPr>
          <w:p w:rsidR="00F47FC1" w:rsidRPr="00FC2A3D" w:rsidRDefault="00EE5914" w:rsidP="00FC2A3D">
            <w:pPr>
              <w:widowControl w:val="0"/>
              <w:tabs>
                <w:tab w:val="left" w:pos="7560"/>
              </w:tabs>
              <w:spacing w:after="0" w:line="240" w:lineRule="auto"/>
              <w:jc w:val="both"/>
              <w:rPr>
                <w:rFonts w:ascii="Times New Roman" w:hAnsi="Times New Roman" w:cs="Times New Roman"/>
                <w:b/>
                <w:sz w:val="20"/>
                <w:szCs w:val="20"/>
              </w:rPr>
            </w:pPr>
            <w:r w:rsidRPr="00FC2A3D">
              <w:rPr>
                <w:rFonts w:ascii="Times New Roman" w:hAnsi="Times New Roman" w:cs="Times New Roman"/>
                <w:b/>
                <w:sz w:val="20"/>
                <w:szCs w:val="20"/>
              </w:rPr>
              <w:t>EIMIN</w:t>
            </w:r>
            <w:r w:rsidR="00F47FC1" w:rsidRPr="00FC2A3D">
              <w:rPr>
                <w:rFonts w:ascii="Times New Roman" w:hAnsi="Times New Roman" w:cs="Times New Roman"/>
                <w:b/>
                <w:sz w:val="20"/>
                <w:szCs w:val="20"/>
              </w:rPr>
              <w:t xml:space="preserve"> argumentai</w:t>
            </w:r>
          </w:p>
        </w:tc>
      </w:tr>
      <w:tr w:rsidR="00EE5914" w:rsidRPr="00FC2A3D" w:rsidTr="00FC2A3D">
        <w:trPr>
          <w:trHeight w:val="416"/>
          <w:tblHeader/>
        </w:trPr>
        <w:tc>
          <w:tcPr>
            <w:tcW w:w="675" w:type="dxa"/>
            <w:vMerge w:val="restart"/>
            <w:tcBorders>
              <w:top w:val="single" w:sz="4" w:space="0" w:color="auto"/>
              <w:left w:val="single" w:sz="4" w:space="0" w:color="auto"/>
              <w:right w:val="single" w:sz="4" w:space="0" w:color="auto"/>
            </w:tcBorders>
            <w:shd w:val="clear" w:color="auto" w:fill="auto"/>
          </w:tcPr>
          <w:p w:rsidR="00EE5914" w:rsidRPr="00FC2A3D" w:rsidRDefault="00EE5914" w:rsidP="00FC2A3D">
            <w:pPr>
              <w:pStyle w:val="ListParagraph"/>
              <w:widowControl w:val="0"/>
              <w:numPr>
                <w:ilvl w:val="0"/>
                <w:numId w:val="7"/>
              </w:numPr>
              <w:tabs>
                <w:tab w:val="left" w:pos="187"/>
                <w:tab w:val="left" w:pos="7560"/>
              </w:tabs>
              <w:spacing w:after="0" w:line="240" w:lineRule="auto"/>
              <w:jc w:val="both"/>
              <w:rPr>
                <w:rFonts w:ascii="Times New Roman" w:hAnsi="Times New Roman" w:cs="Times New Roman"/>
                <w:b/>
                <w:sz w:val="20"/>
                <w:szCs w:val="20"/>
              </w:rPr>
            </w:pPr>
          </w:p>
        </w:tc>
        <w:tc>
          <w:tcPr>
            <w:tcW w:w="2439" w:type="dxa"/>
            <w:vMerge w:val="restart"/>
            <w:tcBorders>
              <w:top w:val="single" w:sz="4" w:space="0" w:color="auto"/>
              <w:left w:val="single" w:sz="4" w:space="0" w:color="auto"/>
              <w:right w:val="single" w:sz="4" w:space="0" w:color="auto"/>
            </w:tcBorders>
          </w:tcPr>
          <w:p w:rsidR="00EE5914" w:rsidRPr="00FC2A3D" w:rsidRDefault="00EE5914" w:rsidP="00FC2A3D">
            <w:pPr>
              <w:widowControl w:val="0"/>
              <w:tabs>
                <w:tab w:val="left" w:pos="7560"/>
              </w:tabs>
              <w:spacing w:after="0" w:line="240" w:lineRule="auto"/>
              <w:ind w:firstLine="11"/>
              <w:jc w:val="both"/>
              <w:rPr>
                <w:rFonts w:ascii="Times New Roman" w:hAnsi="Times New Roman" w:cs="Times New Roman"/>
                <w:sz w:val="20"/>
                <w:szCs w:val="20"/>
              </w:rPr>
            </w:pPr>
            <w:r w:rsidRPr="00FC2A3D">
              <w:rPr>
                <w:rFonts w:ascii="Times New Roman" w:hAnsi="Times New Roman" w:cs="Times New Roman"/>
                <w:sz w:val="20"/>
                <w:szCs w:val="20"/>
              </w:rPr>
              <w:t>Lietuvos pramoninkų konfederacija</w:t>
            </w: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EE5914" w:rsidRPr="00FC2A3D" w:rsidRDefault="00EE5914" w:rsidP="00FC2A3D">
            <w:pPr>
              <w:pStyle w:val="gmail-msolistparagraph"/>
              <w:spacing w:before="0" w:beforeAutospacing="0" w:after="0" w:afterAutospacing="0"/>
              <w:jc w:val="both"/>
              <w:rPr>
                <w:rFonts w:ascii="Calibri" w:hAnsi="Calibri"/>
                <w:sz w:val="20"/>
                <w:szCs w:val="20"/>
              </w:rPr>
            </w:pPr>
            <w:r w:rsidRPr="00FC2A3D">
              <w:rPr>
                <w:sz w:val="20"/>
                <w:szCs w:val="20"/>
              </w:rPr>
              <w:t>Trečiasis specialusis projektų atrankos kriterijus „</w:t>
            </w:r>
            <w:r w:rsidRPr="00FC2A3D">
              <w:rPr>
                <w:i/>
                <w:iCs/>
                <w:sz w:val="20"/>
                <w:szCs w:val="20"/>
                <w:lang w:val="en-US"/>
              </w:rPr>
              <w:t>3.</w:t>
            </w:r>
            <w:r w:rsidRPr="00FC2A3D">
              <w:rPr>
                <w:i/>
                <w:iCs/>
                <w:color w:val="000000"/>
                <w:sz w:val="20"/>
                <w:szCs w:val="20"/>
              </w:rPr>
              <w:t xml:space="preserve"> Pareiškėjas dalyvauja bent vienoje Europos Komisijos (toliau – EK) skaitmeninių inovacijų diegimo srityje (yra bent vieno EK kataloge registruoto skaitmeninio inovacijų centro, turinčio „pilnai veikiantis</w:t>
            </w:r>
            <w:r w:rsidRPr="00FC2A3D">
              <w:rPr>
                <w:color w:val="000000"/>
                <w:sz w:val="20"/>
                <w:szCs w:val="20"/>
              </w:rPr>
              <w:t xml:space="preserve">“ statusą, narys)“, pagal kurį bus vertinama, </w:t>
            </w:r>
            <w:r w:rsidRPr="00FC2A3D">
              <w:rPr>
                <w:sz w:val="20"/>
                <w:szCs w:val="20"/>
              </w:rPr>
              <w:t xml:space="preserve">ar pareiškėjas yra įtrauktų į Europos katalogą skaitmeninių inovacijų centrų, kurie įvardijami kaip „Fully operational” narys, </w:t>
            </w:r>
            <w:r w:rsidRPr="00FC2A3D">
              <w:rPr>
                <w:b/>
                <w:bCs/>
                <w:sz w:val="20"/>
                <w:szCs w:val="20"/>
              </w:rPr>
              <w:t>apriboja galimybes gauti paramą</w:t>
            </w:r>
            <w:r w:rsidRPr="00FC2A3D">
              <w:rPr>
                <w:sz w:val="20"/>
                <w:szCs w:val="20"/>
              </w:rPr>
              <w:t xml:space="preserve"> </w:t>
            </w:r>
            <w:r w:rsidRPr="00FC2A3D">
              <w:rPr>
                <w:b/>
                <w:bCs/>
                <w:sz w:val="20"/>
                <w:szCs w:val="20"/>
              </w:rPr>
              <w:t>naujai besikuriantiems inovacijų centrams</w:t>
            </w:r>
            <w:r w:rsidRPr="00FC2A3D">
              <w:rPr>
                <w:sz w:val="20"/>
                <w:szCs w:val="20"/>
              </w:rPr>
              <w:t xml:space="preserve">, kuriems tokia parama ir yra labiausiai reikalinga. Pagal Europos katalogo duomenis šiuo metu jame yra užsiregistravę penki inovacijų centrai. Todėl tikėtina, kad, šiam kriterijui esant, tik šie penki pareiškėjai ir galės pasinaudoti parama, kurie ir taip jau galimai yra gavę įvairių ES programų finansavimą. </w:t>
            </w:r>
          </w:p>
          <w:p w:rsidR="00EE5914" w:rsidRPr="00FC2A3D" w:rsidRDefault="00EE5914" w:rsidP="00FC2A3D">
            <w:pPr>
              <w:pStyle w:val="gmail-msolistparagraph"/>
              <w:spacing w:before="0" w:beforeAutospacing="0" w:after="0" w:afterAutospacing="0"/>
              <w:jc w:val="both"/>
              <w:rPr>
                <w:rFonts w:ascii="Calibri" w:hAnsi="Calibri"/>
                <w:sz w:val="20"/>
                <w:szCs w:val="20"/>
              </w:rPr>
            </w:pPr>
            <w:r w:rsidRPr="00FC2A3D">
              <w:rPr>
                <w:sz w:val="20"/>
                <w:szCs w:val="20"/>
              </w:rPr>
              <w:t>Jei tai yra ministerijos politikos nuostata, kad esamų inovacijos centrų yra pakankamai ir nėra tikslinga skatinti naujų centrų atsiradimo, tuomet tą reikėtų aiškiai deklaruoti. Bet tuomet, ar ne per didelis biudžetas (</w:t>
            </w:r>
            <w:r w:rsidRPr="00FC2A3D">
              <w:rPr>
                <w:sz w:val="20"/>
                <w:szCs w:val="20"/>
                <w:lang w:val="en-US"/>
              </w:rPr>
              <w:t xml:space="preserve">18,32 meur) </w:t>
            </w:r>
            <w:r w:rsidRPr="00FC2A3D">
              <w:rPr>
                <w:sz w:val="20"/>
                <w:szCs w:val="20"/>
              </w:rPr>
              <w:t>yra numatomas vos keliems pareiškėjams</w:t>
            </w:r>
            <w:r w:rsidRPr="00FC2A3D">
              <w:rPr>
                <w:sz w:val="20"/>
                <w:szCs w:val="20"/>
                <w:lang w:val="en-US"/>
              </w:rPr>
              <w:t>?</w:t>
            </w:r>
          </w:p>
          <w:p w:rsidR="00EE5914" w:rsidRPr="00FC2A3D" w:rsidRDefault="00EE5914" w:rsidP="00FC2A3D">
            <w:pPr>
              <w:pStyle w:val="gmail-msolistparagraph"/>
              <w:spacing w:before="0" w:beforeAutospacing="0" w:after="0" w:afterAutospacing="0"/>
              <w:jc w:val="both"/>
              <w:rPr>
                <w:rFonts w:ascii="Calibri" w:hAnsi="Calibri"/>
                <w:sz w:val="20"/>
                <w:szCs w:val="20"/>
              </w:rPr>
            </w:pPr>
            <w:r w:rsidRPr="00FC2A3D">
              <w:rPr>
                <w:sz w:val="20"/>
                <w:szCs w:val="20"/>
                <w:lang w:val="en-US"/>
              </w:rPr>
              <w:t>Pastaba susijusi ir su </w:t>
            </w:r>
            <w:r w:rsidRPr="00FC2A3D">
              <w:rPr>
                <w:sz w:val="20"/>
                <w:szCs w:val="20"/>
              </w:rPr>
              <w:t>įgyvendinimo plano projekto 1.4 punktu dėl galimų pareiškėjų.</w:t>
            </w:r>
          </w:p>
        </w:tc>
        <w:tc>
          <w:tcPr>
            <w:tcW w:w="1842" w:type="dxa"/>
            <w:tcBorders>
              <w:top w:val="single" w:sz="4" w:space="0" w:color="auto"/>
              <w:left w:val="single" w:sz="4" w:space="0" w:color="auto"/>
              <w:bottom w:val="single" w:sz="4" w:space="0" w:color="auto"/>
              <w:right w:val="single" w:sz="4" w:space="0" w:color="auto"/>
            </w:tcBorders>
          </w:tcPr>
          <w:p w:rsidR="00EE5914" w:rsidRPr="00FC2A3D" w:rsidRDefault="00142AE9" w:rsidP="00FC2A3D">
            <w:pPr>
              <w:widowControl w:val="0"/>
              <w:tabs>
                <w:tab w:val="left" w:pos="7560"/>
              </w:tabs>
              <w:spacing w:after="0" w:line="240" w:lineRule="auto"/>
              <w:jc w:val="both"/>
              <w:rPr>
                <w:rFonts w:ascii="Times New Roman" w:hAnsi="Times New Roman" w:cs="Times New Roman"/>
                <w:sz w:val="20"/>
                <w:szCs w:val="20"/>
              </w:rPr>
            </w:pPr>
            <w:r w:rsidRPr="00FC2A3D">
              <w:rPr>
                <w:rFonts w:ascii="Times New Roman" w:hAnsi="Times New Roman" w:cs="Times New Roman"/>
                <w:sz w:val="20"/>
                <w:szCs w:val="20"/>
              </w:rPr>
              <w:t>Neatsižvelgta</w:t>
            </w:r>
          </w:p>
        </w:tc>
        <w:tc>
          <w:tcPr>
            <w:tcW w:w="3256" w:type="dxa"/>
            <w:tcBorders>
              <w:top w:val="single" w:sz="4" w:space="0" w:color="auto"/>
              <w:left w:val="single" w:sz="4" w:space="0" w:color="auto"/>
              <w:bottom w:val="single" w:sz="4" w:space="0" w:color="auto"/>
              <w:right w:val="single" w:sz="4" w:space="0" w:color="auto"/>
            </w:tcBorders>
          </w:tcPr>
          <w:p w:rsidR="006F1A3B" w:rsidRPr="00FC2A3D" w:rsidRDefault="00D905AB" w:rsidP="00FC2A3D">
            <w:pPr>
              <w:autoSpaceDE w:val="0"/>
              <w:autoSpaceDN w:val="0"/>
              <w:adjustRightInd w:val="0"/>
              <w:spacing w:after="0" w:line="240" w:lineRule="auto"/>
              <w:jc w:val="both"/>
              <w:rPr>
                <w:rFonts w:ascii="Times New Roman" w:hAnsi="Times New Roman" w:cs="Times New Roman"/>
                <w:sz w:val="20"/>
                <w:szCs w:val="20"/>
              </w:rPr>
            </w:pPr>
            <w:r w:rsidRPr="00FC2A3D">
              <w:rPr>
                <w:rFonts w:ascii="Times New Roman" w:hAnsi="Times New Roman" w:cs="Times New Roman"/>
                <w:sz w:val="20"/>
                <w:szCs w:val="20"/>
              </w:rPr>
              <w:t>2018–2019 m. Lietuvos Respublikos ū</w:t>
            </w:r>
            <w:r w:rsidRPr="00FC2A3D">
              <w:rPr>
                <w:rFonts w:ascii="Times New Roman" w:hAnsi="Times New Roman" w:cs="Times New Roman"/>
                <w:bCs/>
                <w:sz w:val="20"/>
                <w:szCs w:val="20"/>
              </w:rPr>
              <w:t xml:space="preserve">kio ministerijos priemonių, skirtų </w:t>
            </w:r>
            <w:r w:rsidRPr="00FC2A3D">
              <w:rPr>
                <w:rFonts w:ascii="Times New Roman" w:hAnsi="Times New Roman" w:cs="Times New Roman"/>
                <w:sz w:val="20"/>
                <w:szCs w:val="20"/>
              </w:rPr>
              <w:t xml:space="preserve">šalies įmonių ir mokslo institucijų jungimuisi į inovatyvius tinklus skatinti, ir </w:t>
            </w:r>
            <w:r w:rsidRPr="00FC2A3D">
              <w:rPr>
                <w:rFonts w:ascii="Times New Roman" w:hAnsi="Times New Roman" w:cs="Times New Roman"/>
                <w:bCs/>
                <w:sz w:val="20"/>
                <w:szCs w:val="20"/>
              </w:rPr>
              <w:t xml:space="preserve">ekoinovacijas skatinančių priemonių </w:t>
            </w:r>
            <w:r w:rsidRPr="00FC2A3D">
              <w:rPr>
                <w:rFonts w:ascii="Times New Roman" w:hAnsi="Times New Roman" w:cs="Times New Roman"/>
                <w:sz w:val="20"/>
                <w:szCs w:val="20"/>
              </w:rPr>
              <w:t xml:space="preserve">įgyvendinimo </w:t>
            </w:r>
            <w:r w:rsidRPr="00FC2A3D">
              <w:rPr>
                <w:rFonts w:ascii="Times New Roman" w:hAnsi="Times New Roman" w:cs="Times New Roman"/>
                <w:bCs/>
                <w:sz w:val="20"/>
                <w:szCs w:val="20"/>
              </w:rPr>
              <w:t xml:space="preserve">pažangos vertinimo rekomendacijos teigia, kad </w:t>
            </w:r>
            <w:r w:rsidRPr="00FC2A3D">
              <w:rPr>
                <w:rFonts w:ascii="Times New Roman" w:hAnsi="Times New Roman" w:cs="Times New Roman"/>
                <w:bCs/>
                <w:i/>
                <w:sz w:val="20"/>
                <w:szCs w:val="20"/>
              </w:rPr>
              <w:t>„</w:t>
            </w:r>
            <w:r w:rsidR="006B5552" w:rsidRPr="00FC2A3D">
              <w:rPr>
                <w:rFonts w:ascii="Times New Roman" w:hAnsi="Times New Roman" w:cs="Times New Roman"/>
                <w:i/>
                <w:sz w:val="20"/>
                <w:szCs w:val="20"/>
              </w:rPr>
              <w:t xml:space="preserve">Viešinimo veikloje akcentuoti siekius stambinti klasterius (nauji nariai, klasterių apsijungimo galimybės ir teikiama nauda). </w:t>
            </w:r>
            <w:r w:rsidR="006B5552" w:rsidRPr="00FC2A3D">
              <w:rPr>
                <w:rFonts w:ascii="Times New Roman" w:hAnsi="Times New Roman" w:cs="Times New Roman"/>
                <w:sz w:val="20"/>
                <w:szCs w:val="20"/>
              </w:rPr>
              <w:t xml:space="preserve">Vadovaujantis atliktu vertinimu, taip pat </w:t>
            </w:r>
            <w:r w:rsidR="006F1A3B" w:rsidRPr="00FC2A3D">
              <w:rPr>
                <w:rFonts w:ascii="Times New Roman" w:hAnsi="Times New Roman" w:cs="Times New Roman"/>
                <w:sz w:val="20"/>
                <w:szCs w:val="20"/>
              </w:rPr>
              <w:t xml:space="preserve">Europos Komisijos vertinime </w:t>
            </w:r>
            <w:r w:rsidR="006F1A3B" w:rsidRPr="00FC2A3D">
              <w:rPr>
                <w:rFonts w:ascii="Times New Roman" w:hAnsi="Times New Roman" w:cs="Times New Roman"/>
                <w:i/>
                <w:sz w:val="20"/>
                <w:szCs w:val="20"/>
              </w:rPr>
              <w:t>„Fit for the future: incentivising research and innovation partnerships and attracting</w:t>
            </w:r>
            <w:r w:rsidR="00FC2A3D">
              <w:rPr>
                <w:rFonts w:ascii="Times New Roman" w:hAnsi="Times New Roman" w:cs="Times New Roman"/>
                <w:i/>
                <w:sz w:val="20"/>
                <w:szCs w:val="20"/>
              </w:rPr>
              <w:t xml:space="preserve"> </w:t>
            </w:r>
            <w:r w:rsidR="006F1A3B" w:rsidRPr="00FC2A3D">
              <w:rPr>
                <w:rFonts w:ascii="Times New Roman" w:hAnsi="Times New Roman" w:cs="Times New Roman"/>
                <w:i/>
                <w:sz w:val="20"/>
                <w:szCs w:val="20"/>
              </w:rPr>
              <w:t xml:space="preserve">innovative investment to Lithuania" </w:t>
            </w:r>
            <w:r w:rsidR="006F1A3B" w:rsidRPr="00FC2A3D">
              <w:rPr>
                <w:rFonts w:ascii="Times New Roman" w:hAnsi="Times New Roman" w:cs="Times New Roman"/>
                <w:sz w:val="20"/>
                <w:szCs w:val="20"/>
              </w:rPr>
              <w:t>teigiama, kad Lietuvoje klasteriai yra maži</w:t>
            </w:r>
            <w:r w:rsidR="00FC2A3D">
              <w:rPr>
                <w:rFonts w:ascii="Times New Roman" w:hAnsi="Times New Roman" w:cs="Times New Roman"/>
                <w:sz w:val="20"/>
                <w:szCs w:val="20"/>
              </w:rPr>
              <w:t xml:space="preserve"> </w:t>
            </w:r>
            <w:r w:rsidR="006F1A3B" w:rsidRPr="00FC2A3D">
              <w:rPr>
                <w:rFonts w:ascii="Times New Roman" w:hAnsi="Times New Roman" w:cs="Times New Roman"/>
                <w:sz w:val="20"/>
                <w:szCs w:val="20"/>
              </w:rPr>
              <w:t>ir jų yra per daug, siekiant vystyti stipresnius ir</w:t>
            </w:r>
            <w:r w:rsidR="00FC2A3D">
              <w:rPr>
                <w:rFonts w:ascii="Times New Roman" w:hAnsi="Times New Roman" w:cs="Times New Roman"/>
                <w:sz w:val="20"/>
                <w:szCs w:val="20"/>
              </w:rPr>
              <w:t xml:space="preserve"> </w:t>
            </w:r>
            <w:r w:rsidR="006F1A3B" w:rsidRPr="00FC2A3D">
              <w:rPr>
                <w:rFonts w:ascii="Times New Roman" w:hAnsi="Times New Roman" w:cs="Times New Roman"/>
                <w:sz w:val="20"/>
                <w:szCs w:val="20"/>
              </w:rPr>
              <w:t>tarptautiniu mastu labiau matomus klasterius Europos Komisijos ekspertai si</w:t>
            </w:r>
            <w:r w:rsidR="00B14CE3" w:rsidRPr="00FC2A3D">
              <w:rPr>
                <w:rFonts w:ascii="Times New Roman" w:hAnsi="Times New Roman" w:cs="Times New Roman"/>
                <w:sz w:val="20"/>
                <w:szCs w:val="20"/>
              </w:rPr>
              <w:t>ū</w:t>
            </w:r>
            <w:r w:rsidR="006F1A3B" w:rsidRPr="00FC2A3D">
              <w:rPr>
                <w:rFonts w:ascii="Times New Roman" w:hAnsi="Times New Roman" w:cs="Times New Roman"/>
                <w:sz w:val="20"/>
                <w:szCs w:val="20"/>
              </w:rPr>
              <w:t>lo taikyti klasteriams</w:t>
            </w:r>
          </w:p>
          <w:p w:rsidR="00EE5914" w:rsidRPr="00FC2A3D" w:rsidRDefault="006F1A3B" w:rsidP="00652493">
            <w:pPr>
              <w:autoSpaceDE w:val="0"/>
              <w:autoSpaceDN w:val="0"/>
              <w:adjustRightInd w:val="0"/>
              <w:spacing w:after="0" w:line="240" w:lineRule="auto"/>
              <w:jc w:val="both"/>
              <w:rPr>
                <w:rFonts w:ascii="Times New Roman" w:hAnsi="Times New Roman" w:cs="Times New Roman"/>
                <w:sz w:val="20"/>
                <w:szCs w:val="20"/>
              </w:rPr>
            </w:pPr>
            <w:r w:rsidRPr="00FC2A3D">
              <w:rPr>
                <w:rFonts w:ascii="Times New Roman" w:hAnsi="Times New Roman" w:cs="Times New Roman"/>
                <w:sz w:val="20"/>
                <w:szCs w:val="20"/>
              </w:rPr>
              <w:t>grie</w:t>
            </w:r>
            <w:r w:rsidR="00B14CE3" w:rsidRPr="00FC2A3D">
              <w:rPr>
                <w:rFonts w:ascii="Times New Roman" w:hAnsi="Times New Roman" w:cs="Times New Roman"/>
                <w:sz w:val="20"/>
                <w:szCs w:val="20"/>
              </w:rPr>
              <w:t>ž</w:t>
            </w:r>
            <w:r w:rsidRPr="00FC2A3D">
              <w:rPr>
                <w:rFonts w:ascii="Times New Roman" w:hAnsi="Times New Roman" w:cs="Times New Roman"/>
                <w:sz w:val="20"/>
                <w:szCs w:val="20"/>
              </w:rPr>
              <w:t>tesnius kriterijus,</w:t>
            </w:r>
            <w:r w:rsidR="00B14CE3" w:rsidRPr="00FC2A3D">
              <w:rPr>
                <w:rFonts w:ascii="Times New Roman" w:hAnsi="Times New Roman" w:cs="Times New Roman"/>
                <w:sz w:val="20"/>
                <w:szCs w:val="20"/>
              </w:rPr>
              <w:t xml:space="preserve"> ir tolimesniuose</w:t>
            </w:r>
            <w:r w:rsidR="00FC2A3D">
              <w:rPr>
                <w:rFonts w:ascii="Times New Roman" w:hAnsi="Times New Roman" w:cs="Times New Roman"/>
                <w:sz w:val="20"/>
                <w:szCs w:val="20"/>
              </w:rPr>
              <w:t xml:space="preserve"> </w:t>
            </w:r>
            <w:r w:rsidR="00B14CE3" w:rsidRPr="00FC2A3D">
              <w:rPr>
                <w:rFonts w:ascii="Times New Roman" w:hAnsi="Times New Roman" w:cs="Times New Roman"/>
                <w:sz w:val="20"/>
                <w:szCs w:val="20"/>
              </w:rPr>
              <w:t>kvietimuose skatinti klasterių jungimąsi bei didelių tarptautiniu mastu matomų klasterių vystymąsi. Kadangi Europos Sąjungoje pradėti skatinti skaitmeninių inovacijų centrai, kurių rėmimas galimas panašia schema, kaip ir kla</w:t>
            </w:r>
            <w:r w:rsidR="00652493">
              <w:rPr>
                <w:rFonts w:ascii="Times New Roman" w:hAnsi="Times New Roman" w:cs="Times New Roman"/>
                <w:sz w:val="20"/>
                <w:szCs w:val="20"/>
              </w:rPr>
              <w:t>steriai, Lietuva, kaip valstybė  nar</w:t>
            </w:r>
            <w:r w:rsidR="00B14CE3" w:rsidRPr="00FC2A3D">
              <w:rPr>
                <w:rFonts w:ascii="Times New Roman" w:hAnsi="Times New Roman" w:cs="Times New Roman"/>
                <w:sz w:val="20"/>
                <w:szCs w:val="20"/>
              </w:rPr>
              <w:t>ė</w:t>
            </w:r>
            <w:r w:rsidR="00BB62DE" w:rsidRPr="00FC2A3D">
              <w:rPr>
                <w:rFonts w:ascii="Times New Roman" w:hAnsi="Times New Roman" w:cs="Times New Roman"/>
                <w:sz w:val="20"/>
                <w:szCs w:val="20"/>
              </w:rPr>
              <w:t>,</w:t>
            </w:r>
            <w:r w:rsidR="00B14CE3" w:rsidRPr="00FC2A3D">
              <w:rPr>
                <w:rFonts w:ascii="Times New Roman" w:hAnsi="Times New Roman" w:cs="Times New Roman"/>
                <w:sz w:val="20"/>
                <w:szCs w:val="20"/>
              </w:rPr>
              <w:t xml:space="preserve"> esamus </w:t>
            </w:r>
            <w:r w:rsidR="00BB62DE" w:rsidRPr="00FC2A3D">
              <w:rPr>
                <w:rFonts w:ascii="Times New Roman" w:hAnsi="Times New Roman" w:cs="Times New Roman"/>
                <w:sz w:val="20"/>
                <w:szCs w:val="20"/>
              </w:rPr>
              <w:t>junginius</w:t>
            </w:r>
            <w:r w:rsidR="00B14CE3" w:rsidRPr="00FC2A3D">
              <w:rPr>
                <w:rFonts w:ascii="Times New Roman" w:hAnsi="Times New Roman" w:cs="Times New Roman"/>
                <w:sz w:val="20"/>
                <w:szCs w:val="20"/>
              </w:rPr>
              <w:t xml:space="preserve"> siūlo kelti į aukštesnį lygmenį</w:t>
            </w:r>
            <w:r w:rsidR="00BB62DE" w:rsidRPr="00FC2A3D">
              <w:rPr>
                <w:rFonts w:ascii="Times New Roman" w:hAnsi="Times New Roman" w:cs="Times New Roman"/>
                <w:sz w:val="20"/>
                <w:szCs w:val="20"/>
              </w:rPr>
              <w:t xml:space="preserve"> ir sudaryti galimybes ateityje pretenduoti dalyvauti aukščiausio lygio junginiuose.</w:t>
            </w:r>
          </w:p>
        </w:tc>
      </w:tr>
      <w:tr w:rsidR="00EE5914" w:rsidRPr="00FC2A3D" w:rsidTr="00FC2A3D">
        <w:trPr>
          <w:trHeight w:val="1266"/>
          <w:tblHeader/>
        </w:trPr>
        <w:tc>
          <w:tcPr>
            <w:tcW w:w="675" w:type="dxa"/>
            <w:vMerge/>
            <w:tcBorders>
              <w:left w:val="single" w:sz="4" w:space="0" w:color="auto"/>
              <w:right w:val="single" w:sz="4" w:space="0" w:color="auto"/>
            </w:tcBorders>
            <w:shd w:val="clear" w:color="auto" w:fill="auto"/>
          </w:tcPr>
          <w:p w:rsidR="00EE5914" w:rsidRPr="00FC2A3D" w:rsidRDefault="00EE5914" w:rsidP="00FC2A3D">
            <w:pPr>
              <w:widowControl w:val="0"/>
              <w:tabs>
                <w:tab w:val="left" w:pos="187"/>
                <w:tab w:val="left" w:pos="7560"/>
              </w:tabs>
              <w:spacing w:after="0" w:line="240" w:lineRule="auto"/>
              <w:jc w:val="both"/>
              <w:rPr>
                <w:rFonts w:ascii="Times New Roman" w:hAnsi="Times New Roman" w:cs="Times New Roman"/>
                <w:b/>
                <w:sz w:val="20"/>
                <w:szCs w:val="20"/>
              </w:rPr>
            </w:pPr>
          </w:p>
        </w:tc>
        <w:tc>
          <w:tcPr>
            <w:tcW w:w="2439" w:type="dxa"/>
            <w:vMerge/>
            <w:tcBorders>
              <w:left w:val="single" w:sz="4" w:space="0" w:color="auto"/>
              <w:right w:val="single" w:sz="4" w:space="0" w:color="auto"/>
            </w:tcBorders>
          </w:tcPr>
          <w:p w:rsidR="00EE5914" w:rsidRPr="00FC2A3D" w:rsidRDefault="00EE5914" w:rsidP="00FC2A3D">
            <w:pPr>
              <w:widowControl w:val="0"/>
              <w:tabs>
                <w:tab w:val="left" w:pos="7560"/>
              </w:tabs>
              <w:spacing w:after="0" w:line="240" w:lineRule="auto"/>
              <w:ind w:firstLine="11"/>
              <w:jc w:val="both"/>
              <w:rPr>
                <w:rFonts w:ascii="Times New Roman" w:hAnsi="Times New Roman" w:cs="Times New Roman"/>
                <w:b/>
                <w:sz w:val="20"/>
                <w:szCs w:val="20"/>
              </w:rPr>
            </w:pP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EE5914" w:rsidRPr="00FC2A3D" w:rsidRDefault="00EE5914" w:rsidP="00FC2A3D">
            <w:pPr>
              <w:pStyle w:val="gmail-msolistparagraph"/>
              <w:spacing w:before="0" w:beforeAutospacing="0" w:after="0" w:afterAutospacing="0"/>
              <w:jc w:val="both"/>
              <w:rPr>
                <w:rFonts w:ascii="Calibri" w:hAnsi="Calibri"/>
                <w:sz w:val="20"/>
                <w:szCs w:val="20"/>
              </w:rPr>
            </w:pPr>
            <w:r w:rsidRPr="00FC2A3D">
              <w:rPr>
                <w:sz w:val="20"/>
                <w:szCs w:val="20"/>
              </w:rPr>
              <w:t xml:space="preserve">Visi trys </w:t>
            </w:r>
            <w:r w:rsidRPr="00FC2A3D">
              <w:rPr>
                <w:b/>
                <w:bCs/>
                <w:sz w:val="20"/>
                <w:szCs w:val="20"/>
              </w:rPr>
              <w:t>prioritetiniai</w:t>
            </w:r>
            <w:r w:rsidRPr="00FC2A3D">
              <w:rPr>
                <w:sz w:val="20"/>
                <w:szCs w:val="20"/>
              </w:rPr>
              <w:t xml:space="preserve"> projektų atrankos kriterijai iš esmės numato pareiškėjų vertinimą tik pagal jų deklaruojamas veiklos prognozes ar pažadus dėl ateities, ko paraiškų vertinimo metu neįmanoma patikrinti. Abejotina, ar galima suranguoti pareiškėjus </w:t>
            </w:r>
            <w:r w:rsidRPr="00FC2A3D">
              <w:rPr>
                <w:b/>
                <w:bCs/>
                <w:sz w:val="20"/>
                <w:szCs w:val="20"/>
              </w:rPr>
              <w:t>vien tik pagal jų žadamus įsipareigojimus</w:t>
            </w:r>
            <w:r w:rsidRPr="00FC2A3D">
              <w:rPr>
                <w:sz w:val="20"/>
                <w:szCs w:val="20"/>
              </w:rPr>
              <w:t xml:space="preserve">. Tuo labiau, kad atsakomybė už pažadų nevykdymą nėra aiškiai reglamentuota ir vargu ar bus pritaikyta po projekto įgyvendinimo. Be to, ketvirtas ir penktas kriterijus iš viso liečia ne pareiškėją, o kitus juridinius asmenis, kurie tik pasinaudoja inovacijų centrų teikiamomis paslaugomis ir neturi jokių įsipareigojimų projektui. Kaip galima objektyviai prognozuoti paraiškos teikimo metu pagal </w:t>
            </w:r>
            <w:r w:rsidRPr="00FC2A3D">
              <w:rPr>
                <w:sz w:val="20"/>
                <w:szCs w:val="20"/>
                <w:lang w:val="en-US"/>
              </w:rPr>
              <w:t>6</w:t>
            </w:r>
            <w:r w:rsidRPr="00FC2A3D">
              <w:rPr>
                <w:sz w:val="20"/>
                <w:szCs w:val="20"/>
              </w:rPr>
              <w:t xml:space="preserve"> kriterijų, kiek kitos įmonės, pasinaudojusios centro paslaugomis, sukurs prototipų, ir ar tai dėl projekto metu sukurtos veiklos ar dėl ankstesnės centro vykdomos veiklos?</w:t>
            </w:r>
          </w:p>
          <w:p w:rsidR="00EE5914" w:rsidRPr="00FC2A3D" w:rsidRDefault="00EE5914" w:rsidP="00FC2A3D">
            <w:pPr>
              <w:pStyle w:val="gmail-msolistparagraph"/>
              <w:spacing w:before="0" w:beforeAutospacing="0" w:after="0" w:afterAutospacing="0"/>
              <w:jc w:val="both"/>
              <w:rPr>
                <w:sz w:val="20"/>
                <w:szCs w:val="20"/>
              </w:rPr>
            </w:pPr>
            <w:r w:rsidRPr="00FC2A3D">
              <w:rPr>
                <w:sz w:val="20"/>
                <w:szCs w:val="20"/>
              </w:rPr>
              <w:t> Manome, kad prioritetiniai kriterijai turėtų būti peržiūrėti iš esmės</w:t>
            </w:r>
          </w:p>
        </w:tc>
        <w:tc>
          <w:tcPr>
            <w:tcW w:w="1842" w:type="dxa"/>
            <w:tcBorders>
              <w:top w:val="single" w:sz="4" w:space="0" w:color="auto"/>
              <w:left w:val="single" w:sz="4" w:space="0" w:color="auto"/>
              <w:bottom w:val="single" w:sz="4" w:space="0" w:color="auto"/>
              <w:right w:val="single" w:sz="4" w:space="0" w:color="auto"/>
            </w:tcBorders>
          </w:tcPr>
          <w:p w:rsidR="00EE5914" w:rsidRPr="00FC2A3D" w:rsidRDefault="00C33FE0" w:rsidP="00FC2A3D">
            <w:pPr>
              <w:widowControl w:val="0"/>
              <w:tabs>
                <w:tab w:val="left" w:pos="7560"/>
              </w:tabs>
              <w:spacing w:after="0" w:line="240" w:lineRule="auto"/>
              <w:jc w:val="both"/>
              <w:rPr>
                <w:rFonts w:ascii="Times New Roman" w:hAnsi="Times New Roman" w:cs="Times New Roman"/>
                <w:sz w:val="20"/>
                <w:szCs w:val="20"/>
              </w:rPr>
            </w:pPr>
            <w:r w:rsidRPr="00FC2A3D">
              <w:rPr>
                <w:rFonts w:ascii="Times New Roman" w:hAnsi="Times New Roman" w:cs="Times New Roman"/>
                <w:sz w:val="20"/>
                <w:szCs w:val="20"/>
              </w:rPr>
              <w:t>Neatsižvelgta</w:t>
            </w:r>
          </w:p>
        </w:tc>
        <w:tc>
          <w:tcPr>
            <w:tcW w:w="3256" w:type="dxa"/>
            <w:tcBorders>
              <w:top w:val="single" w:sz="4" w:space="0" w:color="auto"/>
              <w:left w:val="single" w:sz="4" w:space="0" w:color="auto"/>
              <w:bottom w:val="single" w:sz="4" w:space="0" w:color="auto"/>
              <w:right w:val="single" w:sz="4" w:space="0" w:color="auto"/>
            </w:tcBorders>
          </w:tcPr>
          <w:p w:rsidR="00EE5914" w:rsidRPr="00FC2A3D" w:rsidRDefault="00C33FE0" w:rsidP="00FC2A3D">
            <w:pPr>
              <w:spacing w:after="0" w:line="240" w:lineRule="auto"/>
              <w:ind w:right="41"/>
              <w:jc w:val="both"/>
              <w:rPr>
                <w:rFonts w:ascii="Times New Roman" w:hAnsi="Times New Roman" w:cs="Times New Roman"/>
                <w:sz w:val="20"/>
                <w:szCs w:val="20"/>
              </w:rPr>
            </w:pPr>
            <w:r w:rsidRPr="00FC2A3D">
              <w:rPr>
                <w:rFonts w:ascii="Times New Roman" w:hAnsi="Times New Roman" w:cs="Times New Roman"/>
                <w:sz w:val="20"/>
                <w:szCs w:val="20"/>
              </w:rPr>
              <w:t xml:space="preserve">Daugelyje priemonių kriterijai formuojami, siekiant įvertinti projekto potencialą ir gebėjimą pasiekti rezultatų ateityje. Pareiškėjų gebėjimas tinkamai planuoti ir įvertinti savo galimybes, tinkamai pateikti informaciją paraiškoje, aiškiai susiejant su siekiamais tikslais bei rezultatais, parodo tiek pareiškėjo pasirengimo lygį bei numatomų veiklų pagrįstumą.  </w:t>
            </w:r>
            <w:r w:rsidR="001D457B" w:rsidRPr="00FC2A3D">
              <w:rPr>
                <w:rFonts w:ascii="Times New Roman" w:hAnsi="Times New Roman" w:cs="Times New Roman"/>
                <w:sz w:val="20"/>
                <w:szCs w:val="20"/>
              </w:rPr>
              <w:t xml:space="preserve">Sankcijos dėl nepasiektų rezultatų yra taikomos visada, kaip tai numatoma Projektų finansavimo ir administravimo taisyklių, patvirtintų 2014 m. spalio 10 d. Lietuvos Respublikos finansų ministro įsakymu Nr. 1k-316, </w:t>
            </w:r>
            <w:r w:rsidR="00FC2A3D" w:rsidRPr="00FC2A3D">
              <w:rPr>
                <w:rFonts w:ascii="Times New Roman" w:hAnsi="Times New Roman" w:cs="Times New Roman"/>
                <w:sz w:val="20"/>
                <w:szCs w:val="20"/>
              </w:rPr>
              <w:t>19, 22, 26 skirsniuose.</w:t>
            </w:r>
          </w:p>
        </w:tc>
      </w:tr>
      <w:tr w:rsidR="00EE5914" w:rsidRPr="00FC2A3D" w:rsidTr="00FC2A3D">
        <w:trPr>
          <w:trHeight w:val="2033"/>
          <w:tblHeader/>
        </w:trPr>
        <w:tc>
          <w:tcPr>
            <w:tcW w:w="675" w:type="dxa"/>
            <w:vMerge/>
            <w:tcBorders>
              <w:left w:val="single" w:sz="4" w:space="0" w:color="auto"/>
              <w:bottom w:val="single" w:sz="4" w:space="0" w:color="auto"/>
              <w:right w:val="single" w:sz="4" w:space="0" w:color="auto"/>
            </w:tcBorders>
            <w:shd w:val="clear" w:color="auto" w:fill="auto"/>
          </w:tcPr>
          <w:p w:rsidR="00EE5914" w:rsidRPr="00FC2A3D" w:rsidRDefault="00EE5914" w:rsidP="00FC2A3D">
            <w:pPr>
              <w:pStyle w:val="ListParagraph"/>
              <w:widowControl w:val="0"/>
              <w:numPr>
                <w:ilvl w:val="0"/>
                <w:numId w:val="7"/>
              </w:numPr>
              <w:tabs>
                <w:tab w:val="left" w:pos="187"/>
                <w:tab w:val="left" w:pos="7560"/>
              </w:tabs>
              <w:spacing w:after="0" w:line="240" w:lineRule="auto"/>
              <w:jc w:val="both"/>
              <w:rPr>
                <w:rFonts w:ascii="Times New Roman" w:hAnsi="Times New Roman" w:cs="Times New Roman"/>
                <w:b/>
                <w:sz w:val="20"/>
                <w:szCs w:val="20"/>
              </w:rPr>
            </w:pPr>
          </w:p>
        </w:tc>
        <w:tc>
          <w:tcPr>
            <w:tcW w:w="2439" w:type="dxa"/>
            <w:vMerge/>
            <w:tcBorders>
              <w:left w:val="single" w:sz="4" w:space="0" w:color="auto"/>
              <w:bottom w:val="single" w:sz="4" w:space="0" w:color="auto"/>
              <w:right w:val="single" w:sz="4" w:space="0" w:color="auto"/>
            </w:tcBorders>
          </w:tcPr>
          <w:p w:rsidR="00EE5914" w:rsidRPr="00FC2A3D" w:rsidRDefault="00EE5914" w:rsidP="00FC2A3D">
            <w:pPr>
              <w:widowControl w:val="0"/>
              <w:tabs>
                <w:tab w:val="left" w:pos="7560"/>
              </w:tabs>
              <w:spacing w:after="0" w:line="240" w:lineRule="auto"/>
              <w:ind w:firstLine="11"/>
              <w:jc w:val="both"/>
              <w:rPr>
                <w:rFonts w:ascii="Times New Roman" w:hAnsi="Times New Roman" w:cs="Times New Roman"/>
                <w:color w:val="000000" w:themeColor="text1"/>
                <w:sz w:val="20"/>
                <w:szCs w:val="20"/>
                <w:u w:color="FFFFFF" w:themeColor="background1"/>
              </w:rPr>
            </w:pPr>
          </w:p>
        </w:tc>
        <w:tc>
          <w:tcPr>
            <w:tcW w:w="6667" w:type="dxa"/>
            <w:tcBorders>
              <w:top w:val="single" w:sz="4" w:space="0" w:color="auto"/>
              <w:left w:val="single" w:sz="4" w:space="0" w:color="auto"/>
              <w:bottom w:val="single" w:sz="4" w:space="0" w:color="auto"/>
              <w:right w:val="single" w:sz="4" w:space="0" w:color="auto"/>
            </w:tcBorders>
            <w:shd w:val="clear" w:color="auto" w:fill="auto"/>
          </w:tcPr>
          <w:p w:rsidR="00EE5914" w:rsidRPr="00FC2A3D" w:rsidRDefault="00EE5914" w:rsidP="00FC2A3D">
            <w:pPr>
              <w:pStyle w:val="gmail-msolistparagraph"/>
              <w:spacing w:before="0" w:beforeAutospacing="0" w:after="0" w:afterAutospacing="0"/>
              <w:jc w:val="both"/>
              <w:rPr>
                <w:rFonts w:ascii="Calibri" w:hAnsi="Calibri"/>
                <w:sz w:val="20"/>
                <w:szCs w:val="20"/>
              </w:rPr>
            </w:pPr>
            <w:r w:rsidRPr="00FC2A3D">
              <w:rPr>
                <w:sz w:val="20"/>
                <w:szCs w:val="20"/>
              </w:rPr>
              <w:t>Ketvirtasis prioritetinis kriterijus „</w:t>
            </w:r>
            <w:r w:rsidRPr="00FC2A3D">
              <w:rPr>
                <w:i/>
                <w:iCs/>
                <w:sz w:val="20"/>
                <w:szCs w:val="20"/>
                <w:lang w:val="en-US"/>
              </w:rPr>
              <w:t>4.</w:t>
            </w:r>
            <w:r w:rsidRPr="00FC2A3D">
              <w:rPr>
                <w:i/>
                <w:iCs/>
                <w:sz w:val="20"/>
                <w:szCs w:val="20"/>
              </w:rPr>
              <w:t xml:space="preserve">Skaitmeninių inovacijų centro pajamų už suteiktas paslaugas projekto įgyvendinimo metu ir </w:t>
            </w:r>
            <w:r w:rsidRPr="00FC2A3D">
              <w:rPr>
                <w:i/>
                <w:iCs/>
                <w:sz w:val="20"/>
                <w:szCs w:val="20"/>
                <w:lang w:val="en-US"/>
              </w:rPr>
              <w:t>3</w:t>
            </w:r>
            <w:r w:rsidRPr="00FC2A3D">
              <w:rPr>
                <w:i/>
                <w:iCs/>
                <w:sz w:val="20"/>
                <w:szCs w:val="20"/>
              </w:rPr>
              <w:t xml:space="preserve"> metai po projekto veiklų įgyvendinimo pabaigos santykis su gautomis investicijomis</w:t>
            </w:r>
            <w:r w:rsidRPr="00FC2A3D">
              <w:rPr>
                <w:sz w:val="20"/>
                <w:szCs w:val="20"/>
              </w:rPr>
              <w:t xml:space="preserve">“ </w:t>
            </w:r>
            <w:r w:rsidRPr="00FC2A3D">
              <w:rPr>
                <w:b/>
                <w:bCs/>
                <w:sz w:val="20"/>
                <w:szCs w:val="20"/>
              </w:rPr>
              <w:t>neparodo tiesioginio ryšio su įgyvendinamu projektu</w:t>
            </w:r>
            <w:r w:rsidRPr="00FC2A3D">
              <w:rPr>
                <w:sz w:val="20"/>
                <w:szCs w:val="20"/>
              </w:rPr>
              <w:t>. Juk centro pajamos gali būti susijusios ir su ankstesne projekto veikla, kuri nesisijusi su finansuojamu projektu. Be to, toks vertinimas vėl pakelia aukščiau eilėje didesnes pajamas jau dabar turinčius centrus, lyginant su pradedančiais veiklą centrais. Taip pat neaišku, kodėl vertinamos tik investicijos, bet</w:t>
            </w:r>
            <w:r w:rsidR="00D62468" w:rsidRPr="00FC2A3D">
              <w:rPr>
                <w:sz w:val="20"/>
                <w:szCs w:val="20"/>
              </w:rPr>
              <w:t xml:space="preserve"> neįtraukiamos infrastruktūros į</w:t>
            </w:r>
            <w:r w:rsidRPr="00FC2A3D">
              <w:rPr>
                <w:sz w:val="20"/>
                <w:szCs w:val="20"/>
              </w:rPr>
              <w:t>veiklinimo išlaidos. </w:t>
            </w:r>
          </w:p>
        </w:tc>
        <w:tc>
          <w:tcPr>
            <w:tcW w:w="1842" w:type="dxa"/>
            <w:tcBorders>
              <w:top w:val="single" w:sz="4" w:space="0" w:color="auto"/>
              <w:left w:val="single" w:sz="4" w:space="0" w:color="auto"/>
              <w:bottom w:val="single" w:sz="4" w:space="0" w:color="auto"/>
              <w:right w:val="single" w:sz="4" w:space="0" w:color="auto"/>
            </w:tcBorders>
          </w:tcPr>
          <w:p w:rsidR="00EE5914" w:rsidRPr="00FC2A3D" w:rsidRDefault="00142AE9" w:rsidP="00FC2A3D">
            <w:pPr>
              <w:widowControl w:val="0"/>
              <w:tabs>
                <w:tab w:val="left" w:pos="7560"/>
              </w:tabs>
              <w:spacing w:after="0" w:line="240" w:lineRule="auto"/>
              <w:jc w:val="both"/>
              <w:rPr>
                <w:rFonts w:ascii="Times New Roman" w:hAnsi="Times New Roman" w:cs="Times New Roman"/>
                <w:sz w:val="20"/>
                <w:szCs w:val="20"/>
              </w:rPr>
            </w:pPr>
            <w:r w:rsidRPr="00FC2A3D">
              <w:rPr>
                <w:rFonts w:ascii="Times New Roman" w:hAnsi="Times New Roman" w:cs="Times New Roman"/>
                <w:sz w:val="20"/>
                <w:szCs w:val="20"/>
              </w:rPr>
              <w:t>Neatsižvelgta</w:t>
            </w:r>
          </w:p>
        </w:tc>
        <w:tc>
          <w:tcPr>
            <w:tcW w:w="3256" w:type="dxa"/>
            <w:tcBorders>
              <w:top w:val="single" w:sz="4" w:space="0" w:color="auto"/>
              <w:left w:val="single" w:sz="4" w:space="0" w:color="auto"/>
              <w:bottom w:val="single" w:sz="4" w:space="0" w:color="auto"/>
              <w:right w:val="single" w:sz="4" w:space="0" w:color="auto"/>
            </w:tcBorders>
          </w:tcPr>
          <w:p w:rsidR="00EE5914" w:rsidRPr="00FC2A3D" w:rsidRDefault="00C2175F" w:rsidP="00FC2A3D">
            <w:pPr>
              <w:widowControl w:val="0"/>
              <w:tabs>
                <w:tab w:val="left" w:pos="7560"/>
              </w:tabs>
              <w:spacing w:after="0" w:line="240" w:lineRule="auto"/>
              <w:jc w:val="both"/>
              <w:rPr>
                <w:rFonts w:ascii="Times New Roman" w:hAnsi="Times New Roman" w:cs="Times New Roman"/>
                <w:sz w:val="20"/>
                <w:szCs w:val="20"/>
              </w:rPr>
            </w:pPr>
            <w:r w:rsidRPr="00FC2A3D">
              <w:rPr>
                <w:rFonts w:ascii="Times New Roman" w:hAnsi="Times New Roman" w:cs="Times New Roman"/>
                <w:sz w:val="20"/>
                <w:szCs w:val="20"/>
              </w:rPr>
              <w:t xml:space="preserve">Svarbu, kad SIC būtų aktyvūs ir veikiantys, gebantys patys save išsilaikyti ir neieškantys paramos einamosios veiklos išlaidoms. Centro veikla iš esmės </w:t>
            </w:r>
            <w:r w:rsidR="00D62468" w:rsidRPr="00FC2A3D">
              <w:rPr>
                <w:rFonts w:ascii="Times New Roman" w:hAnsi="Times New Roman" w:cs="Times New Roman"/>
                <w:sz w:val="20"/>
                <w:szCs w:val="20"/>
              </w:rPr>
              <w:t xml:space="preserve">atitinka numatomų projektų veiklas, </w:t>
            </w:r>
            <w:r w:rsidR="00142AE9" w:rsidRPr="00FC2A3D">
              <w:rPr>
                <w:rFonts w:ascii="Times New Roman" w:hAnsi="Times New Roman" w:cs="Times New Roman"/>
                <w:sz w:val="20"/>
                <w:szCs w:val="20"/>
              </w:rPr>
              <w:t>todėl vertinamos bendros SIC veiklos pajamos.</w:t>
            </w:r>
            <w:r w:rsidR="00D62468" w:rsidRPr="00FC2A3D">
              <w:rPr>
                <w:rFonts w:ascii="Times New Roman" w:hAnsi="Times New Roman" w:cs="Times New Roman"/>
                <w:sz w:val="20"/>
                <w:szCs w:val="20"/>
              </w:rPr>
              <w:t xml:space="preserve"> </w:t>
            </w:r>
          </w:p>
        </w:tc>
      </w:tr>
    </w:tbl>
    <w:p w:rsidR="00BA3F0D" w:rsidRDefault="00BA3F0D" w:rsidP="00617C56">
      <w:pPr>
        <w:widowControl w:val="0"/>
        <w:spacing w:after="0" w:line="240" w:lineRule="auto"/>
        <w:jc w:val="both"/>
        <w:rPr>
          <w:rFonts w:ascii="Times New Roman" w:hAnsi="Times New Roman" w:cs="Times New Roman"/>
          <w:sz w:val="24"/>
          <w:szCs w:val="24"/>
        </w:rPr>
      </w:pPr>
    </w:p>
    <w:p w:rsidR="00922AB9" w:rsidRDefault="00922AB9" w:rsidP="00617C56">
      <w:pPr>
        <w:widowControl w:val="0"/>
        <w:spacing w:after="0" w:line="240" w:lineRule="auto"/>
        <w:jc w:val="both"/>
        <w:rPr>
          <w:rFonts w:ascii="Times New Roman" w:hAnsi="Times New Roman" w:cs="Times New Roman"/>
          <w:sz w:val="24"/>
          <w:szCs w:val="24"/>
        </w:rPr>
      </w:pPr>
    </w:p>
    <w:p w:rsidR="00922AB9" w:rsidRDefault="00922AB9" w:rsidP="00617C56">
      <w:pPr>
        <w:widowControl w:val="0"/>
        <w:spacing w:after="0" w:line="240" w:lineRule="auto"/>
        <w:jc w:val="both"/>
        <w:rPr>
          <w:rFonts w:ascii="Times New Roman" w:hAnsi="Times New Roman" w:cs="Times New Roman"/>
          <w:sz w:val="24"/>
          <w:szCs w:val="24"/>
        </w:rPr>
      </w:pPr>
    </w:p>
    <w:p w:rsidR="00922AB9" w:rsidRDefault="00922AB9" w:rsidP="00617C56">
      <w:pPr>
        <w:widowControl w:val="0"/>
        <w:spacing w:after="0" w:line="240" w:lineRule="auto"/>
        <w:jc w:val="both"/>
        <w:rPr>
          <w:rFonts w:ascii="Times New Roman" w:hAnsi="Times New Roman" w:cs="Times New Roman"/>
          <w:sz w:val="24"/>
          <w:szCs w:val="24"/>
        </w:rPr>
      </w:pPr>
    </w:p>
    <w:p w:rsidR="00922AB9" w:rsidRDefault="00922AB9" w:rsidP="00617C56">
      <w:pPr>
        <w:widowControl w:val="0"/>
        <w:spacing w:after="0" w:line="240" w:lineRule="auto"/>
        <w:jc w:val="both"/>
        <w:rPr>
          <w:rFonts w:ascii="Times New Roman" w:hAnsi="Times New Roman" w:cs="Times New Roman"/>
          <w:sz w:val="24"/>
          <w:szCs w:val="24"/>
        </w:rPr>
      </w:pPr>
    </w:p>
    <w:p w:rsidR="00922AB9" w:rsidRDefault="00922AB9" w:rsidP="00617C56">
      <w:pPr>
        <w:widowControl w:val="0"/>
        <w:spacing w:after="0" w:line="240" w:lineRule="auto"/>
        <w:jc w:val="both"/>
        <w:rPr>
          <w:rFonts w:ascii="Times New Roman" w:hAnsi="Times New Roman" w:cs="Times New Roman"/>
          <w:sz w:val="24"/>
          <w:szCs w:val="24"/>
        </w:rPr>
      </w:pPr>
    </w:p>
    <w:p w:rsidR="00922AB9" w:rsidRDefault="00922AB9" w:rsidP="00617C56">
      <w:pPr>
        <w:widowControl w:val="0"/>
        <w:spacing w:after="0" w:line="240" w:lineRule="auto"/>
        <w:jc w:val="both"/>
        <w:rPr>
          <w:rFonts w:ascii="Times New Roman" w:hAnsi="Times New Roman" w:cs="Times New Roman"/>
          <w:sz w:val="24"/>
          <w:szCs w:val="24"/>
        </w:rPr>
      </w:pPr>
    </w:p>
    <w:p w:rsidR="00922AB9" w:rsidRDefault="00922AB9" w:rsidP="00617C56">
      <w:pPr>
        <w:widowControl w:val="0"/>
        <w:spacing w:after="0" w:line="240" w:lineRule="auto"/>
        <w:jc w:val="both"/>
        <w:rPr>
          <w:rFonts w:ascii="Times New Roman" w:hAnsi="Times New Roman" w:cs="Times New Roman"/>
          <w:sz w:val="24"/>
          <w:szCs w:val="24"/>
        </w:rPr>
      </w:pPr>
    </w:p>
    <w:p w:rsidR="00922AB9" w:rsidRDefault="00922AB9" w:rsidP="00617C56">
      <w:pPr>
        <w:widowControl w:val="0"/>
        <w:spacing w:after="0" w:line="240" w:lineRule="auto"/>
        <w:jc w:val="both"/>
        <w:rPr>
          <w:rFonts w:ascii="Times New Roman" w:hAnsi="Times New Roman" w:cs="Times New Roman"/>
          <w:sz w:val="24"/>
          <w:szCs w:val="24"/>
        </w:rPr>
      </w:pPr>
    </w:p>
    <w:p w:rsidR="00922AB9" w:rsidRDefault="00922AB9" w:rsidP="00617C56">
      <w:pPr>
        <w:widowControl w:val="0"/>
        <w:spacing w:after="0" w:line="240" w:lineRule="auto"/>
        <w:jc w:val="both"/>
        <w:rPr>
          <w:rFonts w:ascii="Times New Roman" w:hAnsi="Times New Roman" w:cs="Times New Roman"/>
          <w:sz w:val="24"/>
          <w:szCs w:val="24"/>
        </w:rPr>
      </w:pPr>
    </w:p>
    <w:p w:rsidR="00922AB9" w:rsidRDefault="00922AB9" w:rsidP="00617C56">
      <w:pPr>
        <w:widowControl w:val="0"/>
        <w:spacing w:after="0" w:line="240" w:lineRule="auto"/>
        <w:jc w:val="both"/>
        <w:rPr>
          <w:rFonts w:ascii="Times New Roman" w:hAnsi="Times New Roman" w:cs="Times New Roman"/>
          <w:sz w:val="24"/>
          <w:szCs w:val="24"/>
        </w:rPr>
      </w:pPr>
    </w:p>
    <w:p w:rsidR="00922AB9" w:rsidRDefault="00922AB9" w:rsidP="00617C56">
      <w:pPr>
        <w:widowControl w:val="0"/>
        <w:spacing w:after="0" w:line="240" w:lineRule="auto"/>
        <w:jc w:val="both"/>
        <w:rPr>
          <w:rFonts w:ascii="Times New Roman" w:hAnsi="Times New Roman" w:cs="Times New Roman"/>
          <w:sz w:val="24"/>
          <w:szCs w:val="24"/>
        </w:rPr>
      </w:pPr>
    </w:p>
    <w:p w:rsidR="00922AB9" w:rsidRDefault="00922AB9" w:rsidP="00617C56">
      <w:pPr>
        <w:widowControl w:val="0"/>
        <w:spacing w:after="0" w:line="240" w:lineRule="auto"/>
        <w:jc w:val="both"/>
        <w:rPr>
          <w:rFonts w:ascii="Times New Roman" w:hAnsi="Times New Roman" w:cs="Times New Roman"/>
          <w:sz w:val="24"/>
          <w:szCs w:val="24"/>
        </w:rPr>
      </w:pPr>
    </w:p>
    <w:p w:rsidR="00922AB9" w:rsidRDefault="00922AB9" w:rsidP="00617C56">
      <w:pPr>
        <w:widowControl w:val="0"/>
        <w:spacing w:after="0" w:line="240" w:lineRule="auto"/>
        <w:jc w:val="both"/>
        <w:rPr>
          <w:rFonts w:ascii="Times New Roman" w:hAnsi="Times New Roman" w:cs="Times New Roman"/>
          <w:sz w:val="24"/>
          <w:szCs w:val="24"/>
        </w:rPr>
      </w:pPr>
    </w:p>
    <w:sectPr w:rsidR="00922AB9" w:rsidSect="00777025">
      <w:headerReference w:type="default" r:id="rId8"/>
      <w:headerReference w:type="first" r:id="rId9"/>
      <w:pgSz w:w="16838" w:h="11906" w:orient="landscape"/>
      <w:pgMar w:top="1699" w:right="1699" w:bottom="562" w:left="1138"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4BF" w:rsidRDefault="00D974BF" w:rsidP="00777025">
      <w:pPr>
        <w:spacing w:after="0" w:line="240" w:lineRule="auto"/>
      </w:pPr>
      <w:r>
        <w:separator/>
      </w:r>
    </w:p>
  </w:endnote>
  <w:endnote w:type="continuationSeparator" w:id="0">
    <w:p w:rsidR="00D974BF" w:rsidRDefault="00D974BF" w:rsidP="00777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4BF" w:rsidRDefault="00D974BF" w:rsidP="00777025">
      <w:pPr>
        <w:spacing w:after="0" w:line="240" w:lineRule="auto"/>
      </w:pPr>
      <w:r>
        <w:separator/>
      </w:r>
    </w:p>
  </w:footnote>
  <w:footnote w:type="continuationSeparator" w:id="0">
    <w:p w:rsidR="00D974BF" w:rsidRDefault="00D974BF" w:rsidP="00777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766718"/>
      <w:docPartObj>
        <w:docPartGallery w:val="Page Numbers (Top of Page)"/>
        <w:docPartUnique/>
      </w:docPartObj>
    </w:sdtPr>
    <w:sdtEndPr/>
    <w:sdtContent>
      <w:p w:rsidR="00777025" w:rsidRDefault="00777025">
        <w:pPr>
          <w:pStyle w:val="Header"/>
          <w:jc w:val="center"/>
        </w:pPr>
        <w:r>
          <w:fldChar w:fldCharType="begin"/>
        </w:r>
        <w:r>
          <w:instrText>PAGE   \* MERGEFORMAT</w:instrText>
        </w:r>
        <w:r>
          <w:fldChar w:fldCharType="separate"/>
        </w:r>
        <w:r w:rsidR="002C2872">
          <w:rPr>
            <w:noProof/>
          </w:rPr>
          <w:t>2</w:t>
        </w:r>
        <w:r>
          <w:fldChar w:fldCharType="end"/>
        </w:r>
      </w:p>
    </w:sdtContent>
  </w:sdt>
  <w:p w:rsidR="00777025" w:rsidRDefault="00777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675836"/>
      <w:docPartObj>
        <w:docPartGallery w:val="Page Numbers (Top of Page)"/>
        <w:docPartUnique/>
      </w:docPartObj>
    </w:sdtPr>
    <w:sdtEndPr/>
    <w:sdtContent>
      <w:p w:rsidR="00617C56" w:rsidRDefault="00617C56">
        <w:pPr>
          <w:pStyle w:val="Header"/>
          <w:jc w:val="center"/>
        </w:pPr>
        <w:r>
          <w:fldChar w:fldCharType="begin"/>
        </w:r>
        <w:r>
          <w:instrText>PAGE   \* MERGEFORMAT</w:instrText>
        </w:r>
        <w:r>
          <w:fldChar w:fldCharType="separate"/>
        </w:r>
        <w:r w:rsidR="002C2872">
          <w:rPr>
            <w:noProof/>
          </w:rPr>
          <w:t>1</w:t>
        </w:r>
        <w:r>
          <w:fldChar w:fldCharType="end"/>
        </w:r>
      </w:p>
    </w:sdtContent>
  </w:sdt>
  <w:p w:rsidR="00617C56" w:rsidRDefault="00617C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6448"/>
    <w:multiLevelType w:val="hybridMultilevel"/>
    <w:tmpl w:val="474E0E7E"/>
    <w:lvl w:ilvl="0" w:tplc="FD1A57A2">
      <w:start w:val="4"/>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6E1820"/>
    <w:multiLevelType w:val="hybridMultilevel"/>
    <w:tmpl w:val="B3C8B42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CBB0F0E"/>
    <w:multiLevelType w:val="multilevel"/>
    <w:tmpl w:val="A23EA8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5B61EDF"/>
    <w:multiLevelType w:val="hybridMultilevel"/>
    <w:tmpl w:val="F638665A"/>
    <w:lvl w:ilvl="0" w:tplc="48EABE10">
      <w:start w:val="4"/>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5A3616"/>
    <w:multiLevelType w:val="hybridMultilevel"/>
    <w:tmpl w:val="A4DABC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E9232C"/>
    <w:multiLevelType w:val="hybridMultilevel"/>
    <w:tmpl w:val="E5DCB624"/>
    <w:lvl w:ilvl="0" w:tplc="04AEEAA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A729D2"/>
    <w:multiLevelType w:val="hybridMultilevel"/>
    <w:tmpl w:val="76389F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EC1DDE"/>
    <w:multiLevelType w:val="hybridMultilevel"/>
    <w:tmpl w:val="B0C4DF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3712F84"/>
    <w:multiLevelType w:val="hybridMultilevel"/>
    <w:tmpl w:val="BE8ED074"/>
    <w:lvl w:ilvl="0" w:tplc="AB78CD98">
      <w:start w:val="4"/>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E72686B"/>
    <w:multiLevelType w:val="hybridMultilevel"/>
    <w:tmpl w:val="1D5E1A1A"/>
    <w:lvl w:ilvl="0" w:tplc="04270015">
      <w:start w:val="1"/>
      <w:numFmt w:val="upperLetter"/>
      <w:lvlText w:val="%1."/>
      <w:lvlJc w:val="left"/>
      <w:pPr>
        <w:ind w:left="720" w:hanging="360"/>
      </w:pPr>
      <w:rPr>
        <w:rFonts w:hint="default"/>
      </w:rPr>
    </w:lvl>
    <w:lvl w:ilvl="1" w:tplc="04270019">
      <w:start w:val="1"/>
      <w:numFmt w:val="lowerLetter"/>
      <w:lvlText w:val="%2."/>
      <w:lvlJc w:val="left"/>
      <w:pPr>
        <w:ind w:left="1440" w:hanging="360"/>
      </w:pPr>
    </w:lvl>
    <w:lvl w:ilvl="2" w:tplc="E10C3F04">
      <w:start w:val="45"/>
      <w:numFmt w:val="bullet"/>
      <w:lvlText w:val="-"/>
      <w:lvlJc w:val="left"/>
      <w:pPr>
        <w:ind w:left="2340" w:hanging="360"/>
      </w:pPr>
      <w:rPr>
        <w:rFonts w:ascii="Times New Roman" w:eastAsiaTheme="minorHAnsi" w:hAnsi="Times New Roman" w:cs="Times New Roman"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164CC4"/>
    <w:multiLevelType w:val="multilevel"/>
    <w:tmpl w:val="62B41E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EC6491F"/>
    <w:multiLevelType w:val="multilevel"/>
    <w:tmpl w:val="CAE8A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867224"/>
    <w:multiLevelType w:val="multilevel"/>
    <w:tmpl w:val="D1FAFE5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5C98701F"/>
    <w:multiLevelType w:val="hybridMultilevel"/>
    <w:tmpl w:val="3FA89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19978D9"/>
    <w:multiLevelType w:val="multilevel"/>
    <w:tmpl w:val="CBF2A568"/>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634313F"/>
    <w:multiLevelType w:val="hybridMultilevel"/>
    <w:tmpl w:val="FB941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FE7385"/>
    <w:multiLevelType w:val="hybridMultilevel"/>
    <w:tmpl w:val="ACBEA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735E63"/>
    <w:multiLevelType w:val="multilevel"/>
    <w:tmpl w:val="B224B6E4"/>
    <w:lvl w:ilvl="0">
      <w:start w:val="89"/>
      <w:numFmt w:val="decimal"/>
      <w:lvlText w:val="%1."/>
      <w:lvlJc w:val="left"/>
      <w:pPr>
        <w:ind w:left="1211" w:hanging="360"/>
      </w:pPr>
      <w:rPr>
        <w:rFonts w:hint="default"/>
        <w:b w:val="0"/>
        <w:i w:val="0"/>
      </w:rPr>
    </w:lvl>
    <w:lvl w:ilvl="1">
      <w:start w:val="1"/>
      <w:numFmt w:val="decimal"/>
      <w:lvlText w:val="%1.%2."/>
      <w:lvlJc w:val="left"/>
      <w:pPr>
        <w:ind w:left="1000"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A307C00"/>
    <w:multiLevelType w:val="hybridMultilevel"/>
    <w:tmpl w:val="C590C348"/>
    <w:lvl w:ilvl="0" w:tplc="5A3E83D4">
      <w:start w:val="1"/>
      <w:numFmt w:val="bullet"/>
      <w:lvlText w:val="•"/>
      <w:lvlJc w:val="left"/>
      <w:pPr>
        <w:ind w:left="763"/>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D52217C8">
      <w:start w:val="1"/>
      <w:numFmt w:val="bullet"/>
      <w:lvlText w:val="o"/>
      <w:lvlJc w:val="left"/>
      <w:pPr>
        <w:ind w:left="150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B430028A">
      <w:start w:val="1"/>
      <w:numFmt w:val="bullet"/>
      <w:lvlText w:val="▪"/>
      <w:lvlJc w:val="left"/>
      <w:pPr>
        <w:ind w:left="222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A77001EA">
      <w:start w:val="1"/>
      <w:numFmt w:val="bullet"/>
      <w:lvlText w:val="•"/>
      <w:lvlJc w:val="left"/>
      <w:pPr>
        <w:ind w:left="294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E02A5A86">
      <w:start w:val="1"/>
      <w:numFmt w:val="bullet"/>
      <w:lvlText w:val="o"/>
      <w:lvlJc w:val="left"/>
      <w:pPr>
        <w:ind w:left="366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55DC4DC0">
      <w:start w:val="1"/>
      <w:numFmt w:val="bullet"/>
      <w:lvlText w:val="▪"/>
      <w:lvlJc w:val="left"/>
      <w:pPr>
        <w:ind w:left="438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3A22B9AA">
      <w:start w:val="1"/>
      <w:numFmt w:val="bullet"/>
      <w:lvlText w:val="•"/>
      <w:lvlJc w:val="left"/>
      <w:pPr>
        <w:ind w:left="510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1CD22DE4">
      <w:start w:val="1"/>
      <w:numFmt w:val="bullet"/>
      <w:lvlText w:val="o"/>
      <w:lvlJc w:val="left"/>
      <w:pPr>
        <w:ind w:left="582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DAEACA42">
      <w:start w:val="1"/>
      <w:numFmt w:val="bullet"/>
      <w:lvlText w:val="▪"/>
      <w:lvlJc w:val="left"/>
      <w:pPr>
        <w:ind w:left="654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19" w15:restartNumberingAfterBreak="0">
    <w:nsid w:val="6CB365AD"/>
    <w:multiLevelType w:val="hybridMultilevel"/>
    <w:tmpl w:val="9D2C41BA"/>
    <w:lvl w:ilvl="0" w:tplc="0F4E5EA6">
      <w:start w:val="1"/>
      <w:numFmt w:val="decimal"/>
      <w:lvlText w:val="%1."/>
      <w:lvlJc w:val="left"/>
      <w:pPr>
        <w:ind w:left="81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32A6DE9"/>
    <w:multiLevelType w:val="hybridMultilevel"/>
    <w:tmpl w:val="BD8074DA"/>
    <w:lvl w:ilvl="0" w:tplc="722C7DD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86F07C">
      <w:start w:val="2"/>
      <w:numFmt w:val="decimal"/>
      <w:lvlText w:val="%2."/>
      <w:lvlJc w:val="left"/>
      <w:pPr>
        <w:ind w:left="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40BD28">
      <w:start w:val="1"/>
      <w:numFmt w:val="lowerRoman"/>
      <w:lvlText w:val="%3"/>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3A4CF2">
      <w:start w:val="1"/>
      <w:numFmt w:val="decimal"/>
      <w:lvlText w:val="%4"/>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42F856">
      <w:start w:val="1"/>
      <w:numFmt w:val="lowerLetter"/>
      <w:lvlText w:val="%5"/>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0049E4">
      <w:start w:val="1"/>
      <w:numFmt w:val="lowerRoman"/>
      <w:lvlText w:val="%6"/>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06BF76">
      <w:start w:val="1"/>
      <w:numFmt w:val="decimal"/>
      <w:lvlText w:val="%7"/>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FAEF1C">
      <w:start w:val="1"/>
      <w:numFmt w:val="lowerLetter"/>
      <w:lvlText w:val="%8"/>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245708">
      <w:start w:val="1"/>
      <w:numFmt w:val="lowerRoman"/>
      <w:lvlText w:val="%9"/>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A270DD5"/>
    <w:multiLevelType w:val="hybridMultilevel"/>
    <w:tmpl w:val="5E58E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811873"/>
    <w:multiLevelType w:val="multilevel"/>
    <w:tmpl w:val="7708CD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E5A1CBF"/>
    <w:multiLevelType w:val="hybridMultilevel"/>
    <w:tmpl w:val="F0F695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17"/>
  </w:num>
  <w:num w:numId="3">
    <w:abstractNumId w:val="23"/>
  </w:num>
  <w:num w:numId="4">
    <w:abstractNumId w:val="19"/>
  </w:num>
  <w:num w:numId="5">
    <w:abstractNumId w:val="1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
  </w:num>
  <w:num w:numId="13">
    <w:abstractNumId w:val="8"/>
  </w:num>
  <w:num w:numId="14">
    <w:abstractNumId w:val="0"/>
  </w:num>
  <w:num w:numId="15">
    <w:abstractNumId w:val="12"/>
  </w:num>
  <w:num w:numId="16">
    <w:abstractNumId w:val="9"/>
  </w:num>
  <w:num w:numId="17">
    <w:abstractNumId w:val="4"/>
  </w:num>
  <w:num w:numId="18">
    <w:abstractNumId w:val="15"/>
  </w:num>
  <w:num w:numId="19">
    <w:abstractNumId w:val="21"/>
  </w:num>
  <w:num w:numId="20">
    <w:abstractNumId w:val="16"/>
  </w:num>
  <w:num w:numId="21">
    <w:abstractNumId w:val="18"/>
  </w:num>
  <w:num w:numId="22">
    <w:abstractNumId w:val="20"/>
  </w:num>
  <w:num w:numId="23">
    <w:abstractNumId w:val="5"/>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F0D"/>
    <w:rsid w:val="00033D03"/>
    <w:rsid w:val="00034FFA"/>
    <w:rsid w:val="00051494"/>
    <w:rsid w:val="00055B28"/>
    <w:rsid w:val="00062DFD"/>
    <w:rsid w:val="00066C1F"/>
    <w:rsid w:val="000712A5"/>
    <w:rsid w:val="00084DBB"/>
    <w:rsid w:val="000853B8"/>
    <w:rsid w:val="000869AF"/>
    <w:rsid w:val="000908E6"/>
    <w:rsid w:val="000A496D"/>
    <w:rsid w:val="000A6594"/>
    <w:rsid w:val="000B693B"/>
    <w:rsid w:val="000B706C"/>
    <w:rsid w:val="000C2DF2"/>
    <w:rsid w:val="000C7F3F"/>
    <w:rsid w:val="000E0FE8"/>
    <w:rsid w:val="001063E0"/>
    <w:rsid w:val="00120DD4"/>
    <w:rsid w:val="001252F3"/>
    <w:rsid w:val="00142AE9"/>
    <w:rsid w:val="001456F5"/>
    <w:rsid w:val="00162D85"/>
    <w:rsid w:val="00163B35"/>
    <w:rsid w:val="00166B93"/>
    <w:rsid w:val="00177A88"/>
    <w:rsid w:val="001C0289"/>
    <w:rsid w:val="001D457B"/>
    <w:rsid w:val="001E03AC"/>
    <w:rsid w:val="001E4C1E"/>
    <w:rsid w:val="001F3B6F"/>
    <w:rsid w:val="001F4820"/>
    <w:rsid w:val="001F5146"/>
    <w:rsid w:val="00202A39"/>
    <w:rsid w:val="00230506"/>
    <w:rsid w:val="00243F0C"/>
    <w:rsid w:val="0025097A"/>
    <w:rsid w:val="0025376C"/>
    <w:rsid w:val="00265236"/>
    <w:rsid w:val="00270978"/>
    <w:rsid w:val="0027606E"/>
    <w:rsid w:val="00281C7B"/>
    <w:rsid w:val="002838C3"/>
    <w:rsid w:val="002858B4"/>
    <w:rsid w:val="00297EEB"/>
    <w:rsid w:val="002A51F3"/>
    <w:rsid w:val="002B7AB5"/>
    <w:rsid w:val="002C2032"/>
    <w:rsid w:val="002C2872"/>
    <w:rsid w:val="002C5C90"/>
    <w:rsid w:val="002E42D8"/>
    <w:rsid w:val="002E604B"/>
    <w:rsid w:val="002F2D41"/>
    <w:rsid w:val="003002C0"/>
    <w:rsid w:val="003111C1"/>
    <w:rsid w:val="003132DD"/>
    <w:rsid w:val="0031740B"/>
    <w:rsid w:val="00335573"/>
    <w:rsid w:val="00335E1A"/>
    <w:rsid w:val="0034649E"/>
    <w:rsid w:val="00347D23"/>
    <w:rsid w:val="00352EE9"/>
    <w:rsid w:val="003568F3"/>
    <w:rsid w:val="00356EB6"/>
    <w:rsid w:val="0036013E"/>
    <w:rsid w:val="00363614"/>
    <w:rsid w:val="00370A5B"/>
    <w:rsid w:val="00384103"/>
    <w:rsid w:val="00385ED4"/>
    <w:rsid w:val="00387176"/>
    <w:rsid w:val="003A08DA"/>
    <w:rsid w:val="003A511D"/>
    <w:rsid w:val="003B2C7C"/>
    <w:rsid w:val="003E2F04"/>
    <w:rsid w:val="003E56F3"/>
    <w:rsid w:val="003E753D"/>
    <w:rsid w:val="00401FF9"/>
    <w:rsid w:val="00416AEA"/>
    <w:rsid w:val="00425205"/>
    <w:rsid w:val="0044437C"/>
    <w:rsid w:val="00446C05"/>
    <w:rsid w:val="0045583D"/>
    <w:rsid w:val="00463ACD"/>
    <w:rsid w:val="00464776"/>
    <w:rsid w:val="0047237D"/>
    <w:rsid w:val="004829AC"/>
    <w:rsid w:val="00485FA3"/>
    <w:rsid w:val="00496A56"/>
    <w:rsid w:val="004A0A34"/>
    <w:rsid w:val="004C00FD"/>
    <w:rsid w:val="004C254F"/>
    <w:rsid w:val="004C4549"/>
    <w:rsid w:val="004C5DEA"/>
    <w:rsid w:val="004D1789"/>
    <w:rsid w:val="004F0FBA"/>
    <w:rsid w:val="005049C3"/>
    <w:rsid w:val="00507112"/>
    <w:rsid w:val="005111AB"/>
    <w:rsid w:val="0051352A"/>
    <w:rsid w:val="00516848"/>
    <w:rsid w:val="00522C83"/>
    <w:rsid w:val="00562C23"/>
    <w:rsid w:val="005648D5"/>
    <w:rsid w:val="00573791"/>
    <w:rsid w:val="00580036"/>
    <w:rsid w:val="00583A74"/>
    <w:rsid w:val="00586BCC"/>
    <w:rsid w:val="005A36B4"/>
    <w:rsid w:val="005A6A03"/>
    <w:rsid w:val="005A6DF3"/>
    <w:rsid w:val="005B229B"/>
    <w:rsid w:val="005C7E6D"/>
    <w:rsid w:val="005D3B6A"/>
    <w:rsid w:val="005D42E8"/>
    <w:rsid w:val="005D6F4A"/>
    <w:rsid w:val="00602F63"/>
    <w:rsid w:val="00606663"/>
    <w:rsid w:val="00606C19"/>
    <w:rsid w:val="00613348"/>
    <w:rsid w:val="00617C56"/>
    <w:rsid w:val="006400DC"/>
    <w:rsid w:val="0065168F"/>
    <w:rsid w:val="00652493"/>
    <w:rsid w:val="00654CAB"/>
    <w:rsid w:val="00654FFE"/>
    <w:rsid w:val="00656B38"/>
    <w:rsid w:val="00664F1A"/>
    <w:rsid w:val="00666C76"/>
    <w:rsid w:val="00692D1B"/>
    <w:rsid w:val="006A0FD6"/>
    <w:rsid w:val="006A557C"/>
    <w:rsid w:val="006A55FD"/>
    <w:rsid w:val="006B270A"/>
    <w:rsid w:val="006B3E99"/>
    <w:rsid w:val="006B5552"/>
    <w:rsid w:val="006B69D3"/>
    <w:rsid w:val="006C0D4F"/>
    <w:rsid w:val="006D170E"/>
    <w:rsid w:val="006D27A4"/>
    <w:rsid w:val="006D742B"/>
    <w:rsid w:val="006E0AAC"/>
    <w:rsid w:val="006E3C48"/>
    <w:rsid w:val="006F1A3B"/>
    <w:rsid w:val="006F26C5"/>
    <w:rsid w:val="006F46B9"/>
    <w:rsid w:val="006F4B14"/>
    <w:rsid w:val="006F5411"/>
    <w:rsid w:val="00702FFA"/>
    <w:rsid w:val="00704AF8"/>
    <w:rsid w:val="00712EA0"/>
    <w:rsid w:val="00733102"/>
    <w:rsid w:val="007573E3"/>
    <w:rsid w:val="00764646"/>
    <w:rsid w:val="00764885"/>
    <w:rsid w:val="00777025"/>
    <w:rsid w:val="00780910"/>
    <w:rsid w:val="007915D6"/>
    <w:rsid w:val="007957DA"/>
    <w:rsid w:val="007A1CF2"/>
    <w:rsid w:val="007D0168"/>
    <w:rsid w:val="007D34F9"/>
    <w:rsid w:val="007D7042"/>
    <w:rsid w:val="007E0CFE"/>
    <w:rsid w:val="007E69B3"/>
    <w:rsid w:val="007F2186"/>
    <w:rsid w:val="00822272"/>
    <w:rsid w:val="0083766C"/>
    <w:rsid w:val="00860124"/>
    <w:rsid w:val="00871D1C"/>
    <w:rsid w:val="008735DF"/>
    <w:rsid w:val="00877216"/>
    <w:rsid w:val="0087785A"/>
    <w:rsid w:val="008836C9"/>
    <w:rsid w:val="00886C7E"/>
    <w:rsid w:val="008A2030"/>
    <w:rsid w:val="008B2F17"/>
    <w:rsid w:val="008B35E6"/>
    <w:rsid w:val="008C248C"/>
    <w:rsid w:val="008C4417"/>
    <w:rsid w:val="008F2100"/>
    <w:rsid w:val="00901891"/>
    <w:rsid w:val="00906830"/>
    <w:rsid w:val="009072E8"/>
    <w:rsid w:val="00920985"/>
    <w:rsid w:val="00922AB9"/>
    <w:rsid w:val="00923187"/>
    <w:rsid w:val="009264B5"/>
    <w:rsid w:val="00943F40"/>
    <w:rsid w:val="00952D89"/>
    <w:rsid w:val="009567FB"/>
    <w:rsid w:val="00963CFD"/>
    <w:rsid w:val="00964D98"/>
    <w:rsid w:val="0097169F"/>
    <w:rsid w:val="00973C61"/>
    <w:rsid w:val="009800A0"/>
    <w:rsid w:val="00986343"/>
    <w:rsid w:val="0098679B"/>
    <w:rsid w:val="009876E7"/>
    <w:rsid w:val="0099342A"/>
    <w:rsid w:val="00993532"/>
    <w:rsid w:val="009A519F"/>
    <w:rsid w:val="009A73C1"/>
    <w:rsid w:val="009D2EEF"/>
    <w:rsid w:val="009E15AA"/>
    <w:rsid w:val="009E5EA4"/>
    <w:rsid w:val="009F7F65"/>
    <w:rsid w:val="00A01473"/>
    <w:rsid w:val="00A06917"/>
    <w:rsid w:val="00A20671"/>
    <w:rsid w:val="00A35EA6"/>
    <w:rsid w:val="00A37A9F"/>
    <w:rsid w:val="00A437DE"/>
    <w:rsid w:val="00A50B41"/>
    <w:rsid w:val="00A54AE6"/>
    <w:rsid w:val="00A72B97"/>
    <w:rsid w:val="00A856E8"/>
    <w:rsid w:val="00A8700F"/>
    <w:rsid w:val="00A919BF"/>
    <w:rsid w:val="00A924F7"/>
    <w:rsid w:val="00A9728D"/>
    <w:rsid w:val="00A97AD2"/>
    <w:rsid w:val="00AA01C3"/>
    <w:rsid w:val="00AA6DBB"/>
    <w:rsid w:val="00AA7688"/>
    <w:rsid w:val="00AB20CC"/>
    <w:rsid w:val="00AB249F"/>
    <w:rsid w:val="00AC3F08"/>
    <w:rsid w:val="00AD12D9"/>
    <w:rsid w:val="00AD77DC"/>
    <w:rsid w:val="00AE3F36"/>
    <w:rsid w:val="00AF2CF9"/>
    <w:rsid w:val="00B14CE3"/>
    <w:rsid w:val="00B17DE2"/>
    <w:rsid w:val="00B2078E"/>
    <w:rsid w:val="00B524AF"/>
    <w:rsid w:val="00B651F8"/>
    <w:rsid w:val="00B75375"/>
    <w:rsid w:val="00B8384C"/>
    <w:rsid w:val="00B83B20"/>
    <w:rsid w:val="00B8678C"/>
    <w:rsid w:val="00B90720"/>
    <w:rsid w:val="00B93020"/>
    <w:rsid w:val="00B95252"/>
    <w:rsid w:val="00B96C37"/>
    <w:rsid w:val="00BA32FF"/>
    <w:rsid w:val="00BA3F0D"/>
    <w:rsid w:val="00BB4D3C"/>
    <w:rsid w:val="00BB62DE"/>
    <w:rsid w:val="00BC1A7C"/>
    <w:rsid w:val="00BC591E"/>
    <w:rsid w:val="00BD57EF"/>
    <w:rsid w:val="00BF6BEC"/>
    <w:rsid w:val="00C2175F"/>
    <w:rsid w:val="00C22B1F"/>
    <w:rsid w:val="00C315A4"/>
    <w:rsid w:val="00C33D23"/>
    <w:rsid w:val="00C33FE0"/>
    <w:rsid w:val="00C47419"/>
    <w:rsid w:val="00C47F90"/>
    <w:rsid w:val="00C53032"/>
    <w:rsid w:val="00C540C7"/>
    <w:rsid w:val="00C60D77"/>
    <w:rsid w:val="00C64C66"/>
    <w:rsid w:val="00C947C0"/>
    <w:rsid w:val="00C97EA2"/>
    <w:rsid w:val="00CC0127"/>
    <w:rsid w:val="00CC2FD6"/>
    <w:rsid w:val="00CD2F5C"/>
    <w:rsid w:val="00CD341A"/>
    <w:rsid w:val="00CE4BCA"/>
    <w:rsid w:val="00CF0986"/>
    <w:rsid w:val="00D13392"/>
    <w:rsid w:val="00D37141"/>
    <w:rsid w:val="00D42B6C"/>
    <w:rsid w:val="00D53711"/>
    <w:rsid w:val="00D62468"/>
    <w:rsid w:val="00D650AA"/>
    <w:rsid w:val="00D70901"/>
    <w:rsid w:val="00D83F32"/>
    <w:rsid w:val="00D863A4"/>
    <w:rsid w:val="00D905AB"/>
    <w:rsid w:val="00D90EFF"/>
    <w:rsid w:val="00D974BF"/>
    <w:rsid w:val="00DB1FCC"/>
    <w:rsid w:val="00DB496D"/>
    <w:rsid w:val="00DC2B1B"/>
    <w:rsid w:val="00DC6E63"/>
    <w:rsid w:val="00DD5607"/>
    <w:rsid w:val="00DD6356"/>
    <w:rsid w:val="00DD6454"/>
    <w:rsid w:val="00DE4737"/>
    <w:rsid w:val="00DF0F96"/>
    <w:rsid w:val="00DF671C"/>
    <w:rsid w:val="00E0270F"/>
    <w:rsid w:val="00E15ACE"/>
    <w:rsid w:val="00E15BD9"/>
    <w:rsid w:val="00E26566"/>
    <w:rsid w:val="00E441A4"/>
    <w:rsid w:val="00E51F29"/>
    <w:rsid w:val="00E62BAB"/>
    <w:rsid w:val="00E70094"/>
    <w:rsid w:val="00E83815"/>
    <w:rsid w:val="00E847C4"/>
    <w:rsid w:val="00E92242"/>
    <w:rsid w:val="00E94935"/>
    <w:rsid w:val="00E96E46"/>
    <w:rsid w:val="00E971AB"/>
    <w:rsid w:val="00EA4919"/>
    <w:rsid w:val="00EA5CDC"/>
    <w:rsid w:val="00EB6241"/>
    <w:rsid w:val="00EB66F2"/>
    <w:rsid w:val="00EC21AE"/>
    <w:rsid w:val="00EE1F51"/>
    <w:rsid w:val="00EE21CB"/>
    <w:rsid w:val="00EE5914"/>
    <w:rsid w:val="00F060EB"/>
    <w:rsid w:val="00F1202D"/>
    <w:rsid w:val="00F15016"/>
    <w:rsid w:val="00F1567B"/>
    <w:rsid w:val="00F21AD3"/>
    <w:rsid w:val="00F254DD"/>
    <w:rsid w:val="00F32FDA"/>
    <w:rsid w:val="00F47FC1"/>
    <w:rsid w:val="00F6073D"/>
    <w:rsid w:val="00F6129C"/>
    <w:rsid w:val="00F631C4"/>
    <w:rsid w:val="00F70DD0"/>
    <w:rsid w:val="00F76567"/>
    <w:rsid w:val="00F8022F"/>
    <w:rsid w:val="00F86578"/>
    <w:rsid w:val="00FA0A50"/>
    <w:rsid w:val="00FA2C40"/>
    <w:rsid w:val="00FA7172"/>
    <w:rsid w:val="00FB1530"/>
    <w:rsid w:val="00FB2FA8"/>
    <w:rsid w:val="00FC2A3D"/>
    <w:rsid w:val="00FE227A"/>
    <w:rsid w:val="00FE3E23"/>
    <w:rsid w:val="00FF72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0835"/>
  <w15:chartTrackingRefBased/>
  <w15:docId w15:val="{595EDC21-7A0A-4049-8D92-FE5E468B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F0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
    <w:basedOn w:val="Normal"/>
    <w:link w:val="ListParagraphChar"/>
    <w:uiPriority w:val="34"/>
    <w:qFormat/>
    <w:rsid w:val="00F32FDA"/>
    <w:pPr>
      <w:ind w:left="720"/>
      <w:contextualSpacing/>
    </w:pPr>
  </w:style>
  <w:style w:type="paragraph" w:styleId="BalloonText">
    <w:name w:val="Balloon Text"/>
    <w:basedOn w:val="Normal"/>
    <w:link w:val="BalloonTextChar"/>
    <w:uiPriority w:val="99"/>
    <w:semiHidden/>
    <w:unhideWhenUsed/>
    <w:rsid w:val="00EA5C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CDC"/>
    <w:rPr>
      <w:rFonts w:ascii="Segoe UI" w:hAnsi="Segoe UI" w:cs="Segoe UI"/>
      <w:sz w:val="18"/>
      <w:szCs w:val="18"/>
    </w:rPr>
  </w:style>
  <w:style w:type="character" w:styleId="CommentReference">
    <w:name w:val="annotation reference"/>
    <w:uiPriority w:val="99"/>
    <w:rsid w:val="007A1CF2"/>
    <w:rPr>
      <w:rFonts w:cs="Times New Roman"/>
      <w:sz w:val="16"/>
    </w:rPr>
  </w:style>
  <w:style w:type="paragraph" w:styleId="CommentText">
    <w:name w:val="annotation text"/>
    <w:basedOn w:val="Normal"/>
    <w:link w:val="CommentTextChar"/>
    <w:uiPriority w:val="99"/>
    <w:rsid w:val="007A1CF2"/>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uiPriority w:val="99"/>
    <w:rsid w:val="007A1CF2"/>
    <w:rPr>
      <w:rFonts w:ascii="Times New Roman" w:eastAsia="Times New Roman" w:hAnsi="Times New Roman" w:cs="Times New Roman"/>
      <w:sz w:val="20"/>
      <w:szCs w:val="20"/>
      <w:lang w:eastAsia="lt-LT"/>
    </w:rPr>
  </w:style>
  <w:style w:type="character" w:styleId="Hyperlink">
    <w:name w:val="Hyperlink"/>
    <w:basedOn w:val="DefaultParagraphFont"/>
    <w:uiPriority w:val="99"/>
    <w:unhideWhenUsed/>
    <w:rsid w:val="00DB1FC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E4C1E"/>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E4C1E"/>
    <w:rPr>
      <w:rFonts w:ascii="Times New Roman" w:eastAsia="Times New Roman" w:hAnsi="Times New Roman" w:cs="Times New Roman"/>
      <w:b/>
      <w:bCs/>
      <w:sz w:val="20"/>
      <w:szCs w:val="20"/>
      <w:lang w:eastAsia="lt-LT"/>
    </w:rPr>
  </w:style>
  <w:style w:type="paragraph" w:styleId="Header">
    <w:name w:val="header"/>
    <w:basedOn w:val="Normal"/>
    <w:link w:val="HeaderChar"/>
    <w:uiPriority w:val="99"/>
    <w:unhideWhenUsed/>
    <w:rsid w:val="00777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025"/>
  </w:style>
  <w:style w:type="paragraph" w:styleId="Footer">
    <w:name w:val="footer"/>
    <w:basedOn w:val="Normal"/>
    <w:link w:val="FooterChar"/>
    <w:uiPriority w:val="99"/>
    <w:unhideWhenUsed/>
    <w:rsid w:val="00777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025"/>
  </w:style>
  <w:style w:type="paragraph" w:styleId="FootnoteText">
    <w:name w:val="footnote text"/>
    <w:aliases w:val="Diagrama1, Diagrama1"/>
    <w:basedOn w:val="Normal"/>
    <w:link w:val="FootnoteTextChar"/>
    <w:unhideWhenUsed/>
    <w:rsid w:val="00F060EB"/>
    <w:pPr>
      <w:spacing w:after="0" w:line="240" w:lineRule="auto"/>
    </w:pPr>
    <w:rPr>
      <w:sz w:val="20"/>
      <w:szCs w:val="20"/>
    </w:rPr>
  </w:style>
  <w:style w:type="character" w:customStyle="1" w:styleId="FootnoteTextChar">
    <w:name w:val="Footnote Text Char"/>
    <w:aliases w:val="Diagrama1 Char, Diagrama1 Char"/>
    <w:basedOn w:val="DefaultParagraphFont"/>
    <w:link w:val="FootnoteText"/>
    <w:rsid w:val="00F060EB"/>
    <w:rPr>
      <w:sz w:val="20"/>
      <w:szCs w:val="20"/>
    </w:rPr>
  </w:style>
  <w:style w:type="character" w:styleId="FootnoteReference">
    <w:name w:val="footnote reference"/>
    <w:aliases w:val="Ref,de nota al pie"/>
    <w:basedOn w:val="DefaultParagraphFont"/>
    <w:unhideWhenUsed/>
    <w:rsid w:val="00F060EB"/>
    <w:rPr>
      <w:vertAlign w:val="superscript"/>
    </w:rPr>
  </w:style>
  <w:style w:type="paragraph" w:customStyle="1" w:styleId="Body">
    <w:name w:val="Body"/>
    <w:rsid w:val="00FA2C40"/>
    <w:pPr>
      <w:pBdr>
        <w:top w:val="nil"/>
        <w:left w:val="nil"/>
        <w:bottom w:val="nil"/>
        <w:right w:val="nil"/>
        <w:between w:val="nil"/>
        <w:bar w:val="nil"/>
      </w:pBdr>
      <w:tabs>
        <w:tab w:val="left" w:pos="720"/>
      </w:tabs>
      <w:suppressAutoHyphens/>
      <w:spacing w:after="0" w:line="200" w:lineRule="atLeast"/>
    </w:pPr>
    <w:rPr>
      <w:rFonts w:ascii="Times New Roman" w:eastAsia="Arial Unicode MS" w:hAnsi="Times New Roman" w:cs="Arial Unicode MS"/>
      <w:color w:val="00000A"/>
      <w:kern w:val="1"/>
      <w:sz w:val="24"/>
      <w:szCs w:val="24"/>
      <w:u w:color="00000A"/>
      <w:bdr w:val="nil"/>
      <w:lang w:eastAsia="lt-LT"/>
    </w:rPr>
  </w:style>
  <w:style w:type="character" w:customStyle="1" w:styleId="ListParagraphChar">
    <w:name w:val="List Paragraph Char"/>
    <w:aliases w:val="Table of contents numbered Char"/>
    <w:basedOn w:val="DefaultParagraphFont"/>
    <w:link w:val="ListParagraph"/>
    <w:uiPriority w:val="34"/>
    <w:locked/>
    <w:rsid w:val="00066C1F"/>
  </w:style>
  <w:style w:type="table" w:styleId="TableGrid">
    <w:name w:val="Table Grid"/>
    <w:basedOn w:val="TableNormal"/>
    <w:uiPriority w:val="39"/>
    <w:rsid w:val="00922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522C83"/>
    <w:pPr>
      <w:spacing w:after="12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22C83"/>
    <w:rPr>
      <w:rFonts w:ascii="Times New Roman" w:hAnsi="Times New Roman" w:cs="Times New Roman"/>
      <w:sz w:val="24"/>
      <w:szCs w:val="24"/>
    </w:rPr>
  </w:style>
  <w:style w:type="paragraph" w:customStyle="1" w:styleId="gmail-msolistparagraph">
    <w:name w:val="gmail-msolistparagraph"/>
    <w:basedOn w:val="Normal"/>
    <w:rsid w:val="003A511D"/>
    <w:pPr>
      <w:spacing w:before="100" w:beforeAutospacing="1" w:after="100" w:afterAutospacing="1"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718655">
      <w:bodyDiv w:val="1"/>
      <w:marLeft w:val="0"/>
      <w:marRight w:val="0"/>
      <w:marTop w:val="0"/>
      <w:marBottom w:val="0"/>
      <w:divBdr>
        <w:top w:val="none" w:sz="0" w:space="0" w:color="auto"/>
        <w:left w:val="none" w:sz="0" w:space="0" w:color="auto"/>
        <w:bottom w:val="none" w:sz="0" w:space="0" w:color="auto"/>
        <w:right w:val="none" w:sz="0" w:space="0" w:color="auto"/>
      </w:divBdr>
    </w:div>
    <w:div w:id="670371741">
      <w:bodyDiv w:val="1"/>
      <w:marLeft w:val="0"/>
      <w:marRight w:val="0"/>
      <w:marTop w:val="0"/>
      <w:marBottom w:val="0"/>
      <w:divBdr>
        <w:top w:val="none" w:sz="0" w:space="0" w:color="auto"/>
        <w:left w:val="none" w:sz="0" w:space="0" w:color="auto"/>
        <w:bottom w:val="none" w:sz="0" w:space="0" w:color="auto"/>
        <w:right w:val="none" w:sz="0" w:space="0" w:color="auto"/>
      </w:divBdr>
    </w:div>
    <w:div w:id="688524558">
      <w:bodyDiv w:val="1"/>
      <w:marLeft w:val="0"/>
      <w:marRight w:val="0"/>
      <w:marTop w:val="0"/>
      <w:marBottom w:val="0"/>
      <w:divBdr>
        <w:top w:val="none" w:sz="0" w:space="0" w:color="auto"/>
        <w:left w:val="none" w:sz="0" w:space="0" w:color="auto"/>
        <w:bottom w:val="none" w:sz="0" w:space="0" w:color="auto"/>
        <w:right w:val="none" w:sz="0" w:space="0" w:color="auto"/>
      </w:divBdr>
    </w:div>
    <w:div w:id="872765333">
      <w:bodyDiv w:val="1"/>
      <w:marLeft w:val="0"/>
      <w:marRight w:val="0"/>
      <w:marTop w:val="0"/>
      <w:marBottom w:val="0"/>
      <w:divBdr>
        <w:top w:val="none" w:sz="0" w:space="0" w:color="auto"/>
        <w:left w:val="none" w:sz="0" w:space="0" w:color="auto"/>
        <w:bottom w:val="none" w:sz="0" w:space="0" w:color="auto"/>
        <w:right w:val="none" w:sz="0" w:space="0" w:color="auto"/>
      </w:divBdr>
    </w:div>
    <w:div w:id="1022626743">
      <w:bodyDiv w:val="1"/>
      <w:marLeft w:val="0"/>
      <w:marRight w:val="0"/>
      <w:marTop w:val="0"/>
      <w:marBottom w:val="0"/>
      <w:divBdr>
        <w:top w:val="none" w:sz="0" w:space="0" w:color="auto"/>
        <w:left w:val="none" w:sz="0" w:space="0" w:color="auto"/>
        <w:bottom w:val="none" w:sz="0" w:space="0" w:color="auto"/>
        <w:right w:val="none" w:sz="0" w:space="0" w:color="auto"/>
      </w:divBdr>
    </w:div>
    <w:div w:id="1065373367">
      <w:bodyDiv w:val="1"/>
      <w:marLeft w:val="0"/>
      <w:marRight w:val="0"/>
      <w:marTop w:val="0"/>
      <w:marBottom w:val="0"/>
      <w:divBdr>
        <w:top w:val="none" w:sz="0" w:space="0" w:color="auto"/>
        <w:left w:val="none" w:sz="0" w:space="0" w:color="auto"/>
        <w:bottom w:val="none" w:sz="0" w:space="0" w:color="auto"/>
        <w:right w:val="none" w:sz="0" w:space="0" w:color="auto"/>
      </w:divBdr>
    </w:div>
    <w:div w:id="1069764084">
      <w:bodyDiv w:val="1"/>
      <w:marLeft w:val="0"/>
      <w:marRight w:val="0"/>
      <w:marTop w:val="0"/>
      <w:marBottom w:val="0"/>
      <w:divBdr>
        <w:top w:val="none" w:sz="0" w:space="0" w:color="auto"/>
        <w:left w:val="none" w:sz="0" w:space="0" w:color="auto"/>
        <w:bottom w:val="none" w:sz="0" w:space="0" w:color="auto"/>
        <w:right w:val="none" w:sz="0" w:space="0" w:color="auto"/>
      </w:divBdr>
    </w:div>
    <w:div w:id="1209802259">
      <w:bodyDiv w:val="1"/>
      <w:marLeft w:val="0"/>
      <w:marRight w:val="0"/>
      <w:marTop w:val="0"/>
      <w:marBottom w:val="0"/>
      <w:divBdr>
        <w:top w:val="none" w:sz="0" w:space="0" w:color="auto"/>
        <w:left w:val="none" w:sz="0" w:space="0" w:color="auto"/>
        <w:bottom w:val="none" w:sz="0" w:space="0" w:color="auto"/>
        <w:right w:val="none" w:sz="0" w:space="0" w:color="auto"/>
      </w:divBdr>
    </w:div>
    <w:div w:id="1286426250">
      <w:bodyDiv w:val="1"/>
      <w:marLeft w:val="0"/>
      <w:marRight w:val="0"/>
      <w:marTop w:val="0"/>
      <w:marBottom w:val="0"/>
      <w:divBdr>
        <w:top w:val="none" w:sz="0" w:space="0" w:color="auto"/>
        <w:left w:val="none" w:sz="0" w:space="0" w:color="auto"/>
        <w:bottom w:val="none" w:sz="0" w:space="0" w:color="auto"/>
        <w:right w:val="none" w:sz="0" w:space="0" w:color="auto"/>
      </w:divBdr>
    </w:div>
    <w:div w:id="1315529404">
      <w:bodyDiv w:val="1"/>
      <w:marLeft w:val="0"/>
      <w:marRight w:val="0"/>
      <w:marTop w:val="0"/>
      <w:marBottom w:val="0"/>
      <w:divBdr>
        <w:top w:val="none" w:sz="0" w:space="0" w:color="auto"/>
        <w:left w:val="none" w:sz="0" w:space="0" w:color="auto"/>
        <w:bottom w:val="none" w:sz="0" w:space="0" w:color="auto"/>
        <w:right w:val="none" w:sz="0" w:space="0" w:color="auto"/>
      </w:divBdr>
    </w:div>
    <w:div w:id="1532256466">
      <w:bodyDiv w:val="1"/>
      <w:marLeft w:val="0"/>
      <w:marRight w:val="0"/>
      <w:marTop w:val="0"/>
      <w:marBottom w:val="0"/>
      <w:divBdr>
        <w:top w:val="none" w:sz="0" w:space="0" w:color="auto"/>
        <w:left w:val="none" w:sz="0" w:space="0" w:color="auto"/>
        <w:bottom w:val="none" w:sz="0" w:space="0" w:color="auto"/>
        <w:right w:val="none" w:sz="0" w:space="0" w:color="auto"/>
      </w:divBdr>
    </w:div>
    <w:div w:id="1574393922">
      <w:bodyDiv w:val="1"/>
      <w:marLeft w:val="0"/>
      <w:marRight w:val="0"/>
      <w:marTop w:val="0"/>
      <w:marBottom w:val="0"/>
      <w:divBdr>
        <w:top w:val="none" w:sz="0" w:space="0" w:color="auto"/>
        <w:left w:val="none" w:sz="0" w:space="0" w:color="auto"/>
        <w:bottom w:val="none" w:sz="0" w:space="0" w:color="auto"/>
        <w:right w:val="none" w:sz="0" w:space="0" w:color="auto"/>
      </w:divBdr>
    </w:div>
    <w:div w:id="1656449024">
      <w:bodyDiv w:val="1"/>
      <w:marLeft w:val="0"/>
      <w:marRight w:val="0"/>
      <w:marTop w:val="0"/>
      <w:marBottom w:val="0"/>
      <w:divBdr>
        <w:top w:val="none" w:sz="0" w:space="0" w:color="auto"/>
        <w:left w:val="none" w:sz="0" w:space="0" w:color="auto"/>
        <w:bottom w:val="none" w:sz="0" w:space="0" w:color="auto"/>
        <w:right w:val="none" w:sz="0" w:space="0" w:color="auto"/>
      </w:divBdr>
    </w:div>
    <w:div w:id="1716854746">
      <w:bodyDiv w:val="1"/>
      <w:marLeft w:val="0"/>
      <w:marRight w:val="0"/>
      <w:marTop w:val="0"/>
      <w:marBottom w:val="0"/>
      <w:divBdr>
        <w:top w:val="none" w:sz="0" w:space="0" w:color="auto"/>
        <w:left w:val="none" w:sz="0" w:space="0" w:color="auto"/>
        <w:bottom w:val="none" w:sz="0" w:space="0" w:color="auto"/>
        <w:right w:val="none" w:sz="0" w:space="0" w:color="auto"/>
      </w:divBdr>
    </w:div>
    <w:div w:id="1783501633">
      <w:bodyDiv w:val="1"/>
      <w:marLeft w:val="0"/>
      <w:marRight w:val="0"/>
      <w:marTop w:val="0"/>
      <w:marBottom w:val="0"/>
      <w:divBdr>
        <w:top w:val="none" w:sz="0" w:space="0" w:color="auto"/>
        <w:left w:val="none" w:sz="0" w:space="0" w:color="auto"/>
        <w:bottom w:val="none" w:sz="0" w:space="0" w:color="auto"/>
        <w:right w:val="none" w:sz="0" w:space="0" w:color="auto"/>
      </w:divBdr>
    </w:div>
    <w:div w:id="1790968861">
      <w:bodyDiv w:val="1"/>
      <w:marLeft w:val="0"/>
      <w:marRight w:val="0"/>
      <w:marTop w:val="0"/>
      <w:marBottom w:val="0"/>
      <w:divBdr>
        <w:top w:val="none" w:sz="0" w:space="0" w:color="auto"/>
        <w:left w:val="none" w:sz="0" w:space="0" w:color="auto"/>
        <w:bottom w:val="none" w:sz="0" w:space="0" w:color="auto"/>
        <w:right w:val="none" w:sz="0" w:space="0" w:color="auto"/>
      </w:divBdr>
    </w:div>
    <w:div w:id="1797673466">
      <w:bodyDiv w:val="1"/>
      <w:marLeft w:val="0"/>
      <w:marRight w:val="0"/>
      <w:marTop w:val="0"/>
      <w:marBottom w:val="0"/>
      <w:divBdr>
        <w:top w:val="none" w:sz="0" w:space="0" w:color="auto"/>
        <w:left w:val="none" w:sz="0" w:space="0" w:color="auto"/>
        <w:bottom w:val="none" w:sz="0" w:space="0" w:color="auto"/>
        <w:right w:val="none" w:sz="0" w:space="0" w:color="auto"/>
      </w:divBdr>
    </w:div>
    <w:div w:id="1915972854">
      <w:bodyDiv w:val="1"/>
      <w:marLeft w:val="0"/>
      <w:marRight w:val="0"/>
      <w:marTop w:val="0"/>
      <w:marBottom w:val="0"/>
      <w:divBdr>
        <w:top w:val="none" w:sz="0" w:space="0" w:color="auto"/>
        <w:left w:val="none" w:sz="0" w:space="0" w:color="auto"/>
        <w:bottom w:val="none" w:sz="0" w:space="0" w:color="auto"/>
        <w:right w:val="none" w:sz="0" w:space="0" w:color="auto"/>
      </w:divBdr>
    </w:div>
    <w:div w:id="1990742198">
      <w:bodyDiv w:val="1"/>
      <w:marLeft w:val="0"/>
      <w:marRight w:val="0"/>
      <w:marTop w:val="0"/>
      <w:marBottom w:val="0"/>
      <w:divBdr>
        <w:top w:val="none" w:sz="0" w:space="0" w:color="auto"/>
        <w:left w:val="none" w:sz="0" w:space="0" w:color="auto"/>
        <w:bottom w:val="none" w:sz="0" w:space="0" w:color="auto"/>
        <w:right w:val="none" w:sz="0" w:space="0" w:color="auto"/>
      </w:divBdr>
    </w:div>
    <w:div w:id="1994526834">
      <w:bodyDiv w:val="1"/>
      <w:marLeft w:val="0"/>
      <w:marRight w:val="0"/>
      <w:marTop w:val="0"/>
      <w:marBottom w:val="0"/>
      <w:divBdr>
        <w:top w:val="none" w:sz="0" w:space="0" w:color="auto"/>
        <w:left w:val="none" w:sz="0" w:space="0" w:color="auto"/>
        <w:bottom w:val="none" w:sz="0" w:space="0" w:color="auto"/>
        <w:right w:val="none" w:sz="0" w:space="0" w:color="auto"/>
      </w:divBdr>
    </w:div>
    <w:div w:id="213235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E8402-0CD6-4553-9FE0-B62AD6956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1</Pages>
  <Words>3248</Words>
  <Characters>1852</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Urbikaite Gintare</dc:creator>
  <cp:keywords/>
  <dc:description/>
  <cp:lastModifiedBy>Rudakaite-Saukstel Edita</cp:lastModifiedBy>
  <cp:revision>29</cp:revision>
  <cp:lastPrinted>2018-03-14T07:01:00Z</cp:lastPrinted>
  <dcterms:created xsi:type="dcterms:W3CDTF">2018-01-05T09:08:00Z</dcterms:created>
  <dcterms:modified xsi:type="dcterms:W3CDTF">2019-06-30T21:30:00Z</dcterms:modified>
</cp:coreProperties>
</file>