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87" w:rsidRPr="00DC0C77" w:rsidRDefault="00F22C5A" w:rsidP="00D02718">
      <w:pPr>
        <w:jc w:val="center"/>
        <w:rPr>
          <w:rFonts w:ascii="Times New Roman" w:hAnsi="Times New Roman" w:cs="Times New Roman"/>
          <w:b/>
          <w:sz w:val="24"/>
          <w:szCs w:val="24"/>
        </w:rPr>
      </w:pPr>
      <w:bookmarkStart w:id="0" w:name="_GoBack"/>
      <w:bookmarkEnd w:id="0"/>
      <w:r w:rsidRPr="00DC0C77">
        <w:rPr>
          <w:rFonts w:ascii="Times New Roman" w:hAnsi="Times New Roman" w:cs="Times New Roman"/>
          <w:b/>
          <w:sz w:val="24"/>
          <w:szCs w:val="24"/>
        </w:rPr>
        <w:t>PASTABŲ I</w:t>
      </w:r>
      <w:r w:rsidR="00B93B52" w:rsidRPr="00DC0C77">
        <w:rPr>
          <w:rFonts w:ascii="Times New Roman" w:hAnsi="Times New Roman" w:cs="Times New Roman"/>
          <w:b/>
          <w:sz w:val="24"/>
          <w:szCs w:val="24"/>
        </w:rPr>
        <w:t>R PASIŪLYMŲ LENTELĖ DĖL PRIEMONĖ</w:t>
      </w:r>
      <w:r w:rsidRPr="00DC0C77">
        <w:rPr>
          <w:rFonts w:ascii="Times New Roman" w:hAnsi="Times New Roman" w:cs="Times New Roman"/>
          <w:b/>
          <w:sz w:val="24"/>
          <w:szCs w:val="24"/>
        </w:rPr>
        <w:t xml:space="preserve">S </w:t>
      </w:r>
      <w:r w:rsidR="00F36FD9" w:rsidRPr="00DC0C77">
        <w:rPr>
          <w:rFonts w:ascii="Times New Roman" w:hAnsi="Times New Roman" w:cs="Times New Roman"/>
          <w:b/>
          <w:kern w:val="16"/>
          <w:sz w:val="24"/>
          <w:szCs w:val="24"/>
        </w:rPr>
        <w:t>N</w:t>
      </w:r>
      <w:r w:rsidR="00D02718">
        <w:rPr>
          <w:rFonts w:ascii="Times New Roman" w:hAnsi="Times New Roman" w:cs="Times New Roman"/>
          <w:b/>
          <w:kern w:val="16"/>
          <w:sz w:val="24"/>
          <w:szCs w:val="24"/>
        </w:rPr>
        <w:t>R</w:t>
      </w:r>
      <w:r w:rsidR="00F36FD9" w:rsidRPr="00DC0C77">
        <w:rPr>
          <w:rFonts w:ascii="Times New Roman" w:hAnsi="Times New Roman" w:cs="Times New Roman"/>
          <w:b/>
          <w:kern w:val="16"/>
          <w:sz w:val="24"/>
          <w:szCs w:val="24"/>
        </w:rPr>
        <w:t xml:space="preserve">. </w:t>
      </w:r>
      <w:r w:rsidR="00D02718" w:rsidRPr="00D02718">
        <w:rPr>
          <w:rFonts w:ascii="Times New Roman" w:hAnsi="Times New Roman" w:cs="Times New Roman"/>
          <w:b/>
          <w:caps/>
          <w:sz w:val="24"/>
          <w:szCs w:val="24"/>
          <w:lang w:eastAsia="lt-LT"/>
        </w:rPr>
        <w:t xml:space="preserve">01.2.1-LVPA-K-856 </w:t>
      </w:r>
      <w:r w:rsidR="00D02718" w:rsidRPr="00D02718">
        <w:rPr>
          <w:rFonts w:ascii="Times New Roman" w:hAnsi="Times New Roman" w:cs="Times New Roman"/>
          <w:b/>
          <w:caps/>
          <w:sz w:val="24"/>
          <w:szCs w:val="24"/>
        </w:rPr>
        <w:t xml:space="preserve">„Eksperimentas“ </w:t>
      </w:r>
      <w:r w:rsidR="00384AFE" w:rsidRPr="00D02718">
        <w:rPr>
          <w:rFonts w:ascii="Times New Roman" w:hAnsi="Times New Roman" w:cs="Times New Roman"/>
          <w:b/>
          <w:caps/>
          <w:sz w:val="24"/>
          <w:szCs w:val="24"/>
        </w:rPr>
        <w:t>PROJEKTŲ</w:t>
      </w:r>
      <w:r w:rsidR="00384AFE" w:rsidRPr="00DC0C77">
        <w:rPr>
          <w:rFonts w:ascii="Times New Roman" w:hAnsi="Times New Roman" w:cs="Times New Roman"/>
          <w:b/>
          <w:sz w:val="24"/>
          <w:szCs w:val="24"/>
        </w:rPr>
        <w:t xml:space="preserve"> </w:t>
      </w:r>
      <w:r w:rsidR="00D02718">
        <w:rPr>
          <w:rFonts w:ascii="Times New Roman" w:hAnsi="Times New Roman" w:cs="Times New Roman"/>
          <w:b/>
          <w:sz w:val="24"/>
          <w:szCs w:val="24"/>
        </w:rPr>
        <w:t>FINANSAVIMO SĄLYGŲ APRAŠO NR. 1</w:t>
      </w:r>
    </w:p>
    <w:p w:rsidR="00F0661F" w:rsidRPr="00D02718" w:rsidRDefault="00F0661F" w:rsidP="00DC0C77">
      <w:pPr>
        <w:tabs>
          <w:tab w:val="left" w:pos="0"/>
          <w:tab w:val="left" w:pos="567"/>
        </w:tabs>
        <w:spacing w:after="0" w:line="240" w:lineRule="auto"/>
        <w:jc w:val="both"/>
        <w:rPr>
          <w:rFonts w:ascii="Times New Roman" w:hAnsi="Times New Roman" w:cs="Times New Roman"/>
          <w:b/>
          <w:sz w:val="24"/>
          <w:szCs w:val="24"/>
        </w:rPr>
      </w:pPr>
    </w:p>
    <w:p w:rsidR="00F0661F" w:rsidRPr="00D02718" w:rsidRDefault="00F0661F" w:rsidP="00DC0C77">
      <w:pPr>
        <w:tabs>
          <w:tab w:val="left" w:pos="0"/>
          <w:tab w:val="left" w:pos="567"/>
        </w:tabs>
        <w:spacing w:after="0" w:line="240" w:lineRule="auto"/>
        <w:jc w:val="both"/>
        <w:rPr>
          <w:rFonts w:ascii="Times New Roman" w:hAnsi="Times New Roman" w:cs="Times New Roman"/>
          <w:b/>
          <w:sz w:val="24"/>
          <w:szCs w:val="24"/>
        </w:rPr>
      </w:pPr>
    </w:p>
    <w:tbl>
      <w:tblPr>
        <w:tblpPr w:leftFromText="180" w:rightFromText="180" w:vertAnchor="text" w:tblpY="1"/>
        <w:tblOverlap w:val="neve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53"/>
        <w:gridCol w:w="5134"/>
        <w:gridCol w:w="3211"/>
        <w:gridCol w:w="3544"/>
      </w:tblGrid>
      <w:tr w:rsidR="003A641F" w:rsidRPr="00DC0C77" w:rsidTr="00D02718">
        <w:trPr>
          <w:trHeight w:val="263"/>
          <w:tblHeader/>
        </w:trPr>
        <w:tc>
          <w:tcPr>
            <w:tcW w:w="675" w:type="dxa"/>
            <w:tcBorders>
              <w:top w:val="single" w:sz="4" w:space="0" w:color="auto"/>
              <w:left w:val="single" w:sz="4" w:space="0" w:color="auto"/>
              <w:bottom w:val="single" w:sz="4" w:space="0" w:color="auto"/>
              <w:right w:val="single" w:sz="4" w:space="0" w:color="auto"/>
            </w:tcBorders>
            <w:shd w:val="clear" w:color="auto" w:fill="EEECE1"/>
            <w:hideMark/>
          </w:tcPr>
          <w:p w:rsidR="003A641F" w:rsidRPr="00DC0C77" w:rsidRDefault="003A641F" w:rsidP="00D02718">
            <w:pPr>
              <w:tabs>
                <w:tab w:val="left" w:pos="7560"/>
              </w:tabs>
              <w:spacing w:after="0" w:line="240" w:lineRule="auto"/>
              <w:jc w:val="both"/>
              <w:rPr>
                <w:rFonts w:ascii="Times New Roman" w:hAnsi="Times New Roman" w:cs="Times New Roman"/>
                <w:b/>
                <w:sz w:val="24"/>
                <w:szCs w:val="24"/>
              </w:rPr>
            </w:pPr>
            <w:r w:rsidRPr="00DC0C77">
              <w:rPr>
                <w:rFonts w:ascii="Times New Roman" w:hAnsi="Times New Roman" w:cs="Times New Roman"/>
                <w:b/>
                <w:sz w:val="24"/>
                <w:szCs w:val="24"/>
              </w:rPr>
              <w:t>Nr.</w:t>
            </w:r>
          </w:p>
        </w:tc>
        <w:tc>
          <w:tcPr>
            <w:tcW w:w="1753" w:type="dxa"/>
            <w:tcBorders>
              <w:top w:val="single" w:sz="4" w:space="0" w:color="auto"/>
              <w:left w:val="single" w:sz="4" w:space="0" w:color="auto"/>
              <w:bottom w:val="single" w:sz="4" w:space="0" w:color="auto"/>
              <w:right w:val="single" w:sz="4" w:space="0" w:color="auto"/>
            </w:tcBorders>
            <w:shd w:val="clear" w:color="auto" w:fill="EEECE1"/>
            <w:hideMark/>
          </w:tcPr>
          <w:p w:rsidR="003A641F" w:rsidRPr="00DC0C77" w:rsidRDefault="003A641F" w:rsidP="00D02718">
            <w:pPr>
              <w:tabs>
                <w:tab w:val="left" w:pos="7560"/>
              </w:tabs>
              <w:spacing w:after="0" w:line="240" w:lineRule="auto"/>
              <w:jc w:val="both"/>
              <w:rPr>
                <w:rFonts w:ascii="Times New Roman" w:hAnsi="Times New Roman" w:cs="Times New Roman"/>
                <w:b/>
                <w:sz w:val="24"/>
                <w:szCs w:val="24"/>
              </w:rPr>
            </w:pPr>
            <w:r w:rsidRPr="00DC0C77">
              <w:rPr>
                <w:rFonts w:ascii="Times New Roman" w:hAnsi="Times New Roman" w:cs="Times New Roman"/>
                <w:b/>
                <w:sz w:val="24"/>
                <w:szCs w:val="24"/>
              </w:rPr>
              <w:t>Pastabas teikianti institucija</w:t>
            </w:r>
          </w:p>
        </w:tc>
        <w:tc>
          <w:tcPr>
            <w:tcW w:w="5134" w:type="dxa"/>
            <w:tcBorders>
              <w:top w:val="single" w:sz="4" w:space="0" w:color="auto"/>
              <w:left w:val="single" w:sz="4" w:space="0" w:color="auto"/>
              <w:bottom w:val="single" w:sz="4" w:space="0" w:color="auto"/>
              <w:right w:val="single" w:sz="4" w:space="0" w:color="auto"/>
            </w:tcBorders>
            <w:shd w:val="clear" w:color="auto" w:fill="EEECE1"/>
          </w:tcPr>
          <w:p w:rsidR="003A641F" w:rsidRPr="00DC0C77" w:rsidRDefault="003A641F" w:rsidP="00D02718">
            <w:pPr>
              <w:tabs>
                <w:tab w:val="left" w:pos="7560"/>
              </w:tabs>
              <w:spacing w:after="0" w:line="240" w:lineRule="auto"/>
              <w:jc w:val="both"/>
              <w:rPr>
                <w:rFonts w:ascii="Times New Roman" w:hAnsi="Times New Roman" w:cs="Times New Roman"/>
                <w:b/>
                <w:sz w:val="24"/>
                <w:szCs w:val="24"/>
              </w:rPr>
            </w:pPr>
            <w:r w:rsidRPr="00DC0C77">
              <w:rPr>
                <w:rFonts w:ascii="Times New Roman" w:hAnsi="Times New Roman" w:cs="Times New Roman"/>
                <w:b/>
                <w:sz w:val="24"/>
                <w:szCs w:val="24"/>
              </w:rPr>
              <w:t>Pastabos ir pasiūlymai</w:t>
            </w:r>
          </w:p>
        </w:tc>
        <w:tc>
          <w:tcPr>
            <w:tcW w:w="3211" w:type="dxa"/>
            <w:tcBorders>
              <w:top w:val="single" w:sz="4" w:space="0" w:color="auto"/>
              <w:left w:val="single" w:sz="4" w:space="0" w:color="auto"/>
              <w:bottom w:val="single" w:sz="4" w:space="0" w:color="auto"/>
              <w:right w:val="single" w:sz="4" w:space="0" w:color="auto"/>
            </w:tcBorders>
            <w:shd w:val="clear" w:color="auto" w:fill="EEECE1"/>
          </w:tcPr>
          <w:p w:rsidR="003A641F" w:rsidRPr="00DC0C77" w:rsidRDefault="003A641F" w:rsidP="00D02718">
            <w:pPr>
              <w:tabs>
                <w:tab w:val="left" w:pos="7560"/>
              </w:tabs>
              <w:spacing w:after="0" w:line="240" w:lineRule="auto"/>
              <w:jc w:val="both"/>
              <w:rPr>
                <w:rFonts w:ascii="Times New Roman" w:hAnsi="Times New Roman" w:cs="Times New Roman"/>
                <w:b/>
                <w:sz w:val="24"/>
                <w:szCs w:val="24"/>
              </w:rPr>
            </w:pPr>
            <w:r w:rsidRPr="00DC0C77">
              <w:rPr>
                <w:rFonts w:ascii="Times New Roman" w:hAnsi="Times New Roman" w:cs="Times New Roman"/>
                <w:b/>
                <w:sz w:val="24"/>
                <w:szCs w:val="24"/>
              </w:rPr>
              <w:t xml:space="preserve">EIM </w:t>
            </w:r>
            <w:r w:rsidR="00803086" w:rsidRPr="00DC0C77">
              <w:rPr>
                <w:rFonts w:ascii="Times New Roman" w:hAnsi="Times New Roman" w:cs="Times New Roman"/>
                <w:b/>
                <w:sz w:val="24"/>
                <w:szCs w:val="24"/>
              </w:rPr>
              <w:t>pozicija</w:t>
            </w:r>
          </w:p>
        </w:tc>
        <w:tc>
          <w:tcPr>
            <w:tcW w:w="3544" w:type="dxa"/>
            <w:tcBorders>
              <w:top w:val="single" w:sz="4" w:space="0" w:color="auto"/>
              <w:left w:val="single" w:sz="4" w:space="0" w:color="auto"/>
              <w:bottom w:val="single" w:sz="4" w:space="0" w:color="auto"/>
              <w:right w:val="single" w:sz="4" w:space="0" w:color="auto"/>
            </w:tcBorders>
            <w:shd w:val="clear" w:color="auto" w:fill="EEECE1"/>
          </w:tcPr>
          <w:p w:rsidR="003A641F" w:rsidRPr="00DC0C77" w:rsidRDefault="00803086" w:rsidP="00D02718">
            <w:pPr>
              <w:tabs>
                <w:tab w:val="left" w:pos="7560"/>
              </w:tabs>
              <w:spacing w:after="0" w:line="240" w:lineRule="auto"/>
              <w:jc w:val="both"/>
              <w:rPr>
                <w:rFonts w:ascii="Times New Roman" w:hAnsi="Times New Roman" w:cs="Times New Roman"/>
                <w:b/>
                <w:sz w:val="24"/>
                <w:szCs w:val="24"/>
              </w:rPr>
            </w:pPr>
            <w:r w:rsidRPr="00DC0C77">
              <w:rPr>
                <w:rFonts w:ascii="Times New Roman" w:hAnsi="Times New Roman" w:cs="Times New Roman"/>
                <w:b/>
                <w:sz w:val="24"/>
                <w:szCs w:val="24"/>
              </w:rPr>
              <w:t>EIM argumentai</w:t>
            </w:r>
            <w:r w:rsidR="003A641F" w:rsidRPr="00DC0C77">
              <w:rPr>
                <w:rFonts w:ascii="Times New Roman" w:hAnsi="Times New Roman" w:cs="Times New Roman"/>
                <w:b/>
                <w:sz w:val="24"/>
                <w:szCs w:val="24"/>
              </w:rPr>
              <w:t xml:space="preserve"> </w:t>
            </w:r>
          </w:p>
        </w:tc>
      </w:tr>
      <w:tr w:rsidR="003A641F" w:rsidRPr="00DC0C77" w:rsidTr="00D02718">
        <w:trPr>
          <w:trHeight w:val="2812"/>
        </w:trPr>
        <w:tc>
          <w:tcPr>
            <w:tcW w:w="675" w:type="dxa"/>
            <w:tcBorders>
              <w:top w:val="single" w:sz="4" w:space="0" w:color="auto"/>
              <w:left w:val="single" w:sz="4" w:space="0" w:color="auto"/>
              <w:bottom w:val="single" w:sz="4" w:space="0" w:color="auto"/>
              <w:right w:val="single" w:sz="4" w:space="0" w:color="auto"/>
            </w:tcBorders>
          </w:tcPr>
          <w:p w:rsidR="003A641F" w:rsidRPr="00DC0C77" w:rsidRDefault="003A641F"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3A641F" w:rsidRPr="00DC0C77" w:rsidRDefault="00D02718" w:rsidP="00D0271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pramoninkų konfederacija</w:t>
            </w:r>
          </w:p>
        </w:tc>
        <w:tc>
          <w:tcPr>
            <w:tcW w:w="5134" w:type="dxa"/>
            <w:tcBorders>
              <w:top w:val="single" w:sz="4" w:space="0" w:color="auto"/>
              <w:left w:val="single" w:sz="4" w:space="0" w:color="auto"/>
              <w:bottom w:val="single" w:sz="4" w:space="0" w:color="auto"/>
              <w:right w:val="single" w:sz="4" w:space="0" w:color="auto"/>
            </w:tcBorders>
          </w:tcPr>
          <w:p w:rsidR="003A641F" w:rsidRPr="00D02718" w:rsidRDefault="00D02718" w:rsidP="00D02718">
            <w:pPr>
              <w:jc w:val="both"/>
              <w:rPr>
                <w:rFonts w:ascii="Times New Roman" w:hAnsi="Times New Roman" w:cs="Times New Roman"/>
                <w:sz w:val="24"/>
                <w:szCs w:val="24"/>
              </w:rPr>
            </w:pPr>
            <w:r w:rsidRPr="00D02718">
              <w:rPr>
                <w:rFonts w:ascii="Times New Roman" w:hAnsi="Times New Roman" w:cs="Times New Roman"/>
                <w:sz w:val="24"/>
                <w:szCs w:val="24"/>
              </w:rPr>
              <w:t xml:space="preserve">Neįvertintos anksčiau teiktos pramonininkų konfederacijos pastabos dėl projektų atrankos kriterijų. Dar kartą atkreipiame dėmesį, kad priemonė neturėtų būti orientuota tik į ilgą laiką MTEP veiklas vykdančias įmones, nesudarant galimybės per šią priemonę gauti finansavimo ir naujoms įmonėms, kurios planuoja naujai vykdyti MTEP veiklas. Priemonė </w:t>
            </w:r>
            <w:proofErr w:type="spellStart"/>
            <w:r w:rsidRPr="00D02718">
              <w:rPr>
                <w:rFonts w:ascii="Times New Roman" w:hAnsi="Times New Roman" w:cs="Times New Roman"/>
                <w:sz w:val="24"/>
                <w:szCs w:val="24"/>
              </w:rPr>
              <w:t>Inostartas</w:t>
            </w:r>
            <w:proofErr w:type="spellEnd"/>
            <w:r w:rsidRPr="00D02718">
              <w:rPr>
                <w:rFonts w:ascii="Times New Roman" w:hAnsi="Times New Roman" w:cs="Times New Roman"/>
                <w:sz w:val="24"/>
                <w:szCs w:val="24"/>
              </w:rPr>
              <w:t xml:space="preserve"> nėra lygiavertė šiai priemonei, nes joje maksimali finansavimo suma tėra tik 20000 </w:t>
            </w:r>
            <w:proofErr w:type="spellStart"/>
            <w:r w:rsidRPr="00D02718">
              <w:rPr>
                <w:rFonts w:ascii="Times New Roman" w:hAnsi="Times New Roman" w:cs="Times New Roman"/>
                <w:sz w:val="24"/>
                <w:szCs w:val="24"/>
              </w:rPr>
              <w:t>eur</w:t>
            </w:r>
            <w:proofErr w:type="spellEnd"/>
            <w:r w:rsidRPr="00D02718">
              <w:rPr>
                <w:rFonts w:ascii="Times New Roman" w:hAnsi="Times New Roman" w:cs="Times New Roman"/>
                <w:sz w:val="24"/>
                <w:szCs w:val="24"/>
              </w:rPr>
              <w:t>. </w:t>
            </w:r>
          </w:p>
        </w:tc>
        <w:tc>
          <w:tcPr>
            <w:tcW w:w="3211" w:type="dxa"/>
            <w:tcBorders>
              <w:top w:val="single" w:sz="4" w:space="0" w:color="auto"/>
              <w:left w:val="single" w:sz="4" w:space="0" w:color="auto"/>
              <w:bottom w:val="single" w:sz="4" w:space="0" w:color="auto"/>
              <w:right w:val="single" w:sz="4" w:space="0" w:color="auto"/>
            </w:tcBorders>
          </w:tcPr>
          <w:p w:rsidR="003A641F" w:rsidRPr="00DC0C77" w:rsidRDefault="00866665" w:rsidP="00D02718">
            <w:pPr>
              <w:pStyle w:val="Default"/>
              <w:ind w:left="720"/>
              <w:jc w:val="both"/>
              <w:rPr>
                <w:b/>
                <w:color w:val="auto"/>
              </w:rPr>
            </w:pPr>
            <w:r>
              <w:rPr>
                <w:b/>
                <w:color w:val="auto"/>
              </w:rPr>
              <w:t>Paaiškinta</w:t>
            </w:r>
          </w:p>
        </w:tc>
        <w:tc>
          <w:tcPr>
            <w:tcW w:w="3544" w:type="dxa"/>
            <w:tcBorders>
              <w:top w:val="single" w:sz="4" w:space="0" w:color="auto"/>
              <w:left w:val="single" w:sz="4" w:space="0" w:color="auto"/>
              <w:bottom w:val="single" w:sz="4" w:space="0" w:color="auto"/>
              <w:right w:val="single" w:sz="4" w:space="0" w:color="auto"/>
            </w:tcBorders>
          </w:tcPr>
          <w:p w:rsidR="006A7F5C" w:rsidRPr="00DC0C77" w:rsidRDefault="00866665" w:rsidP="00D02718">
            <w:pPr>
              <w:pStyle w:val="Default"/>
              <w:jc w:val="both"/>
              <w:rPr>
                <w:color w:val="auto"/>
              </w:rPr>
            </w:pPr>
            <w:r>
              <w:rPr>
                <w:color w:val="auto"/>
              </w:rPr>
              <w:t xml:space="preserve">Priemonė nėra orientuota į ilgą laiką MTEP veiklas vykdančias įmonės. Nėra nustatyta privalomi reikalavimai būti veikus tam tikrą terminą, turėti tam tikro dydžio apyvartas arba būti gavus pajamų iš MTEP veiklos. Pirmieji trys prioritetiniai kriterijai yra susiję išimtinai su kuriamu produktu, bet ne su pareiškėju. </w:t>
            </w:r>
          </w:p>
        </w:tc>
      </w:tr>
      <w:tr w:rsidR="00D02718" w:rsidRPr="00DC0C77" w:rsidTr="00D02718">
        <w:trPr>
          <w:trHeight w:val="1901"/>
        </w:trPr>
        <w:tc>
          <w:tcPr>
            <w:tcW w:w="675" w:type="dxa"/>
            <w:tcBorders>
              <w:top w:val="single" w:sz="4" w:space="0" w:color="auto"/>
              <w:left w:val="single" w:sz="4" w:space="0" w:color="auto"/>
              <w:bottom w:val="single" w:sz="4" w:space="0" w:color="auto"/>
              <w:right w:val="single" w:sz="4" w:space="0" w:color="auto"/>
            </w:tcBorders>
          </w:tcPr>
          <w:p w:rsidR="00D02718" w:rsidRPr="00DC0C77" w:rsidRDefault="00D02718"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D02718" w:rsidRDefault="00866665" w:rsidP="00D0271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pramoninkų konfederacija</w:t>
            </w:r>
          </w:p>
        </w:tc>
        <w:tc>
          <w:tcPr>
            <w:tcW w:w="5134" w:type="dxa"/>
            <w:tcBorders>
              <w:top w:val="single" w:sz="4" w:space="0" w:color="auto"/>
              <w:left w:val="single" w:sz="4" w:space="0" w:color="auto"/>
              <w:bottom w:val="single" w:sz="4" w:space="0" w:color="auto"/>
              <w:right w:val="single" w:sz="4" w:space="0" w:color="auto"/>
            </w:tcBorders>
          </w:tcPr>
          <w:p w:rsidR="00D02718" w:rsidRPr="00D02718" w:rsidRDefault="00D02718" w:rsidP="00D02718">
            <w:pPr>
              <w:jc w:val="both"/>
              <w:rPr>
                <w:rFonts w:ascii="Times New Roman" w:hAnsi="Times New Roman" w:cs="Times New Roman"/>
                <w:sz w:val="24"/>
                <w:szCs w:val="24"/>
              </w:rPr>
            </w:pPr>
            <w:r w:rsidRPr="00D02718">
              <w:rPr>
                <w:rFonts w:ascii="Times New Roman" w:hAnsi="Times New Roman" w:cs="Times New Roman"/>
                <w:sz w:val="24"/>
                <w:szCs w:val="24"/>
              </w:rPr>
              <w:t xml:space="preserve">Neaišku, kokiu pagrindu gyvybės mokslams numatoma tokia didelė finansavimo suma (38 mln. </w:t>
            </w:r>
            <w:proofErr w:type="spellStart"/>
            <w:r w:rsidRPr="00D02718">
              <w:rPr>
                <w:rFonts w:ascii="Times New Roman" w:hAnsi="Times New Roman" w:cs="Times New Roman"/>
                <w:sz w:val="24"/>
                <w:szCs w:val="24"/>
              </w:rPr>
              <w:t>eur</w:t>
            </w:r>
            <w:proofErr w:type="spellEnd"/>
            <w:r w:rsidRPr="00D02718">
              <w:rPr>
                <w:rFonts w:ascii="Times New Roman" w:hAnsi="Times New Roman" w:cs="Times New Roman"/>
                <w:sz w:val="24"/>
                <w:szCs w:val="24"/>
              </w:rPr>
              <w:t xml:space="preserve">), kai tuo tarpu visoms likusioms sritims kartu sudėjus lieka tik 12,5 mln. </w:t>
            </w:r>
            <w:proofErr w:type="spellStart"/>
            <w:r w:rsidRPr="00D02718">
              <w:rPr>
                <w:rFonts w:ascii="Times New Roman" w:hAnsi="Times New Roman" w:cs="Times New Roman"/>
                <w:sz w:val="24"/>
                <w:szCs w:val="24"/>
              </w:rPr>
              <w:t>eur</w:t>
            </w:r>
            <w:proofErr w:type="spellEnd"/>
            <w:r w:rsidRPr="00D02718">
              <w:rPr>
                <w:rFonts w:ascii="Times New Roman" w:hAnsi="Times New Roman" w:cs="Times New Roman"/>
                <w:sz w:val="24"/>
                <w:szCs w:val="24"/>
              </w:rPr>
              <w:t>. Nepateikti tokio paskirstymo motyvai. Manome, kad lėšų paskirstymas sritims turėtų būti adekvatesnis.</w:t>
            </w:r>
          </w:p>
        </w:tc>
        <w:tc>
          <w:tcPr>
            <w:tcW w:w="3211" w:type="dxa"/>
            <w:tcBorders>
              <w:top w:val="single" w:sz="4" w:space="0" w:color="auto"/>
              <w:left w:val="single" w:sz="4" w:space="0" w:color="auto"/>
              <w:bottom w:val="single" w:sz="4" w:space="0" w:color="auto"/>
              <w:right w:val="single" w:sz="4" w:space="0" w:color="auto"/>
            </w:tcBorders>
          </w:tcPr>
          <w:p w:rsidR="00D02718" w:rsidRPr="00DC0C77" w:rsidRDefault="00E81353" w:rsidP="00D02718">
            <w:pPr>
              <w:pStyle w:val="Default"/>
              <w:ind w:left="720"/>
              <w:jc w:val="both"/>
              <w:rPr>
                <w:b/>
                <w:color w:val="auto"/>
              </w:rPr>
            </w:pPr>
            <w:r>
              <w:rPr>
                <w:color w:val="auto"/>
              </w:rPr>
              <w:t>Atsižvelgta.</w:t>
            </w:r>
          </w:p>
        </w:tc>
        <w:tc>
          <w:tcPr>
            <w:tcW w:w="3544" w:type="dxa"/>
            <w:tcBorders>
              <w:top w:val="single" w:sz="4" w:space="0" w:color="auto"/>
              <w:left w:val="single" w:sz="4" w:space="0" w:color="auto"/>
              <w:bottom w:val="single" w:sz="4" w:space="0" w:color="auto"/>
              <w:right w:val="single" w:sz="4" w:space="0" w:color="auto"/>
            </w:tcBorders>
          </w:tcPr>
          <w:p w:rsidR="00D02718" w:rsidRDefault="00E81353" w:rsidP="00D02718">
            <w:pPr>
              <w:pStyle w:val="Default"/>
              <w:jc w:val="both"/>
              <w:rPr>
                <w:color w:val="auto"/>
              </w:rPr>
            </w:pPr>
            <w:r>
              <w:rPr>
                <w:color w:val="auto"/>
              </w:rPr>
              <w:t>Gyvybės mokslams nustatyta 15 mln. eurų suma, likusi 35 mln. eurų suma – kitoms sritims.</w:t>
            </w:r>
          </w:p>
          <w:p w:rsidR="00E81353" w:rsidRPr="00DC0C77" w:rsidRDefault="00E81353" w:rsidP="00D02718">
            <w:pPr>
              <w:pStyle w:val="Default"/>
              <w:jc w:val="both"/>
              <w:rPr>
                <w:color w:val="auto"/>
              </w:rPr>
            </w:pPr>
          </w:p>
        </w:tc>
      </w:tr>
      <w:tr w:rsidR="00D02718" w:rsidRPr="00DC0C77" w:rsidTr="00D02718">
        <w:trPr>
          <w:trHeight w:val="2350"/>
        </w:trPr>
        <w:tc>
          <w:tcPr>
            <w:tcW w:w="675" w:type="dxa"/>
            <w:tcBorders>
              <w:top w:val="single" w:sz="4" w:space="0" w:color="auto"/>
              <w:left w:val="single" w:sz="4" w:space="0" w:color="auto"/>
              <w:bottom w:val="single" w:sz="4" w:space="0" w:color="auto"/>
              <w:right w:val="single" w:sz="4" w:space="0" w:color="auto"/>
            </w:tcBorders>
          </w:tcPr>
          <w:p w:rsidR="00D02718" w:rsidRPr="00DC0C77" w:rsidRDefault="00D02718"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D02718" w:rsidRDefault="00BC0016" w:rsidP="00D0271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rsidR="00BC0016" w:rsidRDefault="00BC0016" w:rsidP="00BC0016">
            <w:pPr>
              <w:jc w:val="both"/>
              <w:rPr>
                <w:rFonts w:ascii="Times New Roman" w:hAnsi="Times New Roman"/>
                <w:sz w:val="24"/>
                <w:szCs w:val="24"/>
              </w:rPr>
            </w:pPr>
            <w:r w:rsidRPr="00203BF2">
              <w:rPr>
                <w:rFonts w:ascii="Times New Roman" w:hAnsi="Times New Roman"/>
                <w:b/>
                <w:sz w:val="24"/>
                <w:szCs w:val="24"/>
              </w:rPr>
              <w:t>8.1 punktas:</w:t>
            </w:r>
            <w:r>
              <w:rPr>
                <w:rFonts w:ascii="Times New Roman" w:hAnsi="Times New Roman"/>
                <w:sz w:val="24"/>
                <w:szCs w:val="24"/>
              </w:rPr>
              <w:t xml:space="preserve"> prašome neišskirti gyvybės mokslų sektoriaus iš kitų sektorių, kadangi tai nėra vienintelis Lietuvos inovacijų sektorius. Toks išskirimais sukuria dirbtinai geresnes sąlygas šiam sektoriui lyginant su kitais.</w:t>
            </w:r>
          </w:p>
          <w:p w:rsidR="00D02718" w:rsidRDefault="00D02718" w:rsidP="00D02718">
            <w:pPr>
              <w:pStyle w:val="Default"/>
              <w:jc w:val="both"/>
            </w:pPr>
          </w:p>
        </w:tc>
        <w:tc>
          <w:tcPr>
            <w:tcW w:w="3211" w:type="dxa"/>
            <w:tcBorders>
              <w:top w:val="single" w:sz="4" w:space="0" w:color="auto"/>
              <w:left w:val="single" w:sz="4" w:space="0" w:color="auto"/>
              <w:bottom w:val="single" w:sz="4" w:space="0" w:color="auto"/>
              <w:right w:val="single" w:sz="4" w:space="0" w:color="auto"/>
            </w:tcBorders>
          </w:tcPr>
          <w:p w:rsidR="00D02718" w:rsidRPr="00E81353" w:rsidRDefault="00E81353" w:rsidP="00D02718">
            <w:pPr>
              <w:pStyle w:val="Default"/>
              <w:ind w:left="720"/>
              <w:jc w:val="both"/>
              <w:rPr>
                <w:color w:val="auto"/>
              </w:rPr>
            </w:pPr>
            <w:r w:rsidRPr="00E81353">
              <w:rPr>
                <w:color w:val="auto"/>
              </w:rPr>
              <w:t>Paaiškinta.</w:t>
            </w:r>
          </w:p>
        </w:tc>
        <w:tc>
          <w:tcPr>
            <w:tcW w:w="3544" w:type="dxa"/>
            <w:tcBorders>
              <w:top w:val="single" w:sz="4" w:space="0" w:color="auto"/>
              <w:left w:val="single" w:sz="4" w:space="0" w:color="auto"/>
              <w:bottom w:val="single" w:sz="4" w:space="0" w:color="auto"/>
              <w:right w:val="single" w:sz="4" w:space="0" w:color="auto"/>
            </w:tcBorders>
          </w:tcPr>
          <w:p w:rsidR="00776186" w:rsidRPr="00ED76E3" w:rsidRDefault="00776186" w:rsidP="00943AF3">
            <w:pPr>
              <w:jc w:val="both"/>
              <w:rPr>
                <w:b/>
                <w:sz w:val="24"/>
                <w:szCs w:val="24"/>
              </w:rPr>
            </w:pPr>
            <w:r w:rsidRPr="00ED76E3">
              <w:rPr>
                <w:rFonts w:ascii="Times New Roman" w:hAnsi="Times New Roman" w:cs="Times New Roman"/>
                <w:sz w:val="24"/>
                <w:szCs w:val="24"/>
              </w:rPr>
              <w:t xml:space="preserve">Gyvybės mokslų industrija viena dinamiškiausių ir perspektyviausių Lietuvos Respublikoje. Šalies gyvybės mokslų pasiekimai pripažįstami pasaulyje. Šioje srityje dirbančios įmonės yra </w:t>
            </w:r>
            <w:proofErr w:type="spellStart"/>
            <w:r w:rsidRPr="00ED76E3">
              <w:rPr>
                <w:rFonts w:ascii="Times New Roman" w:hAnsi="Times New Roman" w:cs="Times New Roman"/>
                <w:sz w:val="24"/>
                <w:szCs w:val="24"/>
              </w:rPr>
              <w:t>inovatyvios</w:t>
            </w:r>
            <w:proofErr w:type="spellEnd"/>
            <w:r w:rsidRPr="00ED76E3">
              <w:rPr>
                <w:rFonts w:ascii="Times New Roman" w:hAnsi="Times New Roman" w:cs="Times New Roman"/>
                <w:sz w:val="24"/>
                <w:szCs w:val="24"/>
              </w:rPr>
              <w:t xml:space="preserve">, kuriančios aukštą pridėtinę vertę. Yra parengtas </w:t>
            </w:r>
            <w:r w:rsidRPr="00ED76E3">
              <w:rPr>
                <w:rFonts w:ascii="Times New Roman" w:hAnsi="Times New Roman" w:cs="Times New Roman"/>
                <w:sz w:val="24"/>
                <w:szCs w:val="24"/>
              </w:rPr>
              <w:lastRenderedPageBreak/>
              <w:t>L</w:t>
            </w:r>
            <w:r w:rsidR="00943AF3" w:rsidRPr="00ED76E3">
              <w:rPr>
                <w:rFonts w:ascii="Times New Roman" w:hAnsi="Times New Roman" w:cs="Times New Roman"/>
                <w:sz w:val="24"/>
                <w:szCs w:val="24"/>
              </w:rPr>
              <w:t xml:space="preserve">ietuvos gyvybės mokslų industrijos plėtros gairių įgyvendinimo planas, </w:t>
            </w:r>
            <w:r w:rsidRPr="00ED76E3">
              <w:rPr>
                <w:rFonts w:ascii="Times New Roman" w:hAnsi="Times New Roman" w:cs="Times New Roman"/>
                <w:sz w:val="24"/>
                <w:szCs w:val="24"/>
              </w:rPr>
              <w:t xml:space="preserve">kuriame numatytas tikslas – </w:t>
            </w:r>
            <w:r w:rsidRPr="00ED76E3">
              <w:rPr>
                <w:rFonts w:ascii="Times New Roman" w:hAnsi="Times New Roman" w:cs="Times New Roman"/>
                <w:bCs/>
                <w:sz w:val="24"/>
                <w:szCs w:val="24"/>
                <w:lang w:eastAsia="lt-LT"/>
              </w:rPr>
              <w:t>Lietuva – patraukliausia Europos šalis gyvybės mokslų industrijos plėtrai 2030 m.</w:t>
            </w:r>
          </w:p>
          <w:p w:rsidR="00D02718" w:rsidRPr="00DC0C77" w:rsidRDefault="00D02718" w:rsidP="00776186">
            <w:pPr>
              <w:pStyle w:val="Default"/>
              <w:jc w:val="both"/>
              <w:rPr>
                <w:color w:val="auto"/>
              </w:rPr>
            </w:pPr>
          </w:p>
        </w:tc>
      </w:tr>
      <w:tr w:rsidR="00D02718" w:rsidRPr="00DC0C77" w:rsidTr="004136A2">
        <w:trPr>
          <w:trHeight w:val="2974"/>
        </w:trPr>
        <w:tc>
          <w:tcPr>
            <w:tcW w:w="675" w:type="dxa"/>
            <w:tcBorders>
              <w:top w:val="single" w:sz="4" w:space="0" w:color="auto"/>
              <w:left w:val="single" w:sz="4" w:space="0" w:color="auto"/>
              <w:bottom w:val="single" w:sz="4" w:space="0" w:color="auto"/>
              <w:right w:val="single" w:sz="4" w:space="0" w:color="auto"/>
            </w:tcBorders>
          </w:tcPr>
          <w:p w:rsidR="00D02718" w:rsidRPr="00DC0C77" w:rsidRDefault="00D02718"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D02718" w:rsidRDefault="00BC0016" w:rsidP="00D0271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rsidR="00D02718" w:rsidRDefault="00BC0016" w:rsidP="004136A2">
            <w:pPr>
              <w:jc w:val="both"/>
            </w:pPr>
            <w:r>
              <w:rPr>
                <w:rFonts w:ascii="Times New Roman" w:hAnsi="Times New Roman"/>
                <w:b/>
                <w:sz w:val="24"/>
                <w:szCs w:val="24"/>
              </w:rPr>
              <w:t xml:space="preserve">3.4 </w:t>
            </w:r>
            <w:r w:rsidRPr="00203BF2">
              <w:rPr>
                <w:rFonts w:ascii="Times New Roman" w:hAnsi="Times New Roman"/>
                <w:b/>
                <w:sz w:val="24"/>
                <w:szCs w:val="24"/>
              </w:rPr>
              <w:t>punktas</w:t>
            </w:r>
            <w:r>
              <w:rPr>
                <w:rFonts w:ascii="Times New Roman" w:hAnsi="Times New Roman"/>
                <w:b/>
                <w:sz w:val="24"/>
                <w:szCs w:val="24"/>
              </w:rPr>
              <w:t xml:space="preserve">: </w:t>
            </w:r>
            <w:r w:rsidRPr="00B60E93">
              <w:rPr>
                <w:rFonts w:ascii="Times New Roman" w:hAnsi="Times New Roman"/>
                <w:sz w:val="24"/>
                <w:szCs w:val="24"/>
              </w:rPr>
              <w:t>siūlome</w:t>
            </w:r>
            <w:r>
              <w:rPr>
                <w:rFonts w:ascii="Times New Roman" w:hAnsi="Times New Roman"/>
                <w:sz w:val="24"/>
                <w:szCs w:val="24"/>
              </w:rPr>
              <w:t xml:space="preserve"> apibrėžti procentais, kokia minimaliai verslo plano dalis turi būti parengta – rekomenduotume 80%. Toks patikslinimas įverstų aiškumo, nes rengiant paraiškas nėra aišku kokia informacija (ar kokio detalumo informacija) yra būtina, o kuri būtų perteklinė. Todėl formaliai žiūrint būtų galima atmesti kiekvieną paraišką, kurios verslo plane vertintojai nerado visos reikiamos informacijos reikiamu detalumu.</w:t>
            </w:r>
          </w:p>
        </w:tc>
        <w:tc>
          <w:tcPr>
            <w:tcW w:w="3211" w:type="dxa"/>
            <w:tcBorders>
              <w:top w:val="single" w:sz="4" w:space="0" w:color="auto"/>
              <w:left w:val="single" w:sz="4" w:space="0" w:color="auto"/>
              <w:bottom w:val="single" w:sz="4" w:space="0" w:color="auto"/>
              <w:right w:val="single" w:sz="4" w:space="0" w:color="auto"/>
            </w:tcBorders>
          </w:tcPr>
          <w:p w:rsidR="00D02718" w:rsidRPr="00DC0C77" w:rsidRDefault="00BF15C2" w:rsidP="00D02718">
            <w:pPr>
              <w:pStyle w:val="Default"/>
              <w:ind w:left="720"/>
              <w:jc w:val="both"/>
              <w:rPr>
                <w:b/>
                <w:color w:val="auto"/>
              </w:rPr>
            </w:pPr>
            <w:r>
              <w:rPr>
                <w:b/>
                <w:color w:val="auto"/>
              </w:rPr>
              <w:t>Paaiškinta.</w:t>
            </w:r>
          </w:p>
        </w:tc>
        <w:tc>
          <w:tcPr>
            <w:tcW w:w="3544" w:type="dxa"/>
            <w:tcBorders>
              <w:top w:val="single" w:sz="4" w:space="0" w:color="auto"/>
              <w:left w:val="single" w:sz="4" w:space="0" w:color="auto"/>
              <w:bottom w:val="single" w:sz="4" w:space="0" w:color="auto"/>
              <w:right w:val="single" w:sz="4" w:space="0" w:color="auto"/>
            </w:tcBorders>
          </w:tcPr>
          <w:p w:rsidR="00D02718" w:rsidRPr="00DC0C77" w:rsidRDefault="00BF15C2" w:rsidP="00D02718">
            <w:pPr>
              <w:pStyle w:val="Default"/>
              <w:jc w:val="both"/>
              <w:rPr>
                <w:color w:val="auto"/>
              </w:rPr>
            </w:pPr>
            <w:r>
              <w:rPr>
                <w:color w:val="auto"/>
              </w:rPr>
              <w:t xml:space="preserve">Verslo planas turi būti parengtas pilnai. Tai yra projekto </w:t>
            </w:r>
            <w:proofErr w:type="spellStart"/>
            <w:r>
              <w:rPr>
                <w:color w:val="auto"/>
              </w:rPr>
              <w:t>parengtumo</w:t>
            </w:r>
            <w:proofErr w:type="spellEnd"/>
            <w:r>
              <w:rPr>
                <w:color w:val="auto"/>
              </w:rPr>
              <w:t xml:space="preserve"> reikalavimas.</w:t>
            </w:r>
          </w:p>
        </w:tc>
      </w:tr>
      <w:tr w:rsidR="00397496" w:rsidRPr="00DC0C77" w:rsidTr="00D02718">
        <w:trPr>
          <w:trHeight w:val="4755"/>
        </w:trPr>
        <w:tc>
          <w:tcPr>
            <w:tcW w:w="675" w:type="dxa"/>
            <w:tcBorders>
              <w:top w:val="single" w:sz="4" w:space="0" w:color="auto"/>
              <w:left w:val="single" w:sz="4" w:space="0" w:color="auto"/>
              <w:bottom w:val="single" w:sz="4" w:space="0" w:color="auto"/>
              <w:right w:val="single" w:sz="4" w:space="0" w:color="auto"/>
            </w:tcBorders>
          </w:tcPr>
          <w:p w:rsidR="00397496" w:rsidRPr="00DC0C77" w:rsidRDefault="00397496"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397496" w:rsidRPr="00DC0C77" w:rsidRDefault="00397496" w:rsidP="00D02718">
            <w:pPr>
              <w:tabs>
                <w:tab w:val="left" w:pos="1418"/>
              </w:tabs>
              <w:spacing w:after="0" w:line="240" w:lineRule="auto"/>
              <w:jc w:val="both"/>
              <w:rPr>
                <w:rFonts w:ascii="Times New Roman" w:hAnsi="Times New Roman" w:cs="Times New Roman"/>
                <w:sz w:val="24"/>
                <w:szCs w:val="24"/>
              </w:rPr>
            </w:pPr>
          </w:p>
        </w:tc>
        <w:tc>
          <w:tcPr>
            <w:tcW w:w="5134" w:type="dxa"/>
            <w:tcBorders>
              <w:top w:val="single" w:sz="4" w:space="0" w:color="auto"/>
              <w:left w:val="single" w:sz="4" w:space="0" w:color="auto"/>
              <w:bottom w:val="single" w:sz="4" w:space="0" w:color="auto"/>
              <w:right w:val="single" w:sz="4" w:space="0" w:color="auto"/>
            </w:tcBorders>
          </w:tcPr>
          <w:p w:rsidR="00BC0016" w:rsidRDefault="00BC0016" w:rsidP="00BC0016">
            <w:pPr>
              <w:jc w:val="both"/>
              <w:rPr>
                <w:rFonts w:ascii="Times New Roman" w:hAnsi="Times New Roman"/>
                <w:sz w:val="24"/>
                <w:szCs w:val="24"/>
              </w:rPr>
            </w:pPr>
            <w:r w:rsidRPr="00E64C98">
              <w:rPr>
                <w:rFonts w:ascii="Times New Roman" w:hAnsi="Times New Roman"/>
                <w:b/>
                <w:sz w:val="24"/>
                <w:szCs w:val="24"/>
              </w:rPr>
              <w:t>2 lentelė 5.4 punktas</w:t>
            </w:r>
            <w:r>
              <w:rPr>
                <w:rFonts w:ascii="Times New Roman" w:hAnsi="Times New Roman"/>
                <w:b/>
                <w:sz w:val="24"/>
                <w:szCs w:val="24"/>
              </w:rPr>
              <w:t xml:space="preserve">: </w:t>
            </w:r>
            <w:r w:rsidRPr="00E64C98">
              <w:rPr>
                <w:rFonts w:ascii="Times New Roman" w:hAnsi="Times New Roman"/>
                <w:sz w:val="24"/>
                <w:szCs w:val="24"/>
              </w:rPr>
              <w:t>Siūlome atsisakyti naujai įve</w:t>
            </w:r>
            <w:r>
              <w:rPr>
                <w:rFonts w:ascii="Times New Roman" w:hAnsi="Times New Roman"/>
                <w:sz w:val="24"/>
                <w:szCs w:val="24"/>
              </w:rPr>
              <w:t>s</w:t>
            </w:r>
            <w:r w:rsidRPr="00E64C98">
              <w:rPr>
                <w:rFonts w:ascii="Times New Roman" w:hAnsi="Times New Roman"/>
                <w:sz w:val="24"/>
                <w:szCs w:val="24"/>
              </w:rPr>
              <w:t>to apribojimo „Šios išlaidos negali sudaryti daugiau nei 30 procentų tinkamų finansuoti Aprašo 11.1 papunktyje nurodytai veiklai skirtų išlaidų.“</w:t>
            </w:r>
            <w:r>
              <w:rPr>
                <w:rFonts w:ascii="Times New Roman" w:hAnsi="Times New Roman"/>
                <w:sz w:val="24"/>
                <w:szCs w:val="24"/>
              </w:rPr>
              <w:t xml:space="preserve"> Kadangi įrangos įsigijimas pagal 11.2 veiklą finansuojamas gerokai mažesniu intensyvumu, daug įmonių negali leisti sau tokių investicijų. Be to, Intelekto (ankstesnis priemonės pavadinimas) kvietimai įprasti sulaukia paraiškų apytiksliai tokiai sumai, kokia yra numatyta kvietime, t.y. atlikus išlaidų tinkamumo vertinimą konkurso praktiškai nebūdavo. Todėl toks apribojimas tik padidins riziką, jog bus panaudotos ne visos priemonei numatyto lėšos, dėl ko nebus pakankamai ar išvis finansuoti kai kurie Lietuvos ekonomikai didelę pridėtinę vertė turintys inovacijų kūrimo/vystymo projektai.</w:t>
            </w:r>
          </w:p>
          <w:p w:rsidR="00397496" w:rsidRPr="00DC0C77" w:rsidRDefault="00397496" w:rsidP="00D02718">
            <w:pPr>
              <w:pStyle w:val="Default"/>
              <w:jc w:val="both"/>
              <w:rPr>
                <w:b/>
                <w:color w:val="auto"/>
              </w:rPr>
            </w:pPr>
          </w:p>
        </w:tc>
        <w:tc>
          <w:tcPr>
            <w:tcW w:w="3211" w:type="dxa"/>
            <w:tcBorders>
              <w:top w:val="single" w:sz="4" w:space="0" w:color="auto"/>
              <w:left w:val="single" w:sz="4" w:space="0" w:color="auto"/>
              <w:bottom w:val="single" w:sz="4" w:space="0" w:color="auto"/>
              <w:right w:val="single" w:sz="4" w:space="0" w:color="auto"/>
            </w:tcBorders>
          </w:tcPr>
          <w:p w:rsidR="00397496" w:rsidRPr="00DC0C77" w:rsidRDefault="00BF15C2" w:rsidP="00D02718">
            <w:pPr>
              <w:pStyle w:val="Default"/>
              <w:ind w:left="720"/>
              <w:jc w:val="both"/>
              <w:rPr>
                <w:b/>
                <w:color w:val="auto"/>
              </w:rPr>
            </w:pPr>
            <w:r>
              <w:rPr>
                <w:b/>
                <w:color w:val="auto"/>
              </w:rPr>
              <w:t>Iš dalies atsižvelgta.</w:t>
            </w:r>
          </w:p>
        </w:tc>
        <w:tc>
          <w:tcPr>
            <w:tcW w:w="3544" w:type="dxa"/>
            <w:tcBorders>
              <w:top w:val="single" w:sz="4" w:space="0" w:color="auto"/>
              <w:left w:val="single" w:sz="4" w:space="0" w:color="auto"/>
              <w:bottom w:val="single" w:sz="4" w:space="0" w:color="auto"/>
              <w:right w:val="single" w:sz="4" w:space="0" w:color="auto"/>
            </w:tcBorders>
          </w:tcPr>
          <w:p w:rsidR="00397496" w:rsidRPr="00DC0C77" w:rsidRDefault="00BF15C2" w:rsidP="00BF15C2">
            <w:pPr>
              <w:pStyle w:val="Default"/>
              <w:jc w:val="both"/>
              <w:rPr>
                <w:color w:val="auto"/>
              </w:rPr>
            </w:pPr>
            <w:r>
              <w:rPr>
                <w:color w:val="auto"/>
              </w:rPr>
              <w:t xml:space="preserve">2 lentelės 5.4 punktas yra patikslintas </w:t>
            </w:r>
            <w:r w:rsidRPr="00E64C98">
              <w:t xml:space="preserve">„Šios išlaidos negali sudaryti daugiau nei </w:t>
            </w:r>
            <w:r w:rsidRPr="00BF15C2">
              <w:rPr>
                <w:b/>
                <w:color w:val="FF0000"/>
              </w:rPr>
              <w:t xml:space="preserve">50 </w:t>
            </w:r>
            <w:r w:rsidRPr="00E64C98">
              <w:t>procentų tinkamų finansuoti Aprašo 11.1 papunktyje nurodytai veiklai skirtų išlaidų.“</w:t>
            </w:r>
          </w:p>
        </w:tc>
      </w:tr>
      <w:tr w:rsidR="00397496" w:rsidRPr="00DC0C77" w:rsidTr="004136A2">
        <w:trPr>
          <w:trHeight w:val="4250"/>
        </w:trPr>
        <w:tc>
          <w:tcPr>
            <w:tcW w:w="675" w:type="dxa"/>
            <w:tcBorders>
              <w:top w:val="single" w:sz="4" w:space="0" w:color="auto"/>
              <w:left w:val="single" w:sz="4" w:space="0" w:color="auto"/>
              <w:bottom w:val="single" w:sz="4" w:space="0" w:color="auto"/>
              <w:right w:val="single" w:sz="4" w:space="0" w:color="auto"/>
            </w:tcBorders>
          </w:tcPr>
          <w:p w:rsidR="00397496" w:rsidRPr="00DC0C77" w:rsidRDefault="00397496"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397496" w:rsidRPr="00DC0C77" w:rsidRDefault="00423376" w:rsidP="00D0271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rsidR="00BC0016" w:rsidRPr="006D455F" w:rsidRDefault="00BC0016" w:rsidP="00BC0016">
            <w:pPr>
              <w:rPr>
                <w:rFonts w:ascii="Times New Roman" w:hAnsi="Times New Roman"/>
                <w:b/>
                <w:i/>
                <w:sz w:val="24"/>
                <w:szCs w:val="24"/>
              </w:rPr>
            </w:pPr>
            <w:r w:rsidRPr="006D455F">
              <w:rPr>
                <w:rFonts w:ascii="Times New Roman" w:hAnsi="Times New Roman"/>
                <w:b/>
                <w:i/>
                <w:sz w:val="24"/>
                <w:szCs w:val="24"/>
              </w:rPr>
              <w:t>Dėl nepalankių sąlygų IT sektoriui</w:t>
            </w:r>
          </w:p>
          <w:p w:rsidR="00BC0016" w:rsidRDefault="00BC0016" w:rsidP="00BC0016">
            <w:pPr>
              <w:ind w:left="-18" w:firstLine="18"/>
              <w:rPr>
                <w:rFonts w:ascii="Times New Roman" w:eastAsia="Times New Roman" w:hAnsi="Times New Roman"/>
                <w:i/>
                <w:sz w:val="24"/>
                <w:szCs w:val="24"/>
                <w:lang w:eastAsia="lt-LT"/>
              </w:rPr>
            </w:pPr>
            <w:r w:rsidRPr="00E64C98">
              <w:rPr>
                <w:rFonts w:ascii="Times New Roman" w:hAnsi="Times New Roman"/>
                <w:b/>
                <w:sz w:val="24"/>
                <w:szCs w:val="24"/>
              </w:rPr>
              <w:t>2 lentelė 5.4 punktas</w:t>
            </w:r>
            <w:r>
              <w:rPr>
                <w:rFonts w:ascii="Times New Roman" w:hAnsi="Times New Roman"/>
                <w:b/>
                <w:sz w:val="24"/>
                <w:szCs w:val="24"/>
              </w:rPr>
              <w:t xml:space="preserve">: </w:t>
            </w:r>
            <w:r w:rsidRPr="006D455F">
              <w:rPr>
                <w:rFonts w:ascii="Times New Roman" w:hAnsi="Times New Roman"/>
                <w:sz w:val="24"/>
                <w:szCs w:val="24"/>
              </w:rPr>
              <w:t>formuluotė</w:t>
            </w:r>
            <w:r>
              <w:rPr>
                <w:rFonts w:ascii="Times New Roman" w:hAnsi="Times New Roman"/>
                <w:b/>
                <w:sz w:val="24"/>
                <w:szCs w:val="24"/>
              </w:rPr>
              <w:t xml:space="preserve"> </w:t>
            </w:r>
            <w:r w:rsidRPr="005B1141">
              <w:rPr>
                <w:rFonts w:ascii="Times New Roman" w:hAnsi="Times New Roman"/>
                <w:b/>
                <w:i/>
                <w:sz w:val="24"/>
                <w:szCs w:val="24"/>
              </w:rPr>
              <w:t>„</w:t>
            </w:r>
            <w:r w:rsidRPr="005B1141">
              <w:rPr>
                <w:rFonts w:ascii="Times New Roman" w:eastAsia="Times New Roman" w:hAnsi="Times New Roman"/>
                <w:i/>
                <w:sz w:val="24"/>
                <w:szCs w:val="24"/>
                <w:lang w:eastAsia="lt-LT"/>
              </w:rPr>
              <w:t xml:space="preserve">Projekto MTEP veikloms naudojamo </w:t>
            </w:r>
            <w:r w:rsidRPr="005B1141">
              <w:rPr>
                <w:rFonts w:ascii="Times New Roman" w:eastAsia="Times New Roman" w:hAnsi="Times New Roman"/>
                <w:i/>
                <w:sz w:val="24"/>
                <w:szCs w:val="24"/>
                <w:u w:val="single"/>
                <w:lang w:eastAsia="lt-LT"/>
              </w:rPr>
              <w:t>ilgalaikio materialaus turto</w:t>
            </w:r>
            <w:r w:rsidRPr="005B1141">
              <w:rPr>
                <w:rFonts w:ascii="Times New Roman" w:eastAsia="Times New Roman" w:hAnsi="Times New Roman"/>
                <w:i/>
                <w:sz w:val="24"/>
                <w:szCs w:val="24"/>
                <w:lang w:eastAsia="lt-LT"/>
              </w:rPr>
              <w:t xml:space="preserve"> nusidėvėjimo sąnaudos</w:t>
            </w:r>
            <w:r>
              <w:rPr>
                <w:rFonts w:ascii="Times New Roman" w:eastAsia="Times New Roman" w:hAnsi="Times New Roman"/>
                <w:i/>
                <w:sz w:val="24"/>
                <w:szCs w:val="24"/>
                <w:lang w:eastAsia="lt-LT"/>
              </w:rPr>
              <w:t xml:space="preserve">“ </w:t>
            </w:r>
          </w:p>
          <w:p w:rsidR="00BC0016" w:rsidRDefault="00BC0016" w:rsidP="00BC0016">
            <w:pPr>
              <w:ind w:left="-18" w:firstLine="18"/>
              <w:rPr>
                <w:rFonts w:ascii="Times New Roman" w:eastAsia="Times New Roman" w:hAnsi="Times New Roman"/>
                <w:sz w:val="24"/>
                <w:szCs w:val="24"/>
                <w:lang w:eastAsia="lt-LT"/>
              </w:rPr>
            </w:pPr>
            <w:r>
              <w:rPr>
                <w:rFonts w:ascii="Times New Roman" w:eastAsia="Times New Roman" w:hAnsi="Times New Roman"/>
                <w:sz w:val="24"/>
                <w:szCs w:val="24"/>
                <w:lang w:eastAsia="lt-LT"/>
              </w:rPr>
              <w:t>B</w:t>
            </w:r>
            <w:r w:rsidRPr="005B1141">
              <w:rPr>
                <w:rFonts w:ascii="Times New Roman" w:eastAsia="Times New Roman" w:hAnsi="Times New Roman"/>
                <w:sz w:val="24"/>
                <w:szCs w:val="24"/>
                <w:lang w:eastAsia="lt-LT"/>
              </w:rPr>
              <w:t>ei</w:t>
            </w:r>
          </w:p>
          <w:p w:rsidR="00BC0016" w:rsidRDefault="00BC0016" w:rsidP="00BC0016">
            <w:pPr>
              <w:ind w:left="-18" w:firstLine="18"/>
              <w:rPr>
                <w:rFonts w:ascii="Times New Roman" w:eastAsia="Times New Roman" w:hAnsi="Times New Roman"/>
                <w:sz w:val="24"/>
                <w:szCs w:val="24"/>
                <w:lang w:eastAsia="lt-LT"/>
              </w:rPr>
            </w:pPr>
            <w:r w:rsidRPr="005B1141">
              <w:rPr>
                <w:rFonts w:ascii="Times New Roman" w:eastAsia="Times New Roman" w:hAnsi="Times New Roman"/>
                <w:b/>
                <w:sz w:val="24"/>
                <w:szCs w:val="24"/>
                <w:lang w:eastAsia="lt-LT"/>
              </w:rPr>
              <w:t>4 lentelė 4.3 punktas</w:t>
            </w:r>
            <w:r>
              <w:rPr>
                <w:rFonts w:ascii="Times New Roman" w:eastAsia="Times New Roman" w:hAnsi="Times New Roman"/>
                <w:b/>
                <w:sz w:val="24"/>
                <w:szCs w:val="24"/>
                <w:lang w:eastAsia="lt-LT"/>
              </w:rPr>
              <w:t xml:space="preserve">: </w:t>
            </w:r>
            <w:r w:rsidRPr="005B1141">
              <w:rPr>
                <w:rFonts w:ascii="Times New Roman" w:eastAsia="Times New Roman" w:hAnsi="Times New Roman"/>
                <w:sz w:val="24"/>
                <w:szCs w:val="24"/>
                <w:lang w:eastAsia="lt-LT"/>
              </w:rPr>
              <w:t xml:space="preserve">apribojimas </w:t>
            </w:r>
            <w:r w:rsidRPr="005B1141">
              <w:rPr>
                <w:rFonts w:ascii="Times New Roman" w:eastAsia="Times New Roman" w:hAnsi="Times New Roman"/>
                <w:i/>
                <w:sz w:val="24"/>
                <w:szCs w:val="24"/>
                <w:lang w:eastAsia="lt-LT"/>
              </w:rPr>
              <w:t>„</w:t>
            </w:r>
            <w:r w:rsidRPr="005B1141">
              <w:rPr>
                <w:rFonts w:ascii="Times New Roman" w:eastAsia="Times New Roman" w:hAnsi="Times New Roman"/>
                <w:i/>
                <w:sz w:val="24"/>
                <w:szCs w:val="24"/>
                <w:u w:val="single"/>
                <w:lang w:eastAsia="lt-LT"/>
              </w:rPr>
              <w:t>Programinės įrangos</w:t>
            </w:r>
            <w:r w:rsidRPr="005B1141">
              <w:rPr>
                <w:rFonts w:ascii="Times New Roman" w:eastAsia="Times New Roman" w:hAnsi="Times New Roman"/>
                <w:i/>
                <w:sz w:val="24"/>
                <w:szCs w:val="24"/>
                <w:lang w:eastAsia="lt-LT"/>
              </w:rPr>
              <w:t xml:space="preserve"> naudojimo licencijos nėra tinkamos finansuoti“</w:t>
            </w:r>
            <w:r>
              <w:rPr>
                <w:rFonts w:ascii="Times New Roman" w:eastAsia="Times New Roman" w:hAnsi="Times New Roman"/>
                <w:i/>
                <w:sz w:val="24"/>
                <w:szCs w:val="24"/>
                <w:lang w:eastAsia="lt-LT"/>
              </w:rPr>
              <w:t xml:space="preserve"> </w:t>
            </w:r>
          </w:p>
          <w:p w:rsidR="00BC0016" w:rsidRDefault="00BC0016" w:rsidP="00BC0016">
            <w:pPr>
              <w:ind w:left="-18" w:firstLine="18"/>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Ir </w:t>
            </w:r>
          </w:p>
          <w:p w:rsidR="004E2FF8" w:rsidRDefault="004E2FF8" w:rsidP="00BC0016">
            <w:pPr>
              <w:ind w:left="-18" w:firstLine="18"/>
              <w:rPr>
                <w:rFonts w:ascii="Times New Roman" w:eastAsia="Times New Roman" w:hAnsi="Times New Roman"/>
                <w:b/>
                <w:sz w:val="24"/>
                <w:szCs w:val="24"/>
                <w:lang w:eastAsia="lt-LT"/>
              </w:rPr>
            </w:pPr>
          </w:p>
          <w:p w:rsidR="004E2FF8" w:rsidRDefault="004E2FF8" w:rsidP="00BC0016">
            <w:pPr>
              <w:ind w:left="-18" w:firstLine="18"/>
              <w:rPr>
                <w:rFonts w:ascii="Times New Roman" w:eastAsia="Times New Roman" w:hAnsi="Times New Roman"/>
                <w:b/>
                <w:sz w:val="24"/>
                <w:szCs w:val="24"/>
                <w:lang w:eastAsia="lt-LT"/>
              </w:rPr>
            </w:pPr>
          </w:p>
          <w:p w:rsidR="004E2FF8" w:rsidRDefault="004E2FF8" w:rsidP="00BC0016">
            <w:pPr>
              <w:ind w:left="-18" w:firstLine="18"/>
              <w:rPr>
                <w:rFonts w:ascii="Times New Roman" w:eastAsia="Times New Roman" w:hAnsi="Times New Roman"/>
                <w:b/>
                <w:sz w:val="24"/>
                <w:szCs w:val="24"/>
                <w:lang w:eastAsia="lt-LT"/>
              </w:rPr>
            </w:pPr>
          </w:p>
          <w:p w:rsidR="004E2FF8" w:rsidRDefault="004E2FF8" w:rsidP="00BC0016">
            <w:pPr>
              <w:ind w:left="-18" w:firstLine="18"/>
              <w:rPr>
                <w:rFonts w:ascii="Times New Roman" w:eastAsia="Times New Roman" w:hAnsi="Times New Roman"/>
                <w:b/>
                <w:sz w:val="24"/>
                <w:szCs w:val="24"/>
                <w:lang w:eastAsia="lt-LT"/>
              </w:rPr>
            </w:pPr>
          </w:p>
          <w:p w:rsidR="004E2FF8" w:rsidRDefault="004E2FF8" w:rsidP="00BC0016">
            <w:pPr>
              <w:ind w:left="-18" w:firstLine="18"/>
              <w:rPr>
                <w:rFonts w:ascii="Times New Roman" w:eastAsia="Times New Roman" w:hAnsi="Times New Roman"/>
                <w:b/>
                <w:sz w:val="24"/>
                <w:szCs w:val="24"/>
                <w:lang w:eastAsia="lt-LT"/>
              </w:rPr>
            </w:pPr>
          </w:p>
          <w:p w:rsidR="00BC0016" w:rsidRDefault="00BC0016" w:rsidP="00BC0016">
            <w:pPr>
              <w:ind w:left="-18" w:firstLine="18"/>
              <w:rPr>
                <w:rFonts w:ascii="Times New Roman" w:eastAsia="Times New Roman" w:hAnsi="Times New Roman"/>
                <w:i/>
                <w:sz w:val="24"/>
                <w:szCs w:val="24"/>
                <w:lang w:eastAsia="lt-LT"/>
              </w:rPr>
            </w:pPr>
            <w:r w:rsidRPr="005B1141">
              <w:rPr>
                <w:rFonts w:ascii="Times New Roman" w:eastAsia="Times New Roman" w:hAnsi="Times New Roman"/>
                <w:b/>
                <w:sz w:val="24"/>
                <w:szCs w:val="24"/>
                <w:lang w:eastAsia="lt-LT"/>
              </w:rPr>
              <w:t>4 lentelė 4.</w:t>
            </w:r>
            <w:r>
              <w:rPr>
                <w:rFonts w:ascii="Times New Roman" w:eastAsia="Times New Roman" w:hAnsi="Times New Roman"/>
                <w:b/>
                <w:sz w:val="24"/>
                <w:szCs w:val="24"/>
                <w:lang w:eastAsia="lt-LT"/>
              </w:rPr>
              <w:t>2</w:t>
            </w:r>
            <w:r w:rsidRPr="005B1141">
              <w:rPr>
                <w:rFonts w:ascii="Times New Roman" w:eastAsia="Times New Roman" w:hAnsi="Times New Roman"/>
                <w:b/>
                <w:sz w:val="24"/>
                <w:szCs w:val="24"/>
                <w:lang w:eastAsia="lt-LT"/>
              </w:rPr>
              <w:t xml:space="preserve"> punktas</w:t>
            </w:r>
            <w:r>
              <w:rPr>
                <w:rFonts w:ascii="Times New Roman" w:eastAsia="Times New Roman" w:hAnsi="Times New Roman"/>
                <w:b/>
                <w:sz w:val="24"/>
                <w:szCs w:val="24"/>
                <w:lang w:eastAsia="lt-LT"/>
              </w:rPr>
              <w:t xml:space="preserve">: </w:t>
            </w:r>
            <w:r w:rsidRPr="005B1141">
              <w:rPr>
                <w:rFonts w:ascii="Times New Roman" w:eastAsia="Times New Roman" w:hAnsi="Times New Roman"/>
                <w:i/>
                <w:sz w:val="24"/>
                <w:szCs w:val="24"/>
                <w:lang w:eastAsia="lt-LT"/>
              </w:rPr>
              <w:t>kompiuterinė technika. Išlaidos šiam turtui negali sudaryti d</w:t>
            </w:r>
            <w:r w:rsidRPr="005B1141">
              <w:rPr>
                <w:rFonts w:ascii="Times New Roman" w:eastAsia="Times New Roman" w:hAnsi="Times New Roman"/>
                <w:i/>
                <w:sz w:val="24"/>
                <w:szCs w:val="24"/>
                <w:u w:val="single"/>
                <w:lang w:eastAsia="lt-LT"/>
              </w:rPr>
              <w:t>augiau nei 50 procentų</w:t>
            </w:r>
            <w:r w:rsidRPr="005B1141">
              <w:rPr>
                <w:rFonts w:ascii="Times New Roman" w:eastAsia="Times New Roman" w:hAnsi="Times New Roman"/>
                <w:i/>
                <w:sz w:val="24"/>
                <w:szCs w:val="24"/>
                <w:lang w:eastAsia="lt-LT"/>
              </w:rPr>
              <w:t xml:space="preserve"> Aprašo 1011.2 papunktyje nurodytai veiklai skirtų tinkamų finansuoti išlaidų sumos.</w:t>
            </w:r>
          </w:p>
          <w:p w:rsidR="00BC0016" w:rsidRDefault="00BC0016" w:rsidP="00BC0016">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Aukščiau išvardinti punktai diskriminuoja informacinių technologijų (IT) sektorių, kuris yra vienas iš didžiausią pridėtinę vertę kuriančių Lietuvoje. Savaime suprantama, kad vien su kompiuterine technika be programinės įrangos nieko (taip pat tyrimų) daryti negalima. Šiuo laikmečiu vien duomenų bazių valdymo programinės įrangos licencijų kaina įprastai viršyta techninės įrangos kainą, todėl pagal buhalterinės apskaitos standartus programinė įranga negali būti pajamuojama kartu su technine įranga (t.y. kaip papildomas smulkus priedas). Be to duomenų bazių valdymo sistemų licencijos parduodamos (priešingai nuo operacinių sistemų) atskirai nuo aparatinės įrangos. Analogiška situacija yra ir su kita tyrimams reikalinga programine įranga.</w:t>
            </w:r>
          </w:p>
          <w:p w:rsidR="00BC0016" w:rsidRDefault="00BC0016" w:rsidP="00BC0016">
            <w:pPr>
              <w:jc w:val="both"/>
              <w:rPr>
                <w:rFonts w:ascii="Times New Roman" w:eastAsia="Times New Roman" w:hAnsi="Times New Roman"/>
                <w:sz w:val="24"/>
                <w:szCs w:val="24"/>
                <w:lang w:eastAsia="lt-LT"/>
              </w:rPr>
            </w:pPr>
            <w:r w:rsidRPr="005B1141">
              <w:rPr>
                <w:rFonts w:ascii="Times New Roman" w:eastAsia="Times New Roman" w:hAnsi="Times New Roman"/>
                <w:b/>
                <w:sz w:val="24"/>
                <w:szCs w:val="24"/>
                <w:lang w:eastAsia="lt-LT"/>
              </w:rPr>
              <w:t>4 lentelė 4.</w:t>
            </w:r>
            <w:r>
              <w:rPr>
                <w:rFonts w:ascii="Times New Roman" w:eastAsia="Times New Roman" w:hAnsi="Times New Roman"/>
                <w:b/>
                <w:sz w:val="24"/>
                <w:szCs w:val="24"/>
                <w:lang w:eastAsia="lt-LT"/>
              </w:rPr>
              <w:t>2</w:t>
            </w:r>
            <w:r w:rsidRPr="005B1141">
              <w:rPr>
                <w:rFonts w:ascii="Times New Roman" w:eastAsia="Times New Roman" w:hAnsi="Times New Roman"/>
                <w:b/>
                <w:sz w:val="24"/>
                <w:szCs w:val="24"/>
                <w:lang w:eastAsia="lt-LT"/>
              </w:rPr>
              <w:t xml:space="preserve"> punktas</w:t>
            </w:r>
            <w:r>
              <w:rPr>
                <w:rFonts w:ascii="Times New Roman" w:eastAsia="Times New Roman" w:hAnsi="Times New Roman"/>
                <w:b/>
                <w:sz w:val="24"/>
                <w:szCs w:val="24"/>
                <w:lang w:eastAsia="lt-LT"/>
              </w:rPr>
              <w:t xml:space="preserve">: </w:t>
            </w:r>
            <w:r>
              <w:rPr>
                <w:rFonts w:ascii="Times New Roman" w:eastAsia="Times New Roman" w:hAnsi="Times New Roman"/>
                <w:i/>
                <w:sz w:val="24"/>
                <w:szCs w:val="24"/>
                <w:lang w:eastAsia="lt-LT"/>
              </w:rPr>
              <w:t xml:space="preserve">de facto </w:t>
            </w:r>
            <w:r>
              <w:rPr>
                <w:rFonts w:ascii="Times New Roman" w:eastAsia="Times New Roman" w:hAnsi="Times New Roman"/>
                <w:sz w:val="24"/>
                <w:szCs w:val="24"/>
                <w:lang w:eastAsia="lt-LT"/>
              </w:rPr>
              <w:t>reiškia, kad IT įmonė negali vykdyti 11.2 veiklos, nes įprastai be kompiuterinės įrangos jokia kita tyrimų įranga nėra reikalinga IT įmonėms.</w:t>
            </w:r>
          </w:p>
          <w:p w:rsidR="00BC0016" w:rsidRDefault="00BC0016" w:rsidP="00BC0016">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IT sektoriaus specifika pasižymi ir </w:t>
            </w:r>
            <w:proofErr w:type="spellStart"/>
            <w:r>
              <w:rPr>
                <w:rFonts w:ascii="Times New Roman" w:eastAsia="Times New Roman" w:hAnsi="Times New Roman"/>
                <w:sz w:val="24"/>
                <w:szCs w:val="24"/>
                <w:lang w:eastAsia="lt-LT"/>
              </w:rPr>
              <w:t>FinTech</w:t>
            </w:r>
            <w:proofErr w:type="spellEnd"/>
            <w:r>
              <w:rPr>
                <w:rFonts w:ascii="Times New Roman" w:eastAsia="Times New Roman" w:hAnsi="Times New Roman"/>
                <w:sz w:val="24"/>
                <w:szCs w:val="24"/>
                <w:lang w:eastAsia="lt-LT"/>
              </w:rPr>
              <w:t xml:space="preserve"> sektorius, kuris laikomas strateginiu, tačiau aukščiau paminėtos PFSA formuluotės kaip tik diskriminuoja šį sektorių.</w:t>
            </w:r>
          </w:p>
          <w:p w:rsidR="00397496" w:rsidRPr="00DC0C77" w:rsidRDefault="00BC0016" w:rsidP="004136A2">
            <w:pPr>
              <w:jc w:val="both"/>
              <w:rPr>
                <w:b/>
              </w:rPr>
            </w:pPr>
            <w:r>
              <w:rPr>
                <w:rFonts w:ascii="Times New Roman" w:eastAsia="Times New Roman" w:hAnsi="Times New Roman"/>
                <w:sz w:val="24"/>
                <w:szCs w:val="24"/>
                <w:lang w:eastAsia="lt-LT"/>
              </w:rPr>
              <w:t>Todėl prašome visiškai panaikinti arba bent jau sušvelninti šiuos diskriminacinius apribojimus.</w:t>
            </w:r>
          </w:p>
        </w:tc>
        <w:tc>
          <w:tcPr>
            <w:tcW w:w="3211" w:type="dxa"/>
            <w:tcBorders>
              <w:top w:val="single" w:sz="4" w:space="0" w:color="auto"/>
              <w:left w:val="single" w:sz="4" w:space="0" w:color="auto"/>
              <w:bottom w:val="single" w:sz="4" w:space="0" w:color="auto"/>
              <w:right w:val="single" w:sz="4" w:space="0" w:color="auto"/>
            </w:tcBorders>
          </w:tcPr>
          <w:p w:rsidR="002C7FD5" w:rsidRDefault="002C7FD5" w:rsidP="00D02718">
            <w:pPr>
              <w:pStyle w:val="Default"/>
              <w:ind w:left="720"/>
              <w:jc w:val="both"/>
              <w:rPr>
                <w:b/>
                <w:color w:val="auto"/>
              </w:rPr>
            </w:pPr>
          </w:p>
          <w:p w:rsidR="002C7FD5" w:rsidRDefault="002C7FD5" w:rsidP="00D02718">
            <w:pPr>
              <w:pStyle w:val="Default"/>
              <w:ind w:left="720"/>
              <w:jc w:val="both"/>
              <w:rPr>
                <w:b/>
                <w:color w:val="auto"/>
              </w:rPr>
            </w:pPr>
          </w:p>
          <w:p w:rsidR="00397496" w:rsidRDefault="00AE1DD3" w:rsidP="00D02718">
            <w:pPr>
              <w:pStyle w:val="Default"/>
              <w:ind w:left="720"/>
              <w:jc w:val="both"/>
              <w:rPr>
                <w:b/>
                <w:color w:val="auto"/>
              </w:rPr>
            </w:pPr>
            <w:r>
              <w:rPr>
                <w:b/>
                <w:color w:val="auto"/>
              </w:rPr>
              <w:t>Atsižvelgta.</w:t>
            </w:r>
          </w:p>
          <w:p w:rsidR="008A6934" w:rsidRDefault="008A6934" w:rsidP="00D02718">
            <w:pPr>
              <w:pStyle w:val="Default"/>
              <w:ind w:left="720"/>
              <w:jc w:val="both"/>
              <w:rPr>
                <w:b/>
                <w:color w:val="auto"/>
              </w:rPr>
            </w:pPr>
          </w:p>
          <w:p w:rsidR="008A6934" w:rsidRDefault="008A6934" w:rsidP="00D02718">
            <w:pPr>
              <w:pStyle w:val="Default"/>
              <w:ind w:left="720"/>
              <w:jc w:val="both"/>
              <w:rPr>
                <w:b/>
                <w:color w:val="auto"/>
              </w:rPr>
            </w:pPr>
          </w:p>
          <w:p w:rsidR="008A6934" w:rsidRDefault="008A6934" w:rsidP="00D02718">
            <w:pPr>
              <w:pStyle w:val="Default"/>
              <w:ind w:left="720"/>
              <w:jc w:val="both"/>
              <w:rPr>
                <w:b/>
                <w:color w:val="auto"/>
              </w:rPr>
            </w:pPr>
          </w:p>
          <w:p w:rsidR="008A6934" w:rsidRDefault="008A6934" w:rsidP="00D02718">
            <w:pPr>
              <w:pStyle w:val="Default"/>
              <w:ind w:left="720"/>
              <w:jc w:val="both"/>
              <w:rPr>
                <w:b/>
                <w:color w:val="auto"/>
              </w:rPr>
            </w:pPr>
          </w:p>
          <w:p w:rsidR="008A6934" w:rsidRDefault="008A6934" w:rsidP="00D02718">
            <w:pPr>
              <w:pStyle w:val="Default"/>
              <w:ind w:left="720"/>
              <w:jc w:val="both"/>
              <w:rPr>
                <w:b/>
                <w:color w:val="auto"/>
              </w:rPr>
            </w:pPr>
          </w:p>
          <w:p w:rsidR="008A6934" w:rsidRDefault="008A6934" w:rsidP="00D02718">
            <w:pPr>
              <w:pStyle w:val="Default"/>
              <w:ind w:left="720"/>
              <w:jc w:val="both"/>
              <w:rPr>
                <w:b/>
                <w:color w:val="auto"/>
              </w:rPr>
            </w:pPr>
            <w:r>
              <w:rPr>
                <w:b/>
                <w:color w:val="auto"/>
              </w:rPr>
              <w:t>Neatsižvelgta.</w:t>
            </w:r>
          </w:p>
          <w:p w:rsidR="00D61114" w:rsidRDefault="00D61114" w:rsidP="00D02718">
            <w:pPr>
              <w:pStyle w:val="Default"/>
              <w:ind w:left="720"/>
              <w:jc w:val="both"/>
              <w:rPr>
                <w:b/>
                <w:color w:val="auto"/>
              </w:rPr>
            </w:pPr>
          </w:p>
          <w:p w:rsidR="00D61114" w:rsidRDefault="00D61114" w:rsidP="00D02718">
            <w:pPr>
              <w:pStyle w:val="Default"/>
              <w:ind w:left="720"/>
              <w:jc w:val="both"/>
              <w:rPr>
                <w:b/>
                <w:color w:val="auto"/>
              </w:rPr>
            </w:pPr>
          </w:p>
          <w:p w:rsidR="00D61114" w:rsidRDefault="00D61114" w:rsidP="00D02718">
            <w:pPr>
              <w:pStyle w:val="Default"/>
              <w:ind w:left="720"/>
              <w:jc w:val="both"/>
              <w:rPr>
                <w:b/>
                <w:color w:val="auto"/>
              </w:rPr>
            </w:pPr>
          </w:p>
          <w:p w:rsidR="00D61114" w:rsidRDefault="00D61114" w:rsidP="00D02718">
            <w:pPr>
              <w:pStyle w:val="Default"/>
              <w:ind w:left="720"/>
              <w:jc w:val="both"/>
              <w:rPr>
                <w:b/>
                <w:color w:val="auto"/>
              </w:rPr>
            </w:pPr>
          </w:p>
          <w:p w:rsidR="004E2FF8" w:rsidRDefault="004E2FF8" w:rsidP="00D02718">
            <w:pPr>
              <w:pStyle w:val="Default"/>
              <w:ind w:left="720"/>
              <w:jc w:val="both"/>
              <w:rPr>
                <w:b/>
                <w:color w:val="auto"/>
              </w:rPr>
            </w:pPr>
          </w:p>
          <w:p w:rsidR="004E2FF8" w:rsidRDefault="004E2FF8" w:rsidP="00D02718">
            <w:pPr>
              <w:pStyle w:val="Default"/>
              <w:ind w:left="720"/>
              <w:jc w:val="both"/>
              <w:rPr>
                <w:b/>
                <w:color w:val="auto"/>
              </w:rPr>
            </w:pPr>
          </w:p>
          <w:p w:rsidR="004E2FF8" w:rsidRDefault="004E2FF8" w:rsidP="00D02718">
            <w:pPr>
              <w:pStyle w:val="Default"/>
              <w:ind w:left="720"/>
              <w:jc w:val="both"/>
              <w:rPr>
                <w:b/>
                <w:color w:val="auto"/>
              </w:rPr>
            </w:pPr>
          </w:p>
          <w:p w:rsidR="004E2FF8" w:rsidRDefault="004E2FF8" w:rsidP="00D02718">
            <w:pPr>
              <w:pStyle w:val="Default"/>
              <w:ind w:left="720"/>
              <w:jc w:val="both"/>
              <w:rPr>
                <w:b/>
                <w:color w:val="auto"/>
              </w:rPr>
            </w:pPr>
          </w:p>
          <w:p w:rsidR="004E2FF8" w:rsidRDefault="004E2FF8" w:rsidP="00D02718">
            <w:pPr>
              <w:pStyle w:val="Default"/>
              <w:ind w:left="720"/>
              <w:jc w:val="both"/>
              <w:rPr>
                <w:b/>
                <w:color w:val="auto"/>
              </w:rPr>
            </w:pPr>
          </w:p>
          <w:p w:rsidR="004E2FF8" w:rsidRDefault="004E2FF8" w:rsidP="00D02718">
            <w:pPr>
              <w:pStyle w:val="Default"/>
              <w:ind w:left="720"/>
              <w:jc w:val="both"/>
              <w:rPr>
                <w:b/>
                <w:color w:val="auto"/>
              </w:rPr>
            </w:pPr>
          </w:p>
          <w:p w:rsidR="004E2FF8" w:rsidRDefault="004E2FF8" w:rsidP="00D02718">
            <w:pPr>
              <w:pStyle w:val="Default"/>
              <w:ind w:left="720"/>
              <w:jc w:val="both"/>
              <w:rPr>
                <w:b/>
                <w:color w:val="auto"/>
              </w:rPr>
            </w:pPr>
          </w:p>
          <w:p w:rsidR="004E2FF8" w:rsidRDefault="004E2FF8" w:rsidP="00D02718">
            <w:pPr>
              <w:pStyle w:val="Default"/>
              <w:ind w:left="720"/>
              <w:jc w:val="both"/>
              <w:rPr>
                <w:b/>
                <w:color w:val="auto"/>
              </w:rPr>
            </w:pPr>
          </w:p>
          <w:p w:rsidR="004E2FF8" w:rsidRDefault="004E2FF8" w:rsidP="00D02718">
            <w:pPr>
              <w:pStyle w:val="Default"/>
              <w:ind w:left="720"/>
              <w:jc w:val="both"/>
              <w:rPr>
                <w:b/>
                <w:color w:val="auto"/>
              </w:rPr>
            </w:pPr>
          </w:p>
          <w:p w:rsidR="004E2FF8" w:rsidRDefault="004E2FF8" w:rsidP="00D02718">
            <w:pPr>
              <w:pStyle w:val="Default"/>
              <w:ind w:left="720"/>
              <w:jc w:val="both"/>
              <w:rPr>
                <w:b/>
                <w:color w:val="auto"/>
              </w:rPr>
            </w:pPr>
          </w:p>
          <w:p w:rsidR="00D61114" w:rsidRPr="00DC0C77" w:rsidRDefault="00D61114" w:rsidP="00D02718">
            <w:pPr>
              <w:pStyle w:val="Default"/>
              <w:ind w:left="720"/>
              <w:jc w:val="both"/>
              <w:rPr>
                <w:b/>
                <w:color w:val="auto"/>
              </w:rPr>
            </w:pPr>
            <w:r>
              <w:rPr>
                <w:b/>
                <w:color w:val="auto"/>
              </w:rPr>
              <w:t>Atsižvelgta.</w:t>
            </w:r>
          </w:p>
        </w:tc>
        <w:tc>
          <w:tcPr>
            <w:tcW w:w="3544" w:type="dxa"/>
            <w:tcBorders>
              <w:top w:val="single" w:sz="4" w:space="0" w:color="auto"/>
              <w:left w:val="single" w:sz="4" w:space="0" w:color="auto"/>
              <w:bottom w:val="single" w:sz="4" w:space="0" w:color="auto"/>
              <w:right w:val="single" w:sz="4" w:space="0" w:color="auto"/>
            </w:tcBorders>
          </w:tcPr>
          <w:p w:rsidR="002C7FD5" w:rsidRDefault="002C7FD5" w:rsidP="00AE1DD3">
            <w:pPr>
              <w:pStyle w:val="Default"/>
              <w:ind w:left="142"/>
              <w:jc w:val="both"/>
              <w:rPr>
                <w:color w:val="auto"/>
              </w:rPr>
            </w:pPr>
          </w:p>
          <w:p w:rsidR="002C7FD5" w:rsidRDefault="002C7FD5" w:rsidP="00AE1DD3">
            <w:pPr>
              <w:pStyle w:val="Default"/>
              <w:ind w:left="142"/>
              <w:jc w:val="both"/>
              <w:rPr>
                <w:color w:val="auto"/>
              </w:rPr>
            </w:pPr>
          </w:p>
          <w:p w:rsidR="00397496" w:rsidRDefault="00AE1DD3" w:rsidP="00AE1DD3">
            <w:pPr>
              <w:pStyle w:val="Default"/>
              <w:ind w:left="142"/>
              <w:jc w:val="both"/>
              <w:rPr>
                <w:color w:val="auto"/>
              </w:rPr>
            </w:pPr>
            <w:r w:rsidRPr="00AE1DD3">
              <w:rPr>
                <w:color w:val="auto"/>
              </w:rPr>
              <w:t xml:space="preserve">Aprašo 2 lentelės 5.4 papunktyje </w:t>
            </w:r>
            <w:r>
              <w:rPr>
                <w:color w:val="auto"/>
              </w:rPr>
              <w:t>išbraukti žodžiai „ilgalaikio materialaus“.</w:t>
            </w:r>
          </w:p>
          <w:p w:rsidR="00AC1C79" w:rsidRDefault="00AC1C79" w:rsidP="00AE1DD3">
            <w:pPr>
              <w:pStyle w:val="Default"/>
              <w:ind w:left="142"/>
              <w:jc w:val="both"/>
              <w:rPr>
                <w:color w:val="auto"/>
              </w:rPr>
            </w:pPr>
          </w:p>
          <w:p w:rsidR="00AC1C79" w:rsidRDefault="00AC1C79" w:rsidP="00AE1DD3">
            <w:pPr>
              <w:pStyle w:val="Default"/>
              <w:ind w:left="142"/>
              <w:jc w:val="both"/>
              <w:rPr>
                <w:color w:val="auto"/>
              </w:rPr>
            </w:pPr>
          </w:p>
          <w:p w:rsidR="00AC1C79" w:rsidRDefault="00AC1C79" w:rsidP="00AE1DD3">
            <w:pPr>
              <w:pStyle w:val="Default"/>
              <w:ind w:left="142"/>
              <w:jc w:val="both"/>
              <w:rPr>
                <w:color w:val="auto"/>
              </w:rPr>
            </w:pPr>
          </w:p>
          <w:p w:rsidR="004E2FF8" w:rsidRPr="004E2FF8" w:rsidRDefault="004E2FF8" w:rsidP="004E2FF8">
            <w:pPr>
              <w:spacing w:after="0" w:line="240" w:lineRule="auto"/>
              <w:jc w:val="both"/>
              <w:rPr>
                <w:rFonts w:ascii="Times New Roman" w:hAnsi="Times New Roman" w:cs="Times New Roman"/>
                <w:sz w:val="24"/>
                <w:szCs w:val="24"/>
              </w:rPr>
            </w:pPr>
            <w:r w:rsidRPr="004E2FF8">
              <w:rPr>
                <w:rFonts w:ascii="Times New Roman" w:hAnsi="Times New Roman" w:cs="Times New Roman"/>
                <w:sz w:val="24"/>
                <w:szCs w:val="24"/>
              </w:rPr>
              <w:t>Pagal Aprašo 10.2 papunktį remiama veikla – įmonių pradinės investicijos, kuriomis kuriama naujos ar plečiama esamos įmonės MTEP ir inovacijų infrastruktūra ir kuri nėra prieinama viešai arba klasteriuose</w:t>
            </w:r>
            <w:r>
              <w:rPr>
                <w:rFonts w:ascii="Times New Roman" w:hAnsi="Times New Roman" w:cs="Times New Roman"/>
                <w:sz w:val="24"/>
                <w:szCs w:val="24"/>
              </w:rPr>
              <w:t xml:space="preserve">. Pradinė investiciją yra apibrėžta </w:t>
            </w:r>
            <w:r w:rsidRPr="00F92D34">
              <w:rPr>
                <w:rFonts w:ascii="Times New Roman" w:hAnsi="Times New Roman"/>
                <w:sz w:val="24"/>
                <w:szCs w:val="24"/>
              </w:rPr>
              <w:t xml:space="preserve">Bendrojo bendrosios </w:t>
            </w:r>
            <w:r w:rsidRPr="00F92D34">
              <w:rPr>
                <w:rFonts w:ascii="Times New Roman" w:hAnsi="Times New Roman"/>
                <w:sz w:val="24"/>
                <w:szCs w:val="24"/>
              </w:rPr>
              <w:lastRenderedPageBreak/>
              <w:t>išimties reglamento 2 straipsnio 49 punkto a papunktyje</w:t>
            </w:r>
            <w:r w:rsidRPr="004E2FF8">
              <w:rPr>
                <w:rFonts w:ascii="Times New Roman" w:hAnsi="Times New Roman"/>
                <w:sz w:val="24"/>
                <w:szCs w:val="24"/>
              </w:rPr>
              <w:t xml:space="preserve">. Išlaidos </w:t>
            </w:r>
            <w:r w:rsidRPr="004E2FF8">
              <w:rPr>
                <w:rFonts w:ascii="Times New Roman" w:hAnsi="Times New Roman"/>
                <w:sz w:val="24"/>
                <w:szCs w:val="24"/>
                <w:u w:val="single"/>
              </w:rPr>
              <w:t>p</w:t>
            </w:r>
            <w:r w:rsidRPr="004E2FF8">
              <w:rPr>
                <w:rFonts w:ascii="Times New Roman" w:eastAsia="Times New Roman" w:hAnsi="Times New Roman"/>
                <w:sz w:val="24"/>
                <w:szCs w:val="24"/>
                <w:u w:val="single"/>
                <w:lang w:eastAsia="lt-LT"/>
              </w:rPr>
              <w:t>rograminės įrangos</w:t>
            </w:r>
            <w:r w:rsidRPr="004E2FF8">
              <w:rPr>
                <w:rFonts w:ascii="Times New Roman" w:eastAsia="Times New Roman" w:hAnsi="Times New Roman"/>
                <w:sz w:val="24"/>
                <w:szCs w:val="24"/>
                <w:lang w:eastAsia="lt-LT"/>
              </w:rPr>
              <w:t xml:space="preserve"> naudojimo licencijai įsigyti nepriskirtinos prie pradinės investicijos.</w:t>
            </w:r>
          </w:p>
          <w:p w:rsidR="00AC1C79" w:rsidRDefault="00AC1C79" w:rsidP="00AE1DD3">
            <w:pPr>
              <w:pStyle w:val="Default"/>
              <w:ind w:left="142"/>
              <w:jc w:val="both"/>
              <w:rPr>
                <w:color w:val="auto"/>
              </w:rPr>
            </w:pPr>
          </w:p>
          <w:p w:rsidR="004E2FF8" w:rsidRDefault="004E2FF8" w:rsidP="00AE1DD3">
            <w:pPr>
              <w:pStyle w:val="Default"/>
              <w:ind w:left="142"/>
              <w:jc w:val="both"/>
              <w:rPr>
                <w:color w:val="auto"/>
              </w:rPr>
            </w:pPr>
          </w:p>
          <w:p w:rsidR="00AC1C79" w:rsidRPr="00AE1DD3" w:rsidRDefault="00AC1C79" w:rsidP="00AE1DD3">
            <w:pPr>
              <w:pStyle w:val="Default"/>
              <w:ind w:left="142"/>
              <w:jc w:val="both"/>
              <w:rPr>
                <w:color w:val="auto"/>
              </w:rPr>
            </w:pPr>
            <w:r>
              <w:rPr>
                <w:color w:val="auto"/>
              </w:rPr>
              <w:t>50 proc. apribojimas yra išbrauktas.</w:t>
            </w:r>
          </w:p>
        </w:tc>
      </w:tr>
      <w:tr w:rsidR="00397496" w:rsidRPr="00DC0C77" w:rsidTr="004136A2">
        <w:trPr>
          <w:trHeight w:val="1699"/>
        </w:trPr>
        <w:tc>
          <w:tcPr>
            <w:tcW w:w="675" w:type="dxa"/>
            <w:tcBorders>
              <w:top w:val="single" w:sz="4" w:space="0" w:color="auto"/>
              <w:left w:val="single" w:sz="4" w:space="0" w:color="auto"/>
              <w:bottom w:val="single" w:sz="4" w:space="0" w:color="auto"/>
              <w:right w:val="single" w:sz="4" w:space="0" w:color="auto"/>
            </w:tcBorders>
          </w:tcPr>
          <w:p w:rsidR="00397496" w:rsidRPr="00DC0C77" w:rsidRDefault="00397496"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397496" w:rsidRPr="00DC0C77" w:rsidRDefault="00423376" w:rsidP="00D0271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rsidR="00BC0016" w:rsidRDefault="00BC0016" w:rsidP="00BC0016">
            <w:pPr>
              <w:jc w:val="both"/>
              <w:rPr>
                <w:rFonts w:ascii="Times New Roman" w:hAnsi="Times New Roman"/>
                <w:sz w:val="24"/>
                <w:szCs w:val="24"/>
              </w:rPr>
            </w:pPr>
            <w:r w:rsidRPr="004C3450">
              <w:rPr>
                <w:rFonts w:ascii="Times New Roman" w:hAnsi="Times New Roman"/>
                <w:b/>
                <w:sz w:val="24"/>
                <w:szCs w:val="24"/>
              </w:rPr>
              <w:t>117 punktas</w:t>
            </w:r>
            <w:r>
              <w:rPr>
                <w:rFonts w:ascii="Times New Roman" w:hAnsi="Times New Roman"/>
                <w:b/>
                <w:sz w:val="24"/>
                <w:szCs w:val="24"/>
              </w:rPr>
              <w:t xml:space="preserve">: </w:t>
            </w:r>
            <w:r w:rsidRPr="004C3450">
              <w:rPr>
                <w:rFonts w:ascii="Times New Roman" w:hAnsi="Times New Roman"/>
                <w:sz w:val="24"/>
                <w:szCs w:val="24"/>
              </w:rPr>
              <w:t xml:space="preserve">prašome </w:t>
            </w:r>
            <w:r>
              <w:rPr>
                <w:rFonts w:ascii="Times New Roman" w:hAnsi="Times New Roman"/>
                <w:sz w:val="24"/>
                <w:szCs w:val="24"/>
              </w:rPr>
              <w:t xml:space="preserve">esant galimybei </w:t>
            </w:r>
            <w:r w:rsidRPr="004C3450">
              <w:rPr>
                <w:rFonts w:ascii="Times New Roman" w:hAnsi="Times New Roman"/>
                <w:sz w:val="24"/>
                <w:szCs w:val="24"/>
              </w:rPr>
              <w:t>panaikinti atsiradusį papildomą apribojimą: „taip pat ir dengiant nusidėvėjimo sąnaudas“</w:t>
            </w:r>
            <w:r>
              <w:rPr>
                <w:rFonts w:ascii="Times New Roman" w:hAnsi="Times New Roman"/>
                <w:sz w:val="24"/>
                <w:szCs w:val="24"/>
              </w:rPr>
              <w:t>, nes tai tik papildomai apsunkina projekto tęstinumo planavimą.</w:t>
            </w:r>
          </w:p>
          <w:p w:rsidR="00397496" w:rsidRPr="00DC0C77" w:rsidRDefault="00397496" w:rsidP="00D02718">
            <w:pPr>
              <w:jc w:val="both"/>
              <w:rPr>
                <w:rFonts w:ascii="Times New Roman" w:hAnsi="Times New Roman" w:cs="Times New Roman"/>
                <w:sz w:val="24"/>
                <w:szCs w:val="24"/>
              </w:rPr>
            </w:pPr>
          </w:p>
        </w:tc>
        <w:tc>
          <w:tcPr>
            <w:tcW w:w="3211" w:type="dxa"/>
            <w:tcBorders>
              <w:top w:val="single" w:sz="4" w:space="0" w:color="auto"/>
              <w:left w:val="single" w:sz="4" w:space="0" w:color="auto"/>
              <w:bottom w:val="single" w:sz="4" w:space="0" w:color="auto"/>
              <w:right w:val="single" w:sz="4" w:space="0" w:color="auto"/>
            </w:tcBorders>
          </w:tcPr>
          <w:p w:rsidR="00397496" w:rsidRPr="00DC0C77" w:rsidRDefault="00ED76E3" w:rsidP="00D02718">
            <w:pPr>
              <w:pStyle w:val="Default"/>
              <w:ind w:left="720"/>
              <w:jc w:val="both"/>
              <w:rPr>
                <w:b/>
                <w:color w:val="auto"/>
              </w:rPr>
            </w:pPr>
            <w:r>
              <w:rPr>
                <w:b/>
                <w:color w:val="auto"/>
              </w:rPr>
              <w:t>Atsižvelgta.</w:t>
            </w:r>
          </w:p>
        </w:tc>
        <w:tc>
          <w:tcPr>
            <w:tcW w:w="3544" w:type="dxa"/>
            <w:tcBorders>
              <w:top w:val="single" w:sz="4" w:space="0" w:color="auto"/>
              <w:left w:val="single" w:sz="4" w:space="0" w:color="auto"/>
              <w:bottom w:val="single" w:sz="4" w:space="0" w:color="auto"/>
              <w:right w:val="single" w:sz="4" w:space="0" w:color="auto"/>
            </w:tcBorders>
          </w:tcPr>
          <w:p w:rsidR="00397496" w:rsidRPr="007611CE" w:rsidRDefault="00ED76E3" w:rsidP="00ED76E3">
            <w:pPr>
              <w:pStyle w:val="Default"/>
              <w:jc w:val="both"/>
              <w:rPr>
                <w:color w:val="auto"/>
              </w:rPr>
            </w:pPr>
            <w:r>
              <w:rPr>
                <w:rFonts w:eastAsia="Times New Roman"/>
                <w:lang w:eastAsia="lt-LT"/>
              </w:rPr>
              <w:t>117 punkto formuluotė: „</w:t>
            </w:r>
            <w:r w:rsidRPr="00F92D34">
              <w:rPr>
                <w:rFonts w:eastAsia="Times New Roman"/>
                <w:lang w:eastAsia="lt-LT"/>
              </w:rPr>
              <w:t>11</w:t>
            </w:r>
            <w:r>
              <w:rPr>
                <w:rFonts w:eastAsia="Times New Roman"/>
                <w:lang w:eastAsia="lt-LT"/>
              </w:rPr>
              <w:t>7</w:t>
            </w:r>
            <w:r w:rsidRPr="00F92D34">
              <w:rPr>
                <w:rFonts w:eastAsia="Times New Roman"/>
                <w:lang w:eastAsia="lt-LT"/>
              </w:rPr>
              <w:t>. Kai</w:t>
            </w:r>
            <w:r>
              <w:rPr>
                <w:rFonts w:eastAsia="Times New Roman"/>
                <w:lang w:eastAsia="lt-LT"/>
              </w:rPr>
              <w:t xml:space="preserve"> projekto įgyvendinimo metu įsigyjamas arba sukuriamas ilgalaikis turtas</w:t>
            </w:r>
            <w:r w:rsidRPr="00F92D34">
              <w:rPr>
                <w:rFonts w:eastAsia="Times New Roman"/>
                <w:lang w:eastAsia="lt-LT"/>
              </w:rPr>
              <w:t xml:space="preserve">, penkerius metus, jeigu projekto vykdytojai turi didelių įmonių statusą, arba trejus metus, jei projektų vykdytojai turi labai mažų, mažų ir vidutinių įmonių statusą, po projekto finansavimo pabaigos </w:t>
            </w:r>
            <w:r w:rsidRPr="00F92D34">
              <w:rPr>
                <w:noProof/>
              </w:rPr>
              <w:t>turi būti užtikrintas investicijų tęstinumas Projektų taisyklių IV skyriaus dvidešimt septintajame skirsnyje nustatyta tvarka</w:t>
            </w:r>
            <w:r>
              <w:rPr>
                <w:noProof/>
              </w:rPr>
              <w:t>“</w:t>
            </w:r>
          </w:p>
        </w:tc>
      </w:tr>
      <w:tr w:rsidR="00BC0016" w:rsidRPr="00DC0C77" w:rsidTr="004136A2">
        <w:trPr>
          <w:trHeight w:val="2691"/>
        </w:trPr>
        <w:tc>
          <w:tcPr>
            <w:tcW w:w="675" w:type="dxa"/>
            <w:tcBorders>
              <w:top w:val="single" w:sz="4" w:space="0" w:color="auto"/>
              <w:left w:val="single" w:sz="4" w:space="0" w:color="auto"/>
              <w:bottom w:val="single" w:sz="4" w:space="0" w:color="auto"/>
              <w:right w:val="single" w:sz="4" w:space="0" w:color="auto"/>
            </w:tcBorders>
          </w:tcPr>
          <w:p w:rsidR="00BC0016" w:rsidRPr="00DC0C77" w:rsidRDefault="00BC0016"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BC0016" w:rsidRPr="00DC0C77" w:rsidRDefault="00423376" w:rsidP="00D0271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„Sėkmės sprendimai“</w:t>
            </w:r>
          </w:p>
        </w:tc>
        <w:tc>
          <w:tcPr>
            <w:tcW w:w="5134" w:type="dxa"/>
            <w:tcBorders>
              <w:top w:val="single" w:sz="4" w:space="0" w:color="auto"/>
              <w:left w:val="single" w:sz="4" w:space="0" w:color="auto"/>
              <w:bottom w:val="single" w:sz="4" w:space="0" w:color="auto"/>
              <w:right w:val="single" w:sz="4" w:space="0" w:color="auto"/>
            </w:tcBorders>
          </w:tcPr>
          <w:p w:rsidR="00423376" w:rsidRPr="00E8722F" w:rsidRDefault="00423376" w:rsidP="00423376">
            <w:pPr>
              <w:jc w:val="both"/>
              <w:rPr>
                <w:rFonts w:ascii="Times New Roman" w:hAnsi="Times New Roman"/>
                <w:sz w:val="24"/>
                <w:szCs w:val="24"/>
              </w:rPr>
            </w:pPr>
            <w:r w:rsidRPr="00E8722F">
              <w:rPr>
                <w:rFonts w:ascii="Times New Roman" w:hAnsi="Times New Roman"/>
                <w:sz w:val="24"/>
                <w:szCs w:val="24"/>
              </w:rPr>
              <w:t>Taip pat</w:t>
            </w:r>
            <w:r w:rsidRPr="00BC51E2">
              <w:rPr>
                <w:rFonts w:ascii="Times New Roman" w:hAnsi="Times New Roman"/>
                <w:b/>
                <w:sz w:val="24"/>
                <w:szCs w:val="24"/>
              </w:rPr>
              <w:t xml:space="preserve"> prašome laikyti</w:t>
            </w:r>
            <w:r>
              <w:rPr>
                <w:rFonts w:ascii="Times New Roman" w:hAnsi="Times New Roman"/>
                <w:b/>
                <w:sz w:val="24"/>
                <w:szCs w:val="24"/>
              </w:rPr>
              <w:t>s</w:t>
            </w:r>
            <w:r w:rsidRPr="00BC51E2">
              <w:rPr>
                <w:rFonts w:ascii="Times New Roman" w:hAnsi="Times New Roman"/>
                <w:b/>
                <w:sz w:val="24"/>
                <w:szCs w:val="24"/>
              </w:rPr>
              <w:t xml:space="preserve"> suplanuoto kvietimo skelbimo termino – šių metų IV ketvirtis</w:t>
            </w:r>
            <w:r>
              <w:rPr>
                <w:rFonts w:ascii="Times New Roman" w:hAnsi="Times New Roman"/>
                <w:b/>
                <w:sz w:val="24"/>
                <w:szCs w:val="24"/>
              </w:rPr>
              <w:t xml:space="preserve"> </w:t>
            </w:r>
            <w:r w:rsidRPr="00E8722F">
              <w:rPr>
                <w:rFonts w:ascii="Times New Roman" w:hAnsi="Times New Roman"/>
                <w:sz w:val="24"/>
                <w:szCs w:val="24"/>
              </w:rPr>
              <w:t>ir neskelbti kvietimo šių metų vasarą, kadangi:</w:t>
            </w:r>
          </w:p>
          <w:p w:rsidR="00423376" w:rsidRPr="00E8722F" w:rsidRDefault="00423376" w:rsidP="00423376">
            <w:pPr>
              <w:pStyle w:val="ListParagraph"/>
              <w:numPr>
                <w:ilvl w:val="0"/>
                <w:numId w:val="8"/>
              </w:numPr>
              <w:jc w:val="both"/>
              <w:rPr>
                <w:rFonts w:ascii="Times New Roman" w:hAnsi="Times New Roman"/>
                <w:sz w:val="24"/>
                <w:szCs w:val="24"/>
              </w:rPr>
            </w:pPr>
            <w:r w:rsidRPr="00E8722F">
              <w:rPr>
                <w:rFonts w:ascii="Times New Roman" w:hAnsi="Times New Roman"/>
                <w:sz w:val="24"/>
                <w:szCs w:val="24"/>
              </w:rPr>
              <w:t>Verslo įmonės iš anksto planuoja savo darbus</w:t>
            </w:r>
            <w:r>
              <w:rPr>
                <w:rFonts w:ascii="Times New Roman" w:hAnsi="Times New Roman"/>
                <w:sz w:val="24"/>
                <w:szCs w:val="24"/>
              </w:rPr>
              <w:t>.</w:t>
            </w:r>
          </w:p>
          <w:p w:rsidR="00423376" w:rsidRDefault="00423376" w:rsidP="00423376">
            <w:pPr>
              <w:pStyle w:val="ListParagraph"/>
              <w:numPr>
                <w:ilvl w:val="0"/>
                <w:numId w:val="8"/>
              </w:numPr>
              <w:jc w:val="both"/>
              <w:rPr>
                <w:rFonts w:ascii="Times New Roman" w:hAnsi="Times New Roman"/>
                <w:sz w:val="24"/>
                <w:szCs w:val="24"/>
              </w:rPr>
            </w:pPr>
            <w:r w:rsidRPr="00E8722F">
              <w:rPr>
                <w:rFonts w:ascii="Times New Roman" w:hAnsi="Times New Roman"/>
                <w:sz w:val="24"/>
                <w:szCs w:val="24"/>
              </w:rPr>
              <w:t xml:space="preserve">Vasaros </w:t>
            </w:r>
            <w:r>
              <w:rPr>
                <w:rFonts w:ascii="Times New Roman" w:hAnsi="Times New Roman"/>
                <w:sz w:val="24"/>
                <w:szCs w:val="24"/>
              </w:rPr>
              <w:t>laikotarpiu dėl atostogų praktiškai sustoja darbas mokslo įstaigose bei sulėtėja privačiose įmonėse.</w:t>
            </w:r>
          </w:p>
          <w:p w:rsidR="00423376" w:rsidRDefault="00423376" w:rsidP="00423376">
            <w:pPr>
              <w:pStyle w:val="ListParagraph"/>
              <w:numPr>
                <w:ilvl w:val="0"/>
                <w:numId w:val="8"/>
              </w:numPr>
              <w:jc w:val="both"/>
              <w:rPr>
                <w:rFonts w:ascii="Times New Roman" w:hAnsi="Times New Roman"/>
                <w:sz w:val="24"/>
                <w:szCs w:val="24"/>
              </w:rPr>
            </w:pPr>
            <w:r>
              <w:rPr>
                <w:rFonts w:ascii="Times New Roman" w:hAnsi="Times New Roman"/>
                <w:sz w:val="24"/>
                <w:szCs w:val="24"/>
              </w:rPr>
              <w:t>Tik prieš keletą mėnesių baigėsi analogiško Intelekto kvietimo vertinimas.</w:t>
            </w:r>
          </w:p>
          <w:p w:rsidR="00423376" w:rsidRPr="00E8722F" w:rsidRDefault="00423376" w:rsidP="00423376">
            <w:pPr>
              <w:pStyle w:val="ListParagraph"/>
              <w:numPr>
                <w:ilvl w:val="0"/>
                <w:numId w:val="8"/>
              </w:numPr>
              <w:jc w:val="both"/>
              <w:rPr>
                <w:rFonts w:ascii="Times New Roman" w:hAnsi="Times New Roman"/>
                <w:sz w:val="24"/>
                <w:szCs w:val="24"/>
              </w:rPr>
            </w:pPr>
            <w:r>
              <w:rPr>
                <w:rFonts w:ascii="Times New Roman" w:hAnsi="Times New Roman"/>
                <w:sz w:val="24"/>
                <w:szCs w:val="24"/>
              </w:rPr>
              <w:t>Vėliau paskelbus Eksperimento kvietimą, daugiau įmonių galės tęsti ankstesniuose Intelekto projektuose pradėtas tyrimų kryptis/tyrimus.</w:t>
            </w:r>
          </w:p>
          <w:p w:rsidR="00BC0016" w:rsidRPr="004C3450" w:rsidRDefault="00423376" w:rsidP="004136A2">
            <w:pPr>
              <w:pStyle w:val="ListParagraph"/>
              <w:numPr>
                <w:ilvl w:val="0"/>
                <w:numId w:val="8"/>
              </w:numPr>
              <w:jc w:val="both"/>
              <w:rPr>
                <w:rFonts w:ascii="Times New Roman" w:hAnsi="Times New Roman"/>
                <w:b/>
                <w:sz w:val="24"/>
                <w:szCs w:val="24"/>
              </w:rPr>
            </w:pPr>
            <w:r>
              <w:rPr>
                <w:rFonts w:ascii="Times New Roman" w:hAnsi="Times New Roman"/>
                <w:sz w:val="24"/>
                <w:szCs w:val="24"/>
              </w:rPr>
              <w:t>Eksperimento kvietimo projektus yra tikslinga pradėti įgyvendinti kuo vėliau, kad parama būtų galima finansuoti tyrimus iki tol kol prasidės būsimo finansavimo periodo kvietimai.</w:t>
            </w:r>
          </w:p>
        </w:tc>
        <w:tc>
          <w:tcPr>
            <w:tcW w:w="3211" w:type="dxa"/>
            <w:tcBorders>
              <w:top w:val="single" w:sz="4" w:space="0" w:color="auto"/>
              <w:left w:val="single" w:sz="4" w:space="0" w:color="auto"/>
              <w:bottom w:val="single" w:sz="4" w:space="0" w:color="auto"/>
              <w:right w:val="single" w:sz="4" w:space="0" w:color="auto"/>
            </w:tcBorders>
          </w:tcPr>
          <w:p w:rsidR="00BC0016" w:rsidRPr="00DC0C77" w:rsidRDefault="00ED76E3" w:rsidP="00D02718">
            <w:pPr>
              <w:pStyle w:val="Default"/>
              <w:ind w:left="720"/>
              <w:jc w:val="both"/>
              <w:rPr>
                <w:b/>
                <w:color w:val="auto"/>
              </w:rPr>
            </w:pPr>
            <w:r>
              <w:rPr>
                <w:b/>
                <w:color w:val="auto"/>
              </w:rPr>
              <w:t>Atsižvelgta.</w:t>
            </w:r>
          </w:p>
        </w:tc>
        <w:tc>
          <w:tcPr>
            <w:tcW w:w="3544" w:type="dxa"/>
            <w:tcBorders>
              <w:top w:val="single" w:sz="4" w:space="0" w:color="auto"/>
              <w:left w:val="single" w:sz="4" w:space="0" w:color="auto"/>
              <w:bottom w:val="single" w:sz="4" w:space="0" w:color="auto"/>
              <w:right w:val="single" w:sz="4" w:space="0" w:color="auto"/>
            </w:tcBorders>
          </w:tcPr>
          <w:p w:rsidR="00BC0016" w:rsidRPr="007611CE" w:rsidRDefault="00ED76E3" w:rsidP="00ED76E3">
            <w:pPr>
              <w:pStyle w:val="Default"/>
              <w:jc w:val="both"/>
              <w:rPr>
                <w:color w:val="auto"/>
              </w:rPr>
            </w:pPr>
            <w:r>
              <w:rPr>
                <w:color w:val="auto"/>
              </w:rPr>
              <w:t>Jei kvietimas būtų paskelbtas anksčiau nei planuota, paraiškų pateikimo terminas būtų ilgesnis ir baigtųsi kaip ir planuota.</w:t>
            </w:r>
          </w:p>
        </w:tc>
      </w:tr>
      <w:tr w:rsidR="00BC0016" w:rsidRPr="00DC0C77" w:rsidTr="00D02718">
        <w:trPr>
          <w:trHeight w:val="2400"/>
        </w:trPr>
        <w:tc>
          <w:tcPr>
            <w:tcW w:w="675" w:type="dxa"/>
            <w:tcBorders>
              <w:top w:val="single" w:sz="4" w:space="0" w:color="auto"/>
              <w:left w:val="single" w:sz="4" w:space="0" w:color="auto"/>
              <w:bottom w:val="single" w:sz="4" w:space="0" w:color="auto"/>
              <w:right w:val="single" w:sz="4" w:space="0" w:color="auto"/>
            </w:tcBorders>
          </w:tcPr>
          <w:p w:rsidR="00BC0016" w:rsidRPr="00DC0C77" w:rsidRDefault="00BC0016"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BC0016" w:rsidRPr="00DC0C77" w:rsidRDefault="00B34DD7" w:rsidP="00D0271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Advanced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advice</w:t>
            </w:r>
            <w:proofErr w:type="spellEnd"/>
            <w:r>
              <w:rPr>
                <w:rFonts w:ascii="Times New Roman" w:hAnsi="Times New Roman" w:cs="Times New Roman"/>
                <w:sz w:val="24"/>
                <w:szCs w:val="24"/>
              </w:rPr>
              <w:t>“</w:t>
            </w:r>
          </w:p>
        </w:tc>
        <w:tc>
          <w:tcPr>
            <w:tcW w:w="5134" w:type="dxa"/>
            <w:tcBorders>
              <w:top w:val="single" w:sz="4" w:space="0" w:color="auto"/>
              <w:left w:val="single" w:sz="4" w:space="0" w:color="auto"/>
              <w:bottom w:val="single" w:sz="4" w:space="0" w:color="auto"/>
              <w:right w:val="single" w:sz="4" w:space="0" w:color="auto"/>
            </w:tcBorders>
          </w:tcPr>
          <w:p w:rsidR="00BC0016" w:rsidRPr="00B34DD7" w:rsidRDefault="00B34DD7" w:rsidP="00BC0016">
            <w:pPr>
              <w:jc w:val="both"/>
              <w:rPr>
                <w:rFonts w:ascii="Times New Roman" w:hAnsi="Times New Roman" w:cs="Times New Roman"/>
                <w:sz w:val="24"/>
                <w:szCs w:val="24"/>
              </w:rPr>
            </w:pPr>
            <w:r>
              <w:t>8</w:t>
            </w:r>
            <w:r w:rsidRPr="00B34DD7">
              <w:rPr>
                <w:rFonts w:ascii="Times New Roman" w:hAnsi="Times New Roman" w:cs="Times New Roman"/>
                <w:sz w:val="24"/>
                <w:szCs w:val="24"/>
              </w:rPr>
              <w:t xml:space="preserve">.1. Pagal Aprašą pareiškėjai, kurių projektuose numatomos veiklos bus vykdomos atitinkant Prioritetinių mokslinių tyrimų ir eksperimentinės (socialinės, kultūrinės) plėtros ir inovacijų raidos (sumanios specializacijos)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gyvybės mokslų </w:t>
            </w:r>
            <w:r w:rsidRPr="00B34DD7">
              <w:rPr>
                <w:rFonts w:ascii="Times New Roman" w:hAnsi="Times New Roman" w:cs="Times New Roman"/>
                <w:sz w:val="24"/>
                <w:szCs w:val="24"/>
              </w:rPr>
              <w:lastRenderedPageBreak/>
              <w:t xml:space="preserve">sektoriuje. Šiai pareiškėjų grupei numatoma skirti iki 38 000 000 </w:t>
            </w:r>
            <w:proofErr w:type="spellStart"/>
            <w:r w:rsidRPr="00B34DD7">
              <w:rPr>
                <w:rFonts w:ascii="Times New Roman" w:hAnsi="Times New Roman" w:cs="Times New Roman"/>
                <w:sz w:val="24"/>
                <w:szCs w:val="24"/>
              </w:rPr>
              <w:t>Eur</w:t>
            </w:r>
            <w:proofErr w:type="spellEnd"/>
            <w:r w:rsidRPr="00B34DD7">
              <w:rPr>
                <w:rFonts w:ascii="Times New Roman" w:hAnsi="Times New Roman" w:cs="Times New Roman"/>
                <w:sz w:val="24"/>
                <w:szCs w:val="24"/>
              </w:rPr>
              <w:t xml:space="preserve"> (trisdešimt aštuonių milijonų eurų) ES struktūrinių fondų lėšų.</w:t>
            </w:r>
          </w:p>
          <w:p w:rsidR="00B34DD7" w:rsidRPr="004C3450" w:rsidRDefault="00B34DD7" w:rsidP="00BC0016">
            <w:pPr>
              <w:jc w:val="both"/>
              <w:rPr>
                <w:rFonts w:ascii="Times New Roman" w:hAnsi="Times New Roman"/>
                <w:b/>
                <w:sz w:val="24"/>
                <w:szCs w:val="24"/>
              </w:rPr>
            </w:pPr>
            <w:r w:rsidRPr="00B34DD7">
              <w:rPr>
                <w:rFonts w:ascii="Times New Roman" w:hAnsi="Times New Roman" w:cs="Times New Roman"/>
                <w:sz w:val="24"/>
                <w:szCs w:val="24"/>
              </w:rPr>
              <w:t xml:space="preserve">Atkreipiame dėmesį, kad viešajame šios priemonės aptarime buvo minima, jog gyvybės mokslų sektoriui bus skiriama iki 12 000 000 </w:t>
            </w:r>
            <w:proofErr w:type="spellStart"/>
            <w:r w:rsidRPr="00B34DD7">
              <w:rPr>
                <w:rFonts w:ascii="Times New Roman" w:hAnsi="Times New Roman" w:cs="Times New Roman"/>
                <w:sz w:val="24"/>
                <w:szCs w:val="24"/>
              </w:rPr>
              <w:t>Eur</w:t>
            </w:r>
            <w:proofErr w:type="spellEnd"/>
            <w:r w:rsidRPr="00B34DD7">
              <w:rPr>
                <w:rFonts w:ascii="Times New Roman" w:hAnsi="Times New Roman" w:cs="Times New Roman"/>
                <w:sz w:val="24"/>
                <w:szCs w:val="24"/>
              </w:rPr>
              <w:t xml:space="preserve"> (dvylika milijonų eurų). Prašome argumentuotai paaiškinti, kokiais motyvais remiantis, yra sukeistos sektoriams skiriamos finansavimo sumos.</w:t>
            </w:r>
          </w:p>
        </w:tc>
        <w:tc>
          <w:tcPr>
            <w:tcW w:w="3211" w:type="dxa"/>
            <w:tcBorders>
              <w:top w:val="single" w:sz="4" w:space="0" w:color="auto"/>
              <w:left w:val="single" w:sz="4" w:space="0" w:color="auto"/>
              <w:bottom w:val="single" w:sz="4" w:space="0" w:color="auto"/>
              <w:right w:val="single" w:sz="4" w:space="0" w:color="auto"/>
            </w:tcBorders>
          </w:tcPr>
          <w:p w:rsidR="00BC0016" w:rsidRPr="00DC0C77" w:rsidRDefault="00ED76E3" w:rsidP="00D02718">
            <w:pPr>
              <w:pStyle w:val="Default"/>
              <w:ind w:left="720"/>
              <w:jc w:val="both"/>
              <w:rPr>
                <w:b/>
                <w:color w:val="auto"/>
              </w:rPr>
            </w:pPr>
            <w:r>
              <w:rPr>
                <w:b/>
                <w:color w:val="auto"/>
              </w:rPr>
              <w:lastRenderedPageBreak/>
              <w:t>Atsižvelgta.</w:t>
            </w:r>
          </w:p>
        </w:tc>
        <w:tc>
          <w:tcPr>
            <w:tcW w:w="3544" w:type="dxa"/>
            <w:tcBorders>
              <w:top w:val="single" w:sz="4" w:space="0" w:color="auto"/>
              <w:left w:val="single" w:sz="4" w:space="0" w:color="auto"/>
              <w:bottom w:val="single" w:sz="4" w:space="0" w:color="auto"/>
              <w:right w:val="single" w:sz="4" w:space="0" w:color="auto"/>
            </w:tcBorders>
          </w:tcPr>
          <w:p w:rsidR="00ED76E3" w:rsidRDefault="00ED76E3" w:rsidP="00ED76E3">
            <w:pPr>
              <w:pStyle w:val="Default"/>
              <w:jc w:val="both"/>
              <w:rPr>
                <w:color w:val="auto"/>
              </w:rPr>
            </w:pPr>
            <w:r>
              <w:rPr>
                <w:color w:val="auto"/>
              </w:rPr>
              <w:t>Gyvybės mokslams nustatyta 15 mln. eurų suma, likusi 35 mln. eurų suma – kitoms sritims.</w:t>
            </w:r>
          </w:p>
          <w:p w:rsidR="00BC0016" w:rsidRPr="007611CE" w:rsidRDefault="00BC0016" w:rsidP="00D02718">
            <w:pPr>
              <w:pStyle w:val="Default"/>
              <w:ind w:left="720"/>
              <w:jc w:val="both"/>
              <w:rPr>
                <w:color w:val="auto"/>
              </w:rPr>
            </w:pPr>
          </w:p>
        </w:tc>
      </w:tr>
      <w:tr w:rsidR="00B34DD7" w:rsidRPr="00DC0C77" w:rsidTr="00D02718">
        <w:trPr>
          <w:trHeight w:val="2400"/>
        </w:trPr>
        <w:tc>
          <w:tcPr>
            <w:tcW w:w="675" w:type="dxa"/>
            <w:tcBorders>
              <w:top w:val="single" w:sz="4" w:space="0" w:color="auto"/>
              <w:left w:val="single" w:sz="4" w:space="0" w:color="auto"/>
              <w:bottom w:val="single" w:sz="4" w:space="0" w:color="auto"/>
              <w:right w:val="single" w:sz="4" w:space="0" w:color="auto"/>
            </w:tcBorders>
          </w:tcPr>
          <w:p w:rsidR="00B34DD7" w:rsidRPr="00DC0C77" w:rsidRDefault="00B34DD7" w:rsidP="00D02718">
            <w:pPr>
              <w:pStyle w:val="ListParagraph"/>
              <w:numPr>
                <w:ilvl w:val="0"/>
                <w:numId w:val="3"/>
              </w:numPr>
              <w:tabs>
                <w:tab w:val="left" w:pos="7560"/>
              </w:tabs>
              <w:spacing w:after="0" w:line="240" w:lineRule="auto"/>
              <w:jc w:val="both"/>
              <w:rPr>
                <w:rFonts w:ascii="Times New Roman" w:hAnsi="Times New Roman"/>
                <w:sz w:val="24"/>
                <w:szCs w:val="24"/>
              </w:rPr>
            </w:pPr>
          </w:p>
        </w:tc>
        <w:tc>
          <w:tcPr>
            <w:tcW w:w="1753" w:type="dxa"/>
            <w:tcBorders>
              <w:top w:val="single" w:sz="4" w:space="0" w:color="auto"/>
              <w:left w:val="single" w:sz="4" w:space="0" w:color="auto"/>
              <w:bottom w:val="single" w:sz="4" w:space="0" w:color="auto"/>
              <w:right w:val="single" w:sz="4" w:space="0" w:color="auto"/>
            </w:tcBorders>
          </w:tcPr>
          <w:p w:rsidR="00B34DD7" w:rsidRPr="00DC0C77" w:rsidRDefault="00B34DD7" w:rsidP="00D02718">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Advanced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advice</w:t>
            </w:r>
            <w:proofErr w:type="spellEnd"/>
          </w:p>
        </w:tc>
        <w:tc>
          <w:tcPr>
            <w:tcW w:w="5134" w:type="dxa"/>
            <w:tcBorders>
              <w:top w:val="single" w:sz="4" w:space="0" w:color="auto"/>
              <w:left w:val="single" w:sz="4" w:space="0" w:color="auto"/>
              <w:bottom w:val="single" w:sz="4" w:space="0" w:color="auto"/>
              <w:right w:val="single" w:sz="4" w:space="0" w:color="auto"/>
            </w:tcBorders>
          </w:tcPr>
          <w:p w:rsidR="00B34DD7" w:rsidRPr="00B34DD7" w:rsidRDefault="00B34DD7" w:rsidP="00BC0016">
            <w:pPr>
              <w:jc w:val="both"/>
              <w:rPr>
                <w:rFonts w:ascii="Times New Roman" w:hAnsi="Times New Roman" w:cs="Times New Roman"/>
                <w:sz w:val="24"/>
                <w:szCs w:val="24"/>
              </w:rPr>
            </w:pPr>
            <w:r w:rsidRPr="00B34DD7">
              <w:rPr>
                <w:rFonts w:ascii="Times New Roman" w:hAnsi="Times New Roman" w:cs="Times New Roman"/>
                <w:sz w:val="24"/>
                <w:szCs w:val="24"/>
              </w:rPr>
              <w:t>111. Ne vėliau kaip per 30 dienų nuo kvietimo teikti paraiškas galutinio termino pareiškėjas turi pateikti preliminarų 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108 punkte nustatytu atveju pratęsus projekto sutarties pasirašymo terminą, atitinkamai prasitęsia paskolos sutarties kopijos pateikimo terminas.</w:t>
            </w:r>
          </w:p>
          <w:p w:rsidR="00B34DD7" w:rsidRDefault="00B34DD7" w:rsidP="004136A2">
            <w:pPr>
              <w:jc w:val="both"/>
            </w:pPr>
            <w:r w:rsidRPr="00B34DD7">
              <w:rPr>
                <w:rFonts w:ascii="Times New Roman" w:hAnsi="Times New Roman" w:cs="Times New Roman"/>
                <w:sz w:val="24"/>
                <w:szCs w:val="24"/>
              </w:rPr>
              <w:t xml:space="preserve">Prašome argumentuotai paaiškinti, kokiais motyvais remiantis yra sutrumpintas terminas pateikti preliminarų banko sprendimą suteikti paskolą konkrečiam projektui. </w:t>
            </w:r>
          </w:p>
        </w:tc>
        <w:tc>
          <w:tcPr>
            <w:tcW w:w="3211" w:type="dxa"/>
            <w:tcBorders>
              <w:top w:val="single" w:sz="4" w:space="0" w:color="auto"/>
              <w:left w:val="single" w:sz="4" w:space="0" w:color="auto"/>
              <w:bottom w:val="single" w:sz="4" w:space="0" w:color="auto"/>
              <w:right w:val="single" w:sz="4" w:space="0" w:color="auto"/>
            </w:tcBorders>
          </w:tcPr>
          <w:p w:rsidR="00B34DD7" w:rsidRPr="00DC0C77" w:rsidRDefault="002C7FD5" w:rsidP="00D02718">
            <w:pPr>
              <w:pStyle w:val="Default"/>
              <w:ind w:left="720"/>
              <w:jc w:val="both"/>
              <w:rPr>
                <w:b/>
                <w:color w:val="auto"/>
              </w:rPr>
            </w:pPr>
            <w:r>
              <w:rPr>
                <w:b/>
                <w:color w:val="auto"/>
              </w:rPr>
              <w:t>Atsižvelgta.</w:t>
            </w:r>
          </w:p>
        </w:tc>
        <w:tc>
          <w:tcPr>
            <w:tcW w:w="3544" w:type="dxa"/>
            <w:tcBorders>
              <w:top w:val="single" w:sz="4" w:space="0" w:color="auto"/>
              <w:left w:val="single" w:sz="4" w:space="0" w:color="auto"/>
              <w:bottom w:val="single" w:sz="4" w:space="0" w:color="auto"/>
              <w:right w:val="single" w:sz="4" w:space="0" w:color="auto"/>
            </w:tcBorders>
          </w:tcPr>
          <w:p w:rsidR="00B34DD7" w:rsidRPr="007611CE" w:rsidRDefault="002C7FD5" w:rsidP="004E2FF8">
            <w:pPr>
              <w:pStyle w:val="Default"/>
              <w:jc w:val="both"/>
              <w:rPr>
                <w:color w:val="auto"/>
              </w:rPr>
            </w:pPr>
            <w:r>
              <w:rPr>
                <w:color w:val="auto"/>
              </w:rPr>
              <w:t>Paskolos sutarties prašoma iki projekto sutarties pasirašymo.</w:t>
            </w:r>
          </w:p>
        </w:tc>
      </w:tr>
    </w:tbl>
    <w:p w:rsidR="009003B7" w:rsidRPr="00DC0C77" w:rsidRDefault="009003B7" w:rsidP="00DC0C77">
      <w:pPr>
        <w:jc w:val="both"/>
        <w:rPr>
          <w:rFonts w:ascii="Times New Roman" w:hAnsi="Times New Roman" w:cs="Times New Roman"/>
          <w:sz w:val="24"/>
          <w:szCs w:val="24"/>
        </w:rPr>
      </w:pPr>
    </w:p>
    <w:sectPr w:rsidR="009003B7" w:rsidRPr="00DC0C77" w:rsidSect="004136A2">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661"/>
    <w:multiLevelType w:val="multilevel"/>
    <w:tmpl w:val="AAAC0CD6"/>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7F155F"/>
    <w:multiLevelType w:val="hybridMultilevel"/>
    <w:tmpl w:val="4AA277D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A406B2"/>
    <w:multiLevelType w:val="hybridMultilevel"/>
    <w:tmpl w:val="C9EAB8E8"/>
    <w:lvl w:ilvl="0" w:tplc="3F422F3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5F0191"/>
    <w:multiLevelType w:val="hybridMultilevel"/>
    <w:tmpl w:val="6A92F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D74957"/>
    <w:multiLevelType w:val="multilevel"/>
    <w:tmpl w:val="1C00A2BC"/>
    <w:lvl w:ilvl="0">
      <w:start w:val="2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48426F"/>
    <w:multiLevelType w:val="hybridMultilevel"/>
    <w:tmpl w:val="B17EADB0"/>
    <w:lvl w:ilvl="0" w:tplc="9E8869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150300"/>
    <w:multiLevelType w:val="hybridMultilevel"/>
    <w:tmpl w:val="FE6289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421603"/>
    <w:multiLevelType w:val="hybridMultilevel"/>
    <w:tmpl w:val="2CF88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5A"/>
    <w:rsid w:val="00023507"/>
    <w:rsid w:val="000F540C"/>
    <w:rsid w:val="001031F8"/>
    <w:rsid w:val="00163EAA"/>
    <w:rsid w:val="00170A05"/>
    <w:rsid w:val="00184052"/>
    <w:rsid w:val="001D0EB1"/>
    <w:rsid w:val="001F5648"/>
    <w:rsid w:val="002322C2"/>
    <w:rsid w:val="002C7FD5"/>
    <w:rsid w:val="002E352A"/>
    <w:rsid w:val="0030702D"/>
    <w:rsid w:val="003238F2"/>
    <w:rsid w:val="00340F4B"/>
    <w:rsid w:val="00384AFE"/>
    <w:rsid w:val="003860FC"/>
    <w:rsid w:val="00397496"/>
    <w:rsid w:val="003A641F"/>
    <w:rsid w:val="003C2A75"/>
    <w:rsid w:val="003D5C20"/>
    <w:rsid w:val="004136A2"/>
    <w:rsid w:val="00423376"/>
    <w:rsid w:val="004315E1"/>
    <w:rsid w:val="004317DA"/>
    <w:rsid w:val="00436453"/>
    <w:rsid w:val="004A2417"/>
    <w:rsid w:val="004E2FF8"/>
    <w:rsid w:val="00521626"/>
    <w:rsid w:val="00552366"/>
    <w:rsid w:val="005E0472"/>
    <w:rsid w:val="006145BA"/>
    <w:rsid w:val="00664CBC"/>
    <w:rsid w:val="00677F03"/>
    <w:rsid w:val="00694B66"/>
    <w:rsid w:val="006A7F5C"/>
    <w:rsid w:val="006F6560"/>
    <w:rsid w:val="00710A9B"/>
    <w:rsid w:val="00722E9F"/>
    <w:rsid w:val="007611CE"/>
    <w:rsid w:val="00776186"/>
    <w:rsid w:val="007F1A59"/>
    <w:rsid w:val="007F4756"/>
    <w:rsid w:val="0080273F"/>
    <w:rsid w:val="00803086"/>
    <w:rsid w:val="008467E9"/>
    <w:rsid w:val="00866665"/>
    <w:rsid w:val="008A6934"/>
    <w:rsid w:val="008D4F24"/>
    <w:rsid w:val="009003B7"/>
    <w:rsid w:val="00915EFB"/>
    <w:rsid w:val="00942C2F"/>
    <w:rsid w:val="00943AF3"/>
    <w:rsid w:val="009C2A0C"/>
    <w:rsid w:val="00A05267"/>
    <w:rsid w:val="00A4272F"/>
    <w:rsid w:val="00A547AA"/>
    <w:rsid w:val="00AA425A"/>
    <w:rsid w:val="00AA5871"/>
    <w:rsid w:val="00AC1C79"/>
    <w:rsid w:val="00AC2F77"/>
    <w:rsid w:val="00AE1DD3"/>
    <w:rsid w:val="00B1243D"/>
    <w:rsid w:val="00B179BF"/>
    <w:rsid w:val="00B34DD7"/>
    <w:rsid w:val="00B93B52"/>
    <w:rsid w:val="00BA382B"/>
    <w:rsid w:val="00BC0016"/>
    <w:rsid w:val="00BF15C2"/>
    <w:rsid w:val="00C95B7B"/>
    <w:rsid w:val="00CA4FF6"/>
    <w:rsid w:val="00D02718"/>
    <w:rsid w:val="00D1574D"/>
    <w:rsid w:val="00D1793A"/>
    <w:rsid w:val="00D3512C"/>
    <w:rsid w:val="00D53EE0"/>
    <w:rsid w:val="00D61114"/>
    <w:rsid w:val="00D72995"/>
    <w:rsid w:val="00D76F2F"/>
    <w:rsid w:val="00DB2D85"/>
    <w:rsid w:val="00DC0C77"/>
    <w:rsid w:val="00E341DB"/>
    <w:rsid w:val="00E81353"/>
    <w:rsid w:val="00EA72C5"/>
    <w:rsid w:val="00EB2771"/>
    <w:rsid w:val="00ED76E3"/>
    <w:rsid w:val="00EF4F38"/>
    <w:rsid w:val="00F0661F"/>
    <w:rsid w:val="00F22C5A"/>
    <w:rsid w:val="00F36FD9"/>
    <w:rsid w:val="00F44282"/>
    <w:rsid w:val="00FA2779"/>
    <w:rsid w:val="00FA4187"/>
    <w:rsid w:val="00FE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704CF-C6BF-4122-9237-A8D6EC15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C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C5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2C5A"/>
    <w:pPr>
      <w:ind w:left="720"/>
      <w:contextualSpacing/>
    </w:pPr>
    <w:rPr>
      <w:rFonts w:ascii="Calibri" w:eastAsia="Calibri" w:hAnsi="Calibri" w:cs="Times New Roman"/>
    </w:rPr>
  </w:style>
  <w:style w:type="paragraph" w:styleId="CommentText">
    <w:name w:val="annotation text"/>
    <w:basedOn w:val="Normal"/>
    <w:link w:val="CommentTextChar"/>
    <w:uiPriority w:val="99"/>
    <w:rsid w:val="00F22C5A"/>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F22C5A"/>
    <w:rPr>
      <w:rFonts w:ascii="Times New Roman" w:eastAsia="Times New Roman" w:hAnsi="Times New Roman" w:cs="Times New Roman"/>
      <w:sz w:val="20"/>
      <w:szCs w:val="20"/>
      <w:lang w:eastAsia="lt-LT"/>
    </w:rPr>
  </w:style>
  <w:style w:type="character" w:styleId="Hyperlink">
    <w:name w:val="Hyperlink"/>
    <w:basedOn w:val="DefaultParagraphFont"/>
    <w:uiPriority w:val="99"/>
    <w:unhideWhenUsed/>
    <w:rsid w:val="003D5C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3364">
      <w:bodyDiv w:val="1"/>
      <w:marLeft w:val="0"/>
      <w:marRight w:val="0"/>
      <w:marTop w:val="0"/>
      <w:marBottom w:val="0"/>
      <w:divBdr>
        <w:top w:val="none" w:sz="0" w:space="0" w:color="auto"/>
        <w:left w:val="none" w:sz="0" w:space="0" w:color="auto"/>
        <w:bottom w:val="none" w:sz="0" w:space="0" w:color="auto"/>
        <w:right w:val="none" w:sz="0" w:space="0" w:color="auto"/>
      </w:divBdr>
    </w:div>
    <w:div w:id="650670780">
      <w:bodyDiv w:val="1"/>
      <w:marLeft w:val="0"/>
      <w:marRight w:val="0"/>
      <w:marTop w:val="0"/>
      <w:marBottom w:val="0"/>
      <w:divBdr>
        <w:top w:val="none" w:sz="0" w:space="0" w:color="auto"/>
        <w:left w:val="none" w:sz="0" w:space="0" w:color="auto"/>
        <w:bottom w:val="none" w:sz="0" w:space="0" w:color="auto"/>
        <w:right w:val="none" w:sz="0" w:space="0" w:color="auto"/>
      </w:divBdr>
    </w:div>
    <w:div w:id="1191408100">
      <w:bodyDiv w:val="1"/>
      <w:marLeft w:val="0"/>
      <w:marRight w:val="0"/>
      <w:marTop w:val="0"/>
      <w:marBottom w:val="0"/>
      <w:divBdr>
        <w:top w:val="none" w:sz="0" w:space="0" w:color="auto"/>
        <w:left w:val="none" w:sz="0" w:space="0" w:color="auto"/>
        <w:bottom w:val="none" w:sz="0" w:space="0" w:color="auto"/>
        <w:right w:val="none" w:sz="0" w:space="0" w:color="auto"/>
      </w:divBdr>
    </w:div>
    <w:div w:id="206709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AACA-FE29-46D2-B35C-180E9BAE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6078</Words>
  <Characters>3466</Characters>
  <Application>Microsoft Office Word</Application>
  <DocSecurity>4</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Urbikaite Gintare</dc:creator>
  <cp:lastModifiedBy>Viluniene Jurgita</cp:lastModifiedBy>
  <cp:revision>2</cp:revision>
  <cp:lastPrinted>2019-06-10T04:41:00Z</cp:lastPrinted>
  <dcterms:created xsi:type="dcterms:W3CDTF">2019-07-29T08:48:00Z</dcterms:created>
  <dcterms:modified xsi:type="dcterms:W3CDTF">2019-07-29T08:48:00Z</dcterms:modified>
</cp:coreProperties>
</file>