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538ADB" w14:textId="77777777" w:rsidR="00FA4187" w:rsidRPr="00DC0C77" w:rsidRDefault="00F22C5A" w:rsidP="00D02718">
      <w:pPr>
        <w:jc w:val="center"/>
        <w:rPr>
          <w:rFonts w:ascii="Times New Roman" w:hAnsi="Times New Roman" w:cs="Times New Roman"/>
          <w:b/>
          <w:sz w:val="24"/>
          <w:szCs w:val="24"/>
        </w:rPr>
      </w:pPr>
      <w:r w:rsidRPr="00DC0C77">
        <w:rPr>
          <w:rFonts w:ascii="Times New Roman" w:hAnsi="Times New Roman" w:cs="Times New Roman"/>
          <w:b/>
          <w:sz w:val="24"/>
          <w:szCs w:val="24"/>
        </w:rPr>
        <w:t>PASTABŲ I</w:t>
      </w:r>
      <w:r w:rsidR="00B93B52" w:rsidRPr="00DC0C77">
        <w:rPr>
          <w:rFonts w:ascii="Times New Roman" w:hAnsi="Times New Roman" w:cs="Times New Roman"/>
          <w:b/>
          <w:sz w:val="24"/>
          <w:szCs w:val="24"/>
        </w:rPr>
        <w:t>R PASIŪLYMŲ LENTELĖ DĖL PRIEMONĖ</w:t>
      </w:r>
      <w:r w:rsidRPr="00DC0C77">
        <w:rPr>
          <w:rFonts w:ascii="Times New Roman" w:hAnsi="Times New Roman" w:cs="Times New Roman"/>
          <w:b/>
          <w:sz w:val="24"/>
          <w:szCs w:val="24"/>
        </w:rPr>
        <w:t xml:space="preserve">S </w:t>
      </w:r>
      <w:r w:rsidR="00F36FD9" w:rsidRPr="00DC0C77">
        <w:rPr>
          <w:rFonts w:ascii="Times New Roman" w:hAnsi="Times New Roman" w:cs="Times New Roman"/>
          <w:b/>
          <w:kern w:val="16"/>
          <w:sz w:val="24"/>
          <w:szCs w:val="24"/>
        </w:rPr>
        <w:t>N</w:t>
      </w:r>
      <w:r w:rsidR="00D02718">
        <w:rPr>
          <w:rFonts w:ascii="Times New Roman" w:hAnsi="Times New Roman" w:cs="Times New Roman"/>
          <w:b/>
          <w:kern w:val="16"/>
          <w:sz w:val="24"/>
          <w:szCs w:val="24"/>
        </w:rPr>
        <w:t>R</w:t>
      </w:r>
      <w:r w:rsidR="00F36FD9" w:rsidRPr="00DC0C77">
        <w:rPr>
          <w:rFonts w:ascii="Times New Roman" w:hAnsi="Times New Roman" w:cs="Times New Roman"/>
          <w:b/>
          <w:kern w:val="16"/>
          <w:sz w:val="24"/>
          <w:szCs w:val="24"/>
        </w:rPr>
        <w:t xml:space="preserve">. </w:t>
      </w:r>
      <w:r w:rsidR="00D02718" w:rsidRPr="00D02718">
        <w:rPr>
          <w:rFonts w:ascii="Times New Roman" w:hAnsi="Times New Roman" w:cs="Times New Roman"/>
          <w:b/>
          <w:caps/>
          <w:sz w:val="24"/>
          <w:szCs w:val="24"/>
          <w:lang w:eastAsia="lt-LT"/>
        </w:rPr>
        <w:t xml:space="preserve">01.2.1-LVPA-K-856 </w:t>
      </w:r>
      <w:r w:rsidR="00D02718" w:rsidRPr="00D02718">
        <w:rPr>
          <w:rFonts w:ascii="Times New Roman" w:hAnsi="Times New Roman" w:cs="Times New Roman"/>
          <w:b/>
          <w:caps/>
          <w:sz w:val="24"/>
          <w:szCs w:val="24"/>
        </w:rPr>
        <w:t xml:space="preserve">„Eksperimentas“ </w:t>
      </w:r>
      <w:r w:rsidR="00384AFE" w:rsidRPr="00D02718">
        <w:rPr>
          <w:rFonts w:ascii="Times New Roman" w:hAnsi="Times New Roman" w:cs="Times New Roman"/>
          <w:b/>
          <w:caps/>
          <w:sz w:val="24"/>
          <w:szCs w:val="24"/>
        </w:rPr>
        <w:t>PROJEKTŲ</w:t>
      </w:r>
      <w:r w:rsidR="00384AFE" w:rsidRPr="00DC0C77">
        <w:rPr>
          <w:rFonts w:ascii="Times New Roman" w:hAnsi="Times New Roman" w:cs="Times New Roman"/>
          <w:b/>
          <w:sz w:val="24"/>
          <w:szCs w:val="24"/>
        </w:rPr>
        <w:t xml:space="preserve"> </w:t>
      </w:r>
      <w:r w:rsidR="00D02718">
        <w:rPr>
          <w:rFonts w:ascii="Times New Roman" w:hAnsi="Times New Roman" w:cs="Times New Roman"/>
          <w:b/>
          <w:sz w:val="24"/>
          <w:szCs w:val="24"/>
        </w:rPr>
        <w:t>FINANSAVIMO SĄLYGŲ APRAŠO NR. 1</w:t>
      </w:r>
    </w:p>
    <w:p w14:paraId="7602C826" w14:textId="77777777" w:rsidR="00F0661F" w:rsidRPr="00D02718" w:rsidRDefault="00F0661F" w:rsidP="00DC0C77">
      <w:pPr>
        <w:tabs>
          <w:tab w:val="left" w:pos="0"/>
          <w:tab w:val="left" w:pos="567"/>
        </w:tabs>
        <w:spacing w:after="0" w:line="240" w:lineRule="auto"/>
        <w:jc w:val="both"/>
        <w:rPr>
          <w:rFonts w:ascii="Times New Roman" w:hAnsi="Times New Roman" w:cs="Times New Roman"/>
          <w:b/>
          <w:sz w:val="24"/>
          <w:szCs w:val="24"/>
        </w:rPr>
      </w:pPr>
    </w:p>
    <w:p w14:paraId="63C55CC7" w14:textId="77777777" w:rsidR="00F0661F" w:rsidRPr="00D02718" w:rsidRDefault="00F0661F" w:rsidP="00DC0C77">
      <w:pPr>
        <w:tabs>
          <w:tab w:val="left" w:pos="0"/>
          <w:tab w:val="left" w:pos="567"/>
        </w:tabs>
        <w:spacing w:after="0" w:line="240" w:lineRule="auto"/>
        <w:jc w:val="both"/>
        <w:rPr>
          <w:rFonts w:ascii="Times New Roman" w:hAnsi="Times New Roman" w:cs="Times New Roman"/>
          <w:b/>
          <w:sz w:val="24"/>
          <w:szCs w:val="24"/>
        </w:rPr>
      </w:pPr>
    </w:p>
    <w:tbl>
      <w:tblPr>
        <w:tblpPr w:leftFromText="180" w:rightFromText="180" w:vertAnchor="text" w:tblpY="1"/>
        <w:tblOverlap w:val="never"/>
        <w:tblW w:w="14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753"/>
        <w:gridCol w:w="5134"/>
        <w:gridCol w:w="3211"/>
        <w:gridCol w:w="3544"/>
      </w:tblGrid>
      <w:tr w:rsidR="003A641F" w:rsidRPr="00DC0C77" w14:paraId="69FC045E" w14:textId="77777777" w:rsidTr="00D02718">
        <w:trPr>
          <w:trHeight w:val="263"/>
          <w:tblHeader/>
        </w:trPr>
        <w:tc>
          <w:tcPr>
            <w:tcW w:w="675" w:type="dxa"/>
            <w:tcBorders>
              <w:top w:val="single" w:sz="4" w:space="0" w:color="auto"/>
              <w:left w:val="single" w:sz="4" w:space="0" w:color="auto"/>
              <w:bottom w:val="single" w:sz="4" w:space="0" w:color="auto"/>
              <w:right w:val="single" w:sz="4" w:space="0" w:color="auto"/>
            </w:tcBorders>
            <w:shd w:val="clear" w:color="auto" w:fill="EEECE1"/>
            <w:hideMark/>
          </w:tcPr>
          <w:p w14:paraId="25852B9E" w14:textId="77777777" w:rsidR="003A641F" w:rsidRPr="00DC0C77" w:rsidRDefault="003A641F" w:rsidP="00D02718">
            <w:pPr>
              <w:tabs>
                <w:tab w:val="left" w:pos="7560"/>
              </w:tabs>
              <w:spacing w:after="0" w:line="240" w:lineRule="auto"/>
              <w:jc w:val="both"/>
              <w:rPr>
                <w:rFonts w:ascii="Times New Roman" w:hAnsi="Times New Roman" w:cs="Times New Roman"/>
                <w:b/>
                <w:sz w:val="24"/>
                <w:szCs w:val="24"/>
              </w:rPr>
            </w:pPr>
            <w:r w:rsidRPr="00DC0C77">
              <w:rPr>
                <w:rFonts w:ascii="Times New Roman" w:hAnsi="Times New Roman" w:cs="Times New Roman"/>
                <w:b/>
                <w:sz w:val="24"/>
                <w:szCs w:val="24"/>
              </w:rPr>
              <w:t>Nr.</w:t>
            </w:r>
          </w:p>
        </w:tc>
        <w:tc>
          <w:tcPr>
            <w:tcW w:w="1753" w:type="dxa"/>
            <w:tcBorders>
              <w:top w:val="single" w:sz="4" w:space="0" w:color="auto"/>
              <w:left w:val="single" w:sz="4" w:space="0" w:color="auto"/>
              <w:bottom w:val="single" w:sz="4" w:space="0" w:color="auto"/>
              <w:right w:val="single" w:sz="4" w:space="0" w:color="auto"/>
            </w:tcBorders>
            <w:shd w:val="clear" w:color="auto" w:fill="EEECE1"/>
            <w:hideMark/>
          </w:tcPr>
          <w:p w14:paraId="00E70067" w14:textId="77777777" w:rsidR="003A641F" w:rsidRPr="00DC0C77" w:rsidRDefault="003A641F" w:rsidP="00D02718">
            <w:pPr>
              <w:tabs>
                <w:tab w:val="left" w:pos="7560"/>
              </w:tabs>
              <w:spacing w:after="0" w:line="240" w:lineRule="auto"/>
              <w:jc w:val="both"/>
              <w:rPr>
                <w:rFonts w:ascii="Times New Roman" w:hAnsi="Times New Roman" w:cs="Times New Roman"/>
                <w:b/>
                <w:sz w:val="24"/>
                <w:szCs w:val="24"/>
              </w:rPr>
            </w:pPr>
            <w:r w:rsidRPr="00DC0C77">
              <w:rPr>
                <w:rFonts w:ascii="Times New Roman" w:hAnsi="Times New Roman" w:cs="Times New Roman"/>
                <w:b/>
                <w:sz w:val="24"/>
                <w:szCs w:val="24"/>
              </w:rPr>
              <w:t>Pastabas teikianti institucija</w:t>
            </w:r>
          </w:p>
        </w:tc>
        <w:tc>
          <w:tcPr>
            <w:tcW w:w="5134" w:type="dxa"/>
            <w:tcBorders>
              <w:top w:val="single" w:sz="4" w:space="0" w:color="auto"/>
              <w:left w:val="single" w:sz="4" w:space="0" w:color="auto"/>
              <w:bottom w:val="single" w:sz="4" w:space="0" w:color="auto"/>
              <w:right w:val="single" w:sz="4" w:space="0" w:color="auto"/>
            </w:tcBorders>
            <w:shd w:val="clear" w:color="auto" w:fill="EEECE1"/>
          </w:tcPr>
          <w:p w14:paraId="39072524" w14:textId="77777777" w:rsidR="003A641F" w:rsidRPr="00DC0C77" w:rsidRDefault="003A641F" w:rsidP="00D02718">
            <w:pPr>
              <w:tabs>
                <w:tab w:val="left" w:pos="7560"/>
              </w:tabs>
              <w:spacing w:after="0" w:line="240" w:lineRule="auto"/>
              <w:jc w:val="both"/>
              <w:rPr>
                <w:rFonts w:ascii="Times New Roman" w:hAnsi="Times New Roman" w:cs="Times New Roman"/>
                <w:b/>
                <w:sz w:val="24"/>
                <w:szCs w:val="24"/>
              </w:rPr>
            </w:pPr>
            <w:r w:rsidRPr="00DC0C77">
              <w:rPr>
                <w:rFonts w:ascii="Times New Roman" w:hAnsi="Times New Roman" w:cs="Times New Roman"/>
                <w:b/>
                <w:sz w:val="24"/>
                <w:szCs w:val="24"/>
              </w:rPr>
              <w:t>Pastabos ir pasiūlymai</w:t>
            </w:r>
          </w:p>
        </w:tc>
        <w:tc>
          <w:tcPr>
            <w:tcW w:w="3211" w:type="dxa"/>
            <w:tcBorders>
              <w:top w:val="single" w:sz="4" w:space="0" w:color="auto"/>
              <w:left w:val="single" w:sz="4" w:space="0" w:color="auto"/>
              <w:bottom w:val="single" w:sz="4" w:space="0" w:color="auto"/>
              <w:right w:val="single" w:sz="4" w:space="0" w:color="auto"/>
            </w:tcBorders>
            <w:shd w:val="clear" w:color="auto" w:fill="EEECE1"/>
          </w:tcPr>
          <w:p w14:paraId="6228B8FC" w14:textId="77777777" w:rsidR="003A641F" w:rsidRPr="00DC0C77" w:rsidRDefault="003A641F" w:rsidP="00D02718">
            <w:pPr>
              <w:tabs>
                <w:tab w:val="left" w:pos="7560"/>
              </w:tabs>
              <w:spacing w:after="0" w:line="240" w:lineRule="auto"/>
              <w:jc w:val="both"/>
              <w:rPr>
                <w:rFonts w:ascii="Times New Roman" w:hAnsi="Times New Roman" w:cs="Times New Roman"/>
                <w:b/>
                <w:sz w:val="24"/>
                <w:szCs w:val="24"/>
              </w:rPr>
            </w:pPr>
            <w:r w:rsidRPr="00DC0C77">
              <w:rPr>
                <w:rFonts w:ascii="Times New Roman" w:hAnsi="Times New Roman" w:cs="Times New Roman"/>
                <w:b/>
                <w:sz w:val="24"/>
                <w:szCs w:val="24"/>
              </w:rPr>
              <w:t xml:space="preserve">EIM </w:t>
            </w:r>
            <w:r w:rsidR="00803086" w:rsidRPr="00DC0C77">
              <w:rPr>
                <w:rFonts w:ascii="Times New Roman" w:hAnsi="Times New Roman" w:cs="Times New Roman"/>
                <w:b/>
                <w:sz w:val="24"/>
                <w:szCs w:val="24"/>
              </w:rPr>
              <w:t>pozicija</w:t>
            </w:r>
          </w:p>
        </w:tc>
        <w:tc>
          <w:tcPr>
            <w:tcW w:w="3544" w:type="dxa"/>
            <w:tcBorders>
              <w:top w:val="single" w:sz="4" w:space="0" w:color="auto"/>
              <w:left w:val="single" w:sz="4" w:space="0" w:color="auto"/>
              <w:bottom w:val="single" w:sz="4" w:space="0" w:color="auto"/>
              <w:right w:val="single" w:sz="4" w:space="0" w:color="auto"/>
            </w:tcBorders>
            <w:shd w:val="clear" w:color="auto" w:fill="EEECE1"/>
          </w:tcPr>
          <w:p w14:paraId="4F4D77DC" w14:textId="77777777" w:rsidR="003A641F" w:rsidRPr="00DC0C77" w:rsidRDefault="00803086" w:rsidP="00D02718">
            <w:pPr>
              <w:tabs>
                <w:tab w:val="left" w:pos="7560"/>
              </w:tabs>
              <w:spacing w:after="0" w:line="240" w:lineRule="auto"/>
              <w:jc w:val="both"/>
              <w:rPr>
                <w:rFonts w:ascii="Times New Roman" w:hAnsi="Times New Roman" w:cs="Times New Roman"/>
                <w:b/>
                <w:sz w:val="24"/>
                <w:szCs w:val="24"/>
              </w:rPr>
            </w:pPr>
            <w:r w:rsidRPr="00DC0C77">
              <w:rPr>
                <w:rFonts w:ascii="Times New Roman" w:hAnsi="Times New Roman" w:cs="Times New Roman"/>
                <w:b/>
                <w:sz w:val="24"/>
                <w:szCs w:val="24"/>
              </w:rPr>
              <w:t>EIM argumentai</w:t>
            </w:r>
            <w:r w:rsidR="003A641F" w:rsidRPr="00DC0C77">
              <w:rPr>
                <w:rFonts w:ascii="Times New Roman" w:hAnsi="Times New Roman" w:cs="Times New Roman"/>
                <w:b/>
                <w:sz w:val="24"/>
                <w:szCs w:val="24"/>
              </w:rPr>
              <w:t xml:space="preserve"> </w:t>
            </w:r>
          </w:p>
        </w:tc>
      </w:tr>
      <w:tr w:rsidR="003A641F" w:rsidRPr="00DC0C77" w14:paraId="7C09A623" w14:textId="77777777" w:rsidTr="00D02718">
        <w:trPr>
          <w:trHeight w:val="2812"/>
        </w:trPr>
        <w:tc>
          <w:tcPr>
            <w:tcW w:w="675" w:type="dxa"/>
            <w:tcBorders>
              <w:top w:val="single" w:sz="4" w:space="0" w:color="auto"/>
              <w:left w:val="single" w:sz="4" w:space="0" w:color="auto"/>
              <w:bottom w:val="single" w:sz="4" w:space="0" w:color="auto"/>
              <w:right w:val="single" w:sz="4" w:space="0" w:color="auto"/>
            </w:tcBorders>
          </w:tcPr>
          <w:p w14:paraId="04407500" w14:textId="77777777" w:rsidR="003A641F" w:rsidRPr="00DC0C77" w:rsidRDefault="003A641F" w:rsidP="00D02718">
            <w:pPr>
              <w:pStyle w:val="ListParagraph"/>
              <w:numPr>
                <w:ilvl w:val="0"/>
                <w:numId w:val="3"/>
              </w:numPr>
              <w:tabs>
                <w:tab w:val="left" w:pos="7560"/>
              </w:tabs>
              <w:spacing w:after="0" w:line="240" w:lineRule="auto"/>
              <w:jc w:val="both"/>
              <w:rPr>
                <w:rFonts w:ascii="Times New Roman" w:hAnsi="Times New Roman"/>
                <w:sz w:val="24"/>
                <w:szCs w:val="24"/>
              </w:rPr>
            </w:pPr>
          </w:p>
        </w:tc>
        <w:tc>
          <w:tcPr>
            <w:tcW w:w="1753" w:type="dxa"/>
            <w:tcBorders>
              <w:top w:val="single" w:sz="4" w:space="0" w:color="auto"/>
              <w:left w:val="single" w:sz="4" w:space="0" w:color="auto"/>
              <w:bottom w:val="single" w:sz="4" w:space="0" w:color="auto"/>
              <w:right w:val="single" w:sz="4" w:space="0" w:color="auto"/>
            </w:tcBorders>
          </w:tcPr>
          <w:p w14:paraId="37D5353A" w14:textId="77777777" w:rsidR="003A641F" w:rsidRPr="00DC0C77" w:rsidRDefault="00D02718" w:rsidP="00D02718">
            <w:pPr>
              <w:tabs>
                <w:tab w:val="left" w:pos="141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Lietuvos pramoninkų konfederacija</w:t>
            </w:r>
          </w:p>
        </w:tc>
        <w:tc>
          <w:tcPr>
            <w:tcW w:w="5134" w:type="dxa"/>
            <w:tcBorders>
              <w:top w:val="single" w:sz="4" w:space="0" w:color="auto"/>
              <w:left w:val="single" w:sz="4" w:space="0" w:color="auto"/>
              <w:bottom w:val="single" w:sz="4" w:space="0" w:color="auto"/>
              <w:right w:val="single" w:sz="4" w:space="0" w:color="auto"/>
            </w:tcBorders>
          </w:tcPr>
          <w:p w14:paraId="0967BCB4" w14:textId="77777777" w:rsidR="003A641F" w:rsidRPr="00D02718" w:rsidRDefault="00D02718" w:rsidP="00D02718">
            <w:pPr>
              <w:jc w:val="both"/>
              <w:rPr>
                <w:rFonts w:ascii="Times New Roman" w:hAnsi="Times New Roman" w:cs="Times New Roman"/>
                <w:sz w:val="24"/>
                <w:szCs w:val="24"/>
              </w:rPr>
            </w:pPr>
            <w:r w:rsidRPr="00D02718">
              <w:rPr>
                <w:rFonts w:ascii="Times New Roman" w:hAnsi="Times New Roman" w:cs="Times New Roman"/>
                <w:sz w:val="24"/>
                <w:szCs w:val="24"/>
              </w:rPr>
              <w:t>Neįvertintos anksčiau teiktos pramonininkų konfederacijos pastabos dėl projektų atrankos kriterijų. Dar kartą atkreipiame dėmesį, kad priemonė neturėtų būti orientuota tik į ilgą laiką MTEP veiklas vykdančias įmones, nesudarant galimybės per šią priemonę gauti finansavimo ir naujoms įmonėms, kurios planuoja naujai vykdyti MTEP veiklas. Priemonė Inostartas nėra lygiavertė šiai priemonei, nes joje maksimali finansavimo suma tėra tik 20000 eur. </w:t>
            </w:r>
          </w:p>
        </w:tc>
        <w:tc>
          <w:tcPr>
            <w:tcW w:w="3211" w:type="dxa"/>
            <w:tcBorders>
              <w:top w:val="single" w:sz="4" w:space="0" w:color="auto"/>
              <w:left w:val="single" w:sz="4" w:space="0" w:color="auto"/>
              <w:bottom w:val="single" w:sz="4" w:space="0" w:color="auto"/>
              <w:right w:val="single" w:sz="4" w:space="0" w:color="auto"/>
            </w:tcBorders>
          </w:tcPr>
          <w:p w14:paraId="6BBEF591" w14:textId="77777777" w:rsidR="003A641F" w:rsidRPr="00DC0C77" w:rsidRDefault="00866665" w:rsidP="00D02718">
            <w:pPr>
              <w:pStyle w:val="Default"/>
              <w:ind w:left="720"/>
              <w:jc w:val="both"/>
              <w:rPr>
                <w:b/>
                <w:color w:val="auto"/>
              </w:rPr>
            </w:pPr>
            <w:r>
              <w:rPr>
                <w:b/>
                <w:color w:val="auto"/>
              </w:rPr>
              <w:t>Paaiškinta</w:t>
            </w:r>
          </w:p>
        </w:tc>
        <w:tc>
          <w:tcPr>
            <w:tcW w:w="3544" w:type="dxa"/>
            <w:tcBorders>
              <w:top w:val="single" w:sz="4" w:space="0" w:color="auto"/>
              <w:left w:val="single" w:sz="4" w:space="0" w:color="auto"/>
              <w:bottom w:val="single" w:sz="4" w:space="0" w:color="auto"/>
              <w:right w:val="single" w:sz="4" w:space="0" w:color="auto"/>
            </w:tcBorders>
          </w:tcPr>
          <w:p w14:paraId="17DFB403" w14:textId="77777777" w:rsidR="006A7F5C" w:rsidRPr="00DC0C77" w:rsidRDefault="00866665" w:rsidP="00D02718">
            <w:pPr>
              <w:pStyle w:val="Default"/>
              <w:jc w:val="both"/>
              <w:rPr>
                <w:color w:val="auto"/>
              </w:rPr>
            </w:pPr>
            <w:r>
              <w:rPr>
                <w:color w:val="auto"/>
              </w:rPr>
              <w:t xml:space="preserve">Priemonė nėra orientuota į ilgą laiką MTEP veiklas vykdančias įmonės. Nėra nustatyta privalomi reikalavimai būti veikus tam tikrą terminą, turėti tam tikro dydžio apyvartas arba būti gavus pajamų iš MTEP veiklos. Pirmieji trys prioritetiniai kriterijai yra susiję išimtinai su kuriamu produktu, bet ne su pareiškėju. </w:t>
            </w:r>
          </w:p>
        </w:tc>
      </w:tr>
      <w:tr w:rsidR="002E1F3A" w:rsidRPr="00DC0C77" w14:paraId="0F7FD3F1" w14:textId="77777777" w:rsidTr="00D02718">
        <w:trPr>
          <w:trHeight w:val="1901"/>
        </w:trPr>
        <w:tc>
          <w:tcPr>
            <w:tcW w:w="675" w:type="dxa"/>
            <w:tcBorders>
              <w:top w:val="single" w:sz="4" w:space="0" w:color="auto"/>
              <w:left w:val="single" w:sz="4" w:space="0" w:color="auto"/>
              <w:bottom w:val="single" w:sz="4" w:space="0" w:color="auto"/>
              <w:right w:val="single" w:sz="4" w:space="0" w:color="auto"/>
            </w:tcBorders>
          </w:tcPr>
          <w:p w14:paraId="19377EC2" w14:textId="77777777" w:rsidR="002E1F3A" w:rsidRPr="00DC0C77" w:rsidRDefault="002E1F3A" w:rsidP="002E1F3A">
            <w:pPr>
              <w:pStyle w:val="ListParagraph"/>
              <w:numPr>
                <w:ilvl w:val="0"/>
                <w:numId w:val="3"/>
              </w:numPr>
              <w:tabs>
                <w:tab w:val="left" w:pos="7560"/>
              </w:tabs>
              <w:spacing w:after="0" w:line="240" w:lineRule="auto"/>
              <w:jc w:val="both"/>
              <w:rPr>
                <w:rFonts w:ascii="Times New Roman" w:hAnsi="Times New Roman"/>
                <w:sz w:val="24"/>
                <w:szCs w:val="24"/>
              </w:rPr>
            </w:pPr>
          </w:p>
        </w:tc>
        <w:tc>
          <w:tcPr>
            <w:tcW w:w="1753" w:type="dxa"/>
            <w:tcBorders>
              <w:top w:val="single" w:sz="4" w:space="0" w:color="auto"/>
              <w:left w:val="single" w:sz="4" w:space="0" w:color="auto"/>
              <w:bottom w:val="single" w:sz="4" w:space="0" w:color="auto"/>
              <w:right w:val="single" w:sz="4" w:space="0" w:color="auto"/>
            </w:tcBorders>
          </w:tcPr>
          <w:p w14:paraId="01069DA4" w14:textId="77777777" w:rsidR="002E1F3A" w:rsidRDefault="002E1F3A" w:rsidP="002E1F3A">
            <w:pPr>
              <w:tabs>
                <w:tab w:val="left" w:pos="141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Lietuvos pramoninkų konfederacija</w:t>
            </w:r>
          </w:p>
        </w:tc>
        <w:tc>
          <w:tcPr>
            <w:tcW w:w="5134" w:type="dxa"/>
            <w:tcBorders>
              <w:top w:val="single" w:sz="4" w:space="0" w:color="auto"/>
              <w:left w:val="single" w:sz="4" w:space="0" w:color="auto"/>
              <w:bottom w:val="single" w:sz="4" w:space="0" w:color="auto"/>
              <w:right w:val="single" w:sz="4" w:space="0" w:color="auto"/>
            </w:tcBorders>
          </w:tcPr>
          <w:p w14:paraId="75DA42CA" w14:textId="77777777" w:rsidR="002E1F3A" w:rsidRDefault="002E1F3A" w:rsidP="002E1F3A">
            <w:pPr>
              <w:pStyle w:val="Default"/>
              <w:jc w:val="both"/>
            </w:pPr>
            <w:r>
              <w:t>Dėl lėšų paskirstymo regionams pagal apskritis paminėtinas finansavimo paskirstymo netolygumas. Nors kiekvienai apskričiai numatomas lėšų dydis yra vienodas (2,27 mln. eur), tačiau Vilniaus ir Kauno apskritys sąlyginai gauna daugiau, nes iš tų apskričių finansavimo apimčių išimamos Vilniaus ar Kauno miestų ir rajonų savivaldybės.</w:t>
            </w:r>
          </w:p>
        </w:tc>
        <w:tc>
          <w:tcPr>
            <w:tcW w:w="3211" w:type="dxa"/>
            <w:tcBorders>
              <w:top w:val="single" w:sz="4" w:space="0" w:color="auto"/>
              <w:left w:val="single" w:sz="4" w:space="0" w:color="auto"/>
              <w:bottom w:val="single" w:sz="4" w:space="0" w:color="auto"/>
              <w:right w:val="single" w:sz="4" w:space="0" w:color="auto"/>
            </w:tcBorders>
          </w:tcPr>
          <w:p w14:paraId="514131A6" w14:textId="77777777" w:rsidR="002E1F3A" w:rsidRPr="00DC0C77" w:rsidRDefault="00F73883" w:rsidP="002E1F3A">
            <w:pPr>
              <w:pStyle w:val="Default"/>
              <w:ind w:left="720"/>
              <w:jc w:val="both"/>
              <w:rPr>
                <w:b/>
                <w:color w:val="auto"/>
              </w:rPr>
            </w:pPr>
            <w:r>
              <w:rPr>
                <w:b/>
                <w:color w:val="auto"/>
              </w:rPr>
              <w:t>Paaiškinta.</w:t>
            </w:r>
            <w:bookmarkStart w:id="0" w:name="_GoBack"/>
            <w:bookmarkEnd w:id="0"/>
          </w:p>
        </w:tc>
        <w:tc>
          <w:tcPr>
            <w:tcW w:w="3544" w:type="dxa"/>
            <w:tcBorders>
              <w:top w:val="single" w:sz="4" w:space="0" w:color="auto"/>
              <w:left w:val="single" w:sz="4" w:space="0" w:color="auto"/>
              <w:bottom w:val="single" w:sz="4" w:space="0" w:color="auto"/>
              <w:right w:val="single" w:sz="4" w:space="0" w:color="auto"/>
            </w:tcBorders>
          </w:tcPr>
          <w:p w14:paraId="4D1A92D5" w14:textId="3215D8A6" w:rsidR="002E1F3A" w:rsidRPr="00DC0C77" w:rsidRDefault="002C0972" w:rsidP="002E1F3A">
            <w:pPr>
              <w:pStyle w:val="Default"/>
              <w:jc w:val="both"/>
              <w:rPr>
                <w:color w:val="auto"/>
              </w:rPr>
            </w:pPr>
            <w:r>
              <w:t>Nors Vilniaus ir Kauno miestų ir rajonų savivaldybės išbrauktos, įprastai paraiškų Vilniaus ir |Kauno apskrityje būna daugiausia.</w:t>
            </w:r>
          </w:p>
        </w:tc>
      </w:tr>
      <w:tr w:rsidR="002E1F3A" w:rsidRPr="00DC0C77" w14:paraId="1D3A0328" w14:textId="77777777" w:rsidTr="00D02718">
        <w:trPr>
          <w:trHeight w:val="2350"/>
        </w:trPr>
        <w:tc>
          <w:tcPr>
            <w:tcW w:w="675" w:type="dxa"/>
            <w:tcBorders>
              <w:top w:val="single" w:sz="4" w:space="0" w:color="auto"/>
              <w:left w:val="single" w:sz="4" w:space="0" w:color="auto"/>
              <w:bottom w:val="single" w:sz="4" w:space="0" w:color="auto"/>
              <w:right w:val="single" w:sz="4" w:space="0" w:color="auto"/>
            </w:tcBorders>
          </w:tcPr>
          <w:p w14:paraId="35F280DE" w14:textId="77777777" w:rsidR="002E1F3A" w:rsidRPr="00DC0C77" w:rsidRDefault="002E1F3A" w:rsidP="002E1F3A">
            <w:pPr>
              <w:pStyle w:val="ListParagraph"/>
              <w:numPr>
                <w:ilvl w:val="0"/>
                <w:numId w:val="3"/>
              </w:numPr>
              <w:tabs>
                <w:tab w:val="left" w:pos="7560"/>
              </w:tabs>
              <w:spacing w:after="0" w:line="240" w:lineRule="auto"/>
              <w:jc w:val="both"/>
              <w:rPr>
                <w:rFonts w:ascii="Times New Roman" w:hAnsi="Times New Roman"/>
                <w:sz w:val="24"/>
                <w:szCs w:val="24"/>
              </w:rPr>
            </w:pPr>
          </w:p>
        </w:tc>
        <w:tc>
          <w:tcPr>
            <w:tcW w:w="1753" w:type="dxa"/>
            <w:tcBorders>
              <w:top w:val="single" w:sz="4" w:space="0" w:color="auto"/>
              <w:left w:val="single" w:sz="4" w:space="0" w:color="auto"/>
              <w:bottom w:val="single" w:sz="4" w:space="0" w:color="auto"/>
              <w:right w:val="single" w:sz="4" w:space="0" w:color="auto"/>
            </w:tcBorders>
          </w:tcPr>
          <w:p w14:paraId="3346A6F5" w14:textId="77777777" w:rsidR="002E1F3A" w:rsidRDefault="00AA5591" w:rsidP="002E1F3A">
            <w:pPr>
              <w:tabs>
                <w:tab w:val="left" w:pos="141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UAB „Sėkmės sprendimai“</w:t>
            </w:r>
          </w:p>
        </w:tc>
        <w:tc>
          <w:tcPr>
            <w:tcW w:w="5134" w:type="dxa"/>
            <w:tcBorders>
              <w:top w:val="single" w:sz="4" w:space="0" w:color="auto"/>
              <w:left w:val="single" w:sz="4" w:space="0" w:color="auto"/>
              <w:bottom w:val="single" w:sz="4" w:space="0" w:color="auto"/>
              <w:right w:val="single" w:sz="4" w:space="0" w:color="auto"/>
            </w:tcBorders>
          </w:tcPr>
          <w:p w14:paraId="387FC478" w14:textId="77777777" w:rsidR="00AA5591" w:rsidRDefault="00AA5591" w:rsidP="00AA5591">
            <w:pPr>
              <w:jc w:val="both"/>
              <w:rPr>
                <w:rFonts w:ascii="Times New Roman" w:hAnsi="Times New Roman"/>
                <w:sz w:val="24"/>
                <w:szCs w:val="24"/>
              </w:rPr>
            </w:pPr>
            <w:r>
              <w:rPr>
                <w:rFonts w:ascii="Times New Roman" w:hAnsi="Times New Roman"/>
                <w:b/>
                <w:sz w:val="24"/>
                <w:szCs w:val="24"/>
              </w:rPr>
              <w:t xml:space="preserve">40 </w:t>
            </w:r>
            <w:r w:rsidRPr="00203BF2">
              <w:rPr>
                <w:rFonts w:ascii="Times New Roman" w:hAnsi="Times New Roman"/>
                <w:b/>
                <w:sz w:val="24"/>
                <w:szCs w:val="24"/>
              </w:rPr>
              <w:t>punktas:</w:t>
            </w:r>
            <w:r>
              <w:rPr>
                <w:rFonts w:ascii="Times New Roman" w:hAnsi="Times New Roman"/>
                <w:sz w:val="24"/>
                <w:szCs w:val="24"/>
              </w:rPr>
              <w:t xml:space="preserve"> prašome nustatyti didesnes paramos ribas vienam projektui. 10.1 veiklai bent 400 000 Eur, o 10.2 veiklai bent 500 000 Eur. Kaip matome iš paskutinio Intelekto kvietimo rezultatų iš 83 projektų gavusių paramą tik 5 paraiškos sutiko įgyvendinti projektą su mažesnes nei 170 000 Eur parama. Nepadidinus galimos paramos sumos vienam projektui rizikuojama nesulaukti </w:t>
            </w:r>
            <w:r>
              <w:rPr>
                <w:rFonts w:ascii="Times New Roman" w:hAnsi="Times New Roman"/>
                <w:sz w:val="24"/>
                <w:szCs w:val="24"/>
              </w:rPr>
              <w:lastRenderedPageBreak/>
              <w:t>pakankamo paraiškų kiekio ar vangaus įmonių dalyvavimo (tai pvz. turime su Inostarto projektais).</w:t>
            </w:r>
          </w:p>
          <w:p w14:paraId="18A103AB" w14:textId="77777777" w:rsidR="002E1F3A" w:rsidRDefault="002E1F3A" w:rsidP="002E1F3A">
            <w:pPr>
              <w:pStyle w:val="Default"/>
              <w:jc w:val="both"/>
            </w:pPr>
          </w:p>
        </w:tc>
        <w:tc>
          <w:tcPr>
            <w:tcW w:w="3211" w:type="dxa"/>
            <w:tcBorders>
              <w:top w:val="single" w:sz="4" w:space="0" w:color="auto"/>
              <w:left w:val="single" w:sz="4" w:space="0" w:color="auto"/>
              <w:bottom w:val="single" w:sz="4" w:space="0" w:color="auto"/>
              <w:right w:val="single" w:sz="4" w:space="0" w:color="auto"/>
            </w:tcBorders>
          </w:tcPr>
          <w:p w14:paraId="741662F4" w14:textId="77777777" w:rsidR="002E1F3A" w:rsidRPr="00DC0C77" w:rsidRDefault="00422AF7" w:rsidP="002E1F3A">
            <w:pPr>
              <w:pStyle w:val="Default"/>
              <w:ind w:left="720"/>
              <w:jc w:val="both"/>
              <w:rPr>
                <w:b/>
                <w:color w:val="auto"/>
              </w:rPr>
            </w:pPr>
            <w:r>
              <w:rPr>
                <w:b/>
                <w:color w:val="auto"/>
              </w:rPr>
              <w:lastRenderedPageBreak/>
              <w:t>Atsižvelgta.</w:t>
            </w:r>
          </w:p>
        </w:tc>
        <w:tc>
          <w:tcPr>
            <w:tcW w:w="3544" w:type="dxa"/>
            <w:tcBorders>
              <w:top w:val="single" w:sz="4" w:space="0" w:color="auto"/>
              <w:left w:val="single" w:sz="4" w:space="0" w:color="auto"/>
              <w:bottom w:val="single" w:sz="4" w:space="0" w:color="auto"/>
              <w:right w:val="single" w:sz="4" w:space="0" w:color="auto"/>
            </w:tcBorders>
          </w:tcPr>
          <w:p w14:paraId="19DF0E73" w14:textId="77777777" w:rsidR="002E1F3A" w:rsidRPr="00DC0C77" w:rsidRDefault="00422AF7" w:rsidP="00422AF7">
            <w:pPr>
              <w:pStyle w:val="Default"/>
              <w:jc w:val="both"/>
              <w:rPr>
                <w:color w:val="auto"/>
              </w:rPr>
            </w:pPr>
            <w:r>
              <w:t>Numatyta 10.1 veiklai 400 000 Eur, o 10.2 veiklai 500 000 Eur.</w:t>
            </w:r>
          </w:p>
        </w:tc>
      </w:tr>
      <w:tr w:rsidR="00210615" w:rsidRPr="00DC0C77" w14:paraId="45AAF7EF" w14:textId="77777777" w:rsidTr="00D02718">
        <w:trPr>
          <w:trHeight w:val="2500"/>
        </w:trPr>
        <w:tc>
          <w:tcPr>
            <w:tcW w:w="675" w:type="dxa"/>
            <w:tcBorders>
              <w:top w:val="single" w:sz="4" w:space="0" w:color="auto"/>
              <w:left w:val="single" w:sz="4" w:space="0" w:color="auto"/>
              <w:bottom w:val="single" w:sz="4" w:space="0" w:color="auto"/>
              <w:right w:val="single" w:sz="4" w:space="0" w:color="auto"/>
            </w:tcBorders>
          </w:tcPr>
          <w:p w14:paraId="5597E3E8" w14:textId="77777777" w:rsidR="00210615" w:rsidRPr="00DC0C77" w:rsidRDefault="00210615" w:rsidP="00210615">
            <w:pPr>
              <w:pStyle w:val="ListParagraph"/>
              <w:numPr>
                <w:ilvl w:val="0"/>
                <w:numId w:val="3"/>
              </w:numPr>
              <w:tabs>
                <w:tab w:val="left" w:pos="7560"/>
              </w:tabs>
              <w:spacing w:after="0" w:line="240" w:lineRule="auto"/>
              <w:jc w:val="both"/>
              <w:rPr>
                <w:rFonts w:ascii="Times New Roman" w:hAnsi="Times New Roman"/>
                <w:sz w:val="24"/>
                <w:szCs w:val="24"/>
              </w:rPr>
            </w:pPr>
          </w:p>
        </w:tc>
        <w:tc>
          <w:tcPr>
            <w:tcW w:w="1753" w:type="dxa"/>
            <w:tcBorders>
              <w:top w:val="single" w:sz="4" w:space="0" w:color="auto"/>
              <w:left w:val="single" w:sz="4" w:space="0" w:color="auto"/>
              <w:bottom w:val="single" w:sz="4" w:space="0" w:color="auto"/>
              <w:right w:val="single" w:sz="4" w:space="0" w:color="auto"/>
            </w:tcBorders>
          </w:tcPr>
          <w:p w14:paraId="3F0F14F9" w14:textId="77777777" w:rsidR="00210615" w:rsidRDefault="00210615" w:rsidP="00210615">
            <w:pPr>
              <w:tabs>
                <w:tab w:val="left" w:pos="141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UAB „Sėkmės sprendimai“</w:t>
            </w:r>
          </w:p>
        </w:tc>
        <w:tc>
          <w:tcPr>
            <w:tcW w:w="5134" w:type="dxa"/>
            <w:tcBorders>
              <w:top w:val="single" w:sz="4" w:space="0" w:color="auto"/>
              <w:left w:val="single" w:sz="4" w:space="0" w:color="auto"/>
              <w:bottom w:val="single" w:sz="4" w:space="0" w:color="auto"/>
              <w:right w:val="single" w:sz="4" w:space="0" w:color="auto"/>
            </w:tcBorders>
          </w:tcPr>
          <w:p w14:paraId="40A45831" w14:textId="77777777" w:rsidR="00210615" w:rsidRDefault="00210615" w:rsidP="00210615">
            <w:pPr>
              <w:jc w:val="both"/>
              <w:rPr>
                <w:rFonts w:ascii="Times New Roman" w:hAnsi="Times New Roman"/>
                <w:sz w:val="24"/>
                <w:szCs w:val="24"/>
              </w:rPr>
            </w:pPr>
            <w:r>
              <w:rPr>
                <w:rFonts w:ascii="Times New Roman" w:hAnsi="Times New Roman"/>
                <w:b/>
                <w:sz w:val="24"/>
                <w:szCs w:val="24"/>
              </w:rPr>
              <w:t xml:space="preserve">41 </w:t>
            </w:r>
            <w:r w:rsidRPr="00203BF2">
              <w:rPr>
                <w:rFonts w:ascii="Times New Roman" w:hAnsi="Times New Roman"/>
                <w:b/>
                <w:sz w:val="24"/>
                <w:szCs w:val="24"/>
              </w:rPr>
              <w:t>punktas:</w:t>
            </w:r>
            <w:r>
              <w:rPr>
                <w:rFonts w:ascii="Times New Roman" w:hAnsi="Times New Roman"/>
                <w:sz w:val="24"/>
                <w:szCs w:val="24"/>
              </w:rPr>
              <w:t xml:space="preserve"> analogiškai prašome nustatyti didesnes paramos ribas vienam projektui. 10.1 bei 10.2 veiklai po galimą maksimalią </w:t>
            </w:r>
            <w:r w:rsidRPr="005479B2">
              <w:rPr>
                <w:rFonts w:ascii="Times New Roman" w:hAnsi="Times New Roman"/>
                <w:i/>
                <w:sz w:val="24"/>
                <w:szCs w:val="24"/>
              </w:rPr>
              <w:t xml:space="preserve">de minimis </w:t>
            </w:r>
            <w:r>
              <w:rPr>
                <w:rFonts w:ascii="Times New Roman" w:hAnsi="Times New Roman"/>
                <w:sz w:val="24"/>
                <w:szCs w:val="24"/>
              </w:rPr>
              <w:t>pagalbos vertę 200 000 Eur, o abiem veiklom kartu ir ne daugiau kaip 200 000 Eur,. Per visą šio periodo Intelektų kvietimo istoriją tik 4 iš 284 pareiškėjų sutiko įgyvendinti projektą su mažesnes nei 70 000 Eur parama. Kodėl tikimasi jog gerėjant ekonominei situacijai, esant mažoms nekonkursinėms Ino priemonėms kaip Inostartas, Inočekiai  įmonės susidomės tokia santykinai nedidele parama?</w:t>
            </w:r>
          </w:p>
          <w:p w14:paraId="7BD8316E" w14:textId="77777777" w:rsidR="00210615" w:rsidRDefault="00210615" w:rsidP="00210615"/>
        </w:tc>
        <w:tc>
          <w:tcPr>
            <w:tcW w:w="3211" w:type="dxa"/>
            <w:tcBorders>
              <w:top w:val="single" w:sz="4" w:space="0" w:color="auto"/>
              <w:left w:val="single" w:sz="4" w:space="0" w:color="auto"/>
              <w:bottom w:val="single" w:sz="4" w:space="0" w:color="auto"/>
              <w:right w:val="single" w:sz="4" w:space="0" w:color="auto"/>
            </w:tcBorders>
          </w:tcPr>
          <w:p w14:paraId="2FED3CCD" w14:textId="77777777" w:rsidR="00210615" w:rsidRPr="00DC0C77" w:rsidRDefault="00422AF7" w:rsidP="00210615">
            <w:pPr>
              <w:pStyle w:val="Default"/>
              <w:ind w:left="720"/>
              <w:jc w:val="both"/>
              <w:rPr>
                <w:b/>
                <w:color w:val="auto"/>
              </w:rPr>
            </w:pPr>
            <w:r>
              <w:rPr>
                <w:b/>
                <w:color w:val="auto"/>
              </w:rPr>
              <w:t>Atsižvelgta.</w:t>
            </w:r>
          </w:p>
        </w:tc>
        <w:tc>
          <w:tcPr>
            <w:tcW w:w="3544" w:type="dxa"/>
            <w:tcBorders>
              <w:top w:val="single" w:sz="4" w:space="0" w:color="auto"/>
              <w:left w:val="single" w:sz="4" w:space="0" w:color="auto"/>
              <w:bottom w:val="single" w:sz="4" w:space="0" w:color="auto"/>
              <w:right w:val="single" w:sz="4" w:space="0" w:color="auto"/>
            </w:tcBorders>
          </w:tcPr>
          <w:p w14:paraId="3B42576B" w14:textId="77777777" w:rsidR="00422AF7" w:rsidRDefault="00422AF7" w:rsidP="00422AF7">
            <w:pPr>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lang w:eastAsia="lt-LT"/>
              </w:rPr>
              <w:t>Numatyta: „</w:t>
            </w:r>
            <w:r w:rsidRPr="00D51982">
              <w:rPr>
                <w:rFonts w:ascii="Times New Roman" w:eastAsia="Times New Roman" w:hAnsi="Times New Roman"/>
                <w:sz w:val="24"/>
                <w:szCs w:val="24"/>
                <w:lang w:eastAsia="lt-LT"/>
              </w:rPr>
              <w:t xml:space="preserve">Didžiausia projektui galima skirti finansavimo lėšų suma yra (jei vykdomos abi Aprašo </w:t>
            </w:r>
            <w:r w:rsidRPr="00196DAA">
              <w:rPr>
                <w:rFonts w:ascii="Times New Roman" w:eastAsia="Times New Roman" w:hAnsi="Times New Roman"/>
                <w:sz w:val="24"/>
                <w:szCs w:val="24"/>
                <w:lang w:eastAsia="lt-LT"/>
              </w:rPr>
              <w:t>10 punkte nustatytos veiklos, Aprašo 41.1 ir 41.2 papunkčiuose nurodytos sumos atitinkamai sumuojamos</w:t>
            </w:r>
            <w:r>
              <w:rPr>
                <w:rFonts w:ascii="Times New Roman" w:eastAsia="Times New Roman" w:hAnsi="Times New Roman"/>
                <w:sz w:val="24"/>
                <w:szCs w:val="24"/>
                <w:lang w:eastAsia="lt-LT"/>
              </w:rPr>
              <w:t>, tačiau bendra suma negali viršyti 200 000 (dviejų šimtų tūkstančių eurų)</w:t>
            </w:r>
            <w:r w:rsidRPr="00196DAA">
              <w:rPr>
                <w:rFonts w:ascii="Times New Roman" w:eastAsia="Times New Roman" w:hAnsi="Times New Roman"/>
                <w:sz w:val="24"/>
                <w:szCs w:val="24"/>
                <w:lang w:eastAsia="lt-LT"/>
              </w:rPr>
              <w:t>), k</w:t>
            </w:r>
            <w:r w:rsidRPr="00196DAA">
              <w:rPr>
                <w:rFonts w:ascii="Times New Roman" w:eastAsia="Times New Roman" w:hAnsi="Times New Roman"/>
                <w:sz w:val="24"/>
                <w:szCs w:val="24"/>
              </w:rPr>
              <w:t xml:space="preserve">ai projektui finansavimas teikiamas pagal </w:t>
            </w:r>
            <w:r w:rsidRPr="00196DAA">
              <w:rPr>
                <w:rFonts w:ascii="Times New Roman" w:eastAsia="Times New Roman" w:hAnsi="Times New Roman"/>
                <w:i/>
                <w:sz w:val="24"/>
                <w:szCs w:val="24"/>
              </w:rPr>
              <w:t>de minimis</w:t>
            </w:r>
            <w:r w:rsidRPr="00196DAA">
              <w:rPr>
                <w:rFonts w:ascii="Times New Roman" w:eastAsia="Times New Roman" w:hAnsi="Times New Roman"/>
                <w:sz w:val="24"/>
                <w:szCs w:val="24"/>
              </w:rPr>
              <w:t xml:space="preserve"> reglamento nuostatas:</w:t>
            </w:r>
          </w:p>
          <w:p w14:paraId="7B2080A1" w14:textId="77777777" w:rsidR="00422AF7" w:rsidRPr="00F92D34" w:rsidRDefault="00422AF7" w:rsidP="00422AF7">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rPr>
              <w:t xml:space="preserve">41.1. </w:t>
            </w:r>
            <w:r w:rsidRPr="00F92D34">
              <w:rPr>
                <w:rFonts w:ascii="Times New Roman" w:eastAsia="Times New Roman" w:hAnsi="Times New Roman"/>
                <w:sz w:val="24"/>
                <w:szCs w:val="24"/>
                <w:lang w:eastAsia="lt-LT"/>
              </w:rPr>
              <w:t xml:space="preserve">Aprašo 10.1 papunktyje nurodytai veiklai – </w:t>
            </w:r>
            <w:r>
              <w:rPr>
                <w:rFonts w:ascii="Times New Roman" w:eastAsia="Times New Roman" w:hAnsi="Times New Roman"/>
                <w:sz w:val="24"/>
                <w:szCs w:val="24"/>
                <w:lang w:eastAsia="lt-LT"/>
              </w:rPr>
              <w:t>20</w:t>
            </w:r>
            <w:r w:rsidRPr="00F92D34">
              <w:rPr>
                <w:rFonts w:ascii="Times New Roman" w:eastAsia="Times New Roman" w:hAnsi="Times New Roman"/>
                <w:sz w:val="24"/>
                <w:szCs w:val="24"/>
                <w:lang w:eastAsia="lt-LT"/>
              </w:rPr>
              <w:t>0 000 Eur (</w:t>
            </w:r>
            <w:r>
              <w:rPr>
                <w:rFonts w:ascii="Times New Roman" w:eastAsia="Times New Roman" w:hAnsi="Times New Roman"/>
                <w:sz w:val="24"/>
                <w:szCs w:val="24"/>
                <w:lang w:eastAsia="lt-LT"/>
              </w:rPr>
              <w:t xml:space="preserve">du šimtai </w:t>
            </w:r>
            <w:r w:rsidRPr="00F92D34">
              <w:rPr>
                <w:rFonts w:ascii="Times New Roman" w:eastAsia="Times New Roman" w:hAnsi="Times New Roman"/>
                <w:sz w:val="24"/>
                <w:szCs w:val="24"/>
                <w:lang w:eastAsia="lt-LT"/>
              </w:rPr>
              <w:t>tūkstančių eurų);</w:t>
            </w:r>
          </w:p>
          <w:p w14:paraId="28F39BBF" w14:textId="77777777" w:rsidR="00422AF7" w:rsidRPr="00F92D34" w:rsidRDefault="00422AF7" w:rsidP="00422AF7">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41</w:t>
            </w:r>
            <w:r w:rsidRPr="00F92D34">
              <w:rPr>
                <w:rFonts w:ascii="Times New Roman" w:eastAsia="Times New Roman" w:hAnsi="Times New Roman"/>
                <w:sz w:val="24"/>
                <w:szCs w:val="24"/>
                <w:lang w:eastAsia="lt-LT"/>
              </w:rPr>
              <w:t xml:space="preserve">.2. Aprašo 10.2 papunktyje nurodytai veiklai – </w:t>
            </w:r>
            <w:r>
              <w:rPr>
                <w:rFonts w:ascii="Times New Roman" w:eastAsia="Times New Roman" w:hAnsi="Times New Roman"/>
                <w:sz w:val="24"/>
                <w:szCs w:val="24"/>
                <w:lang w:eastAsia="lt-LT"/>
              </w:rPr>
              <w:t>20</w:t>
            </w:r>
            <w:r w:rsidRPr="00F92D34">
              <w:rPr>
                <w:rFonts w:ascii="Times New Roman" w:eastAsia="Times New Roman" w:hAnsi="Times New Roman"/>
                <w:sz w:val="24"/>
                <w:szCs w:val="24"/>
                <w:lang w:eastAsia="lt-LT"/>
              </w:rPr>
              <w:t xml:space="preserve">0 000 Eur </w:t>
            </w:r>
            <w:r>
              <w:rPr>
                <w:rFonts w:ascii="Times New Roman" w:eastAsia="Times New Roman" w:hAnsi="Times New Roman"/>
                <w:sz w:val="24"/>
                <w:szCs w:val="24"/>
                <w:lang w:eastAsia="lt-LT"/>
              </w:rPr>
              <w:t xml:space="preserve">(du šimtai tūkstančių </w:t>
            </w:r>
            <w:r w:rsidRPr="00F92D34">
              <w:rPr>
                <w:rFonts w:ascii="Times New Roman" w:eastAsia="Times New Roman" w:hAnsi="Times New Roman"/>
                <w:sz w:val="24"/>
                <w:szCs w:val="24"/>
                <w:lang w:eastAsia="lt-LT"/>
              </w:rPr>
              <w:t>eurų)</w:t>
            </w:r>
            <w:r>
              <w:rPr>
                <w:rFonts w:ascii="Times New Roman" w:eastAsia="Times New Roman" w:hAnsi="Times New Roman"/>
                <w:sz w:val="24"/>
                <w:szCs w:val="24"/>
                <w:lang w:eastAsia="lt-LT"/>
              </w:rPr>
              <w:t>.“</w:t>
            </w:r>
          </w:p>
          <w:p w14:paraId="24AAC096" w14:textId="77777777" w:rsidR="00210615" w:rsidRPr="00DC0C77" w:rsidRDefault="00210615" w:rsidP="00210615">
            <w:pPr>
              <w:pStyle w:val="Default"/>
              <w:jc w:val="both"/>
              <w:rPr>
                <w:color w:val="auto"/>
              </w:rPr>
            </w:pPr>
          </w:p>
        </w:tc>
      </w:tr>
      <w:tr w:rsidR="00210615" w:rsidRPr="00DC0C77" w14:paraId="038A1187" w14:textId="77777777" w:rsidTr="00D02718">
        <w:trPr>
          <w:trHeight w:val="4755"/>
        </w:trPr>
        <w:tc>
          <w:tcPr>
            <w:tcW w:w="675" w:type="dxa"/>
            <w:tcBorders>
              <w:top w:val="single" w:sz="4" w:space="0" w:color="auto"/>
              <w:left w:val="single" w:sz="4" w:space="0" w:color="auto"/>
              <w:bottom w:val="single" w:sz="4" w:space="0" w:color="auto"/>
              <w:right w:val="single" w:sz="4" w:space="0" w:color="auto"/>
            </w:tcBorders>
          </w:tcPr>
          <w:p w14:paraId="4AF66391" w14:textId="77777777" w:rsidR="00210615" w:rsidRPr="00DC0C77" w:rsidRDefault="00210615" w:rsidP="00210615">
            <w:pPr>
              <w:pStyle w:val="ListParagraph"/>
              <w:numPr>
                <w:ilvl w:val="0"/>
                <w:numId w:val="3"/>
              </w:numPr>
              <w:tabs>
                <w:tab w:val="left" w:pos="7560"/>
              </w:tabs>
              <w:spacing w:after="0" w:line="240" w:lineRule="auto"/>
              <w:jc w:val="both"/>
              <w:rPr>
                <w:rFonts w:ascii="Times New Roman" w:hAnsi="Times New Roman"/>
                <w:sz w:val="24"/>
                <w:szCs w:val="24"/>
              </w:rPr>
            </w:pPr>
          </w:p>
        </w:tc>
        <w:tc>
          <w:tcPr>
            <w:tcW w:w="1753" w:type="dxa"/>
            <w:tcBorders>
              <w:top w:val="single" w:sz="4" w:space="0" w:color="auto"/>
              <w:left w:val="single" w:sz="4" w:space="0" w:color="auto"/>
              <w:bottom w:val="single" w:sz="4" w:space="0" w:color="auto"/>
              <w:right w:val="single" w:sz="4" w:space="0" w:color="auto"/>
            </w:tcBorders>
          </w:tcPr>
          <w:p w14:paraId="6956800C" w14:textId="77777777" w:rsidR="00210615" w:rsidRDefault="00210615" w:rsidP="00210615">
            <w:pPr>
              <w:tabs>
                <w:tab w:val="left" w:pos="141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UAB „Sėkmės sprendimai“</w:t>
            </w:r>
          </w:p>
        </w:tc>
        <w:tc>
          <w:tcPr>
            <w:tcW w:w="5134" w:type="dxa"/>
            <w:tcBorders>
              <w:top w:val="single" w:sz="4" w:space="0" w:color="auto"/>
              <w:left w:val="single" w:sz="4" w:space="0" w:color="auto"/>
              <w:bottom w:val="single" w:sz="4" w:space="0" w:color="auto"/>
              <w:right w:val="single" w:sz="4" w:space="0" w:color="auto"/>
            </w:tcBorders>
          </w:tcPr>
          <w:p w14:paraId="367B4C6A" w14:textId="77777777" w:rsidR="00210615" w:rsidRDefault="00210615" w:rsidP="00210615">
            <w:pPr>
              <w:jc w:val="both"/>
              <w:rPr>
                <w:rFonts w:ascii="Times New Roman" w:hAnsi="Times New Roman"/>
                <w:sz w:val="24"/>
                <w:szCs w:val="24"/>
              </w:rPr>
            </w:pPr>
            <w:r w:rsidRPr="00E64C98">
              <w:rPr>
                <w:rFonts w:ascii="Times New Roman" w:hAnsi="Times New Roman"/>
                <w:b/>
                <w:sz w:val="24"/>
                <w:szCs w:val="24"/>
              </w:rPr>
              <w:t>2 lentelė 5.4 punktas</w:t>
            </w:r>
            <w:r>
              <w:rPr>
                <w:rFonts w:ascii="Times New Roman" w:hAnsi="Times New Roman"/>
                <w:b/>
                <w:sz w:val="24"/>
                <w:szCs w:val="24"/>
              </w:rPr>
              <w:t xml:space="preserve">: </w:t>
            </w:r>
            <w:r w:rsidRPr="00E64C98">
              <w:rPr>
                <w:rFonts w:ascii="Times New Roman" w:hAnsi="Times New Roman"/>
                <w:sz w:val="24"/>
                <w:szCs w:val="24"/>
              </w:rPr>
              <w:t>Siūlome atsisakyti naujai įve</w:t>
            </w:r>
            <w:r>
              <w:rPr>
                <w:rFonts w:ascii="Times New Roman" w:hAnsi="Times New Roman"/>
                <w:sz w:val="24"/>
                <w:szCs w:val="24"/>
              </w:rPr>
              <w:t>s</w:t>
            </w:r>
            <w:r w:rsidRPr="00E64C98">
              <w:rPr>
                <w:rFonts w:ascii="Times New Roman" w:hAnsi="Times New Roman"/>
                <w:sz w:val="24"/>
                <w:szCs w:val="24"/>
              </w:rPr>
              <w:t>to apribojimo „Šios išlaidos negali sudaryti daugiau nei 30 procentų tinkamų finansuoti Aprašo 11.1 papunktyje nurodytai veiklai skirtų išlaidų.“</w:t>
            </w:r>
            <w:r>
              <w:rPr>
                <w:rFonts w:ascii="Times New Roman" w:hAnsi="Times New Roman"/>
                <w:sz w:val="24"/>
                <w:szCs w:val="24"/>
              </w:rPr>
              <w:t xml:space="preserve"> Kadangi įrangos įsigijimas pagal 11.2 veiklą finansuojamas gerokai mažesniu intensyvumu, daug įmonių negali leisti sau tokių investicijų. Be to, Intelekto (ankstesnis priemonės pavadinimas) kvietimai įprasti sulaukia paraiškų apytiksliai tokiai sumai, kokia yra numatyta kvietime, t.y. atlikus išlaidų tinkamumo vertinimą konkurso praktiškai nebūdavo. Todėl toks apribojimas tik padidins riziką, jog bus panaudotos ne visos priemonei numatyto lėšos, dėl ko nebus pakankamai ar išvis finansuoti kai kurie Lietuvos ekonomikai didelę pridėtinę vertė turintys inovacijų kūrimo/vystymo projektai.</w:t>
            </w:r>
          </w:p>
          <w:p w14:paraId="332F423E" w14:textId="77777777" w:rsidR="00210615" w:rsidRPr="00DC0C77" w:rsidRDefault="00210615" w:rsidP="00210615">
            <w:pPr>
              <w:pStyle w:val="Default"/>
              <w:jc w:val="both"/>
              <w:rPr>
                <w:b/>
                <w:color w:val="auto"/>
              </w:rPr>
            </w:pPr>
          </w:p>
        </w:tc>
        <w:tc>
          <w:tcPr>
            <w:tcW w:w="3211" w:type="dxa"/>
            <w:tcBorders>
              <w:top w:val="single" w:sz="4" w:space="0" w:color="auto"/>
              <w:left w:val="single" w:sz="4" w:space="0" w:color="auto"/>
              <w:bottom w:val="single" w:sz="4" w:space="0" w:color="auto"/>
              <w:right w:val="single" w:sz="4" w:space="0" w:color="auto"/>
            </w:tcBorders>
          </w:tcPr>
          <w:p w14:paraId="370D2628" w14:textId="77777777" w:rsidR="00210615" w:rsidRPr="00DC0C77" w:rsidRDefault="00422AF7" w:rsidP="00210615">
            <w:pPr>
              <w:pStyle w:val="Default"/>
              <w:ind w:left="720"/>
              <w:jc w:val="both"/>
              <w:rPr>
                <w:b/>
                <w:color w:val="auto"/>
              </w:rPr>
            </w:pPr>
            <w:r>
              <w:rPr>
                <w:b/>
                <w:color w:val="auto"/>
              </w:rPr>
              <w:t>Iš dalies atsižvelgta.</w:t>
            </w:r>
          </w:p>
        </w:tc>
        <w:tc>
          <w:tcPr>
            <w:tcW w:w="3544" w:type="dxa"/>
            <w:tcBorders>
              <w:top w:val="single" w:sz="4" w:space="0" w:color="auto"/>
              <w:left w:val="single" w:sz="4" w:space="0" w:color="auto"/>
              <w:bottom w:val="single" w:sz="4" w:space="0" w:color="auto"/>
              <w:right w:val="single" w:sz="4" w:space="0" w:color="auto"/>
            </w:tcBorders>
          </w:tcPr>
          <w:p w14:paraId="0E7D9A03" w14:textId="77777777" w:rsidR="00210615" w:rsidRPr="00DC0C77" w:rsidRDefault="00422AF7" w:rsidP="006A3338">
            <w:pPr>
              <w:pStyle w:val="Default"/>
              <w:jc w:val="both"/>
              <w:rPr>
                <w:color w:val="auto"/>
              </w:rPr>
            </w:pPr>
            <w:r>
              <w:rPr>
                <w:color w:val="auto"/>
              </w:rPr>
              <w:t>Numatyta: „</w:t>
            </w:r>
            <w:r w:rsidRPr="00F92D34">
              <w:rPr>
                <w:rFonts w:eastAsia="Times New Roman"/>
                <w:lang w:eastAsia="lt-LT"/>
              </w:rPr>
              <w:t xml:space="preserve">Šios išlaidos negali sudaryti daugiau nei </w:t>
            </w:r>
            <w:r>
              <w:rPr>
                <w:rFonts w:eastAsia="Times New Roman"/>
                <w:lang w:eastAsia="lt-LT"/>
              </w:rPr>
              <w:t>5</w:t>
            </w:r>
            <w:r w:rsidRPr="00F92D34">
              <w:rPr>
                <w:rFonts w:eastAsia="Times New Roman"/>
                <w:lang w:eastAsia="lt-LT"/>
              </w:rPr>
              <w:t>0 procent</w:t>
            </w:r>
            <w:r>
              <w:rPr>
                <w:rFonts w:eastAsia="Times New Roman"/>
                <w:lang w:eastAsia="lt-LT"/>
              </w:rPr>
              <w:t>ų</w:t>
            </w:r>
            <w:r w:rsidRPr="00F92D34">
              <w:rPr>
                <w:rFonts w:eastAsia="Times New Roman"/>
                <w:lang w:eastAsia="lt-LT"/>
              </w:rPr>
              <w:t xml:space="preserve"> tinkamų finansuoti Aprašo 10.1 papunktyje nurodytai veiklai skirtų išlaidų.</w:t>
            </w:r>
            <w:r>
              <w:rPr>
                <w:rFonts w:eastAsia="Times New Roman"/>
                <w:lang w:eastAsia="lt-LT"/>
              </w:rPr>
              <w:t>“.</w:t>
            </w:r>
          </w:p>
        </w:tc>
      </w:tr>
      <w:tr w:rsidR="00422AF7" w:rsidRPr="00DC0C77" w14:paraId="3ADCE9F2" w14:textId="77777777" w:rsidTr="00D02718">
        <w:trPr>
          <w:trHeight w:val="4755"/>
        </w:trPr>
        <w:tc>
          <w:tcPr>
            <w:tcW w:w="675" w:type="dxa"/>
            <w:tcBorders>
              <w:top w:val="single" w:sz="4" w:space="0" w:color="auto"/>
              <w:left w:val="single" w:sz="4" w:space="0" w:color="auto"/>
              <w:bottom w:val="single" w:sz="4" w:space="0" w:color="auto"/>
              <w:right w:val="single" w:sz="4" w:space="0" w:color="auto"/>
            </w:tcBorders>
          </w:tcPr>
          <w:p w14:paraId="62CF1081" w14:textId="77777777" w:rsidR="00422AF7" w:rsidRPr="00DC0C77" w:rsidRDefault="00422AF7" w:rsidP="00422AF7">
            <w:pPr>
              <w:pStyle w:val="ListParagraph"/>
              <w:numPr>
                <w:ilvl w:val="0"/>
                <w:numId w:val="3"/>
              </w:numPr>
              <w:tabs>
                <w:tab w:val="left" w:pos="7560"/>
              </w:tabs>
              <w:spacing w:after="0" w:line="240" w:lineRule="auto"/>
              <w:jc w:val="both"/>
              <w:rPr>
                <w:rFonts w:ascii="Times New Roman" w:hAnsi="Times New Roman"/>
                <w:sz w:val="24"/>
                <w:szCs w:val="24"/>
              </w:rPr>
            </w:pPr>
          </w:p>
        </w:tc>
        <w:tc>
          <w:tcPr>
            <w:tcW w:w="1753" w:type="dxa"/>
            <w:tcBorders>
              <w:top w:val="single" w:sz="4" w:space="0" w:color="auto"/>
              <w:left w:val="single" w:sz="4" w:space="0" w:color="auto"/>
              <w:bottom w:val="single" w:sz="4" w:space="0" w:color="auto"/>
              <w:right w:val="single" w:sz="4" w:space="0" w:color="auto"/>
            </w:tcBorders>
          </w:tcPr>
          <w:p w14:paraId="3CB90200" w14:textId="77777777" w:rsidR="00422AF7" w:rsidRDefault="00422AF7" w:rsidP="00422AF7">
            <w:pPr>
              <w:tabs>
                <w:tab w:val="left" w:pos="141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UAB „Sėkmės sprendimai“</w:t>
            </w:r>
          </w:p>
        </w:tc>
        <w:tc>
          <w:tcPr>
            <w:tcW w:w="5134" w:type="dxa"/>
            <w:tcBorders>
              <w:top w:val="single" w:sz="4" w:space="0" w:color="auto"/>
              <w:left w:val="single" w:sz="4" w:space="0" w:color="auto"/>
              <w:bottom w:val="single" w:sz="4" w:space="0" w:color="auto"/>
              <w:right w:val="single" w:sz="4" w:space="0" w:color="auto"/>
            </w:tcBorders>
          </w:tcPr>
          <w:p w14:paraId="208E8B60" w14:textId="77777777" w:rsidR="00422AF7" w:rsidRPr="006D455F" w:rsidRDefault="00422AF7" w:rsidP="00422AF7">
            <w:pPr>
              <w:rPr>
                <w:rFonts w:ascii="Times New Roman" w:hAnsi="Times New Roman"/>
                <w:b/>
                <w:i/>
                <w:sz w:val="24"/>
                <w:szCs w:val="24"/>
              </w:rPr>
            </w:pPr>
            <w:r w:rsidRPr="006D455F">
              <w:rPr>
                <w:rFonts w:ascii="Times New Roman" w:hAnsi="Times New Roman"/>
                <w:b/>
                <w:i/>
                <w:sz w:val="24"/>
                <w:szCs w:val="24"/>
              </w:rPr>
              <w:t>Dėl nepalankių sąlygų IT sektoriui</w:t>
            </w:r>
          </w:p>
          <w:p w14:paraId="17859F65" w14:textId="77777777" w:rsidR="00422AF7" w:rsidRDefault="00422AF7" w:rsidP="00422AF7">
            <w:pPr>
              <w:jc w:val="both"/>
              <w:rPr>
                <w:rFonts w:ascii="Times New Roman" w:eastAsia="Times New Roman" w:hAnsi="Times New Roman"/>
                <w:i/>
                <w:sz w:val="24"/>
                <w:szCs w:val="24"/>
                <w:lang w:eastAsia="lt-LT"/>
              </w:rPr>
            </w:pPr>
            <w:r w:rsidRPr="00E64C98">
              <w:rPr>
                <w:rFonts w:ascii="Times New Roman" w:hAnsi="Times New Roman"/>
                <w:b/>
                <w:sz w:val="24"/>
                <w:szCs w:val="24"/>
              </w:rPr>
              <w:t>2 lentelė 5.4 punktas</w:t>
            </w:r>
            <w:r>
              <w:rPr>
                <w:rFonts w:ascii="Times New Roman" w:hAnsi="Times New Roman"/>
                <w:b/>
                <w:sz w:val="24"/>
                <w:szCs w:val="24"/>
              </w:rPr>
              <w:t xml:space="preserve">: </w:t>
            </w:r>
            <w:r w:rsidRPr="006D455F">
              <w:rPr>
                <w:rFonts w:ascii="Times New Roman" w:hAnsi="Times New Roman"/>
                <w:sz w:val="24"/>
                <w:szCs w:val="24"/>
              </w:rPr>
              <w:t>formuluotė</w:t>
            </w:r>
            <w:r>
              <w:rPr>
                <w:rFonts w:ascii="Times New Roman" w:hAnsi="Times New Roman"/>
                <w:b/>
                <w:sz w:val="24"/>
                <w:szCs w:val="24"/>
              </w:rPr>
              <w:t xml:space="preserve"> </w:t>
            </w:r>
            <w:r w:rsidRPr="005B1141">
              <w:rPr>
                <w:rFonts w:ascii="Times New Roman" w:hAnsi="Times New Roman"/>
                <w:b/>
                <w:i/>
                <w:sz w:val="24"/>
                <w:szCs w:val="24"/>
              </w:rPr>
              <w:t>„</w:t>
            </w:r>
            <w:r w:rsidRPr="005B1141">
              <w:rPr>
                <w:rFonts w:ascii="Times New Roman" w:eastAsia="Times New Roman" w:hAnsi="Times New Roman"/>
                <w:i/>
                <w:sz w:val="24"/>
                <w:szCs w:val="24"/>
                <w:lang w:eastAsia="lt-LT"/>
              </w:rPr>
              <w:t xml:space="preserve">Projekto MTEP veikloms naudojamo </w:t>
            </w:r>
            <w:r w:rsidRPr="005B1141">
              <w:rPr>
                <w:rFonts w:ascii="Times New Roman" w:eastAsia="Times New Roman" w:hAnsi="Times New Roman"/>
                <w:i/>
                <w:sz w:val="24"/>
                <w:szCs w:val="24"/>
                <w:u w:val="single"/>
                <w:lang w:eastAsia="lt-LT"/>
              </w:rPr>
              <w:t>ilgalaikio materialaus turto</w:t>
            </w:r>
            <w:r w:rsidRPr="005B1141">
              <w:rPr>
                <w:rFonts w:ascii="Times New Roman" w:eastAsia="Times New Roman" w:hAnsi="Times New Roman"/>
                <w:i/>
                <w:sz w:val="24"/>
                <w:szCs w:val="24"/>
                <w:lang w:eastAsia="lt-LT"/>
              </w:rPr>
              <w:t xml:space="preserve"> nusidėvėjimo sąnaudos</w:t>
            </w:r>
            <w:r>
              <w:rPr>
                <w:rFonts w:ascii="Times New Roman" w:eastAsia="Times New Roman" w:hAnsi="Times New Roman"/>
                <w:i/>
                <w:sz w:val="24"/>
                <w:szCs w:val="24"/>
                <w:lang w:eastAsia="lt-LT"/>
              </w:rPr>
              <w:t xml:space="preserve">“ </w:t>
            </w:r>
          </w:p>
          <w:p w14:paraId="7C409E09" w14:textId="77777777" w:rsidR="00422AF7" w:rsidRDefault="00422AF7" w:rsidP="00422AF7">
            <w:pPr>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B</w:t>
            </w:r>
            <w:r w:rsidRPr="005B1141">
              <w:rPr>
                <w:rFonts w:ascii="Times New Roman" w:eastAsia="Times New Roman" w:hAnsi="Times New Roman"/>
                <w:sz w:val="24"/>
                <w:szCs w:val="24"/>
                <w:lang w:eastAsia="lt-LT"/>
              </w:rPr>
              <w:t>ei</w:t>
            </w:r>
          </w:p>
          <w:p w14:paraId="55FBAFE3" w14:textId="77777777" w:rsidR="00422AF7" w:rsidRDefault="00422AF7" w:rsidP="00422AF7">
            <w:pPr>
              <w:jc w:val="both"/>
              <w:rPr>
                <w:rFonts w:ascii="Times New Roman" w:eastAsia="Times New Roman" w:hAnsi="Times New Roman"/>
                <w:sz w:val="24"/>
                <w:szCs w:val="24"/>
                <w:lang w:eastAsia="lt-LT"/>
              </w:rPr>
            </w:pPr>
            <w:r w:rsidRPr="005B1141">
              <w:rPr>
                <w:rFonts w:ascii="Times New Roman" w:eastAsia="Times New Roman" w:hAnsi="Times New Roman"/>
                <w:b/>
                <w:sz w:val="24"/>
                <w:szCs w:val="24"/>
                <w:lang w:eastAsia="lt-LT"/>
              </w:rPr>
              <w:t>4 lentelė 4.3 punktas</w:t>
            </w:r>
            <w:r>
              <w:rPr>
                <w:rFonts w:ascii="Times New Roman" w:eastAsia="Times New Roman" w:hAnsi="Times New Roman"/>
                <w:b/>
                <w:sz w:val="24"/>
                <w:szCs w:val="24"/>
                <w:lang w:eastAsia="lt-LT"/>
              </w:rPr>
              <w:t xml:space="preserve">: </w:t>
            </w:r>
            <w:r w:rsidRPr="005B1141">
              <w:rPr>
                <w:rFonts w:ascii="Times New Roman" w:eastAsia="Times New Roman" w:hAnsi="Times New Roman"/>
                <w:sz w:val="24"/>
                <w:szCs w:val="24"/>
                <w:lang w:eastAsia="lt-LT"/>
              </w:rPr>
              <w:t xml:space="preserve">apribojimas </w:t>
            </w:r>
            <w:r w:rsidRPr="005B1141">
              <w:rPr>
                <w:rFonts w:ascii="Times New Roman" w:eastAsia="Times New Roman" w:hAnsi="Times New Roman"/>
                <w:i/>
                <w:sz w:val="24"/>
                <w:szCs w:val="24"/>
                <w:lang w:eastAsia="lt-LT"/>
              </w:rPr>
              <w:t>„</w:t>
            </w:r>
            <w:r w:rsidRPr="005B1141">
              <w:rPr>
                <w:rFonts w:ascii="Times New Roman" w:eastAsia="Times New Roman" w:hAnsi="Times New Roman"/>
                <w:i/>
                <w:sz w:val="24"/>
                <w:szCs w:val="24"/>
                <w:u w:val="single"/>
                <w:lang w:eastAsia="lt-LT"/>
              </w:rPr>
              <w:t>Programinės įrangos</w:t>
            </w:r>
            <w:r w:rsidRPr="005B1141">
              <w:rPr>
                <w:rFonts w:ascii="Times New Roman" w:eastAsia="Times New Roman" w:hAnsi="Times New Roman"/>
                <w:i/>
                <w:sz w:val="24"/>
                <w:szCs w:val="24"/>
                <w:lang w:eastAsia="lt-LT"/>
              </w:rPr>
              <w:t xml:space="preserve"> naudojimo licencijos nėra tinkamos finansuoti“</w:t>
            </w:r>
            <w:r>
              <w:rPr>
                <w:rFonts w:ascii="Times New Roman" w:eastAsia="Times New Roman" w:hAnsi="Times New Roman"/>
                <w:i/>
                <w:sz w:val="24"/>
                <w:szCs w:val="24"/>
                <w:lang w:eastAsia="lt-LT"/>
              </w:rPr>
              <w:t xml:space="preserve"> </w:t>
            </w:r>
          </w:p>
          <w:p w14:paraId="3397719B" w14:textId="77777777" w:rsidR="00422AF7" w:rsidRDefault="00422AF7" w:rsidP="00422AF7">
            <w:pPr>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Ir </w:t>
            </w:r>
          </w:p>
          <w:p w14:paraId="53EE0E7D" w14:textId="77777777" w:rsidR="00DE2114" w:rsidRDefault="00DE2114" w:rsidP="00422AF7">
            <w:pPr>
              <w:jc w:val="both"/>
              <w:rPr>
                <w:rFonts w:ascii="Times New Roman" w:eastAsia="Times New Roman" w:hAnsi="Times New Roman"/>
                <w:b/>
                <w:sz w:val="24"/>
                <w:szCs w:val="24"/>
                <w:lang w:eastAsia="lt-LT"/>
              </w:rPr>
            </w:pPr>
          </w:p>
          <w:p w14:paraId="6EAEC0AD" w14:textId="77777777" w:rsidR="00DE2114" w:rsidRDefault="00DE2114" w:rsidP="00422AF7">
            <w:pPr>
              <w:jc w:val="both"/>
              <w:rPr>
                <w:rFonts w:ascii="Times New Roman" w:eastAsia="Times New Roman" w:hAnsi="Times New Roman"/>
                <w:b/>
                <w:sz w:val="24"/>
                <w:szCs w:val="24"/>
                <w:lang w:eastAsia="lt-LT"/>
              </w:rPr>
            </w:pPr>
          </w:p>
          <w:p w14:paraId="4122A2EF" w14:textId="77777777" w:rsidR="00DE2114" w:rsidRDefault="00DE2114" w:rsidP="00422AF7">
            <w:pPr>
              <w:jc w:val="both"/>
              <w:rPr>
                <w:rFonts w:ascii="Times New Roman" w:eastAsia="Times New Roman" w:hAnsi="Times New Roman"/>
                <w:b/>
                <w:sz w:val="24"/>
                <w:szCs w:val="24"/>
                <w:lang w:eastAsia="lt-LT"/>
              </w:rPr>
            </w:pPr>
          </w:p>
          <w:p w14:paraId="68D18EDA" w14:textId="77777777" w:rsidR="00DE2114" w:rsidRDefault="00DE2114" w:rsidP="00422AF7">
            <w:pPr>
              <w:jc w:val="both"/>
              <w:rPr>
                <w:rFonts w:ascii="Times New Roman" w:eastAsia="Times New Roman" w:hAnsi="Times New Roman"/>
                <w:b/>
                <w:sz w:val="24"/>
                <w:szCs w:val="24"/>
                <w:lang w:eastAsia="lt-LT"/>
              </w:rPr>
            </w:pPr>
          </w:p>
          <w:p w14:paraId="4A622DD7" w14:textId="77777777" w:rsidR="00422AF7" w:rsidRDefault="00422AF7" w:rsidP="00422AF7">
            <w:pPr>
              <w:jc w:val="both"/>
              <w:rPr>
                <w:rFonts w:ascii="Times New Roman" w:eastAsia="Times New Roman" w:hAnsi="Times New Roman"/>
                <w:i/>
                <w:sz w:val="24"/>
                <w:szCs w:val="24"/>
                <w:lang w:eastAsia="lt-LT"/>
              </w:rPr>
            </w:pPr>
            <w:r w:rsidRPr="005B1141">
              <w:rPr>
                <w:rFonts w:ascii="Times New Roman" w:eastAsia="Times New Roman" w:hAnsi="Times New Roman"/>
                <w:b/>
                <w:sz w:val="24"/>
                <w:szCs w:val="24"/>
                <w:lang w:eastAsia="lt-LT"/>
              </w:rPr>
              <w:t>4 lentelė 4.</w:t>
            </w:r>
            <w:r>
              <w:rPr>
                <w:rFonts w:ascii="Times New Roman" w:eastAsia="Times New Roman" w:hAnsi="Times New Roman"/>
                <w:b/>
                <w:sz w:val="24"/>
                <w:szCs w:val="24"/>
                <w:lang w:eastAsia="lt-LT"/>
              </w:rPr>
              <w:t>2</w:t>
            </w:r>
            <w:r w:rsidRPr="005B1141">
              <w:rPr>
                <w:rFonts w:ascii="Times New Roman" w:eastAsia="Times New Roman" w:hAnsi="Times New Roman"/>
                <w:b/>
                <w:sz w:val="24"/>
                <w:szCs w:val="24"/>
                <w:lang w:eastAsia="lt-LT"/>
              </w:rPr>
              <w:t xml:space="preserve"> punktas</w:t>
            </w:r>
            <w:r>
              <w:rPr>
                <w:rFonts w:ascii="Times New Roman" w:eastAsia="Times New Roman" w:hAnsi="Times New Roman"/>
                <w:b/>
                <w:sz w:val="24"/>
                <w:szCs w:val="24"/>
                <w:lang w:eastAsia="lt-LT"/>
              </w:rPr>
              <w:t xml:space="preserve">: </w:t>
            </w:r>
            <w:r w:rsidRPr="005B1141">
              <w:rPr>
                <w:rFonts w:ascii="Times New Roman" w:eastAsia="Times New Roman" w:hAnsi="Times New Roman"/>
                <w:i/>
                <w:sz w:val="24"/>
                <w:szCs w:val="24"/>
                <w:lang w:eastAsia="lt-LT"/>
              </w:rPr>
              <w:t>kompiuterinė technika. Išlaidos šiam turtui negali sudaryti d</w:t>
            </w:r>
            <w:r w:rsidRPr="005B1141">
              <w:rPr>
                <w:rFonts w:ascii="Times New Roman" w:eastAsia="Times New Roman" w:hAnsi="Times New Roman"/>
                <w:i/>
                <w:sz w:val="24"/>
                <w:szCs w:val="24"/>
                <w:u w:val="single"/>
                <w:lang w:eastAsia="lt-LT"/>
              </w:rPr>
              <w:t>augiau nei 50 procentų</w:t>
            </w:r>
            <w:r w:rsidRPr="005B1141">
              <w:rPr>
                <w:rFonts w:ascii="Times New Roman" w:eastAsia="Times New Roman" w:hAnsi="Times New Roman"/>
                <w:i/>
                <w:sz w:val="24"/>
                <w:szCs w:val="24"/>
                <w:lang w:eastAsia="lt-LT"/>
              </w:rPr>
              <w:t xml:space="preserve"> Aprašo 1011.2 papunktyje nurodytai veiklai skirtų tinkamų finansuoti išlaidų sumos.</w:t>
            </w:r>
          </w:p>
          <w:p w14:paraId="3385797B" w14:textId="77777777" w:rsidR="00422AF7" w:rsidRDefault="00422AF7" w:rsidP="00422AF7">
            <w:pPr>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Aukščiau išvardinti punktai diskriminuoja informacinių technologijų (IT) sektorių, kuris yra vienas iš didžiausią pridėtinę vertę kuriančių Lietuvoje. Savaime suprantama, kad vien su kompiuterine technika be programinės įrangos nieko (taip pat tyrimų) daryti negalima. Šiuo laikmečiu vien duomenų bazių valdymo programinės įrangos licencijų kaina įprastai viršyta techninės įrangos kainą, todėl pagal buhalterinės </w:t>
            </w:r>
            <w:r>
              <w:rPr>
                <w:rFonts w:ascii="Times New Roman" w:eastAsia="Times New Roman" w:hAnsi="Times New Roman"/>
                <w:sz w:val="24"/>
                <w:szCs w:val="24"/>
                <w:lang w:eastAsia="lt-LT"/>
              </w:rPr>
              <w:lastRenderedPageBreak/>
              <w:t>apskaitos standartus programinė įranga negali būti pajamuojama kartu su technine įranga (t.y. kaip papildomas smulkus priedas). Be to duomenų bazių valdymo sistemų licencijos parduodamos (priešingai nuo operacinių sistemų) atskirai nuo aparatinės įrangos. Analogiška situacija yra ir su kita tyrimams reikalinga programine įranga.</w:t>
            </w:r>
          </w:p>
          <w:p w14:paraId="22923E80" w14:textId="77777777" w:rsidR="00422AF7" w:rsidRDefault="00422AF7" w:rsidP="00422AF7">
            <w:pPr>
              <w:jc w:val="both"/>
              <w:rPr>
                <w:rFonts w:ascii="Times New Roman" w:eastAsia="Times New Roman" w:hAnsi="Times New Roman"/>
                <w:sz w:val="24"/>
                <w:szCs w:val="24"/>
                <w:lang w:eastAsia="lt-LT"/>
              </w:rPr>
            </w:pPr>
            <w:r w:rsidRPr="005B1141">
              <w:rPr>
                <w:rFonts w:ascii="Times New Roman" w:eastAsia="Times New Roman" w:hAnsi="Times New Roman"/>
                <w:b/>
                <w:sz w:val="24"/>
                <w:szCs w:val="24"/>
                <w:lang w:eastAsia="lt-LT"/>
              </w:rPr>
              <w:t>4 lentelė 4.</w:t>
            </w:r>
            <w:r>
              <w:rPr>
                <w:rFonts w:ascii="Times New Roman" w:eastAsia="Times New Roman" w:hAnsi="Times New Roman"/>
                <w:b/>
                <w:sz w:val="24"/>
                <w:szCs w:val="24"/>
                <w:lang w:eastAsia="lt-LT"/>
              </w:rPr>
              <w:t>2</w:t>
            </w:r>
            <w:r w:rsidRPr="005B1141">
              <w:rPr>
                <w:rFonts w:ascii="Times New Roman" w:eastAsia="Times New Roman" w:hAnsi="Times New Roman"/>
                <w:b/>
                <w:sz w:val="24"/>
                <w:szCs w:val="24"/>
                <w:lang w:eastAsia="lt-LT"/>
              </w:rPr>
              <w:t xml:space="preserve"> punktas</w:t>
            </w:r>
            <w:r>
              <w:rPr>
                <w:rFonts w:ascii="Times New Roman" w:eastAsia="Times New Roman" w:hAnsi="Times New Roman"/>
                <w:b/>
                <w:sz w:val="24"/>
                <w:szCs w:val="24"/>
                <w:lang w:eastAsia="lt-LT"/>
              </w:rPr>
              <w:t xml:space="preserve">: </w:t>
            </w:r>
            <w:r>
              <w:rPr>
                <w:rFonts w:ascii="Times New Roman" w:eastAsia="Times New Roman" w:hAnsi="Times New Roman"/>
                <w:i/>
                <w:sz w:val="24"/>
                <w:szCs w:val="24"/>
                <w:lang w:eastAsia="lt-LT"/>
              </w:rPr>
              <w:t xml:space="preserve">de facto </w:t>
            </w:r>
            <w:r>
              <w:rPr>
                <w:rFonts w:ascii="Times New Roman" w:eastAsia="Times New Roman" w:hAnsi="Times New Roman"/>
                <w:sz w:val="24"/>
                <w:szCs w:val="24"/>
                <w:lang w:eastAsia="lt-LT"/>
              </w:rPr>
              <w:t>reiškia, kad IT įmonė negali vykdyti 11.2 veiklos, nes įprastai be kompiuterinės įrangos jokia kita tyrimų įranga nėra reikalinga IT įmonėms.</w:t>
            </w:r>
          </w:p>
          <w:p w14:paraId="5F746DAB" w14:textId="77777777" w:rsidR="00422AF7" w:rsidRDefault="00422AF7" w:rsidP="00422AF7">
            <w:pPr>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IT sektoriaus specifika pasižymi ir FinTech sektorius, kuris laikomas strateginiu, tačiau aukščiau paminėtos PFSA formuluotės kaip tik diskriminuoja šį sektorių.</w:t>
            </w:r>
          </w:p>
          <w:p w14:paraId="10A029AB" w14:textId="77777777" w:rsidR="00422AF7" w:rsidRPr="001508C5" w:rsidRDefault="00422AF7" w:rsidP="00422AF7">
            <w:pPr>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Todėl prašome visiškai panaikinti arba bent jau sušvelninti šiuos diskriminacinius apribojimus (bei atitinkamus 6 lentelės punktus).</w:t>
            </w:r>
          </w:p>
          <w:p w14:paraId="6B6B31DA" w14:textId="77777777" w:rsidR="00422AF7" w:rsidRPr="00DC0C77" w:rsidRDefault="00422AF7" w:rsidP="00422AF7">
            <w:pPr>
              <w:pStyle w:val="Default"/>
              <w:jc w:val="both"/>
              <w:rPr>
                <w:b/>
                <w:color w:val="auto"/>
              </w:rPr>
            </w:pPr>
          </w:p>
        </w:tc>
        <w:tc>
          <w:tcPr>
            <w:tcW w:w="3211" w:type="dxa"/>
            <w:tcBorders>
              <w:top w:val="single" w:sz="4" w:space="0" w:color="auto"/>
              <w:left w:val="single" w:sz="4" w:space="0" w:color="auto"/>
              <w:bottom w:val="single" w:sz="4" w:space="0" w:color="auto"/>
              <w:right w:val="single" w:sz="4" w:space="0" w:color="auto"/>
            </w:tcBorders>
          </w:tcPr>
          <w:p w14:paraId="0A6462E6" w14:textId="77777777" w:rsidR="006A3338" w:rsidRDefault="006A3338" w:rsidP="00422AF7">
            <w:pPr>
              <w:pStyle w:val="Default"/>
              <w:ind w:left="720"/>
              <w:jc w:val="both"/>
              <w:rPr>
                <w:b/>
                <w:color w:val="auto"/>
              </w:rPr>
            </w:pPr>
          </w:p>
          <w:p w14:paraId="4832B7D8" w14:textId="77777777" w:rsidR="006A3338" w:rsidRDefault="006A3338" w:rsidP="00422AF7">
            <w:pPr>
              <w:pStyle w:val="Default"/>
              <w:ind w:left="720"/>
              <w:jc w:val="both"/>
              <w:rPr>
                <w:b/>
                <w:color w:val="auto"/>
              </w:rPr>
            </w:pPr>
          </w:p>
          <w:p w14:paraId="5CC3AC57" w14:textId="77777777" w:rsidR="00422AF7" w:rsidRDefault="00422AF7" w:rsidP="00422AF7">
            <w:pPr>
              <w:pStyle w:val="Default"/>
              <w:ind w:left="720"/>
              <w:jc w:val="both"/>
              <w:rPr>
                <w:b/>
                <w:color w:val="auto"/>
              </w:rPr>
            </w:pPr>
            <w:r>
              <w:rPr>
                <w:b/>
                <w:color w:val="auto"/>
              </w:rPr>
              <w:t>Atsižvelgta.</w:t>
            </w:r>
          </w:p>
          <w:p w14:paraId="59B75B66" w14:textId="77777777" w:rsidR="00422AF7" w:rsidRDefault="00422AF7" w:rsidP="00422AF7">
            <w:pPr>
              <w:pStyle w:val="Default"/>
              <w:ind w:left="720"/>
              <w:jc w:val="both"/>
              <w:rPr>
                <w:b/>
                <w:color w:val="auto"/>
              </w:rPr>
            </w:pPr>
          </w:p>
          <w:p w14:paraId="6A3A3111" w14:textId="77777777" w:rsidR="00422AF7" w:rsidRDefault="00422AF7" w:rsidP="00422AF7">
            <w:pPr>
              <w:pStyle w:val="Default"/>
              <w:ind w:left="720"/>
              <w:jc w:val="both"/>
              <w:rPr>
                <w:b/>
                <w:color w:val="auto"/>
              </w:rPr>
            </w:pPr>
          </w:p>
          <w:p w14:paraId="55795149" w14:textId="77777777" w:rsidR="00422AF7" w:rsidRDefault="00422AF7" w:rsidP="00422AF7">
            <w:pPr>
              <w:pStyle w:val="Default"/>
              <w:ind w:left="720"/>
              <w:jc w:val="both"/>
              <w:rPr>
                <w:b/>
                <w:color w:val="auto"/>
              </w:rPr>
            </w:pPr>
          </w:p>
          <w:p w14:paraId="2A303DE1" w14:textId="77777777" w:rsidR="00422AF7" w:rsidRDefault="00422AF7" w:rsidP="00422AF7">
            <w:pPr>
              <w:pStyle w:val="Default"/>
              <w:ind w:left="720"/>
              <w:jc w:val="both"/>
              <w:rPr>
                <w:b/>
                <w:color w:val="auto"/>
              </w:rPr>
            </w:pPr>
          </w:p>
          <w:p w14:paraId="17C2AAD8" w14:textId="77777777" w:rsidR="00422AF7" w:rsidRDefault="00422AF7" w:rsidP="00422AF7">
            <w:pPr>
              <w:pStyle w:val="Default"/>
              <w:ind w:left="720"/>
              <w:jc w:val="both"/>
              <w:rPr>
                <w:b/>
                <w:color w:val="auto"/>
              </w:rPr>
            </w:pPr>
          </w:p>
          <w:p w14:paraId="2220EC99" w14:textId="77777777" w:rsidR="00422AF7" w:rsidRDefault="00422AF7" w:rsidP="00422AF7">
            <w:pPr>
              <w:pStyle w:val="Default"/>
              <w:ind w:left="720"/>
              <w:jc w:val="both"/>
              <w:rPr>
                <w:b/>
                <w:color w:val="auto"/>
              </w:rPr>
            </w:pPr>
            <w:r>
              <w:rPr>
                <w:b/>
                <w:color w:val="auto"/>
              </w:rPr>
              <w:t>Neatsižvelgta.</w:t>
            </w:r>
          </w:p>
          <w:p w14:paraId="64217209" w14:textId="77777777" w:rsidR="00422AF7" w:rsidRDefault="00422AF7" w:rsidP="00422AF7">
            <w:pPr>
              <w:pStyle w:val="Default"/>
              <w:ind w:left="720"/>
              <w:jc w:val="both"/>
              <w:rPr>
                <w:b/>
                <w:color w:val="auto"/>
              </w:rPr>
            </w:pPr>
          </w:p>
          <w:p w14:paraId="7220B5E8" w14:textId="77777777" w:rsidR="00422AF7" w:rsidRDefault="00422AF7" w:rsidP="00422AF7">
            <w:pPr>
              <w:pStyle w:val="Default"/>
              <w:ind w:left="720"/>
              <w:jc w:val="both"/>
              <w:rPr>
                <w:b/>
                <w:color w:val="auto"/>
              </w:rPr>
            </w:pPr>
          </w:p>
          <w:p w14:paraId="6BEF8209" w14:textId="77777777" w:rsidR="00422AF7" w:rsidRDefault="00422AF7" w:rsidP="00422AF7">
            <w:pPr>
              <w:pStyle w:val="Default"/>
              <w:ind w:left="720"/>
              <w:jc w:val="both"/>
              <w:rPr>
                <w:b/>
                <w:color w:val="auto"/>
              </w:rPr>
            </w:pPr>
          </w:p>
          <w:p w14:paraId="5E5C7DBE" w14:textId="77777777" w:rsidR="00422AF7" w:rsidRDefault="00422AF7" w:rsidP="00422AF7">
            <w:pPr>
              <w:pStyle w:val="Default"/>
              <w:ind w:left="720"/>
              <w:jc w:val="both"/>
              <w:rPr>
                <w:b/>
                <w:color w:val="auto"/>
              </w:rPr>
            </w:pPr>
          </w:p>
          <w:p w14:paraId="1D50C036" w14:textId="77777777" w:rsidR="00422AF7" w:rsidRDefault="00422AF7" w:rsidP="00422AF7">
            <w:pPr>
              <w:pStyle w:val="Default"/>
              <w:ind w:left="720"/>
              <w:jc w:val="both"/>
              <w:rPr>
                <w:b/>
                <w:color w:val="auto"/>
              </w:rPr>
            </w:pPr>
          </w:p>
          <w:p w14:paraId="3DEA9775" w14:textId="77777777" w:rsidR="00DE2114" w:rsidRDefault="00DE2114" w:rsidP="00422AF7">
            <w:pPr>
              <w:pStyle w:val="Default"/>
              <w:ind w:left="720"/>
              <w:jc w:val="both"/>
              <w:rPr>
                <w:b/>
                <w:color w:val="auto"/>
              </w:rPr>
            </w:pPr>
          </w:p>
          <w:p w14:paraId="6BC1340D" w14:textId="77777777" w:rsidR="00DE2114" w:rsidRDefault="00DE2114" w:rsidP="00422AF7">
            <w:pPr>
              <w:pStyle w:val="Default"/>
              <w:ind w:left="720"/>
              <w:jc w:val="both"/>
              <w:rPr>
                <w:b/>
                <w:color w:val="auto"/>
              </w:rPr>
            </w:pPr>
          </w:p>
          <w:p w14:paraId="6DF6BAAD" w14:textId="77777777" w:rsidR="00DE2114" w:rsidRDefault="00DE2114" w:rsidP="00422AF7">
            <w:pPr>
              <w:pStyle w:val="Default"/>
              <w:ind w:left="720"/>
              <w:jc w:val="both"/>
              <w:rPr>
                <w:b/>
                <w:color w:val="auto"/>
              </w:rPr>
            </w:pPr>
          </w:p>
          <w:p w14:paraId="2D6464AD" w14:textId="77777777" w:rsidR="00DE2114" w:rsidRDefault="00DE2114" w:rsidP="00422AF7">
            <w:pPr>
              <w:pStyle w:val="Default"/>
              <w:ind w:left="720"/>
              <w:jc w:val="both"/>
              <w:rPr>
                <w:b/>
                <w:color w:val="auto"/>
              </w:rPr>
            </w:pPr>
          </w:p>
          <w:p w14:paraId="7F7714FD" w14:textId="77777777" w:rsidR="00DE2114" w:rsidRDefault="00DE2114" w:rsidP="00422AF7">
            <w:pPr>
              <w:pStyle w:val="Default"/>
              <w:ind w:left="720"/>
              <w:jc w:val="both"/>
              <w:rPr>
                <w:b/>
                <w:color w:val="auto"/>
              </w:rPr>
            </w:pPr>
          </w:p>
          <w:p w14:paraId="166D2D71" w14:textId="77777777" w:rsidR="00DE2114" w:rsidRDefault="00DE2114" w:rsidP="00422AF7">
            <w:pPr>
              <w:pStyle w:val="Default"/>
              <w:ind w:left="720"/>
              <w:jc w:val="both"/>
              <w:rPr>
                <w:b/>
                <w:color w:val="auto"/>
              </w:rPr>
            </w:pPr>
          </w:p>
          <w:p w14:paraId="75750185" w14:textId="77777777" w:rsidR="00DE2114" w:rsidRDefault="00DE2114" w:rsidP="00422AF7">
            <w:pPr>
              <w:pStyle w:val="Default"/>
              <w:ind w:left="720"/>
              <w:jc w:val="both"/>
              <w:rPr>
                <w:b/>
                <w:color w:val="auto"/>
              </w:rPr>
            </w:pPr>
          </w:p>
          <w:p w14:paraId="24C8315F" w14:textId="77777777" w:rsidR="00422AF7" w:rsidRPr="00DC0C77" w:rsidRDefault="00422AF7" w:rsidP="00422AF7">
            <w:pPr>
              <w:pStyle w:val="Default"/>
              <w:ind w:left="720"/>
              <w:jc w:val="both"/>
              <w:rPr>
                <w:b/>
                <w:color w:val="auto"/>
              </w:rPr>
            </w:pPr>
            <w:r>
              <w:rPr>
                <w:b/>
                <w:color w:val="auto"/>
              </w:rPr>
              <w:t>Atsižvelgta.</w:t>
            </w:r>
          </w:p>
        </w:tc>
        <w:tc>
          <w:tcPr>
            <w:tcW w:w="3544" w:type="dxa"/>
            <w:tcBorders>
              <w:top w:val="single" w:sz="4" w:space="0" w:color="auto"/>
              <w:left w:val="single" w:sz="4" w:space="0" w:color="auto"/>
              <w:bottom w:val="single" w:sz="4" w:space="0" w:color="auto"/>
              <w:right w:val="single" w:sz="4" w:space="0" w:color="auto"/>
            </w:tcBorders>
          </w:tcPr>
          <w:p w14:paraId="2F1ACC46" w14:textId="77777777" w:rsidR="006A3338" w:rsidRDefault="006A3338" w:rsidP="00422AF7">
            <w:pPr>
              <w:pStyle w:val="Default"/>
              <w:ind w:left="142"/>
              <w:jc w:val="both"/>
              <w:rPr>
                <w:color w:val="auto"/>
              </w:rPr>
            </w:pPr>
          </w:p>
          <w:p w14:paraId="321B6D33" w14:textId="77777777" w:rsidR="006A3338" w:rsidRDefault="006A3338" w:rsidP="00422AF7">
            <w:pPr>
              <w:pStyle w:val="Default"/>
              <w:ind w:left="142"/>
              <w:jc w:val="both"/>
              <w:rPr>
                <w:color w:val="auto"/>
              </w:rPr>
            </w:pPr>
          </w:p>
          <w:p w14:paraId="61391A36" w14:textId="77777777" w:rsidR="00422AF7" w:rsidRDefault="00422AF7" w:rsidP="00422AF7">
            <w:pPr>
              <w:pStyle w:val="Default"/>
              <w:ind w:left="142"/>
              <w:jc w:val="both"/>
              <w:rPr>
                <w:color w:val="auto"/>
              </w:rPr>
            </w:pPr>
            <w:r w:rsidRPr="00AE1DD3">
              <w:rPr>
                <w:color w:val="auto"/>
              </w:rPr>
              <w:t xml:space="preserve">Aprašo 2 lentelės 5.4 papunktyje </w:t>
            </w:r>
            <w:r>
              <w:rPr>
                <w:color w:val="auto"/>
              </w:rPr>
              <w:t>išbraukti žodžiai „ilgalaikio materialaus“.</w:t>
            </w:r>
          </w:p>
          <w:p w14:paraId="66AF7DE7" w14:textId="77777777" w:rsidR="00422AF7" w:rsidRDefault="00422AF7" w:rsidP="00422AF7">
            <w:pPr>
              <w:pStyle w:val="Default"/>
              <w:ind w:left="142"/>
              <w:jc w:val="both"/>
              <w:rPr>
                <w:color w:val="auto"/>
              </w:rPr>
            </w:pPr>
          </w:p>
          <w:p w14:paraId="757E0385" w14:textId="77777777" w:rsidR="00422AF7" w:rsidRDefault="00422AF7" w:rsidP="00422AF7">
            <w:pPr>
              <w:pStyle w:val="Default"/>
              <w:ind w:left="142"/>
              <w:jc w:val="both"/>
              <w:rPr>
                <w:color w:val="auto"/>
              </w:rPr>
            </w:pPr>
          </w:p>
          <w:p w14:paraId="7E5A0823" w14:textId="77777777" w:rsidR="00DE2114" w:rsidRPr="004E2FF8" w:rsidRDefault="00DE2114" w:rsidP="00DE2114">
            <w:pPr>
              <w:spacing w:after="0" w:line="240" w:lineRule="auto"/>
              <w:jc w:val="both"/>
              <w:rPr>
                <w:rFonts w:ascii="Times New Roman" w:hAnsi="Times New Roman" w:cs="Times New Roman"/>
                <w:sz w:val="24"/>
                <w:szCs w:val="24"/>
              </w:rPr>
            </w:pPr>
            <w:r w:rsidRPr="004E2FF8">
              <w:rPr>
                <w:rFonts w:ascii="Times New Roman" w:hAnsi="Times New Roman" w:cs="Times New Roman"/>
                <w:sz w:val="24"/>
                <w:szCs w:val="24"/>
              </w:rPr>
              <w:t>Pagal Aprašo 10.2 papunktį remiama veikla – įmonių pradinės investicijos, kuriomis kuriama naujos ar plečiama esamos įmonės MTEP ir inovacijų infrastruktūra ir kuri nėra prieinama viešai arba klasteriuose</w:t>
            </w:r>
            <w:r>
              <w:rPr>
                <w:rFonts w:ascii="Times New Roman" w:hAnsi="Times New Roman" w:cs="Times New Roman"/>
                <w:sz w:val="24"/>
                <w:szCs w:val="24"/>
              </w:rPr>
              <w:t xml:space="preserve">. Pradinė investiciją yra apibrėžta </w:t>
            </w:r>
            <w:r w:rsidRPr="00F92D34">
              <w:rPr>
                <w:rFonts w:ascii="Times New Roman" w:hAnsi="Times New Roman"/>
                <w:sz w:val="24"/>
                <w:szCs w:val="24"/>
              </w:rPr>
              <w:t>Bendrojo bendrosios išimties reglamento 2 straipsnio 49 punkto a papunktyje</w:t>
            </w:r>
            <w:r w:rsidRPr="004E2FF8">
              <w:rPr>
                <w:rFonts w:ascii="Times New Roman" w:hAnsi="Times New Roman"/>
                <w:sz w:val="24"/>
                <w:szCs w:val="24"/>
              </w:rPr>
              <w:t xml:space="preserve">. Išlaidos </w:t>
            </w:r>
            <w:r w:rsidRPr="004E2FF8">
              <w:rPr>
                <w:rFonts w:ascii="Times New Roman" w:hAnsi="Times New Roman"/>
                <w:sz w:val="24"/>
                <w:szCs w:val="24"/>
                <w:u w:val="single"/>
              </w:rPr>
              <w:t>p</w:t>
            </w:r>
            <w:r w:rsidRPr="004E2FF8">
              <w:rPr>
                <w:rFonts w:ascii="Times New Roman" w:eastAsia="Times New Roman" w:hAnsi="Times New Roman"/>
                <w:sz w:val="24"/>
                <w:szCs w:val="24"/>
                <w:u w:val="single"/>
                <w:lang w:eastAsia="lt-LT"/>
              </w:rPr>
              <w:t>rograminės įrangos</w:t>
            </w:r>
            <w:r w:rsidRPr="004E2FF8">
              <w:rPr>
                <w:rFonts w:ascii="Times New Roman" w:eastAsia="Times New Roman" w:hAnsi="Times New Roman"/>
                <w:sz w:val="24"/>
                <w:szCs w:val="24"/>
                <w:lang w:eastAsia="lt-LT"/>
              </w:rPr>
              <w:t xml:space="preserve"> naudojimo licencijai įsigyti nepriskirtinos prie pradinės investicijos.</w:t>
            </w:r>
          </w:p>
          <w:p w14:paraId="5EF72C9C" w14:textId="77777777" w:rsidR="00422AF7" w:rsidRDefault="00422AF7" w:rsidP="00422AF7">
            <w:pPr>
              <w:pStyle w:val="Default"/>
              <w:ind w:left="142"/>
              <w:jc w:val="both"/>
              <w:rPr>
                <w:color w:val="auto"/>
              </w:rPr>
            </w:pPr>
          </w:p>
          <w:p w14:paraId="4B774D4A" w14:textId="77777777" w:rsidR="00422AF7" w:rsidRPr="00AE1DD3" w:rsidRDefault="00422AF7" w:rsidP="00422AF7">
            <w:pPr>
              <w:pStyle w:val="Default"/>
              <w:ind w:left="142"/>
              <w:jc w:val="both"/>
              <w:rPr>
                <w:color w:val="auto"/>
              </w:rPr>
            </w:pPr>
            <w:r>
              <w:rPr>
                <w:color w:val="auto"/>
              </w:rPr>
              <w:t>50 proc. apribojimas yra išbrauktas.</w:t>
            </w:r>
          </w:p>
        </w:tc>
      </w:tr>
      <w:tr w:rsidR="00422AF7" w:rsidRPr="00DC0C77" w14:paraId="2A713172" w14:textId="77777777" w:rsidTr="00D02718">
        <w:trPr>
          <w:trHeight w:val="2400"/>
        </w:trPr>
        <w:tc>
          <w:tcPr>
            <w:tcW w:w="675" w:type="dxa"/>
            <w:tcBorders>
              <w:top w:val="single" w:sz="4" w:space="0" w:color="auto"/>
              <w:left w:val="single" w:sz="4" w:space="0" w:color="auto"/>
              <w:bottom w:val="single" w:sz="4" w:space="0" w:color="auto"/>
              <w:right w:val="single" w:sz="4" w:space="0" w:color="auto"/>
            </w:tcBorders>
          </w:tcPr>
          <w:p w14:paraId="4807CF7E" w14:textId="77777777" w:rsidR="00422AF7" w:rsidRPr="00DC0C77" w:rsidRDefault="00422AF7" w:rsidP="00422AF7">
            <w:pPr>
              <w:pStyle w:val="ListParagraph"/>
              <w:numPr>
                <w:ilvl w:val="0"/>
                <w:numId w:val="3"/>
              </w:numPr>
              <w:tabs>
                <w:tab w:val="left" w:pos="7560"/>
              </w:tabs>
              <w:spacing w:after="0" w:line="240" w:lineRule="auto"/>
              <w:jc w:val="both"/>
              <w:rPr>
                <w:rFonts w:ascii="Times New Roman" w:hAnsi="Times New Roman"/>
                <w:sz w:val="24"/>
                <w:szCs w:val="24"/>
              </w:rPr>
            </w:pPr>
          </w:p>
        </w:tc>
        <w:tc>
          <w:tcPr>
            <w:tcW w:w="1753" w:type="dxa"/>
            <w:tcBorders>
              <w:top w:val="single" w:sz="4" w:space="0" w:color="auto"/>
              <w:left w:val="single" w:sz="4" w:space="0" w:color="auto"/>
              <w:bottom w:val="single" w:sz="4" w:space="0" w:color="auto"/>
              <w:right w:val="single" w:sz="4" w:space="0" w:color="auto"/>
            </w:tcBorders>
          </w:tcPr>
          <w:p w14:paraId="6EAFE1CC" w14:textId="77777777" w:rsidR="00422AF7" w:rsidRDefault="00422AF7" w:rsidP="00422AF7">
            <w:pPr>
              <w:tabs>
                <w:tab w:val="left" w:pos="141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UAB „Sėkmės sprendimai“</w:t>
            </w:r>
          </w:p>
        </w:tc>
        <w:tc>
          <w:tcPr>
            <w:tcW w:w="5134" w:type="dxa"/>
            <w:tcBorders>
              <w:top w:val="single" w:sz="4" w:space="0" w:color="auto"/>
              <w:left w:val="single" w:sz="4" w:space="0" w:color="auto"/>
              <w:bottom w:val="single" w:sz="4" w:space="0" w:color="auto"/>
              <w:right w:val="single" w:sz="4" w:space="0" w:color="auto"/>
            </w:tcBorders>
          </w:tcPr>
          <w:p w14:paraId="6C7644D2" w14:textId="77777777" w:rsidR="00422AF7" w:rsidRDefault="00422AF7" w:rsidP="00422AF7">
            <w:pPr>
              <w:jc w:val="both"/>
              <w:rPr>
                <w:rFonts w:ascii="Times New Roman" w:hAnsi="Times New Roman"/>
                <w:sz w:val="24"/>
                <w:szCs w:val="24"/>
              </w:rPr>
            </w:pPr>
            <w:r w:rsidRPr="004C3450">
              <w:rPr>
                <w:rFonts w:ascii="Times New Roman" w:hAnsi="Times New Roman"/>
                <w:b/>
                <w:sz w:val="24"/>
                <w:szCs w:val="24"/>
              </w:rPr>
              <w:t>117 punktas</w:t>
            </w:r>
            <w:r>
              <w:rPr>
                <w:rFonts w:ascii="Times New Roman" w:hAnsi="Times New Roman"/>
                <w:b/>
                <w:sz w:val="24"/>
                <w:szCs w:val="24"/>
              </w:rPr>
              <w:t xml:space="preserve">: </w:t>
            </w:r>
            <w:r w:rsidRPr="004C3450">
              <w:rPr>
                <w:rFonts w:ascii="Times New Roman" w:hAnsi="Times New Roman"/>
                <w:sz w:val="24"/>
                <w:szCs w:val="24"/>
              </w:rPr>
              <w:t xml:space="preserve">prašome </w:t>
            </w:r>
            <w:r>
              <w:rPr>
                <w:rFonts w:ascii="Times New Roman" w:hAnsi="Times New Roman"/>
                <w:sz w:val="24"/>
                <w:szCs w:val="24"/>
              </w:rPr>
              <w:t xml:space="preserve">esant galimybei </w:t>
            </w:r>
            <w:r w:rsidRPr="004C3450">
              <w:rPr>
                <w:rFonts w:ascii="Times New Roman" w:hAnsi="Times New Roman"/>
                <w:sz w:val="24"/>
                <w:szCs w:val="24"/>
              </w:rPr>
              <w:t>panaikinti atsiradusį papildomą apribojimą: „taip pat ir dengiant nusidėvėjimo sąnaudas“</w:t>
            </w:r>
            <w:r>
              <w:rPr>
                <w:rFonts w:ascii="Times New Roman" w:hAnsi="Times New Roman"/>
                <w:sz w:val="24"/>
                <w:szCs w:val="24"/>
              </w:rPr>
              <w:t>, nes tai tik papildomai apsunkina projekto tęstinumo planavimą.</w:t>
            </w:r>
          </w:p>
          <w:p w14:paraId="103B13EB" w14:textId="77777777" w:rsidR="00422AF7" w:rsidRPr="00E8722F" w:rsidRDefault="00422AF7" w:rsidP="00422AF7">
            <w:pPr>
              <w:rPr>
                <w:rFonts w:ascii="Times New Roman" w:hAnsi="Times New Roman"/>
                <w:sz w:val="24"/>
                <w:szCs w:val="24"/>
              </w:rPr>
            </w:pPr>
          </w:p>
        </w:tc>
        <w:tc>
          <w:tcPr>
            <w:tcW w:w="3211" w:type="dxa"/>
            <w:tcBorders>
              <w:top w:val="single" w:sz="4" w:space="0" w:color="auto"/>
              <w:left w:val="single" w:sz="4" w:space="0" w:color="auto"/>
              <w:bottom w:val="single" w:sz="4" w:space="0" w:color="auto"/>
              <w:right w:val="single" w:sz="4" w:space="0" w:color="auto"/>
            </w:tcBorders>
          </w:tcPr>
          <w:p w14:paraId="4577D9F0" w14:textId="77777777" w:rsidR="00422AF7" w:rsidRPr="00DC0C77" w:rsidRDefault="00422AF7" w:rsidP="00422AF7">
            <w:pPr>
              <w:pStyle w:val="Default"/>
              <w:ind w:left="720"/>
              <w:jc w:val="both"/>
              <w:rPr>
                <w:b/>
                <w:color w:val="auto"/>
              </w:rPr>
            </w:pPr>
            <w:r>
              <w:rPr>
                <w:b/>
                <w:color w:val="auto"/>
              </w:rPr>
              <w:t>Atsižvelgta.</w:t>
            </w:r>
          </w:p>
        </w:tc>
        <w:tc>
          <w:tcPr>
            <w:tcW w:w="3544" w:type="dxa"/>
            <w:tcBorders>
              <w:top w:val="single" w:sz="4" w:space="0" w:color="auto"/>
              <w:left w:val="single" w:sz="4" w:space="0" w:color="auto"/>
              <w:bottom w:val="single" w:sz="4" w:space="0" w:color="auto"/>
              <w:right w:val="single" w:sz="4" w:space="0" w:color="auto"/>
            </w:tcBorders>
          </w:tcPr>
          <w:p w14:paraId="21F0B58A" w14:textId="77777777" w:rsidR="00422AF7" w:rsidRPr="007611CE" w:rsidRDefault="00422AF7" w:rsidP="00422AF7">
            <w:pPr>
              <w:pStyle w:val="Default"/>
              <w:jc w:val="both"/>
              <w:rPr>
                <w:color w:val="auto"/>
              </w:rPr>
            </w:pPr>
            <w:r>
              <w:rPr>
                <w:rFonts w:eastAsia="Times New Roman"/>
                <w:lang w:eastAsia="lt-LT"/>
              </w:rPr>
              <w:t>120 punkto formuluotė: „</w:t>
            </w:r>
            <w:r w:rsidRPr="00F92D34">
              <w:rPr>
                <w:rFonts w:eastAsia="Times New Roman"/>
                <w:lang w:eastAsia="lt-LT"/>
              </w:rPr>
              <w:t>1</w:t>
            </w:r>
            <w:r>
              <w:rPr>
                <w:rFonts w:eastAsia="Times New Roman"/>
                <w:lang w:eastAsia="lt-LT"/>
              </w:rPr>
              <w:t>20</w:t>
            </w:r>
            <w:r w:rsidRPr="00F92D34">
              <w:rPr>
                <w:rFonts w:eastAsia="Times New Roman"/>
                <w:lang w:eastAsia="lt-LT"/>
              </w:rPr>
              <w:t>. Kai</w:t>
            </w:r>
            <w:r>
              <w:rPr>
                <w:rFonts w:eastAsia="Times New Roman"/>
                <w:lang w:eastAsia="lt-LT"/>
              </w:rPr>
              <w:t xml:space="preserve"> projekto įgyvendinimo metu įsigyjamas arba sukuriamas ilgalaikis turtas</w:t>
            </w:r>
            <w:r w:rsidRPr="00F92D34">
              <w:rPr>
                <w:rFonts w:eastAsia="Times New Roman"/>
                <w:lang w:eastAsia="lt-LT"/>
              </w:rPr>
              <w:t xml:space="preserve">, penkerius metus, jeigu projekto vykdytojai turi didelių įmonių statusą, arba trejus metus, jei projektų vykdytojai turi labai mažų, mažų ir vidutinių įmonių statusą, po projekto finansavimo pabaigos </w:t>
            </w:r>
            <w:r w:rsidRPr="00F92D34">
              <w:rPr>
                <w:noProof/>
              </w:rPr>
              <w:t xml:space="preserve">turi būti užtikrintas investicijų tęstinumas Projektų taisyklių IV skyriaus </w:t>
            </w:r>
            <w:r w:rsidRPr="00F92D34">
              <w:rPr>
                <w:noProof/>
              </w:rPr>
              <w:lastRenderedPageBreak/>
              <w:t>dvidešimt septintajame skirsnyje nustatyta tvarka</w:t>
            </w:r>
            <w:r>
              <w:rPr>
                <w:noProof/>
              </w:rPr>
              <w:t>“</w:t>
            </w:r>
          </w:p>
        </w:tc>
      </w:tr>
      <w:tr w:rsidR="00422AF7" w:rsidRPr="00DC0C77" w14:paraId="1DEB6161" w14:textId="77777777" w:rsidTr="00D02718">
        <w:trPr>
          <w:trHeight w:val="2400"/>
        </w:trPr>
        <w:tc>
          <w:tcPr>
            <w:tcW w:w="675" w:type="dxa"/>
            <w:tcBorders>
              <w:top w:val="single" w:sz="4" w:space="0" w:color="auto"/>
              <w:left w:val="single" w:sz="4" w:space="0" w:color="auto"/>
              <w:bottom w:val="single" w:sz="4" w:space="0" w:color="auto"/>
              <w:right w:val="single" w:sz="4" w:space="0" w:color="auto"/>
            </w:tcBorders>
          </w:tcPr>
          <w:p w14:paraId="5382B2BC" w14:textId="77777777" w:rsidR="00422AF7" w:rsidRPr="00DC0C77" w:rsidRDefault="00422AF7" w:rsidP="00422AF7">
            <w:pPr>
              <w:pStyle w:val="ListParagraph"/>
              <w:numPr>
                <w:ilvl w:val="0"/>
                <w:numId w:val="3"/>
              </w:numPr>
              <w:tabs>
                <w:tab w:val="left" w:pos="7560"/>
              </w:tabs>
              <w:spacing w:after="0" w:line="240" w:lineRule="auto"/>
              <w:jc w:val="both"/>
              <w:rPr>
                <w:rFonts w:ascii="Times New Roman" w:hAnsi="Times New Roman"/>
                <w:sz w:val="24"/>
                <w:szCs w:val="24"/>
              </w:rPr>
            </w:pPr>
          </w:p>
        </w:tc>
        <w:tc>
          <w:tcPr>
            <w:tcW w:w="1753" w:type="dxa"/>
            <w:tcBorders>
              <w:top w:val="single" w:sz="4" w:space="0" w:color="auto"/>
              <w:left w:val="single" w:sz="4" w:space="0" w:color="auto"/>
              <w:bottom w:val="single" w:sz="4" w:space="0" w:color="auto"/>
              <w:right w:val="single" w:sz="4" w:space="0" w:color="auto"/>
            </w:tcBorders>
          </w:tcPr>
          <w:p w14:paraId="580FCBB5" w14:textId="77777777" w:rsidR="00422AF7" w:rsidRDefault="00422AF7" w:rsidP="00422AF7">
            <w:pPr>
              <w:tabs>
                <w:tab w:val="left" w:pos="141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UAB „Sėkmės sprendimai“</w:t>
            </w:r>
          </w:p>
        </w:tc>
        <w:tc>
          <w:tcPr>
            <w:tcW w:w="5134" w:type="dxa"/>
            <w:tcBorders>
              <w:top w:val="single" w:sz="4" w:space="0" w:color="auto"/>
              <w:left w:val="single" w:sz="4" w:space="0" w:color="auto"/>
              <w:bottom w:val="single" w:sz="4" w:space="0" w:color="auto"/>
              <w:right w:val="single" w:sz="4" w:space="0" w:color="auto"/>
            </w:tcBorders>
          </w:tcPr>
          <w:p w14:paraId="7106D0CB" w14:textId="77777777" w:rsidR="00422AF7" w:rsidRPr="00E8722F" w:rsidRDefault="00422AF7" w:rsidP="00422AF7">
            <w:pPr>
              <w:rPr>
                <w:rFonts w:ascii="Times New Roman" w:hAnsi="Times New Roman"/>
                <w:sz w:val="24"/>
                <w:szCs w:val="24"/>
              </w:rPr>
            </w:pPr>
            <w:r w:rsidRPr="00E8722F">
              <w:rPr>
                <w:rFonts w:ascii="Times New Roman" w:hAnsi="Times New Roman"/>
                <w:sz w:val="24"/>
                <w:szCs w:val="24"/>
              </w:rPr>
              <w:t>Taip pat</w:t>
            </w:r>
            <w:r w:rsidRPr="00BC51E2">
              <w:rPr>
                <w:rFonts w:ascii="Times New Roman" w:hAnsi="Times New Roman"/>
                <w:b/>
                <w:sz w:val="24"/>
                <w:szCs w:val="24"/>
              </w:rPr>
              <w:t xml:space="preserve"> prašome laikyti</w:t>
            </w:r>
            <w:r>
              <w:rPr>
                <w:rFonts w:ascii="Times New Roman" w:hAnsi="Times New Roman"/>
                <w:b/>
                <w:sz w:val="24"/>
                <w:szCs w:val="24"/>
              </w:rPr>
              <w:t>s</w:t>
            </w:r>
            <w:r w:rsidRPr="00BC51E2">
              <w:rPr>
                <w:rFonts w:ascii="Times New Roman" w:hAnsi="Times New Roman"/>
                <w:b/>
                <w:sz w:val="24"/>
                <w:szCs w:val="24"/>
              </w:rPr>
              <w:t xml:space="preserve"> suplanuoto kvietimo skelbimo termino – šių metų IV ketvirtis</w:t>
            </w:r>
            <w:r>
              <w:rPr>
                <w:rFonts w:ascii="Times New Roman" w:hAnsi="Times New Roman"/>
                <w:b/>
                <w:sz w:val="24"/>
                <w:szCs w:val="24"/>
              </w:rPr>
              <w:t xml:space="preserve"> </w:t>
            </w:r>
            <w:r w:rsidRPr="00E8722F">
              <w:rPr>
                <w:rFonts w:ascii="Times New Roman" w:hAnsi="Times New Roman"/>
                <w:sz w:val="24"/>
                <w:szCs w:val="24"/>
              </w:rPr>
              <w:t>ir neskelbti kvietimo šių metų vasarą, kadangi:</w:t>
            </w:r>
          </w:p>
          <w:p w14:paraId="2D84E71F" w14:textId="77777777" w:rsidR="00422AF7" w:rsidRPr="00E8722F" w:rsidRDefault="00422AF7" w:rsidP="00422AF7">
            <w:pPr>
              <w:pStyle w:val="ListParagraph"/>
              <w:numPr>
                <w:ilvl w:val="0"/>
                <w:numId w:val="8"/>
              </w:numPr>
              <w:rPr>
                <w:rFonts w:ascii="Times New Roman" w:hAnsi="Times New Roman"/>
                <w:sz w:val="24"/>
                <w:szCs w:val="24"/>
              </w:rPr>
            </w:pPr>
            <w:r w:rsidRPr="00E8722F">
              <w:rPr>
                <w:rFonts w:ascii="Times New Roman" w:hAnsi="Times New Roman"/>
                <w:sz w:val="24"/>
                <w:szCs w:val="24"/>
              </w:rPr>
              <w:t>Verslo įmonės iš anksto planuoja savo darbus</w:t>
            </w:r>
            <w:r>
              <w:rPr>
                <w:rFonts w:ascii="Times New Roman" w:hAnsi="Times New Roman"/>
                <w:sz w:val="24"/>
                <w:szCs w:val="24"/>
              </w:rPr>
              <w:t>.</w:t>
            </w:r>
          </w:p>
          <w:p w14:paraId="5EA34EFA" w14:textId="77777777" w:rsidR="00422AF7" w:rsidRDefault="00422AF7" w:rsidP="00422AF7">
            <w:pPr>
              <w:pStyle w:val="ListParagraph"/>
              <w:numPr>
                <w:ilvl w:val="0"/>
                <w:numId w:val="8"/>
              </w:numPr>
              <w:rPr>
                <w:rFonts w:ascii="Times New Roman" w:hAnsi="Times New Roman"/>
                <w:sz w:val="24"/>
                <w:szCs w:val="24"/>
              </w:rPr>
            </w:pPr>
            <w:r w:rsidRPr="00E8722F">
              <w:rPr>
                <w:rFonts w:ascii="Times New Roman" w:hAnsi="Times New Roman"/>
                <w:sz w:val="24"/>
                <w:szCs w:val="24"/>
              </w:rPr>
              <w:t xml:space="preserve">Vasaros </w:t>
            </w:r>
            <w:r>
              <w:rPr>
                <w:rFonts w:ascii="Times New Roman" w:hAnsi="Times New Roman"/>
                <w:sz w:val="24"/>
                <w:szCs w:val="24"/>
              </w:rPr>
              <w:t>laikotarpiu dėl atostogų praktiškai sustoja darbas mokslo įstaigose bei sulėtėja privačiose įmonėse.</w:t>
            </w:r>
          </w:p>
          <w:p w14:paraId="3A19A7EF" w14:textId="77777777" w:rsidR="00422AF7" w:rsidRDefault="00422AF7" w:rsidP="00422AF7">
            <w:pPr>
              <w:pStyle w:val="ListParagraph"/>
              <w:numPr>
                <w:ilvl w:val="0"/>
                <w:numId w:val="8"/>
              </w:numPr>
              <w:rPr>
                <w:rFonts w:ascii="Times New Roman" w:hAnsi="Times New Roman"/>
                <w:sz w:val="24"/>
                <w:szCs w:val="24"/>
              </w:rPr>
            </w:pPr>
            <w:r>
              <w:rPr>
                <w:rFonts w:ascii="Times New Roman" w:hAnsi="Times New Roman"/>
                <w:sz w:val="24"/>
                <w:szCs w:val="24"/>
              </w:rPr>
              <w:t>Tik prieš keletą mėnesių baigėsi analogiško Intelekto kvietimo vertinimas.</w:t>
            </w:r>
          </w:p>
          <w:p w14:paraId="054C50DF" w14:textId="77777777" w:rsidR="00422AF7" w:rsidRPr="00E8722F" w:rsidRDefault="00422AF7" w:rsidP="00422AF7">
            <w:pPr>
              <w:pStyle w:val="ListParagraph"/>
              <w:numPr>
                <w:ilvl w:val="0"/>
                <w:numId w:val="8"/>
              </w:numPr>
              <w:rPr>
                <w:rFonts w:ascii="Times New Roman" w:hAnsi="Times New Roman"/>
                <w:sz w:val="24"/>
                <w:szCs w:val="24"/>
              </w:rPr>
            </w:pPr>
            <w:r>
              <w:rPr>
                <w:rFonts w:ascii="Times New Roman" w:hAnsi="Times New Roman"/>
                <w:sz w:val="24"/>
                <w:szCs w:val="24"/>
              </w:rPr>
              <w:t>Vėliau paskelbus Eksperimento kvietimą, daugiau įmonių galės tęsti ankstesniuose Intelekto projektuose pradėtas tyrimų kryptis/tyrimus.</w:t>
            </w:r>
          </w:p>
          <w:p w14:paraId="5BC734B5" w14:textId="77777777" w:rsidR="00422AF7" w:rsidRPr="00E8722F" w:rsidRDefault="00422AF7" w:rsidP="00422AF7">
            <w:pPr>
              <w:pStyle w:val="ListParagraph"/>
              <w:numPr>
                <w:ilvl w:val="0"/>
                <w:numId w:val="8"/>
              </w:numPr>
              <w:rPr>
                <w:rFonts w:ascii="Times New Roman" w:hAnsi="Times New Roman"/>
                <w:sz w:val="24"/>
                <w:szCs w:val="24"/>
              </w:rPr>
            </w:pPr>
            <w:r>
              <w:rPr>
                <w:rFonts w:ascii="Times New Roman" w:hAnsi="Times New Roman"/>
                <w:sz w:val="24"/>
                <w:szCs w:val="24"/>
              </w:rPr>
              <w:t>Eksperimento kvietimo projektus yra tikslinga pradėti įgyvendinti kuo vėliau, kad parama būtų galima finansuoti tyrimus iki tol kol prasidės būsimo finansavimo periodo kvietimai.</w:t>
            </w:r>
          </w:p>
          <w:p w14:paraId="043DD85A" w14:textId="77777777" w:rsidR="00422AF7" w:rsidRPr="004C3450" w:rsidRDefault="00422AF7" w:rsidP="00422AF7">
            <w:pPr>
              <w:jc w:val="both"/>
              <w:rPr>
                <w:rFonts w:ascii="Times New Roman" w:hAnsi="Times New Roman"/>
                <w:b/>
                <w:sz w:val="24"/>
                <w:szCs w:val="24"/>
              </w:rPr>
            </w:pPr>
          </w:p>
        </w:tc>
        <w:tc>
          <w:tcPr>
            <w:tcW w:w="3211" w:type="dxa"/>
            <w:tcBorders>
              <w:top w:val="single" w:sz="4" w:space="0" w:color="auto"/>
              <w:left w:val="single" w:sz="4" w:space="0" w:color="auto"/>
              <w:bottom w:val="single" w:sz="4" w:space="0" w:color="auto"/>
              <w:right w:val="single" w:sz="4" w:space="0" w:color="auto"/>
            </w:tcBorders>
          </w:tcPr>
          <w:p w14:paraId="53A1AAF1" w14:textId="77777777" w:rsidR="00422AF7" w:rsidRPr="00DC0C77" w:rsidRDefault="00422AF7" w:rsidP="00422AF7">
            <w:pPr>
              <w:pStyle w:val="Default"/>
              <w:ind w:left="720"/>
              <w:jc w:val="both"/>
              <w:rPr>
                <w:b/>
                <w:color w:val="auto"/>
              </w:rPr>
            </w:pPr>
            <w:r>
              <w:rPr>
                <w:b/>
                <w:color w:val="auto"/>
              </w:rPr>
              <w:t>Atsižvelgta.</w:t>
            </w:r>
          </w:p>
        </w:tc>
        <w:tc>
          <w:tcPr>
            <w:tcW w:w="3544" w:type="dxa"/>
            <w:tcBorders>
              <w:top w:val="single" w:sz="4" w:space="0" w:color="auto"/>
              <w:left w:val="single" w:sz="4" w:space="0" w:color="auto"/>
              <w:bottom w:val="single" w:sz="4" w:space="0" w:color="auto"/>
              <w:right w:val="single" w:sz="4" w:space="0" w:color="auto"/>
            </w:tcBorders>
          </w:tcPr>
          <w:p w14:paraId="7C27CCDE" w14:textId="77777777" w:rsidR="00422AF7" w:rsidRPr="007611CE" w:rsidRDefault="00422AF7" w:rsidP="00422AF7">
            <w:pPr>
              <w:pStyle w:val="Default"/>
              <w:jc w:val="both"/>
              <w:rPr>
                <w:color w:val="auto"/>
              </w:rPr>
            </w:pPr>
            <w:r>
              <w:rPr>
                <w:color w:val="auto"/>
              </w:rPr>
              <w:t>Jei kvietimas būtų paskelbtas anksčiau nei planuota, paraiškų pateikimo terminas būtų ilgesnis ir baigtųsi kaip ir planuota.</w:t>
            </w:r>
          </w:p>
        </w:tc>
      </w:tr>
    </w:tbl>
    <w:p w14:paraId="6A037C1C" w14:textId="77777777" w:rsidR="009003B7" w:rsidRPr="00DC0C77" w:rsidRDefault="009003B7" w:rsidP="00DC0C77">
      <w:pPr>
        <w:jc w:val="both"/>
        <w:rPr>
          <w:rFonts w:ascii="Times New Roman" w:hAnsi="Times New Roman" w:cs="Times New Roman"/>
          <w:sz w:val="24"/>
          <w:szCs w:val="24"/>
        </w:rPr>
      </w:pPr>
    </w:p>
    <w:sectPr w:rsidR="009003B7" w:rsidRPr="00DC0C77" w:rsidSect="00BE690F">
      <w:pgSz w:w="16838" w:h="11906" w:orient="landscape"/>
      <w:pgMar w:top="720" w:right="720" w:bottom="720" w:left="72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72661"/>
    <w:multiLevelType w:val="multilevel"/>
    <w:tmpl w:val="AAAC0CD6"/>
    <w:lvl w:ilvl="0">
      <w:start w:val="1"/>
      <w:numFmt w:val="decimal"/>
      <w:lvlText w:val="%1."/>
      <w:lvlJc w:val="left"/>
      <w:pPr>
        <w:ind w:left="360" w:hanging="360"/>
      </w:pPr>
      <w:rPr>
        <w:rFonts w:hint="default"/>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37F155F"/>
    <w:multiLevelType w:val="hybridMultilevel"/>
    <w:tmpl w:val="4AA277DC"/>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8A406B2"/>
    <w:multiLevelType w:val="hybridMultilevel"/>
    <w:tmpl w:val="C9EAB8E8"/>
    <w:lvl w:ilvl="0" w:tplc="3F422F30">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F5F0191"/>
    <w:multiLevelType w:val="hybridMultilevel"/>
    <w:tmpl w:val="6A92FA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1D74957"/>
    <w:multiLevelType w:val="multilevel"/>
    <w:tmpl w:val="1C00A2BC"/>
    <w:lvl w:ilvl="0">
      <w:start w:val="27"/>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848426F"/>
    <w:multiLevelType w:val="hybridMultilevel"/>
    <w:tmpl w:val="B17EADB0"/>
    <w:lvl w:ilvl="0" w:tplc="9E88692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4150300"/>
    <w:multiLevelType w:val="hybridMultilevel"/>
    <w:tmpl w:val="FE6289A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D421603"/>
    <w:multiLevelType w:val="hybridMultilevel"/>
    <w:tmpl w:val="2CF881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6"/>
  </w:num>
  <w:num w:numId="4">
    <w:abstractNumId w:val="0"/>
  </w:num>
  <w:num w:numId="5">
    <w:abstractNumId w:val="1"/>
  </w:num>
  <w:num w:numId="6">
    <w:abstractNumId w:val="2"/>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C5A"/>
    <w:rsid w:val="00023507"/>
    <w:rsid w:val="000862E0"/>
    <w:rsid w:val="000F540C"/>
    <w:rsid w:val="001031F8"/>
    <w:rsid w:val="00163EAA"/>
    <w:rsid w:val="00170A05"/>
    <w:rsid w:val="00184052"/>
    <w:rsid w:val="001F5648"/>
    <w:rsid w:val="00210615"/>
    <w:rsid w:val="002322C2"/>
    <w:rsid w:val="002C0972"/>
    <w:rsid w:val="002E1F3A"/>
    <w:rsid w:val="002E352A"/>
    <w:rsid w:val="0030702D"/>
    <w:rsid w:val="003238F2"/>
    <w:rsid w:val="00340F4B"/>
    <w:rsid w:val="00384AFE"/>
    <w:rsid w:val="003860FC"/>
    <w:rsid w:val="00397496"/>
    <w:rsid w:val="003A641F"/>
    <w:rsid w:val="003C2A75"/>
    <w:rsid w:val="003D5C20"/>
    <w:rsid w:val="00406F34"/>
    <w:rsid w:val="00422AF7"/>
    <w:rsid w:val="004315E1"/>
    <w:rsid w:val="004317DA"/>
    <w:rsid w:val="00436453"/>
    <w:rsid w:val="004A2417"/>
    <w:rsid w:val="00521626"/>
    <w:rsid w:val="00552366"/>
    <w:rsid w:val="00572A15"/>
    <w:rsid w:val="005E0472"/>
    <w:rsid w:val="00664CBC"/>
    <w:rsid w:val="00677F03"/>
    <w:rsid w:val="00692764"/>
    <w:rsid w:val="00694B66"/>
    <w:rsid w:val="006A3338"/>
    <w:rsid w:val="006A7F5C"/>
    <w:rsid w:val="006F6560"/>
    <w:rsid w:val="00710A9B"/>
    <w:rsid w:val="00722E9F"/>
    <w:rsid w:val="007611CE"/>
    <w:rsid w:val="007F4756"/>
    <w:rsid w:val="0080273F"/>
    <w:rsid w:val="00803086"/>
    <w:rsid w:val="008467E9"/>
    <w:rsid w:val="00866665"/>
    <w:rsid w:val="00873CF0"/>
    <w:rsid w:val="008D4F24"/>
    <w:rsid w:val="009003B7"/>
    <w:rsid w:val="00915EFB"/>
    <w:rsid w:val="00942C2F"/>
    <w:rsid w:val="009C2A0C"/>
    <w:rsid w:val="00A4272F"/>
    <w:rsid w:val="00A547AA"/>
    <w:rsid w:val="00AA425A"/>
    <w:rsid w:val="00AA5591"/>
    <w:rsid w:val="00AC2F77"/>
    <w:rsid w:val="00AE3ED0"/>
    <w:rsid w:val="00B1243D"/>
    <w:rsid w:val="00B179BF"/>
    <w:rsid w:val="00B5555E"/>
    <w:rsid w:val="00B93B52"/>
    <w:rsid w:val="00BA382B"/>
    <w:rsid w:val="00BD5447"/>
    <w:rsid w:val="00BE690F"/>
    <w:rsid w:val="00C95B7B"/>
    <w:rsid w:val="00CA4FF6"/>
    <w:rsid w:val="00D02718"/>
    <w:rsid w:val="00D1574D"/>
    <w:rsid w:val="00D1793A"/>
    <w:rsid w:val="00D3512C"/>
    <w:rsid w:val="00D53EE0"/>
    <w:rsid w:val="00D72995"/>
    <w:rsid w:val="00D76F2F"/>
    <w:rsid w:val="00DB2D85"/>
    <w:rsid w:val="00DC0C77"/>
    <w:rsid w:val="00DE2114"/>
    <w:rsid w:val="00E341DB"/>
    <w:rsid w:val="00EA72C5"/>
    <w:rsid w:val="00EB2771"/>
    <w:rsid w:val="00EF4F38"/>
    <w:rsid w:val="00F0661F"/>
    <w:rsid w:val="00F22C5A"/>
    <w:rsid w:val="00F36FD9"/>
    <w:rsid w:val="00F73883"/>
    <w:rsid w:val="00FA2779"/>
    <w:rsid w:val="00FA4187"/>
    <w:rsid w:val="00FE44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C7FEE"/>
  <w15:docId w15:val="{42DF0676-638C-41A7-8CF6-3BA013A2F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2C5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22C5A"/>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F22C5A"/>
    <w:pPr>
      <w:ind w:left="720"/>
      <w:contextualSpacing/>
    </w:pPr>
    <w:rPr>
      <w:rFonts w:ascii="Calibri" w:eastAsia="Calibri" w:hAnsi="Calibri" w:cs="Times New Roman"/>
    </w:rPr>
  </w:style>
  <w:style w:type="paragraph" w:styleId="CommentText">
    <w:name w:val="annotation text"/>
    <w:basedOn w:val="Normal"/>
    <w:link w:val="CommentTextChar"/>
    <w:uiPriority w:val="99"/>
    <w:rsid w:val="00F22C5A"/>
    <w:pPr>
      <w:spacing w:after="0" w:line="240" w:lineRule="auto"/>
      <w:ind w:firstLine="720"/>
      <w:jc w:val="both"/>
    </w:pPr>
    <w:rPr>
      <w:rFonts w:ascii="Times New Roman" w:eastAsia="Times New Roman" w:hAnsi="Times New Roman" w:cs="Times New Roman"/>
      <w:sz w:val="20"/>
      <w:szCs w:val="20"/>
      <w:lang w:eastAsia="lt-LT"/>
    </w:rPr>
  </w:style>
  <w:style w:type="character" w:customStyle="1" w:styleId="CommentTextChar">
    <w:name w:val="Comment Text Char"/>
    <w:basedOn w:val="DefaultParagraphFont"/>
    <w:link w:val="CommentText"/>
    <w:uiPriority w:val="99"/>
    <w:rsid w:val="00F22C5A"/>
    <w:rPr>
      <w:rFonts w:ascii="Times New Roman" w:eastAsia="Times New Roman" w:hAnsi="Times New Roman" w:cs="Times New Roman"/>
      <w:sz w:val="20"/>
      <w:szCs w:val="20"/>
      <w:lang w:eastAsia="lt-LT"/>
    </w:rPr>
  </w:style>
  <w:style w:type="character" w:styleId="Hyperlink">
    <w:name w:val="Hyperlink"/>
    <w:basedOn w:val="DefaultParagraphFont"/>
    <w:uiPriority w:val="99"/>
    <w:unhideWhenUsed/>
    <w:rsid w:val="003D5C20"/>
    <w:rPr>
      <w:color w:val="0563C1" w:themeColor="hyperlink"/>
      <w:u w:val="single"/>
    </w:rPr>
  </w:style>
  <w:style w:type="paragraph" w:styleId="BalloonText">
    <w:name w:val="Balloon Text"/>
    <w:basedOn w:val="Normal"/>
    <w:link w:val="BalloonTextChar"/>
    <w:uiPriority w:val="99"/>
    <w:semiHidden/>
    <w:unhideWhenUsed/>
    <w:rsid w:val="00BE69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690F"/>
    <w:rPr>
      <w:rFonts w:ascii="Tahoma" w:hAnsi="Tahoma" w:cs="Tahoma"/>
      <w:sz w:val="16"/>
      <w:szCs w:val="16"/>
    </w:rPr>
  </w:style>
  <w:style w:type="character" w:styleId="CommentReference">
    <w:name w:val="annotation reference"/>
    <w:basedOn w:val="DefaultParagraphFont"/>
    <w:uiPriority w:val="99"/>
    <w:semiHidden/>
    <w:unhideWhenUsed/>
    <w:rsid w:val="00BD5447"/>
    <w:rPr>
      <w:sz w:val="16"/>
      <w:szCs w:val="16"/>
    </w:rPr>
  </w:style>
  <w:style w:type="paragraph" w:styleId="CommentSubject">
    <w:name w:val="annotation subject"/>
    <w:basedOn w:val="CommentText"/>
    <w:next w:val="CommentText"/>
    <w:link w:val="CommentSubjectChar"/>
    <w:uiPriority w:val="99"/>
    <w:semiHidden/>
    <w:unhideWhenUsed/>
    <w:rsid w:val="00BD5447"/>
    <w:pPr>
      <w:spacing w:after="200"/>
      <w:ind w:firstLine="0"/>
      <w:jc w:val="left"/>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BD5447"/>
    <w:rPr>
      <w:rFonts w:ascii="Times New Roman" w:eastAsia="Times New Roman" w:hAnsi="Times New Roman" w:cs="Times New Roman"/>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0670780">
      <w:bodyDiv w:val="1"/>
      <w:marLeft w:val="0"/>
      <w:marRight w:val="0"/>
      <w:marTop w:val="0"/>
      <w:marBottom w:val="0"/>
      <w:divBdr>
        <w:top w:val="none" w:sz="0" w:space="0" w:color="auto"/>
        <w:left w:val="none" w:sz="0" w:space="0" w:color="auto"/>
        <w:bottom w:val="none" w:sz="0" w:space="0" w:color="auto"/>
        <w:right w:val="none" w:sz="0" w:space="0" w:color="auto"/>
      </w:divBdr>
    </w:div>
    <w:div w:id="1191408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F9DC7B-8CBB-4C21-849C-00EA7629C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5098</Words>
  <Characters>2906</Characters>
  <Application>Microsoft Office Word</Application>
  <DocSecurity>0</DocSecurity>
  <Lines>24</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LVPA</Company>
  <LinksUpToDate>false</LinksUpToDate>
  <CharactersWithSpaces>7989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Urbikaite Gintare</dc:creator>
  <cp:lastModifiedBy>Viluniene Jurgita</cp:lastModifiedBy>
  <cp:revision>3</cp:revision>
  <cp:lastPrinted>2019-06-10T04:42:00Z</cp:lastPrinted>
  <dcterms:created xsi:type="dcterms:W3CDTF">2019-07-29T08:54:00Z</dcterms:created>
  <dcterms:modified xsi:type="dcterms:W3CDTF">2019-07-29T09:01:00Z</dcterms:modified>
</cp:coreProperties>
</file>