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7BB" w:rsidRPr="007852F4" w:rsidRDefault="00EF54E2" w:rsidP="0080175F">
      <w:pPr>
        <w:pStyle w:val="001-lineSectionheading"/>
        <w:spacing w:after="240"/>
        <w:outlineLvl w:val="0"/>
        <w:rPr>
          <w:noProof w:val="0"/>
          <w:sz w:val="48"/>
        </w:rPr>
      </w:pPr>
      <w:r w:rsidRPr="007852F4">
        <w:rPr>
          <w:noProof w:val="0"/>
          <w:sz w:val="48"/>
        </w:rPr>
        <w:t>Švenčionių</w:t>
      </w:r>
      <w:r w:rsidR="00F02104" w:rsidRPr="007852F4">
        <w:rPr>
          <w:noProof w:val="0"/>
          <w:sz w:val="48"/>
        </w:rPr>
        <w:t xml:space="preserve"> rajono</w:t>
      </w:r>
      <w:r w:rsidR="005577BB" w:rsidRPr="007852F4">
        <w:rPr>
          <w:noProof w:val="0"/>
          <w:sz w:val="48"/>
        </w:rPr>
        <w:t xml:space="preserve"> savivaldybės analizė</w:t>
      </w:r>
    </w:p>
    <w:p w:rsidR="00C849C4" w:rsidRPr="007852F4" w:rsidRDefault="00C849C4" w:rsidP="002B4036">
      <w:pPr>
        <w:pStyle w:val="Deloittebodytext"/>
        <w:spacing w:line="240" w:lineRule="auto"/>
        <w:jc w:val="both"/>
        <w:rPr>
          <w:lang w:val="lt-LT"/>
        </w:rPr>
      </w:pPr>
      <w:r w:rsidRPr="007852F4">
        <w:rPr>
          <w:lang w:val="lt-LT"/>
        </w:rPr>
        <w:t>Toliau pateikiama vien</w:t>
      </w:r>
      <w:r w:rsidR="00955E14" w:rsidRPr="007852F4">
        <w:rPr>
          <w:lang w:val="lt-LT"/>
        </w:rPr>
        <w:t xml:space="preserve">os iš </w:t>
      </w:r>
      <w:r w:rsidR="00E12034" w:rsidRPr="007852F4">
        <w:rPr>
          <w:lang w:val="lt-LT"/>
        </w:rPr>
        <w:t>p</w:t>
      </w:r>
      <w:r w:rsidR="00EF54E2" w:rsidRPr="007852F4">
        <w:rPr>
          <w:lang w:val="lt-LT"/>
        </w:rPr>
        <w:t>robleminių teritorijų – Švenčionių</w:t>
      </w:r>
      <w:r w:rsidRPr="007852F4">
        <w:rPr>
          <w:lang w:val="lt-LT"/>
        </w:rPr>
        <w:t xml:space="preserve"> rajono savivaldybės – atvejo stud</w:t>
      </w:r>
      <w:r w:rsidR="001F2140" w:rsidRPr="007852F4">
        <w:rPr>
          <w:lang w:val="lt-LT"/>
        </w:rPr>
        <w:t>ija. Pirma, yra pristatoma ES struktūrinių fondų</w:t>
      </w:r>
      <w:r w:rsidRPr="007852F4">
        <w:rPr>
          <w:lang w:val="lt-LT"/>
        </w:rPr>
        <w:t xml:space="preserve"> finansavimo apžvalga, aptariamos pagrindinės i</w:t>
      </w:r>
      <w:r w:rsidR="002E30F9" w:rsidRPr="007852F4">
        <w:rPr>
          <w:lang w:val="lt-LT"/>
        </w:rPr>
        <w:t xml:space="preserve">nvesticinės kryptys. Vėliau </w:t>
      </w:r>
      <w:r w:rsidR="002B4036" w:rsidRPr="007852F4">
        <w:rPr>
          <w:lang w:val="lt-LT"/>
        </w:rPr>
        <w:t>pristatoma socio-ekonominių ir aplinkos rodiklių kaita</w:t>
      </w:r>
      <w:r w:rsidR="00BC4ECE" w:rsidRPr="007852F4">
        <w:rPr>
          <w:lang w:val="lt-LT"/>
        </w:rPr>
        <w:t xml:space="preserve"> 2007 – 2013 m. laikotarpiu</w:t>
      </w:r>
      <w:r w:rsidR="002B4036" w:rsidRPr="007852F4">
        <w:rPr>
          <w:lang w:val="lt-LT"/>
        </w:rPr>
        <w:t xml:space="preserve">. Atvejo </w:t>
      </w:r>
      <w:r w:rsidR="002E30F9" w:rsidRPr="007852F4">
        <w:rPr>
          <w:lang w:val="lt-LT"/>
        </w:rPr>
        <w:t>studiją apibendrina</w:t>
      </w:r>
      <w:r w:rsidR="00654795">
        <w:rPr>
          <w:lang w:val="lt-LT"/>
        </w:rPr>
        <w:t xml:space="preserve"> 2007 – 2013 m.</w:t>
      </w:r>
      <w:r w:rsidR="002E30F9" w:rsidRPr="007852F4">
        <w:rPr>
          <w:lang w:val="lt-LT"/>
        </w:rPr>
        <w:t xml:space="preserve"> ES </w:t>
      </w:r>
      <w:r w:rsidR="00654795">
        <w:rPr>
          <w:lang w:val="lt-LT"/>
        </w:rPr>
        <w:t xml:space="preserve">struktūrinės </w:t>
      </w:r>
      <w:r w:rsidR="002E30F9" w:rsidRPr="007852F4">
        <w:rPr>
          <w:lang w:val="lt-LT"/>
        </w:rPr>
        <w:t>paramos poveikio darniam vystymuisi vertinimas</w:t>
      </w:r>
      <w:r w:rsidR="00654795">
        <w:rPr>
          <w:lang w:val="lt-LT"/>
        </w:rPr>
        <w:t>; 1.3. dalyje pateikiami gerosios praktikos projektų pavyzdžiai.</w:t>
      </w:r>
    </w:p>
    <w:p w:rsidR="005577BB" w:rsidRPr="007852F4" w:rsidRDefault="0080175F" w:rsidP="0080175F">
      <w:pPr>
        <w:pStyle w:val="Heading1"/>
        <w:numPr>
          <w:ilvl w:val="1"/>
          <w:numId w:val="1"/>
        </w:numPr>
        <w:spacing w:before="360"/>
        <w:ind w:left="630" w:hanging="630"/>
        <w:rPr>
          <w:rFonts w:ascii="Arial" w:hAnsi="Arial" w:cs="Arial"/>
          <w:b w:val="0"/>
          <w:sz w:val="28"/>
          <w:szCs w:val="28"/>
        </w:rPr>
      </w:pPr>
      <w:r w:rsidRPr="007852F4">
        <w:rPr>
          <w:rFonts w:ascii="Arial" w:hAnsi="Arial" w:cs="Arial"/>
          <w:b w:val="0"/>
          <w:noProof/>
          <w:sz w:val="28"/>
          <w:szCs w:val="28"/>
          <w:lang w:val="en-US"/>
        </w:rPr>
        <mc:AlternateContent>
          <mc:Choice Requires="wpg">
            <w:drawing>
              <wp:anchor distT="0" distB="0" distL="114300" distR="114300" simplePos="0" relativeHeight="251670528" behindDoc="0" locked="0" layoutInCell="1" allowOverlap="1" wp14:anchorId="4BB10F47" wp14:editId="62A404F0">
                <wp:simplePos x="0" y="0"/>
                <wp:positionH relativeFrom="margin">
                  <wp:posOffset>3761105</wp:posOffset>
                </wp:positionH>
                <wp:positionV relativeFrom="paragraph">
                  <wp:posOffset>222885</wp:posOffset>
                </wp:positionV>
                <wp:extent cx="1371600" cy="1290320"/>
                <wp:effectExtent l="0" t="0" r="0" b="5080"/>
                <wp:wrapSquare wrapText="bothSides"/>
                <wp:docPr id="14" name="Group 14"/>
                <wp:cNvGraphicFramePr/>
                <a:graphic xmlns:a="http://schemas.openxmlformats.org/drawingml/2006/main">
                  <a:graphicData uri="http://schemas.microsoft.com/office/word/2010/wordprocessingGroup">
                    <wpg:wgp>
                      <wpg:cNvGrpSpPr/>
                      <wpg:grpSpPr>
                        <a:xfrm>
                          <a:off x="0" y="0"/>
                          <a:ext cx="1371600" cy="1290320"/>
                          <a:chOff x="0" y="47361"/>
                          <a:chExt cx="923925" cy="995045"/>
                        </a:xfrm>
                      </wpg:grpSpPr>
                      <wpg:graphicFrame>
                        <wpg:cNvPr id="8" name="Chart 8"/>
                        <wpg:cNvFrPr/>
                        <wpg:xfrm>
                          <a:off x="0" y="47361"/>
                          <a:ext cx="923925" cy="995045"/>
                        </wpg:xfrm>
                        <a:graphic>
                          <a:graphicData uri="http://schemas.openxmlformats.org/drawingml/2006/chart">
                            <c:chart xmlns:c="http://schemas.openxmlformats.org/drawingml/2006/chart" xmlns:r="http://schemas.openxmlformats.org/officeDocument/2006/relationships" r:id="rId9"/>
                          </a:graphicData>
                        </a:graphic>
                      </wpg:graphicFrame>
                      <wps:wsp>
                        <wps:cNvPr id="30" name="TextBox 29"/>
                        <wps:cNvSpPr txBox="1"/>
                        <wps:spPr>
                          <a:xfrm>
                            <a:off x="95657" y="526457"/>
                            <a:ext cx="795020" cy="344170"/>
                          </a:xfrm>
                          <a:prstGeom prst="rect">
                            <a:avLst/>
                          </a:prstGeom>
                          <a:noFill/>
                        </wps:spPr>
                        <wps:txbx>
                          <w:txbxContent>
                            <w:p w:rsidR="00F73ED6" w:rsidRPr="00654795" w:rsidRDefault="00EF54E2" w:rsidP="00F73ED6">
                              <w:pPr>
                                <w:pStyle w:val="NormalWeb"/>
                                <w:spacing w:before="0" w:beforeAutospacing="0" w:after="0" w:afterAutospacing="0"/>
                                <w:jc w:val="center"/>
                                <w:rPr>
                                  <w:rFonts w:ascii="Arial" w:hAnsi="Arial" w:cs="Arial"/>
                                  <w:sz w:val="6"/>
                                </w:rPr>
                              </w:pPr>
                              <w:r w:rsidRPr="00654795">
                                <w:rPr>
                                  <w:rFonts w:ascii="Arial" w:hAnsi="Arial" w:cs="Arial"/>
                                  <w:color w:val="FFFFFF"/>
                                  <w:kern w:val="24"/>
                                  <w:sz w:val="32"/>
                                  <w:szCs w:val="144"/>
                                  <w:lang w:val="nl-NL"/>
                                </w:rPr>
                                <w:t>8.61</w:t>
                              </w:r>
                              <w:r w:rsidR="0080175F" w:rsidRPr="00654795">
                                <w:rPr>
                                  <w:rFonts w:ascii="Arial" w:hAnsi="Arial" w:cs="Arial"/>
                                  <w:color w:val="FFFFFF"/>
                                  <w:kern w:val="24"/>
                                  <w:sz w:val="32"/>
                                  <w:szCs w:val="144"/>
                                  <w:lang w:val="nl-NL"/>
                                </w:rPr>
                                <w:t xml:space="preserve"> %</w:t>
                              </w:r>
                            </w:p>
                          </w:txbxContent>
                        </wps:txbx>
                        <wps:bodyPr wrap="square" lIns="35999" tIns="35999" rIns="35999" bIns="35999" rtlCol="0">
                          <a:noAutofit/>
                        </wps:bodyPr>
                      </wps:wsp>
                    </wpg:wgp>
                  </a:graphicData>
                </a:graphic>
                <wp14:sizeRelH relativeFrom="margin">
                  <wp14:pctWidth>0</wp14:pctWidth>
                </wp14:sizeRelH>
                <wp14:sizeRelV relativeFrom="margin">
                  <wp14:pctHeight>0</wp14:pctHeight>
                </wp14:sizeRelV>
              </wp:anchor>
            </w:drawing>
          </mc:Choice>
          <mc:Fallback>
            <w:pict>
              <v:group id="Group 14" o:spid="_x0000_s1026" style="position:absolute;left:0;text-align:left;margin-left:296.15pt;margin-top:17.55pt;width:108pt;height:101.6pt;z-index:251670528;mso-position-horizontal-relative:margin;mso-width-relative:margin;mso-height-relative:margin" coordorigin=",473" coordsize="9239,9950" o:gfxdata="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8" o:spid="_x0000_s1027" type="#_x0000_t75" style="position:absolute;top:473;width:9239;height:996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">
                  <v:imagedata r:id="rId10" o:title=""/>
                  <o:lock v:ext="edit" aspectratio="f"/>
                </v:shape>
                <v:shapetype id="_x0000_t202" coordsize="21600,21600" o:spt="202" path="m,l,21600r21600,l21600,xe">
                  <v:stroke joinstyle="miter"/>
                  <v:path gradientshapeok="t" o:connecttype="rect"/>
                </v:shapetype>
                <v:shape id="TextBox 29" o:spid="_x0000_s1028" type="#_x0000_t202" style="position:absolute;left:956;top:5264;width:7950;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vCMEA&#10;AADbAAAADwAAAGRycy9kb3ducmV2LnhtbERPXWvCMBR9H/gfwhV8m4kKY3TG0gmiCG7MCfp4ae7a&#10;YnNTkqjVX788DPZ4ON/zvLetuJIPjWMNk7ECQVw603Cl4fC9en4FESKywdYxabhTgHwxeJpjZtyN&#10;v+i6j5VIIRwy1FDH2GVShrImi2HsOuLE/ThvMSboK2k83lK4beVUqRdpseHUUGNHy5rK8/5iNZw+&#10;du/OF+qw/rxztTXHhzpvHlqPhn3xBiJSH//Ff+6N0TBL69OX9A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mrwjBAAAA2wAAAA8AAAAAAAAAAAAAAAAAmAIAAGRycy9kb3du&#10;cmV2LnhtbFBLBQYAAAAABAAEAPUAAACGAwAAAAA=&#10;" filled="f" stroked="f">
                  <v:textbox inset=".99997mm,.99997mm,.99997mm,.99997mm">
                    <w:txbxContent>
                      <w:p w:rsidR="00F73ED6" w:rsidRPr="00654795" w:rsidRDefault="00EF54E2" w:rsidP="00F73ED6">
                        <w:pPr>
                          <w:pStyle w:val="NormalWeb"/>
                          <w:spacing w:before="0" w:beforeAutospacing="0" w:after="0" w:afterAutospacing="0"/>
                          <w:jc w:val="center"/>
                          <w:rPr>
                            <w:rFonts w:ascii="Arial" w:hAnsi="Arial" w:cs="Arial"/>
                            <w:sz w:val="6"/>
                          </w:rPr>
                        </w:pPr>
                        <w:r w:rsidRPr="00654795">
                          <w:rPr>
                            <w:rFonts w:ascii="Arial" w:hAnsi="Arial" w:cs="Arial"/>
                            <w:color w:val="FFFFFF"/>
                            <w:kern w:val="24"/>
                            <w:sz w:val="32"/>
                            <w:szCs w:val="144"/>
                            <w:lang w:val="nl-NL"/>
                          </w:rPr>
                          <w:t>8.61</w:t>
                        </w:r>
                        <w:r w:rsidR="0080175F" w:rsidRPr="00654795">
                          <w:rPr>
                            <w:rFonts w:ascii="Arial" w:hAnsi="Arial" w:cs="Arial"/>
                            <w:color w:val="FFFFFF"/>
                            <w:kern w:val="24"/>
                            <w:sz w:val="32"/>
                            <w:szCs w:val="144"/>
                            <w:lang w:val="nl-NL"/>
                          </w:rPr>
                          <w:t xml:space="preserve"> %</w:t>
                        </w:r>
                      </w:p>
                    </w:txbxContent>
                  </v:textbox>
                </v:shape>
                <w10:wrap type="square" anchorx="margin"/>
              </v:group>
              <o:OLEObject Type="Embed" ProgID="Excel.Chart.8" ShapeID="Chart 8" DrawAspect="Content" ObjectID="_1524604624" r:id="rId11">
                <o:FieldCodes>\s</o:FieldCodes>
              </o:OLEObject>
            </w:pict>
          </mc:Fallback>
        </mc:AlternateContent>
      </w:r>
      <w:r w:rsidR="005577BB" w:rsidRPr="007852F4">
        <w:rPr>
          <w:rFonts w:ascii="Arial" w:hAnsi="Arial" w:cs="Arial"/>
          <w:b w:val="0"/>
          <w:sz w:val="28"/>
          <w:szCs w:val="28"/>
        </w:rPr>
        <w:t>Finansavimo apžvalga</w:t>
      </w:r>
    </w:p>
    <w:p w:rsidR="005577BB" w:rsidRPr="007852F4" w:rsidRDefault="00F73ED6" w:rsidP="00F73ED6">
      <w:pPr>
        <w:jc w:val="both"/>
        <w:rPr>
          <w:rFonts w:ascii="Arial" w:eastAsia="MS PGothic" w:hAnsi="Arial" w:cs="Times New Roman"/>
          <w:color w:val="000000"/>
          <w:sz w:val="20"/>
          <w:szCs w:val="48"/>
        </w:rPr>
      </w:pPr>
      <w:r w:rsidRPr="007852F4">
        <w:rPr>
          <w:rFonts w:ascii="Arial" w:eastAsia="MS PGothic" w:hAnsi="Arial" w:cs="Times New Roman"/>
          <w:color w:val="000000"/>
          <w:sz w:val="20"/>
          <w:szCs w:val="48"/>
        </w:rPr>
        <w:t xml:space="preserve">2007 – 2013 </w:t>
      </w:r>
      <w:r w:rsidR="009A35E9" w:rsidRPr="007852F4">
        <w:rPr>
          <w:rFonts w:ascii="Arial" w:eastAsia="MS PGothic" w:hAnsi="Arial" w:cs="Times New Roman"/>
          <w:color w:val="000000"/>
          <w:sz w:val="20"/>
          <w:szCs w:val="48"/>
        </w:rPr>
        <w:t>m</w:t>
      </w:r>
      <w:r w:rsidR="0080175F" w:rsidRPr="007852F4">
        <w:rPr>
          <w:rFonts w:ascii="Arial" w:eastAsia="MS PGothic" w:hAnsi="Arial" w:cs="Times New Roman"/>
          <w:color w:val="000000"/>
          <w:sz w:val="20"/>
          <w:szCs w:val="48"/>
        </w:rPr>
        <w:t>. ES struktūrinių fondų</w:t>
      </w:r>
      <w:r w:rsidR="001F2140" w:rsidRPr="007852F4">
        <w:rPr>
          <w:rFonts w:ascii="Arial" w:eastAsia="MS PGothic" w:hAnsi="Arial" w:cs="Times New Roman"/>
          <w:color w:val="000000"/>
          <w:sz w:val="20"/>
          <w:szCs w:val="48"/>
        </w:rPr>
        <w:t xml:space="preserve"> (ES SF)</w:t>
      </w:r>
      <w:r w:rsidR="0080175F" w:rsidRPr="007852F4">
        <w:rPr>
          <w:rFonts w:ascii="Arial" w:eastAsia="MS PGothic" w:hAnsi="Arial" w:cs="Times New Roman"/>
          <w:color w:val="000000"/>
          <w:sz w:val="20"/>
          <w:szCs w:val="48"/>
        </w:rPr>
        <w:t xml:space="preserve"> programavimo</w:t>
      </w:r>
      <w:r w:rsidR="00CF323C" w:rsidRPr="007852F4">
        <w:rPr>
          <w:rFonts w:ascii="Arial" w:eastAsia="MS PGothic" w:hAnsi="Arial" w:cs="Times New Roman"/>
          <w:color w:val="000000"/>
          <w:sz w:val="20"/>
          <w:szCs w:val="48"/>
        </w:rPr>
        <w:t xml:space="preserve"> laikotarpiu, </w:t>
      </w:r>
      <w:r w:rsidR="00EF54E2" w:rsidRPr="007852F4">
        <w:rPr>
          <w:rFonts w:ascii="Arial" w:eastAsia="MS PGothic" w:hAnsi="Arial" w:cs="Times New Roman"/>
          <w:color w:val="000000"/>
          <w:sz w:val="20"/>
          <w:szCs w:val="48"/>
        </w:rPr>
        <w:t>Švenčionių</w:t>
      </w:r>
      <w:r w:rsidR="00955E14" w:rsidRPr="007852F4">
        <w:rPr>
          <w:rFonts w:ascii="Arial" w:eastAsia="MS PGothic" w:hAnsi="Arial" w:cs="Times New Roman"/>
          <w:color w:val="000000"/>
          <w:sz w:val="20"/>
          <w:szCs w:val="48"/>
        </w:rPr>
        <w:t xml:space="preserve"> rajono</w:t>
      </w:r>
      <w:r w:rsidR="009A35E9" w:rsidRPr="007852F4">
        <w:rPr>
          <w:rFonts w:ascii="Arial" w:eastAsia="MS PGothic" w:hAnsi="Arial" w:cs="Times New Roman"/>
          <w:color w:val="000000"/>
          <w:sz w:val="20"/>
          <w:szCs w:val="48"/>
        </w:rPr>
        <w:t xml:space="preserve"> savivaldybėje, </w:t>
      </w:r>
      <w:r w:rsidR="00CF47D0" w:rsidRPr="007852F4">
        <w:rPr>
          <w:rFonts w:ascii="Arial" w:eastAsia="MS PGothic" w:hAnsi="Arial" w:cs="Times New Roman"/>
          <w:color w:val="000000"/>
          <w:sz w:val="20"/>
          <w:szCs w:val="48"/>
        </w:rPr>
        <w:t xml:space="preserve">buvo finansuoti </w:t>
      </w:r>
      <w:r w:rsidR="00EF54E2" w:rsidRPr="007852F4">
        <w:rPr>
          <w:rFonts w:ascii="Arial" w:eastAsia="MS PGothic" w:hAnsi="Arial" w:cs="Times New Roman"/>
          <w:color w:val="000000"/>
          <w:sz w:val="20"/>
          <w:szCs w:val="48"/>
        </w:rPr>
        <w:t>81</w:t>
      </w:r>
      <w:r w:rsidR="00ED3673" w:rsidRPr="007852F4">
        <w:rPr>
          <w:rFonts w:ascii="Arial" w:eastAsia="MS PGothic" w:hAnsi="Arial" w:cs="Times New Roman"/>
          <w:color w:val="000000"/>
          <w:sz w:val="20"/>
          <w:szCs w:val="48"/>
        </w:rPr>
        <w:t xml:space="preserve"> </w:t>
      </w:r>
      <w:r w:rsidR="00EF54E2" w:rsidRPr="007852F4">
        <w:rPr>
          <w:rFonts w:ascii="Arial" w:eastAsia="MS PGothic" w:hAnsi="Arial" w:cs="Times New Roman"/>
          <w:color w:val="000000"/>
          <w:sz w:val="20"/>
          <w:szCs w:val="48"/>
        </w:rPr>
        <w:t>projektas</w:t>
      </w:r>
      <w:r w:rsidRPr="007852F4">
        <w:rPr>
          <w:rFonts w:ascii="Arial" w:eastAsia="MS PGothic" w:hAnsi="Arial" w:cs="Times New Roman"/>
          <w:color w:val="000000"/>
          <w:sz w:val="20"/>
          <w:szCs w:val="48"/>
        </w:rPr>
        <w:t xml:space="preserve">. </w:t>
      </w:r>
      <w:r w:rsidR="009A35E9" w:rsidRPr="007852F4">
        <w:rPr>
          <w:rFonts w:ascii="Arial" w:eastAsia="MS PGothic" w:hAnsi="Arial" w:cs="Times New Roman"/>
          <w:color w:val="000000"/>
          <w:sz w:val="20"/>
          <w:szCs w:val="48"/>
        </w:rPr>
        <w:t xml:space="preserve">Bendra </w:t>
      </w:r>
      <w:r w:rsidR="0080175F" w:rsidRPr="007852F4">
        <w:rPr>
          <w:rFonts w:ascii="Arial" w:eastAsia="MS PGothic" w:hAnsi="Arial" w:cs="Times New Roman"/>
          <w:color w:val="000000"/>
          <w:sz w:val="20"/>
          <w:szCs w:val="48"/>
        </w:rPr>
        <w:t>projektų vertė</w:t>
      </w:r>
      <w:r w:rsidR="009A35E9" w:rsidRPr="007852F4">
        <w:rPr>
          <w:rFonts w:ascii="Arial" w:eastAsia="MS PGothic" w:hAnsi="Arial" w:cs="Times New Roman"/>
          <w:color w:val="000000"/>
          <w:sz w:val="20"/>
          <w:szCs w:val="48"/>
        </w:rPr>
        <w:t xml:space="preserve"> siekė</w:t>
      </w:r>
      <w:r w:rsidR="00955E14" w:rsidRPr="007852F4">
        <w:rPr>
          <w:rFonts w:ascii="Arial" w:eastAsia="MS PGothic" w:hAnsi="Arial" w:cs="Times New Roman"/>
          <w:color w:val="000000"/>
          <w:sz w:val="20"/>
          <w:szCs w:val="48"/>
        </w:rPr>
        <w:t xml:space="preserve"> </w:t>
      </w:r>
      <w:r w:rsidR="00654795">
        <w:rPr>
          <w:rFonts w:ascii="Arial" w:eastAsia="MS PGothic" w:hAnsi="Arial" w:cs="Times New Roman"/>
          <w:color w:val="000000"/>
          <w:sz w:val="20"/>
          <w:szCs w:val="48"/>
        </w:rPr>
        <w:t>74.108 mln.</w:t>
      </w:r>
      <w:r w:rsidR="00497FA6" w:rsidRPr="007852F4">
        <w:rPr>
          <w:rFonts w:ascii="Arial" w:eastAsia="MS PGothic" w:hAnsi="Arial" w:cs="Times New Roman"/>
          <w:color w:val="000000"/>
          <w:sz w:val="20"/>
          <w:szCs w:val="48"/>
        </w:rPr>
        <w:t xml:space="preserve"> </w:t>
      </w:r>
      <w:r w:rsidR="00EF54E2" w:rsidRPr="007852F4">
        <w:rPr>
          <w:rFonts w:ascii="Arial" w:eastAsia="MS PGothic" w:hAnsi="Arial" w:cs="Times New Roman"/>
          <w:color w:val="000000"/>
          <w:sz w:val="20"/>
          <w:szCs w:val="48"/>
        </w:rPr>
        <w:t>EUR; tai sudarė 8.61</w:t>
      </w:r>
      <w:r w:rsidR="0080175F" w:rsidRPr="007852F4">
        <w:rPr>
          <w:rFonts w:ascii="Arial" w:eastAsia="MS PGothic" w:hAnsi="Arial" w:cs="Times New Roman"/>
          <w:color w:val="000000"/>
          <w:sz w:val="20"/>
          <w:szCs w:val="48"/>
        </w:rPr>
        <w:t xml:space="preserve"> proc. visų probleminėse teritorijose įgyvendintų</w:t>
      </w:r>
      <w:r w:rsidR="001F2140" w:rsidRPr="007852F4">
        <w:rPr>
          <w:rFonts w:ascii="Arial" w:eastAsia="MS PGothic" w:hAnsi="Arial" w:cs="Times New Roman"/>
          <w:color w:val="000000"/>
          <w:sz w:val="20"/>
          <w:szCs w:val="48"/>
        </w:rPr>
        <w:t xml:space="preserve"> ES SF</w:t>
      </w:r>
      <w:r w:rsidR="0080175F" w:rsidRPr="007852F4">
        <w:rPr>
          <w:rFonts w:ascii="Arial" w:eastAsia="MS PGothic" w:hAnsi="Arial" w:cs="Times New Roman"/>
          <w:color w:val="000000"/>
          <w:sz w:val="20"/>
          <w:szCs w:val="48"/>
        </w:rPr>
        <w:t xml:space="preserve"> projektų vertės.</w:t>
      </w:r>
      <w:r w:rsidR="00CF323C" w:rsidRPr="007852F4">
        <w:rPr>
          <w:rFonts w:ascii="Arial" w:eastAsia="MS PGothic" w:hAnsi="Arial" w:cs="Times New Roman"/>
          <w:color w:val="000000"/>
          <w:sz w:val="20"/>
          <w:szCs w:val="48"/>
        </w:rPr>
        <w:t xml:space="preserve"> </w:t>
      </w:r>
    </w:p>
    <w:p w:rsidR="000D5BA5" w:rsidRPr="007852F4" w:rsidRDefault="00261F3E" w:rsidP="00F73ED6">
      <w:pPr>
        <w:jc w:val="both"/>
        <w:rPr>
          <w:rFonts w:ascii="Arial" w:eastAsia="MS PGothic" w:hAnsi="Arial" w:cs="Times New Roman"/>
          <w:color w:val="000000"/>
          <w:sz w:val="20"/>
          <w:szCs w:val="48"/>
        </w:rPr>
      </w:pPr>
      <w:r w:rsidRPr="007852F4">
        <w:rPr>
          <w:rFonts w:ascii="Arial" w:eastAsia="MS PGothic" w:hAnsi="Arial" w:cs="Times New Roman"/>
          <w:color w:val="000000"/>
          <w:sz w:val="20"/>
          <w:szCs w:val="48"/>
        </w:rPr>
        <w:t xml:space="preserve">Skirtingai nei kitose probleminių teritorijų savivaldybėse, Švenčionyse </w:t>
      </w:r>
      <w:r w:rsidR="0080175F" w:rsidRPr="007852F4">
        <w:rPr>
          <w:rFonts w:ascii="Arial" w:eastAsia="MS PGothic" w:hAnsi="Arial" w:cs="Times New Roman"/>
          <w:color w:val="000000"/>
          <w:sz w:val="20"/>
          <w:szCs w:val="48"/>
        </w:rPr>
        <w:t>Sangl</w:t>
      </w:r>
      <w:r w:rsidR="00955E14" w:rsidRPr="007852F4">
        <w:rPr>
          <w:rFonts w:ascii="Arial" w:eastAsia="MS PGothic" w:hAnsi="Arial" w:cs="Times New Roman"/>
          <w:color w:val="000000"/>
          <w:sz w:val="20"/>
          <w:szCs w:val="48"/>
        </w:rPr>
        <w:t>audos skatinimo veiksmų programos</w:t>
      </w:r>
      <w:r w:rsidR="0080175F" w:rsidRPr="007852F4">
        <w:rPr>
          <w:rFonts w:ascii="Arial" w:eastAsia="MS PGothic" w:hAnsi="Arial" w:cs="Times New Roman"/>
          <w:color w:val="000000"/>
          <w:sz w:val="20"/>
          <w:szCs w:val="48"/>
        </w:rPr>
        <w:t xml:space="preserve"> (SSVP)</w:t>
      </w:r>
      <w:r w:rsidR="00C144CE" w:rsidRPr="007852F4">
        <w:rPr>
          <w:rFonts w:ascii="Arial" w:eastAsia="MS PGothic" w:hAnsi="Arial" w:cs="Times New Roman"/>
          <w:color w:val="000000"/>
          <w:sz w:val="20"/>
          <w:szCs w:val="48"/>
        </w:rPr>
        <w:t xml:space="preserve"> apimtyje įgyvendintų projektų vertė </w:t>
      </w:r>
      <w:r w:rsidR="00CF323C" w:rsidRPr="007852F4">
        <w:rPr>
          <w:rFonts w:ascii="Arial" w:eastAsia="MS PGothic" w:hAnsi="Arial" w:cs="Times New Roman"/>
          <w:color w:val="000000"/>
          <w:sz w:val="20"/>
          <w:szCs w:val="48"/>
        </w:rPr>
        <w:t>sudaro</w:t>
      </w:r>
      <w:r w:rsidRPr="007852F4">
        <w:rPr>
          <w:rFonts w:ascii="Arial" w:eastAsia="MS PGothic" w:hAnsi="Arial" w:cs="Times New Roman"/>
          <w:color w:val="000000"/>
          <w:sz w:val="20"/>
          <w:szCs w:val="48"/>
        </w:rPr>
        <w:t xml:space="preserve"> vos</w:t>
      </w:r>
      <w:r w:rsidR="00CF323C" w:rsidRPr="007852F4">
        <w:rPr>
          <w:rFonts w:ascii="Arial" w:eastAsia="MS PGothic" w:hAnsi="Arial" w:cs="Times New Roman"/>
          <w:color w:val="000000"/>
          <w:sz w:val="20"/>
          <w:szCs w:val="48"/>
        </w:rPr>
        <w:t xml:space="preserve"> </w:t>
      </w:r>
      <w:r w:rsidR="00EF54E2" w:rsidRPr="007852F4">
        <w:rPr>
          <w:rFonts w:ascii="Arial" w:eastAsia="MS PGothic" w:hAnsi="Arial" w:cs="Times New Roman"/>
          <w:color w:val="000000"/>
          <w:sz w:val="20"/>
          <w:szCs w:val="48"/>
        </w:rPr>
        <w:t>26</w:t>
      </w:r>
      <w:r w:rsidRPr="007852F4">
        <w:rPr>
          <w:rFonts w:ascii="Arial" w:eastAsia="MS PGothic" w:hAnsi="Arial" w:cs="Times New Roman"/>
          <w:color w:val="000000"/>
          <w:sz w:val="20"/>
          <w:szCs w:val="48"/>
        </w:rPr>
        <w:t xml:space="preserve"> proc. teritorijai skirtų ES struktūrinių fondų lėšų</w:t>
      </w:r>
      <w:r w:rsidR="00C144CE" w:rsidRPr="007852F4">
        <w:rPr>
          <w:rFonts w:ascii="Arial" w:eastAsia="MS PGothic" w:hAnsi="Arial" w:cs="Times New Roman"/>
          <w:color w:val="000000"/>
          <w:sz w:val="20"/>
          <w:szCs w:val="48"/>
        </w:rPr>
        <w:t xml:space="preserve">. </w:t>
      </w:r>
      <w:r w:rsidR="00955E14" w:rsidRPr="007852F4">
        <w:rPr>
          <w:rFonts w:ascii="Arial" w:eastAsia="MS PGothic" w:hAnsi="Arial" w:cs="Times New Roman"/>
          <w:color w:val="000000"/>
          <w:sz w:val="20"/>
          <w:szCs w:val="48"/>
        </w:rPr>
        <w:t xml:space="preserve"> Ekonomikos augimo veiksmų programos (EAVP) lėšos sudarė</w:t>
      </w:r>
      <w:r w:rsidRPr="007852F4">
        <w:rPr>
          <w:rFonts w:ascii="Arial" w:eastAsia="MS PGothic" w:hAnsi="Arial" w:cs="Times New Roman"/>
          <w:color w:val="000000"/>
          <w:sz w:val="20"/>
          <w:szCs w:val="48"/>
        </w:rPr>
        <w:t xml:space="preserve"> daugiausiai -</w:t>
      </w:r>
      <w:r w:rsidR="00955E14" w:rsidRPr="007852F4">
        <w:rPr>
          <w:rFonts w:ascii="Arial" w:eastAsia="MS PGothic" w:hAnsi="Arial" w:cs="Times New Roman"/>
          <w:color w:val="000000"/>
          <w:sz w:val="20"/>
          <w:szCs w:val="48"/>
        </w:rPr>
        <w:t xml:space="preserve">  </w:t>
      </w:r>
      <w:r w:rsidR="00EF54E2" w:rsidRPr="007852F4">
        <w:rPr>
          <w:rFonts w:ascii="Arial" w:eastAsia="MS PGothic" w:hAnsi="Arial" w:cs="Times New Roman"/>
          <w:color w:val="000000"/>
          <w:sz w:val="20"/>
          <w:szCs w:val="48"/>
        </w:rPr>
        <w:t>71</w:t>
      </w:r>
      <w:r w:rsidR="00955E14" w:rsidRPr="007852F4">
        <w:rPr>
          <w:rFonts w:ascii="Arial" w:eastAsia="MS PGothic" w:hAnsi="Arial" w:cs="Times New Roman"/>
          <w:color w:val="000000"/>
          <w:sz w:val="20"/>
          <w:szCs w:val="48"/>
        </w:rPr>
        <w:t xml:space="preserve"> proc.</w:t>
      </w:r>
      <w:r w:rsidR="00C144CE" w:rsidRPr="007852F4">
        <w:rPr>
          <w:rFonts w:ascii="Arial" w:eastAsia="MS PGothic" w:hAnsi="Arial" w:cs="Times New Roman"/>
          <w:color w:val="000000"/>
          <w:sz w:val="20"/>
          <w:szCs w:val="48"/>
        </w:rPr>
        <w:t xml:space="preserve"> viso skirto ES SF finansavimo, t</w:t>
      </w:r>
      <w:r w:rsidR="00D65C3C" w:rsidRPr="007852F4">
        <w:rPr>
          <w:rFonts w:ascii="Arial" w:eastAsia="MS PGothic" w:hAnsi="Arial" w:cs="Times New Roman"/>
          <w:color w:val="000000"/>
          <w:sz w:val="20"/>
          <w:szCs w:val="48"/>
        </w:rPr>
        <w:t>uo tarpu Žmogiškųjų išt</w:t>
      </w:r>
      <w:r w:rsidR="000D5BA5" w:rsidRPr="007852F4">
        <w:rPr>
          <w:rFonts w:ascii="Arial" w:eastAsia="MS PGothic" w:hAnsi="Arial" w:cs="Times New Roman"/>
          <w:color w:val="000000"/>
          <w:sz w:val="20"/>
          <w:szCs w:val="48"/>
        </w:rPr>
        <w:t>eklių veiksmų programos</w:t>
      </w:r>
      <w:r w:rsidR="00D65C3C" w:rsidRPr="007852F4">
        <w:rPr>
          <w:rFonts w:ascii="Arial" w:eastAsia="MS PGothic" w:hAnsi="Arial" w:cs="Times New Roman"/>
          <w:color w:val="000000"/>
          <w:sz w:val="20"/>
          <w:szCs w:val="48"/>
        </w:rPr>
        <w:t xml:space="preserve"> (ŽIPVP) </w:t>
      </w:r>
      <w:r w:rsidR="000D5BA5" w:rsidRPr="007852F4">
        <w:rPr>
          <w:rFonts w:ascii="Arial" w:eastAsia="MS PGothic" w:hAnsi="Arial" w:cs="Times New Roman"/>
          <w:color w:val="000000"/>
          <w:sz w:val="20"/>
          <w:szCs w:val="48"/>
        </w:rPr>
        <w:t>lėšos</w:t>
      </w:r>
      <w:r w:rsidR="00D65C3C" w:rsidRPr="007852F4">
        <w:rPr>
          <w:rFonts w:ascii="Arial" w:eastAsia="MS PGothic" w:hAnsi="Arial" w:cs="Times New Roman"/>
          <w:color w:val="000000"/>
          <w:sz w:val="20"/>
          <w:szCs w:val="48"/>
        </w:rPr>
        <w:t xml:space="preserve"> </w:t>
      </w:r>
      <w:r w:rsidR="000D5BA5" w:rsidRPr="007852F4">
        <w:rPr>
          <w:rFonts w:ascii="Arial" w:eastAsia="MS PGothic" w:hAnsi="Arial" w:cs="Times New Roman"/>
          <w:color w:val="000000"/>
          <w:sz w:val="20"/>
          <w:szCs w:val="48"/>
        </w:rPr>
        <w:t xml:space="preserve">sudarė </w:t>
      </w:r>
      <w:r w:rsidRPr="007852F4">
        <w:rPr>
          <w:rFonts w:ascii="Arial" w:eastAsia="MS PGothic" w:hAnsi="Arial" w:cs="Times New Roman"/>
          <w:color w:val="000000"/>
          <w:sz w:val="20"/>
          <w:szCs w:val="48"/>
        </w:rPr>
        <w:t>tik</w:t>
      </w:r>
      <w:r w:rsidR="00EF54E2" w:rsidRPr="007852F4">
        <w:rPr>
          <w:rFonts w:ascii="Arial" w:eastAsia="MS PGothic" w:hAnsi="Arial" w:cs="Times New Roman"/>
          <w:color w:val="000000"/>
          <w:sz w:val="20"/>
          <w:szCs w:val="48"/>
        </w:rPr>
        <w:t xml:space="preserve"> 3</w:t>
      </w:r>
      <w:r w:rsidR="000D5BA5" w:rsidRPr="007852F4">
        <w:rPr>
          <w:rFonts w:ascii="Arial" w:eastAsia="MS PGothic" w:hAnsi="Arial" w:cs="Times New Roman"/>
          <w:color w:val="000000"/>
          <w:sz w:val="20"/>
          <w:szCs w:val="48"/>
        </w:rPr>
        <w:t xml:space="preserve"> proc. </w:t>
      </w:r>
      <w:r w:rsidR="00C144CE" w:rsidRPr="007852F4">
        <w:rPr>
          <w:rFonts w:ascii="Arial" w:eastAsia="MS PGothic" w:hAnsi="Arial" w:cs="Times New Roman"/>
          <w:color w:val="000000"/>
          <w:sz w:val="20"/>
          <w:szCs w:val="48"/>
        </w:rPr>
        <w:t>Nagrinėjant projektų skaičių, matoma, kad ŽIPVP ap</w:t>
      </w:r>
      <w:r w:rsidR="00EF54E2" w:rsidRPr="007852F4">
        <w:rPr>
          <w:rFonts w:ascii="Arial" w:eastAsia="MS PGothic" w:hAnsi="Arial" w:cs="Times New Roman"/>
          <w:color w:val="000000"/>
          <w:sz w:val="20"/>
          <w:szCs w:val="48"/>
        </w:rPr>
        <w:t>imtyje buvo įgyvendinta daug (27</w:t>
      </w:r>
      <w:r w:rsidR="00264515" w:rsidRPr="007852F4">
        <w:rPr>
          <w:rFonts w:ascii="Arial" w:eastAsia="MS PGothic" w:hAnsi="Arial" w:cs="Times New Roman"/>
          <w:color w:val="000000"/>
          <w:sz w:val="20"/>
          <w:szCs w:val="48"/>
        </w:rPr>
        <w:t xml:space="preserve"> projektų</w:t>
      </w:r>
      <w:r w:rsidR="00C144CE" w:rsidRPr="007852F4">
        <w:rPr>
          <w:rFonts w:ascii="Arial" w:eastAsia="MS PGothic" w:hAnsi="Arial" w:cs="Times New Roman"/>
          <w:color w:val="000000"/>
          <w:sz w:val="20"/>
          <w:szCs w:val="48"/>
        </w:rPr>
        <w:t xml:space="preserve">) mažos vertės projektų, </w:t>
      </w:r>
      <w:r w:rsidR="00EF54E2" w:rsidRPr="007852F4">
        <w:rPr>
          <w:rFonts w:ascii="Arial" w:eastAsia="MS PGothic" w:hAnsi="Arial" w:cs="Times New Roman"/>
          <w:color w:val="000000"/>
          <w:sz w:val="20"/>
          <w:szCs w:val="48"/>
        </w:rPr>
        <w:t>tuo tarpu EAVP</w:t>
      </w:r>
      <w:r w:rsidRPr="007852F4">
        <w:rPr>
          <w:rFonts w:ascii="Arial" w:eastAsia="MS PGothic" w:hAnsi="Arial" w:cs="Times New Roman"/>
          <w:color w:val="000000"/>
          <w:sz w:val="20"/>
          <w:szCs w:val="48"/>
        </w:rPr>
        <w:t xml:space="preserve"> ir SSVP projektų skaičius (nepaisant finansavimo apimčių skirtumų) buvo panašus (atitinkamai </w:t>
      </w:r>
      <w:r w:rsidR="00EF54E2" w:rsidRPr="007852F4">
        <w:rPr>
          <w:rFonts w:ascii="Arial" w:eastAsia="MS PGothic" w:hAnsi="Arial" w:cs="Times New Roman"/>
          <w:color w:val="000000"/>
          <w:sz w:val="20"/>
          <w:szCs w:val="48"/>
        </w:rPr>
        <w:t>21</w:t>
      </w:r>
      <w:r w:rsidR="00264515" w:rsidRPr="007852F4">
        <w:rPr>
          <w:rFonts w:ascii="Arial" w:eastAsia="MS PGothic" w:hAnsi="Arial" w:cs="Times New Roman"/>
          <w:color w:val="000000"/>
          <w:sz w:val="20"/>
          <w:szCs w:val="48"/>
        </w:rPr>
        <w:t xml:space="preserve"> </w:t>
      </w:r>
      <w:r w:rsidRPr="007852F4">
        <w:rPr>
          <w:rFonts w:ascii="Arial" w:eastAsia="MS PGothic" w:hAnsi="Arial" w:cs="Times New Roman"/>
          <w:color w:val="000000"/>
          <w:sz w:val="20"/>
          <w:szCs w:val="48"/>
        </w:rPr>
        <w:t>ir</w:t>
      </w:r>
      <w:r w:rsidR="00EF54E2" w:rsidRPr="007852F4">
        <w:rPr>
          <w:rFonts w:ascii="Arial" w:eastAsia="MS PGothic" w:hAnsi="Arial" w:cs="Times New Roman"/>
          <w:color w:val="000000"/>
          <w:sz w:val="20"/>
          <w:szCs w:val="48"/>
        </w:rPr>
        <w:t xml:space="preserve"> 33</w:t>
      </w:r>
      <w:r w:rsidR="00C144CE" w:rsidRPr="007852F4">
        <w:rPr>
          <w:rFonts w:ascii="Arial" w:eastAsia="MS PGothic" w:hAnsi="Arial" w:cs="Times New Roman"/>
          <w:color w:val="000000"/>
          <w:sz w:val="20"/>
          <w:szCs w:val="48"/>
        </w:rPr>
        <w:t xml:space="preserve"> projektai</w:t>
      </w:r>
      <w:r w:rsidRPr="007852F4">
        <w:rPr>
          <w:rFonts w:ascii="Arial" w:eastAsia="MS PGothic" w:hAnsi="Arial" w:cs="Times New Roman"/>
          <w:color w:val="000000"/>
          <w:sz w:val="20"/>
          <w:szCs w:val="48"/>
        </w:rPr>
        <w:t>)</w:t>
      </w:r>
      <w:r w:rsidR="00C144CE" w:rsidRPr="007852F4">
        <w:rPr>
          <w:rFonts w:ascii="Arial" w:eastAsia="MS PGothic" w:hAnsi="Arial" w:cs="Times New Roman"/>
          <w:color w:val="000000"/>
          <w:sz w:val="20"/>
          <w:szCs w:val="48"/>
        </w:rPr>
        <w:t>.</w:t>
      </w:r>
    </w:p>
    <w:p w:rsidR="0020781B" w:rsidRPr="007852F4" w:rsidRDefault="00D65C3C" w:rsidP="0020781B">
      <w:pPr>
        <w:pStyle w:val="Caption"/>
        <w:keepNext/>
      </w:pPr>
      <w:r w:rsidRPr="007852F4">
        <w:rPr>
          <w:noProof/>
          <w:lang w:val="en-US"/>
        </w:rPr>
        <w:drawing>
          <wp:anchor distT="0" distB="0" distL="114300" distR="114300" simplePos="0" relativeHeight="251671552" behindDoc="0" locked="0" layoutInCell="1" allowOverlap="1" wp14:anchorId="4C163F33" wp14:editId="0C835CCD">
            <wp:simplePos x="0" y="0"/>
            <wp:positionH relativeFrom="margin">
              <wp:posOffset>47625</wp:posOffset>
            </wp:positionH>
            <wp:positionV relativeFrom="paragraph">
              <wp:posOffset>413385</wp:posOffset>
            </wp:positionV>
            <wp:extent cx="2971800" cy="2143125"/>
            <wp:effectExtent l="0" t="0" r="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20781B" w:rsidRPr="007852F4">
        <w:fldChar w:fldCharType="begin"/>
      </w:r>
      <w:r w:rsidR="0020781B" w:rsidRPr="007852F4">
        <w:instrText xml:space="preserve"> SEQ paveikslas \* ARABIC </w:instrText>
      </w:r>
      <w:r w:rsidR="0020781B" w:rsidRPr="007852F4">
        <w:fldChar w:fldCharType="separate"/>
      </w:r>
      <w:r w:rsidR="008A1509" w:rsidRPr="007852F4">
        <w:t>1</w:t>
      </w:r>
      <w:r w:rsidR="0020781B" w:rsidRPr="007852F4">
        <w:fldChar w:fldCharType="end"/>
      </w:r>
      <w:r w:rsidR="0020781B" w:rsidRPr="007852F4">
        <w:t xml:space="preserve"> paveikslas. Veiksmų</w:t>
      </w:r>
      <w:r w:rsidR="000D5BA5" w:rsidRPr="007852F4">
        <w:t xml:space="preserve"> programų finansavimas (dalis bendros projektų vertės</w:t>
      </w:r>
      <w:r w:rsidR="00326A1B" w:rsidRPr="007852F4">
        <w:t>)</w:t>
      </w:r>
      <w:r w:rsidR="0020781B" w:rsidRPr="007852F4">
        <w:t xml:space="preserve"> </w:t>
      </w:r>
    </w:p>
    <w:p w:rsidR="00D65C3C" w:rsidRPr="007852F4" w:rsidRDefault="00D65C3C" w:rsidP="00A552B8">
      <w:pPr>
        <w:pStyle w:val="Caption"/>
        <w:spacing w:before="240"/>
        <w:rPr>
          <w:b w:val="0"/>
        </w:rPr>
      </w:pPr>
    </w:p>
    <w:p w:rsidR="00D65C3C" w:rsidRPr="007852F4" w:rsidRDefault="00D65C3C" w:rsidP="00A552B8">
      <w:pPr>
        <w:pStyle w:val="Caption"/>
        <w:spacing w:before="240"/>
        <w:rPr>
          <w:b w:val="0"/>
        </w:rPr>
      </w:pPr>
    </w:p>
    <w:p w:rsidR="00D65C3C" w:rsidRPr="007852F4" w:rsidRDefault="00D65C3C" w:rsidP="00A552B8">
      <w:pPr>
        <w:pStyle w:val="Caption"/>
        <w:spacing w:before="240"/>
        <w:rPr>
          <w:b w:val="0"/>
        </w:rPr>
      </w:pPr>
    </w:p>
    <w:p w:rsidR="00D65C3C" w:rsidRPr="007852F4" w:rsidRDefault="00D65C3C" w:rsidP="00A552B8">
      <w:pPr>
        <w:pStyle w:val="Caption"/>
        <w:spacing w:before="240"/>
        <w:rPr>
          <w:b w:val="0"/>
        </w:rPr>
      </w:pPr>
    </w:p>
    <w:p w:rsidR="00D65C3C" w:rsidRPr="007852F4" w:rsidRDefault="00D65C3C" w:rsidP="00A552B8">
      <w:pPr>
        <w:pStyle w:val="Caption"/>
        <w:spacing w:before="240"/>
        <w:rPr>
          <w:b w:val="0"/>
        </w:rPr>
      </w:pPr>
    </w:p>
    <w:p w:rsidR="00D65C3C" w:rsidRPr="007852F4" w:rsidRDefault="00D65C3C" w:rsidP="00A552B8">
      <w:pPr>
        <w:pStyle w:val="Caption"/>
        <w:spacing w:before="240"/>
        <w:rPr>
          <w:b w:val="0"/>
        </w:rPr>
      </w:pPr>
    </w:p>
    <w:p w:rsidR="00D65C3C" w:rsidRPr="007852F4" w:rsidRDefault="00D65C3C" w:rsidP="00A552B8">
      <w:pPr>
        <w:pStyle w:val="Caption"/>
        <w:spacing w:before="240"/>
        <w:rPr>
          <w:b w:val="0"/>
        </w:rPr>
      </w:pPr>
    </w:p>
    <w:p w:rsidR="00D65C3C" w:rsidRPr="007852F4" w:rsidRDefault="00D65C3C" w:rsidP="00D65C3C">
      <w:pPr>
        <w:pStyle w:val="Caption"/>
        <w:spacing w:after="0"/>
        <w:rPr>
          <w:b w:val="0"/>
        </w:rPr>
      </w:pPr>
    </w:p>
    <w:p w:rsidR="00654795" w:rsidRDefault="00654795" w:rsidP="00D65C3C">
      <w:pPr>
        <w:pStyle w:val="Caption"/>
        <w:spacing w:before="120"/>
        <w:rPr>
          <w:b w:val="0"/>
        </w:rPr>
      </w:pPr>
    </w:p>
    <w:p w:rsidR="005577BB" w:rsidRPr="007852F4" w:rsidRDefault="005577BB" w:rsidP="00D65C3C">
      <w:pPr>
        <w:pStyle w:val="Caption"/>
        <w:spacing w:before="120"/>
        <w:rPr>
          <w:b w:val="0"/>
        </w:rPr>
      </w:pPr>
      <w:r w:rsidRPr="007852F4">
        <w:rPr>
          <w:b w:val="0"/>
        </w:rPr>
        <w:t xml:space="preserve">Šaltinis: </w:t>
      </w:r>
      <w:hyperlink r:id="rId13" w:history="1">
        <w:r w:rsidR="009D7299" w:rsidRPr="007852F4">
          <w:rPr>
            <w:rStyle w:val="Hyperlink"/>
            <w:b w:val="0"/>
          </w:rPr>
          <w:t>www.esparama.lt</w:t>
        </w:r>
      </w:hyperlink>
    </w:p>
    <w:p w:rsidR="00C83C6E" w:rsidRPr="007852F4" w:rsidRDefault="002677E8" w:rsidP="000C024B">
      <w:pPr>
        <w:jc w:val="both"/>
        <w:rPr>
          <w:rFonts w:ascii="Arial" w:hAnsi="Arial" w:cs="Arial"/>
          <w:sz w:val="20"/>
        </w:rPr>
      </w:pPr>
      <w:r w:rsidRPr="007852F4">
        <w:rPr>
          <w:rFonts w:ascii="Arial" w:hAnsi="Arial" w:cs="Arial"/>
          <w:sz w:val="20"/>
        </w:rPr>
        <w:t xml:space="preserve">Analizuojant veiksmų </w:t>
      </w:r>
      <w:r w:rsidR="000534F9" w:rsidRPr="007852F4">
        <w:rPr>
          <w:rFonts w:ascii="Arial" w:hAnsi="Arial" w:cs="Arial"/>
          <w:sz w:val="20"/>
        </w:rPr>
        <w:t>programų prioritetų</w:t>
      </w:r>
      <w:r w:rsidRPr="007852F4">
        <w:rPr>
          <w:rFonts w:ascii="Arial" w:hAnsi="Arial" w:cs="Arial"/>
          <w:sz w:val="20"/>
        </w:rPr>
        <w:t xml:space="preserve"> finansavimą</w:t>
      </w:r>
      <w:r w:rsidR="003D195A" w:rsidRPr="007852F4">
        <w:rPr>
          <w:rFonts w:ascii="Arial" w:hAnsi="Arial" w:cs="Arial"/>
          <w:sz w:val="20"/>
        </w:rPr>
        <w:t>,</w:t>
      </w:r>
      <w:r w:rsidR="00C83C6E" w:rsidRPr="007852F4">
        <w:rPr>
          <w:rFonts w:ascii="Arial" w:hAnsi="Arial" w:cs="Arial"/>
          <w:sz w:val="20"/>
        </w:rPr>
        <w:t xml:space="preserve"> ŽIPVP apimtyje ES finansavim</w:t>
      </w:r>
      <w:r w:rsidR="00654795">
        <w:rPr>
          <w:rFonts w:ascii="Arial" w:hAnsi="Arial" w:cs="Arial"/>
          <w:sz w:val="20"/>
        </w:rPr>
        <w:t>as</w:t>
      </w:r>
      <w:r w:rsidR="00C83C6E" w:rsidRPr="007852F4">
        <w:rPr>
          <w:rFonts w:ascii="Arial" w:hAnsi="Arial" w:cs="Arial"/>
          <w:sz w:val="20"/>
        </w:rPr>
        <w:t xml:space="preserve"> </w:t>
      </w:r>
      <w:r w:rsidR="003B6A83" w:rsidRPr="007852F4">
        <w:rPr>
          <w:rFonts w:ascii="Arial" w:hAnsi="Arial" w:cs="Arial"/>
          <w:sz w:val="20"/>
        </w:rPr>
        <w:t>buvo skirta</w:t>
      </w:r>
      <w:r w:rsidR="00654795">
        <w:rPr>
          <w:rFonts w:ascii="Arial" w:hAnsi="Arial" w:cs="Arial"/>
          <w:sz w:val="20"/>
        </w:rPr>
        <w:t>s</w:t>
      </w:r>
      <w:r w:rsidR="00C83C6E" w:rsidRPr="007852F4">
        <w:rPr>
          <w:rFonts w:ascii="Arial" w:hAnsi="Arial" w:cs="Arial"/>
          <w:sz w:val="20"/>
        </w:rPr>
        <w:t xml:space="preserve"> prioritetų „1 Prioritetas. Kokybiškas užimtumas ir socialinė aprėptis</w:t>
      </w:r>
      <w:r w:rsidR="003B6A83" w:rsidRPr="007852F4">
        <w:rPr>
          <w:rFonts w:ascii="Arial" w:hAnsi="Arial" w:cs="Arial"/>
          <w:sz w:val="20"/>
        </w:rPr>
        <w:t xml:space="preserve">“ </w:t>
      </w:r>
      <w:r w:rsidR="00C83C6E" w:rsidRPr="007852F4">
        <w:rPr>
          <w:rFonts w:ascii="Arial" w:hAnsi="Arial" w:cs="Arial"/>
          <w:sz w:val="20"/>
        </w:rPr>
        <w:t>ir „4 Prioritetas. Administracinių gebėjimų stiprinimas ir viešojo administravimo efektyvumo didinima</w:t>
      </w:r>
      <w:r w:rsidR="0005613F" w:rsidRPr="007852F4">
        <w:rPr>
          <w:rFonts w:ascii="Arial" w:hAnsi="Arial" w:cs="Arial"/>
          <w:sz w:val="20"/>
        </w:rPr>
        <w:t>s“ projekta</w:t>
      </w:r>
      <w:r w:rsidR="00654795">
        <w:rPr>
          <w:rFonts w:ascii="Arial" w:hAnsi="Arial" w:cs="Arial"/>
          <w:sz w:val="20"/>
        </w:rPr>
        <w:t>ms</w:t>
      </w:r>
      <w:r w:rsidR="0005613F" w:rsidRPr="007852F4">
        <w:rPr>
          <w:rFonts w:ascii="Arial" w:hAnsi="Arial" w:cs="Arial"/>
          <w:sz w:val="20"/>
        </w:rPr>
        <w:t>. EAVP apimtyje –</w:t>
      </w:r>
      <w:r w:rsidR="00955E14" w:rsidRPr="007852F4">
        <w:rPr>
          <w:rFonts w:ascii="Arial" w:hAnsi="Arial" w:cs="Arial"/>
          <w:sz w:val="20"/>
        </w:rPr>
        <w:t xml:space="preserve"> </w:t>
      </w:r>
      <w:r w:rsidR="003B6A83" w:rsidRPr="007852F4">
        <w:rPr>
          <w:rFonts w:ascii="Arial" w:hAnsi="Arial" w:cs="Arial"/>
          <w:sz w:val="20"/>
        </w:rPr>
        <w:t xml:space="preserve"> </w:t>
      </w:r>
      <w:r w:rsidR="00B25538" w:rsidRPr="007852F4">
        <w:rPr>
          <w:rFonts w:ascii="Arial" w:hAnsi="Arial" w:cs="Arial"/>
          <w:sz w:val="20"/>
        </w:rPr>
        <w:t>ke</w:t>
      </w:r>
      <w:r w:rsidR="00654795">
        <w:rPr>
          <w:rFonts w:ascii="Arial" w:hAnsi="Arial" w:cs="Arial"/>
          <w:sz w:val="20"/>
        </w:rPr>
        <w:t>turių pirmų prioritetų projektams</w:t>
      </w:r>
      <w:r w:rsidR="00C83C6E" w:rsidRPr="007852F4">
        <w:rPr>
          <w:rFonts w:ascii="Arial" w:hAnsi="Arial" w:cs="Arial"/>
          <w:sz w:val="20"/>
        </w:rPr>
        <w:t xml:space="preserve">. SSVP apimtyje – „1 Prioriteto. Vietinė ir urbanistinė plėtra, kultūros paveldo ir gamtos išsaugojimas bei pritaikymas turizmo plėtrai“, „2 Prioriteto. Viešųjų paslaugų kokybė ir prieinamumas: sveikatos, švietimo ir socialinė infrastruktūra“ ir „3 Prioriteto. Aplinka ir </w:t>
      </w:r>
      <w:r w:rsidR="00C83C6E" w:rsidRPr="007852F4">
        <w:rPr>
          <w:rFonts w:ascii="Arial" w:hAnsi="Arial" w:cs="Arial"/>
          <w:sz w:val="20"/>
        </w:rPr>
        <w:lastRenderedPageBreak/>
        <w:t>darnus vystymasis“ projekta</w:t>
      </w:r>
      <w:r w:rsidR="00654795">
        <w:rPr>
          <w:rFonts w:ascii="Arial" w:hAnsi="Arial" w:cs="Arial"/>
          <w:sz w:val="20"/>
        </w:rPr>
        <w:t>ms</w:t>
      </w:r>
      <w:r w:rsidR="00C83C6E" w:rsidRPr="007852F4">
        <w:rPr>
          <w:rFonts w:ascii="Arial" w:hAnsi="Arial" w:cs="Arial"/>
          <w:sz w:val="20"/>
        </w:rPr>
        <w:t>. Taigi investuojama buvo į užimtumo didinimą,</w:t>
      </w:r>
      <w:r w:rsidR="003B6A83" w:rsidRPr="007852F4">
        <w:rPr>
          <w:rFonts w:ascii="Arial" w:hAnsi="Arial" w:cs="Arial"/>
          <w:sz w:val="20"/>
        </w:rPr>
        <w:t xml:space="preserve"> </w:t>
      </w:r>
      <w:r w:rsidR="00C83C6E" w:rsidRPr="007852F4">
        <w:rPr>
          <w:rFonts w:ascii="Arial" w:hAnsi="Arial" w:cs="Arial"/>
          <w:sz w:val="20"/>
        </w:rPr>
        <w:t>viešojo valdymo tobulinimą,</w:t>
      </w:r>
      <w:r w:rsidR="00E805EC" w:rsidRPr="007852F4">
        <w:rPr>
          <w:rFonts w:ascii="Arial" w:hAnsi="Arial" w:cs="Arial"/>
          <w:sz w:val="20"/>
        </w:rPr>
        <w:t xml:space="preserve"> </w:t>
      </w:r>
      <w:r w:rsidR="00B25538" w:rsidRPr="007852F4">
        <w:rPr>
          <w:rFonts w:ascii="Arial" w:hAnsi="Arial" w:cs="Arial"/>
          <w:sz w:val="20"/>
        </w:rPr>
        <w:t>ekonomikos augimą, verslo įmonių konkurencingumą ir produktyvumą</w:t>
      </w:r>
      <w:r w:rsidR="003B6A83" w:rsidRPr="007852F4">
        <w:rPr>
          <w:rFonts w:ascii="Arial" w:hAnsi="Arial" w:cs="Arial"/>
          <w:sz w:val="20"/>
        </w:rPr>
        <w:t>,</w:t>
      </w:r>
      <w:r w:rsidR="00B25538" w:rsidRPr="007852F4">
        <w:rPr>
          <w:rFonts w:ascii="Arial" w:hAnsi="Arial" w:cs="Arial"/>
          <w:sz w:val="20"/>
        </w:rPr>
        <w:t xml:space="preserve"> informacinės visuomenės plėtrą,</w:t>
      </w:r>
      <w:r w:rsidR="003B6A83" w:rsidRPr="007852F4">
        <w:rPr>
          <w:rFonts w:ascii="Arial" w:hAnsi="Arial" w:cs="Arial"/>
          <w:sz w:val="20"/>
        </w:rPr>
        <w:t xml:space="preserve"> </w:t>
      </w:r>
      <w:r w:rsidR="00C83C6E" w:rsidRPr="007852F4">
        <w:rPr>
          <w:rFonts w:ascii="Arial" w:hAnsi="Arial" w:cs="Arial"/>
          <w:sz w:val="20"/>
        </w:rPr>
        <w:t xml:space="preserve">miestų plėtrą ir paveldo išsaugojimo, viešųjų paslaugų kokybę ir aplinkosaugą. Daugiausiai buvo investuojama į gamybinį kapitalą; didžioji dalis investicijų įgyvendintos pasitelkiant vertikaliai darnaus vystymosi horizontalų prioritetą integruojančias priemones. </w:t>
      </w:r>
    </w:p>
    <w:p w:rsidR="003B6A9C" w:rsidRPr="007852F4" w:rsidRDefault="003B6A9C" w:rsidP="003B6A9C">
      <w:pPr>
        <w:pStyle w:val="Caption"/>
        <w:keepNext/>
      </w:pPr>
      <w:r w:rsidRPr="007852F4">
        <w:fldChar w:fldCharType="begin"/>
      </w:r>
      <w:r w:rsidRPr="007852F4">
        <w:instrText xml:space="preserve"> SEQ paveikslas \* ARABIC </w:instrText>
      </w:r>
      <w:r w:rsidRPr="007852F4">
        <w:fldChar w:fldCharType="separate"/>
      </w:r>
      <w:r w:rsidR="00E41636" w:rsidRPr="007852F4">
        <w:t>2</w:t>
      </w:r>
      <w:r w:rsidRPr="007852F4">
        <w:fldChar w:fldCharType="end"/>
      </w:r>
      <w:r w:rsidRPr="007852F4">
        <w:t xml:space="preserve"> paveikslas. Veiksmų programų prioritetų finansavimas (</w:t>
      </w:r>
      <w:r w:rsidR="00C849C4" w:rsidRPr="007852F4">
        <w:t>dalis nuo visos VP)</w:t>
      </w:r>
    </w:p>
    <w:p w:rsidR="009D7299" w:rsidRPr="007852F4" w:rsidRDefault="00654795" w:rsidP="000C024B">
      <w:pPr>
        <w:jc w:val="both"/>
        <w:rPr>
          <w:rFonts w:ascii="Arial" w:hAnsi="Arial" w:cs="Arial"/>
          <w:sz w:val="20"/>
        </w:rPr>
      </w:pPr>
      <w:r w:rsidRPr="007852F4">
        <w:rPr>
          <w:rFonts w:ascii="Arial" w:hAnsi="Arial" w:cs="Arial"/>
          <w:noProof/>
          <w:sz w:val="20"/>
          <w:lang w:val="en-US"/>
        </w:rPr>
        <w:drawing>
          <wp:anchor distT="0" distB="0" distL="114300" distR="114300" simplePos="0" relativeHeight="251672576" behindDoc="0" locked="0" layoutInCell="1" allowOverlap="1" wp14:anchorId="333BE01A" wp14:editId="1B110FA0">
            <wp:simplePos x="0" y="0"/>
            <wp:positionH relativeFrom="margin">
              <wp:posOffset>-14605</wp:posOffset>
            </wp:positionH>
            <wp:positionV relativeFrom="paragraph">
              <wp:posOffset>53975</wp:posOffset>
            </wp:positionV>
            <wp:extent cx="4676775" cy="1724025"/>
            <wp:effectExtent l="0" t="0" r="9525" b="952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2677E8" w:rsidRPr="007852F4" w:rsidRDefault="002677E8" w:rsidP="00A552B8">
      <w:pPr>
        <w:pStyle w:val="Caption"/>
        <w:spacing w:before="240"/>
        <w:rPr>
          <w:b w:val="0"/>
        </w:rPr>
      </w:pPr>
    </w:p>
    <w:p w:rsidR="00654795" w:rsidRDefault="00654795" w:rsidP="00FF20FA">
      <w:pPr>
        <w:pStyle w:val="Caption"/>
        <w:spacing w:before="240"/>
        <w:rPr>
          <w:b w:val="0"/>
        </w:rPr>
      </w:pPr>
    </w:p>
    <w:p w:rsidR="00654795" w:rsidRDefault="00654795" w:rsidP="00FF20FA">
      <w:pPr>
        <w:pStyle w:val="Caption"/>
        <w:spacing w:before="240"/>
        <w:rPr>
          <w:b w:val="0"/>
        </w:rPr>
      </w:pPr>
    </w:p>
    <w:p w:rsidR="00654795" w:rsidRDefault="00654795" w:rsidP="00FF20FA">
      <w:pPr>
        <w:pStyle w:val="Caption"/>
        <w:spacing w:before="240"/>
        <w:rPr>
          <w:b w:val="0"/>
        </w:rPr>
      </w:pPr>
    </w:p>
    <w:p w:rsidR="00654795" w:rsidRDefault="00654795" w:rsidP="00FF20FA">
      <w:pPr>
        <w:pStyle w:val="Caption"/>
        <w:spacing w:before="240"/>
        <w:rPr>
          <w:b w:val="0"/>
        </w:rPr>
      </w:pPr>
    </w:p>
    <w:p w:rsidR="00654795" w:rsidRDefault="00654795" w:rsidP="00FF20FA">
      <w:pPr>
        <w:pStyle w:val="Caption"/>
        <w:spacing w:before="240"/>
        <w:rPr>
          <w:b w:val="0"/>
        </w:rPr>
      </w:pPr>
    </w:p>
    <w:p w:rsidR="00A2570C" w:rsidRPr="007852F4" w:rsidRDefault="00761250" w:rsidP="00FF20FA">
      <w:pPr>
        <w:pStyle w:val="Caption"/>
        <w:spacing w:before="240"/>
        <w:rPr>
          <w:b w:val="0"/>
        </w:rPr>
      </w:pPr>
      <w:r w:rsidRPr="007852F4">
        <w:rPr>
          <w:b w:val="0"/>
        </w:rPr>
        <w:t xml:space="preserve">Šaltinis: </w:t>
      </w:r>
      <w:hyperlink r:id="rId15" w:history="1">
        <w:r w:rsidR="00FF20FA" w:rsidRPr="007852F4">
          <w:rPr>
            <w:rStyle w:val="Hyperlink"/>
            <w:b w:val="0"/>
          </w:rPr>
          <w:t>www.esparama.lt</w:t>
        </w:r>
      </w:hyperlink>
    </w:p>
    <w:p w:rsidR="00FF20FA" w:rsidRPr="007852F4" w:rsidRDefault="00FF20FA" w:rsidP="00FF20FA">
      <w:pPr>
        <w:jc w:val="both"/>
        <w:rPr>
          <w:rFonts w:ascii="Arial" w:eastAsia="MS PGothic" w:hAnsi="Arial" w:cs="Times New Roman"/>
          <w:sz w:val="20"/>
          <w:szCs w:val="24"/>
        </w:rPr>
      </w:pPr>
      <w:r w:rsidRPr="007852F4">
        <w:rPr>
          <w:rFonts w:ascii="Arial" w:eastAsia="MS PGothic" w:hAnsi="Arial" w:cs="Times New Roman"/>
          <w:sz w:val="20"/>
          <w:szCs w:val="24"/>
        </w:rPr>
        <w:t>Atlikus įgyvendintų projektų analizę, nustatyta, kad ŽIPVP 1</w:t>
      </w:r>
      <w:r w:rsidR="003B6A83" w:rsidRPr="007852F4">
        <w:rPr>
          <w:rFonts w:ascii="Arial" w:eastAsia="MS PGothic" w:hAnsi="Arial" w:cs="Times New Roman"/>
          <w:sz w:val="20"/>
          <w:szCs w:val="24"/>
        </w:rPr>
        <w:t xml:space="preserve"> prioriteto</w:t>
      </w:r>
      <w:r w:rsidRPr="007852F4">
        <w:rPr>
          <w:rFonts w:ascii="Arial" w:eastAsia="MS PGothic" w:hAnsi="Arial" w:cs="Times New Roman"/>
          <w:sz w:val="20"/>
          <w:szCs w:val="24"/>
        </w:rPr>
        <w:t xml:space="preserve"> apimtyje </w:t>
      </w:r>
      <w:r w:rsidR="003B6A83" w:rsidRPr="007852F4">
        <w:rPr>
          <w:rFonts w:ascii="Arial" w:eastAsia="MS PGothic" w:hAnsi="Arial" w:cs="Times New Roman"/>
          <w:sz w:val="20"/>
          <w:szCs w:val="24"/>
        </w:rPr>
        <w:t xml:space="preserve">finansuoti </w:t>
      </w:r>
      <w:r w:rsidR="00B25538" w:rsidRPr="007852F4">
        <w:rPr>
          <w:rFonts w:ascii="Arial" w:eastAsia="MS PGothic" w:hAnsi="Arial" w:cs="Times New Roman"/>
          <w:sz w:val="20"/>
          <w:szCs w:val="24"/>
        </w:rPr>
        <w:t>vos keli su užimtumu susiję projektai</w:t>
      </w:r>
      <w:r w:rsidR="003B6A83" w:rsidRPr="007852F4">
        <w:rPr>
          <w:rFonts w:ascii="Arial" w:eastAsia="MS PGothic" w:hAnsi="Arial" w:cs="Times New Roman"/>
          <w:sz w:val="20"/>
          <w:szCs w:val="24"/>
        </w:rPr>
        <w:t xml:space="preserve">. </w:t>
      </w:r>
      <w:r w:rsidR="00B25538" w:rsidRPr="007852F4">
        <w:rPr>
          <w:rFonts w:ascii="Arial" w:eastAsia="MS PGothic" w:hAnsi="Arial" w:cs="Times New Roman"/>
          <w:sz w:val="20"/>
          <w:szCs w:val="24"/>
        </w:rPr>
        <w:t>Taigi r</w:t>
      </w:r>
      <w:r w:rsidR="00332F7B" w:rsidRPr="007852F4">
        <w:rPr>
          <w:rFonts w:ascii="Arial" w:eastAsia="MS PGothic" w:hAnsi="Arial" w:cs="Times New Roman"/>
          <w:sz w:val="20"/>
          <w:szCs w:val="24"/>
        </w:rPr>
        <w:t>eikšmingam poveikiui finansavimas buvo nepakankamas.</w:t>
      </w:r>
      <w:r w:rsidRPr="007852F4">
        <w:rPr>
          <w:rFonts w:ascii="Arial" w:eastAsia="MS PGothic" w:hAnsi="Arial" w:cs="Times New Roman"/>
          <w:sz w:val="20"/>
          <w:szCs w:val="24"/>
        </w:rPr>
        <w:t xml:space="preserve"> </w:t>
      </w:r>
      <w:r w:rsidR="00D62EB8" w:rsidRPr="007852F4">
        <w:rPr>
          <w:rFonts w:ascii="Arial" w:eastAsia="MS PGothic" w:hAnsi="Arial" w:cs="Times New Roman"/>
          <w:sz w:val="20"/>
          <w:szCs w:val="24"/>
        </w:rPr>
        <w:t>ŽIPVP 4 prioriteto projektai</w:t>
      </w:r>
      <w:r w:rsidR="00B25538" w:rsidRPr="007852F4">
        <w:rPr>
          <w:rFonts w:ascii="Arial" w:eastAsia="MS PGothic" w:hAnsi="Arial" w:cs="Times New Roman"/>
          <w:sz w:val="20"/>
          <w:szCs w:val="24"/>
        </w:rPr>
        <w:t xml:space="preserve"> viršijo kitose savivaldybėse įgyvendintų šio prioriteto projektų skaičių: Švenčionių rajono savivaldybėje buvo įgyvendinti 25 viešojo valdymo tobulinimo projektai, kurie apėmė</w:t>
      </w:r>
      <w:r w:rsidR="00D62EB8" w:rsidRPr="007852F4">
        <w:rPr>
          <w:rFonts w:ascii="Arial" w:eastAsia="MS PGothic" w:hAnsi="Arial" w:cs="Times New Roman"/>
          <w:sz w:val="20"/>
          <w:szCs w:val="24"/>
        </w:rPr>
        <w:t xml:space="preserve"> viešojo administravimo įstaigų d</w:t>
      </w:r>
      <w:r w:rsidR="00B25538" w:rsidRPr="007852F4">
        <w:rPr>
          <w:rFonts w:ascii="Arial" w:eastAsia="MS PGothic" w:hAnsi="Arial" w:cs="Times New Roman"/>
          <w:sz w:val="20"/>
          <w:szCs w:val="24"/>
        </w:rPr>
        <w:t>arbuotojų kvalifikacijos kėlimo ir strateginio bei</w:t>
      </w:r>
      <w:r w:rsidR="00D62EB8" w:rsidRPr="007852F4">
        <w:rPr>
          <w:rFonts w:ascii="Arial" w:eastAsia="MS PGothic" w:hAnsi="Arial" w:cs="Times New Roman"/>
          <w:sz w:val="20"/>
          <w:szCs w:val="24"/>
        </w:rPr>
        <w:t xml:space="preserve"> teritor</w:t>
      </w:r>
      <w:r w:rsidR="00B25538" w:rsidRPr="007852F4">
        <w:rPr>
          <w:rFonts w:ascii="Arial" w:eastAsia="MS PGothic" w:hAnsi="Arial" w:cs="Times New Roman"/>
          <w:sz w:val="20"/>
          <w:szCs w:val="24"/>
        </w:rPr>
        <w:t>ijų planavimo dokumentų rengimo veiklas.</w:t>
      </w:r>
      <w:r w:rsidR="00332F7B" w:rsidRPr="007852F4">
        <w:rPr>
          <w:rFonts w:ascii="Arial" w:eastAsia="MS PGothic" w:hAnsi="Arial" w:cs="Times New Roman"/>
          <w:sz w:val="20"/>
          <w:szCs w:val="24"/>
        </w:rPr>
        <w:t xml:space="preserve"> </w:t>
      </w:r>
      <w:r w:rsidR="00C6756A" w:rsidRPr="007852F4">
        <w:rPr>
          <w:rFonts w:ascii="Arial" w:eastAsia="MS PGothic" w:hAnsi="Arial" w:cs="Times New Roman"/>
          <w:sz w:val="20"/>
          <w:szCs w:val="24"/>
        </w:rPr>
        <w:t xml:space="preserve">EAVP </w:t>
      </w:r>
      <w:r w:rsidR="003B6A83" w:rsidRPr="007852F4">
        <w:rPr>
          <w:rFonts w:ascii="Arial" w:eastAsia="MS PGothic" w:hAnsi="Arial" w:cs="Times New Roman"/>
          <w:sz w:val="20"/>
          <w:szCs w:val="24"/>
        </w:rPr>
        <w:t xml:space="preserve">projektų įgyvendinimo metu buvo </w:t>
      </w:r>
      <w:r w:rsidR="00220A43" w:rsidRPr="007852F4">
        <w:rPr>
          <w:rFonts w:ascii="Arial" w:eastAsia="MS PGothic" w:hAnsi="Arial" w:cs="Times New Roman"/>
          <w:sz w:val="20"/>
          <w:szCs w:val="24"/>
        </w:rPr>
        <w:t>telkiamasi ne tiek į infrastruktūros plėtrą, kiek į verslo įmonių potencialo didinimą, MTTP plėtrą ir pan</w:t>
      </w:r>
      <w:r w:rsidR="00D62EB8" w:rsidRPr="007852F4">
        <w:rPr>
          <w:rFonts w:ascii="Arial" w:eastAsia="MS PGothic" w:hAnsi="Arial" w:cs="Times New Roman"/>
          <w:sz w:val="20"/>
          <w:szCs w:val="24"/>
        </w:rPr>
        <w:t>. SSVP</w:t>
      </w:r>
      <w:r w:rsidR="00242947" w:rsidRPr="007852F4">
        <w:rPr>
          <w:rFonts w:ascii="Arial" w:eastAsia="MS PGothic" w:hAnsi="Arial" w:cs="Times New Roman"/>
          <w:sz w:val="20"/>
          <w:szCs w:val="24"/>
        </w:rPr>
        <w:t xml:space="preserve"> 1 prioriteto</w:t>
      </w:r>
      <w:r w:rsidR="00D62EB8" w:rsidRPr="007852F4">
        <w:rPr>
          <w:rFonts w:ascii="Arial" w:eastAsia="MS PGothic" w:hAnsi="Arial" w:cs="Times New Roman"/>
          <w:sz w:val="20"/>
          <w:szCs w:val="24"/>
        </w:rPr>
        <w:t xml:space="preserve"> priemonių apimtyje įgyvendinti </w:t>
      </w:r>
      <w:r w:rsidR="00220A43" w:rsidRPr="007852F4">
        <w:rPr>
          <w:rFonts w:ascii="Arial" w:eastAsia="MS PGothic" w:hAnsi="Arial" w:cs="Times New Roman"/>
          <w:sz w:val="20"/>
          <w:szCs w:val="24"/>
        </w:rPr>
        <w:t>socialinio būsto plėtros, turizmo infrastruktūros plėtros</w:t>
      </w:r>
      <w:r w:rsidR="00D62EB8" w:rsidRPr="007852F4">
        <w:rPr>
          <w:rFonts w:ascii="Arial" w:eastAsia="MS PGothic" w:hAnsi="Arial" w:cs="Times New Roman"/>
          <w:sz w:val="20"/>
          <w:szCs w:val="24"/>
        </w:rPr>
        <w:t xml:space="preserve"> ir kompleksinio </w:t>
      </w:r>
      <w:r w:rsidR="00847350" w:rsidRPr="007852F4">
        <w:rPr>
          <w:rFonts w:ascii="Arial" w:eastAsia="MS PGothic" w:hAnsi="Arial" w:cs="Times New Roman"/>
          <w:sz w:val="20"/>
          <w:szCs w:val="24"/>
        </w:rPr>
        <w:t>urbanistinės infrastruktūros bei</w:t>
      </w:r>
      <w:r w:rsidR="003B6A83" w:rsidRPr="007852F4">
        <w:rPr>
          <w:rFonts w:ascii="Arial" w:eastAsia="MS PGothic" w:hAnsi="Arial" w:cs="Times New Roman"/>
          <w:sz w:val="20"/>
          <w:szCs w:val="24"/>
        </w:rPr>
        <w:t xml:space="preserve"> gyvenamosios aplinkos</w:t>
      </w:r>
      <w:r w:rsidR="00D62EB8" w:rsidRPr="007852F4">
        <w:rPr>
          <w:rFonts w:ascii="Arial" w:eastAsia="MS PGothic" w:hAnsi="Arial" w:cs="Times New Roman"/>
          <w:sz w:val="20"/>
          <w:szCs w:val="24"/>
        </w:rPr>
        <w:t xml:space="preserve"> </w:t>
      </w:r>
      <w:r w:rsidR="00220A43" w:rsidRPr="007852F4">
        <w:rPr>
          <w:rFonts w:ascii="Arial" w:eastAsia="MS PGothic" w:hAnsi="Arial" w:cs="Times New Roman"/>
          <w:sz w:val="20"/>
          <w:szCs w:val="24"/>
        </w:rPr>
        <w:t xml:space="preserve">gerinimo </w:t>
      </w:r>
      <w:r w:rsidR="00847350" w:rsidRPr="007852F4">
        <w:rPr>
          <w:rFonts w:ascii="Arial" w:eastAsia="MS PGothic" w:hAnsi="Arial" w:cs="Times New Roman"/>
          <w:sz w:val="20"/>
          <w:szCs w:val="24"/>
        </w:rPr>
        <w:t>projektai</w:t>
      </w:r>
      <w:r w:rsidR="00D62EB8" w:rsidRPr="007852F4">
        <w:rPr>
          <w:rFonts w:ascii="Arial" w:eastAsia="MS PGothic" w:hAnsi="Arial" w:cs="Times New Roman"/>
          <w:sz w:val="20"/>
          <w:szCs w:val="24"/>
        </w:rPr>
        <w:t xml:space="preserve">. </w:t>
      </w:r>
      <w:r w:rsidR="00242947" w:rsidRPr="007852F4">
        <w:rPr>
          <w:rFonts w:ascii="Arial" w:eastAsia="MS PGothic" w:hAnsi="Arial" w:cs="Times New Roman"/>
          <w:sz w:val="20"/>
          <w:szCs w:val="24"/>
        </w:rPr>
        <w:t xml:space="preserve">2 prioriteto projektai orientuoti į socialinių </w:t>
      </w:r>
      <w:r w:rsidR="00220A43" w:rsidRPr="007852F4">
        <w:rPr>
          <w:rFonts w:ascii="Arial" w:eastAsia="MS PGothic" w:hAnsi="Arial" w:cs="Times New Roman"/>
          <w:sz w:val="20"/>
          <w:szCs w:val="24"/>
        </w:rPr>
        <w:t xml:space="preserve">ir sveikatos </w:t>
      </w:r>
      <w:r w:rsidR="00242947" w:rsidRPr="007852F4">
        <w:rPr>
          <w:rFonts w:ascii="Arial" w:eastAsia="MS PGothic" w:hAnsi="Arial" w:cs="Times New Roman"/>
          <w:sz w:val="20"/>
          <w:szCs w:val="24"/>
        </w:rPr>
        <w:t>paslaugų infrastruktūros tobulinimą</w:t>
      </w:r>
      <w:r w:rsidR="00847350" w:rsidRPr="007852F4">
        <w:rPr>
          <w:rFonts w:ascii="Arial" w:eastAsia="MS PGothic" w:hAnsi="Arial" w:cs="Times New Roman"/>
          <w:sz w:val="20"/>
          <w:szCs w:val="24"/>
        </w:rPr>
        <w:t>,</w:t>
      </w:r>
      <w:r w:rsidR="00220A43" w:rsidRPr="007852F4">
        <w:rPr>
          <w:rFonts w:ascii="Arial" w:eastAsia="MS PGothic" w:hAnsi="Arial" w:cs="Times New Roman"/>
          <w:sz w:val="20"/>
          <w:szCs w:val="24"/>
        </w:rPr>
        <w:t xml:space="preserve"> daugiafunkcinių centrų steigimą;</w:t>
      </w:r>
      <w:r w:rsidR="00C6756A" w:rsidRPr="007852F4">
        <w:rPr>
          <w:rFonts w:ascii="Arial" w:eastAsia="MS PGothic" w:hAnsi="Arial" w:cs="Times New Roman"/>
          <w:sz w:val="20"/>
          <w:szCs w:val="24"/>
        </w:rPr>
        <w:t xml:space="preserve"> </w:t>
      </w:r>
      <w:r w:rsidR="00242947" w:rsidRPr="007852F4">
        <w:rPr>
          <w:rFonts w:ascii="Arial" w:eastAsia="MS PGothic" w:hAnsi="Arial" w:cs="Times New Roman"/>
          <w:sz w:val="20"/>
          <w:szCs w:val="24"/>
        </w:rPr>
        <w:t xml:space="preserve">tuo tarpu 3 prioriteto apimtyje įgyvendinti </w:t>
      </w:r>
      <w:r w:rsidR="00847350" w:rsidRPr="007852F4">
        <w:rPr>
          <w:rFonts w:ascii="Arial" w:eastAsia="MS PGothic" w:hAnsi="Arial" w:cs="Times New Roman"/>
          <w:sz w:val="20"/>
          <w:szCs w:val="24"/>
        </w:rPr>
        <w:t xml:space="preserve">švietimo sektoriaus infrastruktūros atnaujinimo ir </w:t>
      </w:r>
      <w:r w:rsidR="00220A43" w:rsidRPr="007852F4">
        <w:rPr>
          <w:rFonts w:ascii="Arial" w:eastAsia="MS PGothic" w:hAnsi="Arial" w:cs="Times New Roman"/>
          <w:sz w:val="20"/>
          <w:szCs w:val="24"/>
        </w:rPr>
        <w:t>energetinio efektyvumo gerinimo</w:t>
      </w:r>
      <w:r w:rsidR="00C335FC" w:rsidRPr="007852F4">
        <w:rPr>
          <w:rFonts w:ascii="Arial" w:eastAsia="MS PGothic" w:hAnsi="Arial" w:cs="Times New Roman"/>
          <w:sz w:val="20"/>
          <w:szCs w:val="24"/>
        </w:rPr>
        <w:t xml:space="preserve"> projektai</w:t>
      </w:r>
      <w:r w:rsidR="00242947" w:rsidRPr="007852F4">
        <w:rPr>
          <w:rFonts w:ascii="Arial" w:eastAsia="MS PGothic" w:hAnsi="Arial" w:cs="Times New Roman"/>
          <w:sz w:val="20"/>
          <w:szCs w:val="24"/>
        </w:rPr>
        <w:t xml:space="preserve">. </w:t>
      </w:r>
      <w:r w:rsidR="00C849C4" w:rsidRPr="007852F4">
        <w:rPr>
          <w:rFonts w:ascii="Arial" w:eastAsia="MS PGothic" w:hAnsi="Arial" w:cs="Times New Roman"/>
          <w:sz w:val="20"/>
          <w:szCs w:val="24"/>
        </w:rPr>
        <w:t>Pastebėtina tendencija, kad daugiausiai investuota srityse, kur vyravo region</w:t>
      </w:r>
      <w:r w:rsidR="00847350" w:rsidRPr="007852F4">
        <w:rPr>
          <w:rFonts w:ascii="Arial" w:eastAsia="MS PGothic" w:hAnsi="Arial" w:cs="Times New Roman"/>
          <w:sz w:val="20"/>
          <w:szCs w:val="24"/>
        </w:rPr>
        <w:t>ų</w:t>
      </w:r>
      <w:r w:rsidR="00C849C4" w:rsidRPr="007852F4">
        <w:rPr>
          <w:rFonts w:ascii="Arial" w:eastAsia="MS PGothic" w:hAnsi="Arial" w:cs="Times New Roman"/>
          <w:sz w:val="20"/>
          <w:szCs w:val="24"/>
        </w:rPr>
        <w:t xml:space="preserve"> </w:t>
      </w:r>
      <w:r w:rsidR="00847350" w:rsidRPr="007852F4">
        <w:rPr>
          <w:rFonts w:ascii="Arial" w:eastAsia="MS PGothic" w:hAnsi="Arial" w:cs="Times New Roman"/>
          <w:sz w:val="20"/>
          <w:szCs w:val="24"/>
        </w:rPr>
        <w:t xml:space="preserve">ir valstybės projektų </w:t>
      </w:r>
      <w:r w:rsidR="00C849C4" w:rsidRPr="007852F4">
        <w:rPr>
          <w:rFonts w:ascii="Arial" w:eastAsia="MS PGothic" w:hAnsi="Arial" w:cs="Times New Roman"/>
          <w:sz w:val="20"/>
          <w:szCs w:val="24"/>
        </w:rPr>
        <w:t>planavimo priemonės.</w:t>
      </w:r>
    </w:p>
    <w:p w:rsidR="00A2570C" w:rsidRPr="007852F4" w:rsidRDefault="00A2570C" w:rsidP="00C849C4">
      <w:pPr>
        <w:pStyle w:val="Heading1"/>
        <w:numPr>
          <w:ilvl w:val="1"/>
          <w:numId w:val="1"/>
        </w:numPr>
        <w:spacing w:before="360"/>
        <w:rPr>
          <w:rFonts w:ascii="Arial" w:hAnsi="Arial" w:cs="Arial"/>
          <w:b w:val="0"/>
          <w:sz w:val="28"/>
          <w:szCs w:val="28"/>
        </w:rPr>
      </w:pPr>
      <w:r w:rsidRPr="007852F4">
        <w:rPr>
          <w:rFonts w:ascii="Arial" w:hAnsi="Arial" w:cs="Arial"/>
          <w:b w:val="0"/>
          <w:sz w:val="28"/>
          <w:szCs w:val="28"/>
        </w:rPr>
        <w:t>Rodiklių analizė</w:t>
      </w:r>
    </w:p>
    <w:p w:rsidR="002B4036" w:rsidRPr="007852F4" w:rsidRDefault="002B4036" w:rsidP="002B4036">
      <w:pPr>
        <w:jc w:val="both"/>
        <w:rPr>
          <w:rFonts w:ascii="Arial" w:eastAsia="MS PGothic" w:hAnsi="Arial" w:cs="Times New Roman"/>
          <w:sz w:val="20"/>
          <w:szCs w:val="24"/>
        </w:rPr>
      </w:pPr>
      <w:r w:rsidRPr="007852F4">
        <w:rPr>
          <w:rFonts w:ascii="Arial" w:eastAsia="MS PGothic" w:hAnsi="Arial" w:cs="Times New Roman"/>
          <w:sz w:val="20"/>
          <w:szCs w:val="24"/>
        </w:rPr>
        <w:t>Atliekant atvejo studiją buvo vertinti trijų rūšių – aplinkos taršos, demografiniai ir ekonominės veiklos – rodikliai. Aplinkos taršos rodikliai apėmė išvalytų iki normos nuotekų kiekius, išmetamų teršalų kiekius, sieros dioksido (SO</w:t>
      </w:r>
      <w:r w:rsidRPr="007852F4">
        <w:rPr>
          <w:rFonts w:ascii="Arial" w:eastAsia="MS PGothic" w:hAnsi="Arial" w:cs="Times New Roman"/>
          <w:sz w:val="20"/>
          <w:szCs w:val="24"/>
          <w:vertAlign w:val="subscript"/>
        </w:rPr>
        <w:t>2</w:t>
      </w:r>
      <w:r w:rsidRPr="007852F4">
        <w:rPr>
          <w:rFonts w:ascii="Arial" w:eastAsia="MS PGothic" w:hAnsi="Arial" w:cs="Times New Roman"/>
          <w:sz w:val="20"/>
          <w:szCs w:val="24"/>
        </w:rPr>
        <w:t>)</w:t>
      </w:r>
      <w:r w:rsidRPr="007852F4">
        <w:rPr>
          <w:rFonts w:ascii="Arial" w:eastAsia="MS PGothic" w:hAnsi="Arial" w:cs="Times New Roman"/>
          <w:sz w:val="20"/>
          <w:szCs w:val="24"/>
          <w:vertAlign w:val="subscript"/>
        </w:rPr>
        <w:t>,</w:t>
      </w:r>
      <w:r w:rsidRPr="007852F4">
        <w:rPr>
          <w:rFonts w:ascii="Arial" w:eastAsia="MS PGothic" w:hAnsi="Arial" w:cs="Times New Roman"/>
          <w:sz w:val="20"/>
          <w:szCs w:val="24"/>
        </w:rPr>
        <w:t xml:space="preserve"> anglies monoksido (CO) rodiklius. Demografiniai rodikliai apėmė nuolatinių gyventojų skaičių, pensinio amžiaus ir darbingo amžiaus gyventojų dalį, bei </w:t>
      </w:r>
      <w:r w:rsidR="00594D44" w:rsidRPr="007852F4">
        <w:rPr>
          <w:rFonts w:ascii="Arial" w:eastAsia="MS PGothic" w:hAnsi="Arial" w:cs="Times New Roman"/>
          <w:sz w:val="20"/>
          <w:szCs w:val="24"/>
        </w:rPr>
        <w:t xml:space="preserve">darbingo amžiaus </w:t>
      </w:r>
      <w:r w:rsidRPr="007852F4">
        <w:rPr>
          <w:rFonts w:ascii="Arial" w:eastAsia="MS PGothic" w:hAnsi="Arial" w:cs="Times New Roman"/>
          <w:sz w:val="20"/>
          <w:szCs w:val="24"/>
        </w:rPr>
        <w:t xml:space="preserve">gyventojų skaičiaus ir registruotų bedarbių santykį. Ekonominės veiklos rodikliai </w:t>
      </w:r>
      <w:r w:rsidR="007F0777" w:rsidRPr="007852F4">
        <w:rPr>
          <w:rFonts w:ascii="Arial" w:eastAsia="MS PGothic" w:hAnsi="Arial" w:cs="Times New Roman"/>
          <w:sz w:val="20"/>
          <w:szCs w:val="24"/>
        </w:rPr>
        <w:t>– pridėtinė vertė gamybos kainomis, materialinės investicijos to meto kainomis ir tiesioginės užsienio investicijos.</w:t>
      </w:r>
    </w:p>
    <w:p w:rsidR="001A1350" w:rsidRPr="007852F4" w:rsidRDefault="007F0777" w:rsidP="00B76AF6">
      <w:pPr>
        <w:jc w:val="both"/>
        <w:rPr>
          <w:rFonts w:ascii="Arial" w:eastAsia="MS PGothic" w:hAnsi="Arial" w:cs="Times New Roman"/>
          <w:sz w:val="20"/>
          <w:szCs w:val="24"/>
        </w:rPr>
      </w:pPr>
      <w:r w:rsidRPr="007852F4">
        <w:rPr>
          <w:rFonts w:ascii="Arial" w:eastAsia="MS PGothic" w:hAnsi="Arial" w:cs="Times New Roman"/>
          <w:sz w:val="20"/>
          <w:szCs w:val="24"/>
        </w:rPr>
        <w:t>Aplinkos taršos rodiklių atveju stebim</w:t>
      </w:r>
      <w:r w:rsidR="00D45CFF" w:rsidRPr="007852F4">
        <w:rPr>
          <w:rFonts w:ascii="Arial" w:eastAsia="MS PGothic" w:hAnsi="Arial" w:cs="Times New Roman"/>
          <w:sz w:val="20"/>
          <w:szCs w:val="24"/>
        </w:rPr>
        <w:t xml:space="preserve">a </w:t>
      </w:r>
      <w:r w:rsidR="00757A60" w:rsidRPr="007852F4">
        <w:rPr>
          <w:rFonts w:ascii="Arial" w:eastAsia="MS PGothic" w:hAnsi="Arial" w:cs="Times New Roman"/>
          <w:sz w:val="20"/>
          <w:szCs w:val="24"/>
        </w:rPr>
        <w:t xml:space="preserve">neigiama </w:t>
      </w:r>
      <w:r w:rsidR="00D45CFF" w:rsidRPr="007852F4">
        <w:rPr>
          <w:rFonts w:ascii="Arial" w:eastAsia="MS PGothic" w:hAnsi="Arial" w:cs="Times New Roman"/>
          <w:sz w:val="20"/>
          <w:szCs w:val="24"/>
        </w:rPr>
        <w:t xml:space="preserve">aplinkos taršos </w:t>
      </w:r>
      <w:r w:rsidR="00757A60" w:rsidRPr="007852F4">
        <w:rPr>
          <w:rFonts w:ascii="Arial" w:eastAsia="MS PGothic" w:hAnsi="Arial" w:cs="Times New Roman"/>
          <w:sz w:val="20"/>
          <w:szCs w:val="24"/>
        </w:rPr>
        <w:t>augimo</w:t>
      </w:r>
      <w:r w:rsidR="00D45CFF" w:rsidRPr="007852F4">
        <w:rPr>
          <w:rFonts w:ascii="Arial" w:eastAsia="MS PGothic" w:hAnsi="Arial" w:cs="Times New Roman"/>
          <w:sz w:val="20"/>
          <w:szCs w:val="24"/>
        </w:rPr>
        <w:t xml:space="preserve"> tendencija.</w:t>
      </w:r>
      <w:r w:rsidR="00757A60" w:rsidRPr="007852F4">
        <w:rPr>
          <w:rFonts w:ascii="Arial" w:eastAsia="MS PGothic" w:hAnsi="Arial" w:cs="Times New Roman"/>
          <w:sz w:val="20"/>
          <w:szCs w:val="24"/>
        </w:rPr>
        <w:t xml:space="preserve"> Teršalų išmetimo į orą kiekis tendencingai didėjo viso laikotarpio metu. Tikėtina, kad tai lėmė pakankamai gerai besivystanti pramonė ir bendra savivaldybės ekonominė situacija. Išmetamų teršalų kiekio pokytis viso laikotarpio atžvilgiu yra + 34 %: vidutinis metinis pokytis siekė + 3.27%. Žvelgiant į atskiras teršalų grupes, didžiausias išmetamų kiekio augimas (60.42%) buvo stebimas anglies monoksido išmetimo kiekyje. Toks staigus anglies monoksido išmetimo kiekio augimas nulėmė ir bendro teršalų kiekio didėjimą. </w:t>
      </w:r>
      <w:r w:rsidR="00757A60" w:rsidRPr="007852F4">
        <w:rPr>
          <w:rFonts w:ascii="Arial" w:eastAsia="MS PGothic" w:hAnsi="Arial" w:cs="Times New Roman"/>
          <w:sz w:val="20"/>
          <w:szCs w:val="24"/>
        </w:rPr>
        <w:lastRenderedPageBreak/>
        <w:t>Vertinant viso laikotarpio atžvilgiu, vidutinis anglies monoksido kiekio augimas sudarė 6.78%. Kitų teršalų kiekis, laikotarpio pabaigoje ėmė mažėti. Apibendrinant, aplinkos taršos būklė savivaldybėje buvo linkusi blogėti.</w:t>
      </w:r>
    </w:p>
    <w:p w:rsidR="00B72614" w:rsidRPr="007852F4" w:rsidRDefault="00EF54E2" w:rsidP="00EF54E2">
      <w:pPr>
        <w:pStyle w:val="Caption"/>
        <w:keepNext/>
        <w:jc w:val="both"/>
        <w:rPr>
          <w:b w:val="0"/>
        </w:rPr>
      </w:pPr>
      <w:r w:rsidRPr="007852F4">
        <w:rPr>
          <w:noProof/>
          <w:lang w:val="en-US"/>
        </w:rPr>
        <w:drawing>
          <wp:anchor distT="0" distB="0" distL="114300" distR="114300" simplePos="0" relativeHeight="251674624" behindDoc="0" locked="0" layoutInCell="1" allowOverlap="1" wp14:anchorId="576D6E9A" wp14:editId="1C38F34C">
            <wp:simplePos x="0" y="0"/>
            <wp:positionH relativeFrom="margin">
              <wp:posOffset>135890</wp:posOffset>
            </wp:positionH>
            <wp:positionV relativeFrom="paragraph">
              <wp:posOffset>333375</wp:posOffset>
            </wp:positionV>
            <wp:extent cx="4583430" cy="2623820"/>
            <wp:effectExtent l="0" t="0" r="26670" b="2413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A2570C" w:rsidRPr="007852F4">
        <w:fldChar w:fldCharType="begin"/>
      </w:r>
      <w:r w:rsidR="00A2570C" w:rsidRPr="007852F4">
        <w:instrText xml:space="preserve"> SEQ paveikslas \* ARABIC </w:instrText>
      </w:r>
      <w:r w:rsidR="00A2570C" w:rsidRPr="007852F4">
        <w:fldChar w:fldCharType="separate"/>
      </w:r>
      <w:r w:rsidR="00594D44" w:rsidRPr="007852F4">
        <w:t>3</w:t>
      </w:r>
      <w:r w:rsidR="00A2570C" w:rsidRPr="007852F4">
        <w:fldChar w:fldCharType="end"/>
      </w:r>
      <w:r w:rsidR="00A2570C" w:rsidRPr="007852F4">
        <w:t xml:space="preserve"> paveikslas. Aplinkos taršos rodikliai</w:t>
      </w:r>
      <w:r w:rsidR="008D26FF">
        <w:t>*</w:t>
      </w:r>
    </w:p>
    <w:p w:rsidR="00A2570C" w:rsidRDefault="00A2570C" w:rsidP="008D26FF">
      <w:pPr>
        <w:pStyle w:val="Caption"/>
        <w:spacing w:after="0"/>
        <w:rPr>
          <w:b w:val="0"/>
        </w:rPr>
      </w:pPr>
      <w:r w:rsidRPr="007852F4">
        <w:rPr>
          <w:b w:val="0"/>
        </w:rPr>
        <w:t>Šaltinis: Statistiko</w:t>
      </w:r>
      <w:r w:rsidR="007F0777" w:rsidRPr="007852F4">
        <w:rPr>
          <w:b w:val="0"/>
        </w:rPr>
        <w:t>s</w:t>
      </w:r>
      <w:r w:rsidRPr="007852F4">
        <w:rPr>
          <w:b w:val="0"/>
        </w:rPr>
        <w:t xml:space="preserve"> departamentas</w:t>
      </w:r>
    </w:p>
    <w:p w:rsidR="008D26FF" w:rsidRPr="008D26FF" w:rsidRDefault="008D26FF" w:rsidP="008D26FF">
      <w:pPr>
        <w:rPr>
          <w:rFonts w:ascii="Arial" w:hAnsi="Arial" w:cs="Arial"/>
          <w:sz w:val="20"/>
        </w:rPr>
      </w:pPr>
      <w:r w:rsidRPr="008D26FF">
        <w:rPr>
          <w:rFonts w:ascii="Arial" w:hAnsi="Arial" w:cs="Arial"/>
          <w:sz w:val="20"/>
        </w:rPr>
        <w:t>* - visi rodikliai, išskyrus „Išleista išvalytų iki normos nuotekų, tūkst. m</w:t>
      </w:r>
      <w:r w:rsidRPr="008D26FF">
        <w:rPr>
          <w:rFonts w:ascii="Arial" w:hAnsi="Arial" w:cs="Arial"/>
          <w:sz w:val="20"/>
          <w:vertAlign w:val="superscript"/>
        </w:rPr>
        <w:t>3</w:t>
      </w:r>
      <w:r w:rsidRPr="008D26FF">
        <w:rPr>
          <w:rFonts w:ascii="Arial" w:hAnsi="Arial" w:cs="Arial"/>
          <w:sz w:val="20"/>
        </w:rPr>
        <w:t>“ yra matuojami tonomis.</w:t>
      </w:r>
    </w:p>
    <w:p w:rsidR="00E41B59" w:rsidRDefault="00B76AF6" w:rsidP="00E41B59">
      <w:pPr>
        <w:jc w:val="both"/>
        <w:rPr>
          <w:rFonts w:ascii="Arial" w:eastAsia="MS PGothic" w:hAnsi="Arial" w:cs="Times New Roman"/>
          <w:sz w:val="20"/>
          <w:szCs w:val="24"/>
        </w:rPr>
      </w:pPr>
      <w:r w:rsidRPr="007852F4">
        <w:rPr>
          <w:rFonts w:ascii="Arial" w:eastAsia="MS PGothic" w:hAnsi="Arial" w:cs="Times New Roman"/>
          <w:sz w:val="20"/>
          <w:szCs w:val="24"/>
        </w:rPr>
        <w:t>Vertinant demografinius rodiklius</w:t>
      </w:r>
      <w:r w:rsidR="00594D44" w:rsidRPr="007852F4">
        <w:rPr>
          <w:rFonts w:ascii="Arial" w:eastAsia="MS PGothic" w:hAnsi="Arial" w:cs="Times New Roman"/>
          <w:sz w:val="20"/>
          <w:szCs w:val="24"/>
        </w:rPr>
        <w:t xml:space="preserve">, 2007 </w:t>
      </w:r>
      <w:r w:rsidR="00757A60" w:rsidRPr="007852F4">
        <w:rPr>
          <w:rFonts w:ascii="Arial" w:eastAsia="MS PGothic" w:hAnsi="Arial" w:cs="Times New Roman"/>
          <w:sz w:val="20"/>
          <w:szCs w:val="24"/>
        </w:rPr>
        <w:t>–</w:t>
      </w:r>
      <w:r w:rsidR="00594D44" w:rsidRPr="007852F4">
        <w:rPr>
          <w:rFonts w:ascii="Arial" w:eastAsia="MS PGothic" w:hAnsi="Arial" w:cs="Times New Roman"/>
          <w:sz w:val="20"/>
          <w:szCs w:val="24"/>
        </w:rPr>
        <w:t xml:space="preserve"> 2013 m. stebimos tendencijos atitinka nacion</w:t>
      </w:r>
      <w:r w:rsidR="002427B5" w:rsidRPr="007852F4">
        <w:rPr>
          <w:rFonts w:ascii="Arial" w:eastAsia="MS PGothic" w:hAnsi="Arial" w:cs="Times New Roman"/>
          <w:sz w:val="20"/>
          <w:szCs w:val="24"/>
        </w:rPr>
        <w:t xml:space="preserve">aliniu mastu vykusius pokyčius. </w:t>
      </w:r>
      <w:r w:rsidR="00757A60" w:rsidRPr="007852F4">
        <w:rPr>
          <w:rFonts w:ascii="Arial" w:eastAsia="MS PGothic" w:hAnsi="Arial" w:cs="Times New Roman"/>
          <w:sz w:val="20"/>
          <w:szCs w:val="24"/>
        </w:rPr>
        <w:t>Nuolatinių ir darbingo amžiaus gyventojų skaičius nuosekliai mažėjo viso laikotarpio metu: nuolatinių gyventojų sumažėjo apie 11 proc., tuo tarpu darbingo amžiaus – apie 8 proc.</w:t>
      </w:r>
      <w:r w:rsidR="007852F4" w:rsidRPr="007852F4">
        <w:rPr>
          <w:rFonts w:ascii="Arial" w:eastAsia="MS PGothic" w:hAnsi="Arial" w:cs="Times New Roman"/>
          <w:sz w:val="20"/>
          <w:szCs w:val="24"/>
        </w:rPr>
        <w:t xml:space="preserve"> Gyventojų užimtumo rodikliai atitiko nacionalines ir kitose </w:t>
      </w:r>
      <w:r w:rsidR="007852F4">
        <w:rPr>
          <w:rFonts w:ascii="Arial" w:eastAsia="MS PGothic" w:hAnsi="Arial" w:cs="Times New Roman"/>
          <w:sz w:val="20"/>
          <w:szCs w:val="24"/>
        </w:rPr>
        <w:t xml:space="preserve">savivaldybėse stebimas tendencijas: </w:t>
      </w:r>
      <w:r w:rsidR="007852F4">
        <w:rPr>
          <w:rFonts w:ascii="Arial" w:eastAsia="MS PGothic" w:hAnsi="Arial" w:cs="Times New Roman"/>
          <w:sz w:val="20"/>
          <w:szCs w:val="24"/>
          <w:lang w:val="en-US"/>
        </w:rPr>
        <w:t xml:space="preserve">2010 m. </w:t>
      </w:r>
      <w:r w:rsidR="007852F4">
        <w:rPr>
          <w:rFonts w:ascii="Arial" w:eastAsia="MS PGothic" w:hAnsi="Arial" w:cs="Times New Roman"/>
          <w:sz w:val="20"/>
          <w:szCs w:val="24"/>
        </w:rPr>
        <w:t xml:space="preserve">bedarbių ir darbingo amžiaus gyventojų santykio rodiklis pasiekė aukščiausią įvertį. </w:t>
      </w:r>
      <w:r w:rsidR="00757A60" w:rsidRPr="007852F4">
        <w:rPr>
          <w:rFonts w:ascii="Arial" w:hAnsi="Arial" w:cs="Arial"/>
          <w:sz w:val="20"/>
        </w:rPr>
        <w:t>2014 m</w:t>
      </w:r>
      <w:r w:rsidR="007852F4">
        <w:rPr>
          <w:rFonts w:ascii="Arial" w:hAnsi="Arial" w:cs="Arial"/>
          <w:sz w:val="20"/>
        </w:rPr>
        <w:t>.</w:t>
      </w:r>
      <w:r w:rsidR="00757A60" w:rsidRPr="007852F4">
        <w:rPr>
          <w:rFonts w:ascii="Arial" w:hAnsi="Arial" w:cs="Arial"/>
          <w:sz w:val="20"/>
        </w:rPr>
        <w:t xml:space="preserve"> vidutinis </w:t>
      </w:r>
      <w:r w:rsidR="008D26FF">
        <w:rPr>
          <w:rFonts w:ascii="Arial" w:hAnsi="Arial" w:cs="Arial"/>
          <w:sz w:val="20"/>
        </w:rPr>
        <w:t xml:space="preserve">mėnesinis </w:t>
      </w:r>
      <w:r w:rsidR="00757A60" w:rsidRPr="007852F4">
        <w:rPr>
          <w:rFonts w:ascii="Arial" w:hAnsi="Arial" w:cs="Arial"/>
          <w:sz w:val="20"/>
        </w:rPr>
        <w:t xml:space="preserve">darbo užmokestis (bruto) Švenčionių savivaldybėje palyginti su </w:t>
      </w:r>
      <w:r w:rsidR="007852F4">
        <w:rPr>
          <w:rFonts w:ascii="Arial" w:hAnsi="Arial" w:cs="Arial"/>
          <w:sz w:val="20"/>
        </w:rPr>
        <w:t>atlyginimu laikotarpio pradžioje</w:t>
      </w:r>
      <w:r w:rsidR="00757A60" w:rsidRPr="007852F4">
        <w:rPr>
          <w:rFonts w:ascii="Arial" w:hAnsi="Arial" w:cs="Arial"/>
          <w:sz w:val="20"/>
        </w:rPr>
        <w:t xml:space="preserve"> buvo išaugęs 70.18 %</w:t>
      </w:r>
      <w:r w:rsidR="007852F4">
        <w:rPr>
          <w:rFonts w:ascii="Arial" w:hAnsi="Arial" w:cs="Arial"/>
          <w:sz w:val="20"/>
        </w:rPr>
        <w:t>, t.y.</w:t>
      </w:r>
      <w:r w:rsidR="00757A60" w:rsidRPr="007852F4">
        <w:rPr>
          <w:rFonts w:ascii="Arial" w:hAnsi="Arial" w:cs="Arial"/>
          <w:sz w:val="20"/>
        </w:rPr>
        <w:t xml:space="preserve"> nuo 322.3 EUR iki 548.5 EUR.  2014 m</w:t>
      </w:r>
      <w:r w:rsidR="007852F4">
        <w:rPr>
          <w:rFonts w:ascii="Arial" w:hAnsi="Arial" w:cs="Arial"/>
          <w:sz w:val="20"/>
        </w:rPr>
        <w:t>.</w:t>
      </w:r>
      <w:r w:rsidR="00757A60" w:rsidRPr="007852F4">
        <w:rPr>
          <w:rFonts w:ascii="Arial" w:hAnsi="Arial" w:cs="Arial"/>
          <w:sz w:val="20"/>
        </w:rPr>
        <w:t xml:space="preserve"> duomenimis toks pasiekimas nuo Lietuvos Respublikos vidurkio vis dar atsili</w:t>
      </w:r>
      <w:r w:rsidR="007852F4">
        <w:rPr>
          <w:rFonts w:ascii="Arial" w:hAnsi="Arial" w:cs="Arial"/>
          <w:sz w:val="20"/>
        </w:rPr>
        <w:t>ko</w:t>
      </w:r>
      <w:r w:rsidR="00757A60" w:rsidRPr="007852F4">
        <w:rPr>
          <w:rFonts w:ascii="Arial" w:hAnsi="Arial" w:cs="Arial"/>
          <w:sz w:val="20"/>
        </w:rPr>
        <w:t xml:space="preserve"> 128.90 </w:t>
      </w:r>
      <w:r w:rsidR="007852F4">
        <w:rPr>
          <w:rFonts w:ascii="Arial" w:hAnsi="Arial" w:cs="Arial"/>
          <w:sz w:val="20"/>
        </w:rPr>
        <w:t xml:space="preserve">EUR. </w:t>
      </w:r>
      <w:r w:rsidR="00A027E9" w:rsidRPr="007852F4">
        <w:rPr>
          <w:rFonts w:ascii="Arial" w:eastAsia="MS PGothic" w:hAnsi="Arial" w:cs="Times New Roman"/>
          <w:sz w:val="20"/>
          <w:szCs w:val="24"/>
        </w:rPr>
        <w:t>Apibendrinant, demografiniai rodikliai nagrinėjamu laikotarpiu buvo veikiami pasaulinės finansų krizės, augančių migracijos mastų ir mažėjančio gyventojų skaičiaus; visu laikotarpiu buvo stebimos bendros neigiamos plėtros tendencijos.</w:t>
      </w:r>
    </w:p>
    <w:p w:rsidR="008D26FF" w:rsidRDefault="008D26FF" w:rsidP="00E41B59">
      <w:pPr>
        <w:jc w:val="both"/>
        <w:rPr>
          <w:rFonts w:ascii="Arial" w:eastAsia="MS PGothic" w:hAnsi="Arial" w:cs="Times New Roman"/>
          <w:sz w:val="20"/>
          <w:szCs w:val="24"/>
        </w:rPr>
      </w:pPr>
    </w:p>
    <w:p w:rsidR="008D26FF" w:rsidRDefault="008D26FF" w:rsidP="00E41B59">
      <w:pPr>
        <w:jc w:val="both"/>
        <w:rPr>
          <w:rFonts w:ascii="Arial" w:eastAsia="MS PGothic" w:hAnsi="Arial" w:cs="Times New Roman"/>
          <w:sz w:val="20"/>
          <w:szCs w:val="24"/>
        </w:rPr>
      </w:pPr>
    </w:p>
    <w:p w:rsidR="008D26FF" w:rsidRDefault="008D26FF" w:rsidP="00E41B59">
      <w:pPr>
        <w:jc w:val="both"/>
        <w:rPr>
          <w:rFonts w:ascii="Arial" w:eastAsia="MS PGothic" w:hAnsi="Arial" w:cs="Times New Roman"/>
          <w:sz w:val="20"/>
          <w:szCs w:val="24"/>
        </w:rPr>
      </w:pPr>
    </w:p>
    <w:p w:rsidR="008D26FF" w:rsidRDefault="008D26FF" w:rsidP="00E41B59">
      <w:pPr>
        <w:jc w:val="both"/>
        <w:rPr>
          <w:rFonts w:ascii="Arial" w:eastAsia="MS PGothic" w:hAnsi="Arial" w:cs="Times New Roman"/>
          <w:sz w:val="20"/>
          <w:szCs w:val="24"/>
        </w:rPr>
      </w:pPr>
    </w:p>
    <w:p w:rsidR="008D26FF" w:rsidRDefault="008D26FF" w:rsidP="00E41B59">
      <w:pPr>
        <w:jc w:val="both"/>
        <w:rPr>
          <w:rFonts w:ascii="Arial" w:eastAsia="MS PGothic" w:hAnsi="Arial" w:cs="Times New Roman"/>
          <w:sz w:val="20"/>
          <w:szCs w:val="24"/>
        </w:rPr>
      </w:pPr>
    </w:p>
    <w:p w:rsidR="008D26FF" w:rsidRDefault="008D26FF" w:rsidP="00E41B59">
      <w:pPr>
        <w:jc w:val="both"/>
        <w:rPr>
          <w:rFonts w:ascii="Arial" w:eastAsia="MS PGothic" w:hAnsi="Arial" w:cs="Times New Roman"/>
          <w:sz w:val="20"/>
          <w:szCs w:val="24"/>
        </w:rPr>
      </w:pPr>
    </w:p>
    <w:p w:rsidR="008D26FF" w:rsidRDefault="008D26FF" w:rsidP="00E41B59">
      <w:pPr>
        <w:jc w:val="both"/>
        <w:rPr>
          <w:rFonts w:ascii="Arial" w:eastAsia="MS PGothic" w:hAnsi="Arial" w:cs="Times New Roman"/>
          <w:sz w:val="20"/>
          <w:szCs w:val="24"/>
        </w:rPr>
      </w:pPr>
    </w:p>
    <w:p w:rsidR="008D26FF" w:rsidRDefault="008D26FF" w:rsidP="00E41B59">
      <w:pPr>
        <w:jc w:val="both"/>
        <w:rPr>
          <w:rFonts w:ascii="Arial" w:eastAsia="MS PGothic" w:hAnsi="Arial" w:cs="Times New Roman"/>
          <w:sz w:val="20"/>
          <w:szCs w:val="24"/>
        </w:rPr>
      </w:pPr>
    </w:p>
    <w:p w:rsidR="008D26FF" w:rsidRPr="007852F4" w:rsidRDefault="008D26FF" w:rsidP="00E41B59">
      <w:pPr>
        <w:jc w:val="both"/>
        <w:rPr>
          <w:rFonts w:ascii="Arial" w:eastAsia="MS PGothic" w:hAnsi="Arial" w:cs="Times New Roman"/>
          <w:sz w:val="20"/>
          <w:szCs w:val="24"/>
        </w:rPr>
      </w:pPr>
    </w:p>
    <w:p w:rsidR="00020455" w:rsidRPr="007852F4" w:rsidRDefault="00A2570C" w:rsidP="00020455">
      <w:pPr>
        <w:pStyle w:val="Caption"/>
        <w:keepNext/>
      </w:pPr>
      <w:r w:rsidRPr="007852F4">
        <w:fldChar w:fldCharType="begin"/>
      </w:r>
      <w:r w:rsidRPr="007852F4">
        <w:instrText xml:space="preserve"> SEQ paveikslas \* ARABIC </w:instrText>
      </w:r>
      <w:r w:rsidRPr="007852F4">
        <w:fldChar w:fldCharType="separate"/>
      </w:r>
      <w:r w:rsidR="008A1509" w:rsidRPr="007852F4">
        <w:t>5</w:t>
      </w:r>
      <w:r w:rsidRPr="007852F4">
        <w:fldChar w:fldCharType="end"/>
      </w:r>
      <w:r w:rsidRPr="007852F4">
        <w:t xml:space="preserve"> paveikslas. Demografiniai rodikliai</w:t>
      </w:r>
    </w:p>
    <w:p w:rsidR="00B76AF6" w:rsidRPr="007852F4" w:rsidRDefault="00654795" w:rsidP="00594D44">
      <w:pPr>
        <w:pStyle w:val="Caption"/>
        <w:keepNext/>
      </w:pPr>
      <w:r w:rsidRPr="007852F4">
        <w:rPr>
          <w:noProof/>
          <w:lang w:val="en-US"/>
        </w:rPr>
        <w:drawing>
          <wp:anchor distT="0" distB="0" distL="114300" distR="114300" simplePos="0" relativeHeight="251676672" behindDoc="0" locked="0" layoutInCell="1" allowOverlap="1" wp14:anchorId="0BCED93F" wp14:editId="19710C3F">
            <wp:simplePos x="0" y="0"/>
            <wp:positionH relativeFrom="column">
              <wp:posOffset>7620</wp:posOffset>
            </wp:positionH>
            <wp:positionV relativeFrom="paragraph">
              <wp:posOffset>27940</wp:posOffset>
            </wp:positionV>
            <wp:extent cx="4394200" cy="2217420"/>
            <wp:effectExtent l="0" t="0" r="25400" b="1143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rsidR="002427B5" w:rsidRPr="007852F4" w:rsidRDefault="00B76AF6" w:rsidP="008A1509">
      <w:pPr>
        <w:pStyle w:val="Caption"/>
        <w:spacing w:before="240"/>
        <w:rPr>
          <w:b w:val="0"/>
        </w:rPr>
      </w:pPr>
      <w:r w:rsidRPr="007852F4">
        <w:rPr>
          <w:b w:val="0"/>
        </w:rPr>
        <w:br/>
      </w:r>
    </w:p>
    <w:p w:rsidR="002427B5" w:rsidRPr="007852F4" w:rsidRDefault="002427B5" w:rsidP="008A1509">
      <w:pPr>
        <w:pStyle w:val="Caption"/>
        <w:spacing w:before="240"/>
        <w:rPr>
          <w:b w:val="0"/>
        </w:rPr>
      </w:pPr>
    </w:p>
    <w:p w:rsidR="002427B5" w:rsidRPr="007852F4" w:rsidRDefault="002427B5" w:rsidP="008A1509">
      <w:pPr>
        <w:pStyle w:val="Caption"/>
        <w:spacing w:before="240"/>
        <w:rPr>
          <w:b w:val="0"/>
        </w:rPr>
      </w:pPr>
    </w:p>
    <w:p w:rsidR="002427B5" w:rsidRPr="007852F4" w:rsidRDefault="002427B5" w:rsidP="008A1509">
      <w:pPr>
        <w:pStyle w:val="Caption"/>
        <w:spacing w:before="240"/>
        <w:rPr>
          <w:b w:val="0"/>
        </w:rPr>
      </w:pPr>
    </w:p>
    <w:p w:rsidR="002427B5" w:rsidRPr="007852F4" w:rsidRDefault="002427B5" w:rsidP="008A1509">
      <w:pPr>
        <w:pStyle w:val="Caption"/>
        <w:spacing w:before="240"/>
        <w:rPr>
          <w:b w:val="0"/>
        </w:rPr>
      </w:pPr>
    </w:p>
    <w:p w:rsidR="002427B5" w:rsidRPr="007852F4" w:rsidRDefault="002427B5" w:rsidP="008A1509">
      <w:pPr>
        <w:pStyle w:val="Caption"/>
        <w:spacing w:before="240"/>
        <w:rPr>
          <w:b w:val="0"/>
        </w:rPr>
      </w:pPr>
    </w:p>
    <w:p w:rsidR="002427B5" w:rsidRPr="007852F4" w:rsidRDefault="002427B5" w:rsidP="008A1509">
      <w:pPr>
        <w:pStyle w:val="Caption"/>
        <w:spacing w:before="240"/>
        <w:rPr>
          <w:b w:val="0"/>
        </w:rPr>
      </w:pPr>
    </w:p>
    <w:p w:rsidR="008A1509" w:rsidRPr="007852F4" w:rsidRDefault="008A1509" w:rsidP="008A1509">
      <w:pPr>
        <w:pStyle w:val="Caption"/>
        <w:spacing w:before="240"/>
        <w:rPr>
          <w:b w:val="0"/>
        </w:rPr>
      </w:pPr>
      <w:r w:rsidRPr="007852F4">
        <w:rPr>
          <w:b w:val="0"/>
        </w:rPr>
        <w:t>Šaltinis: Statistiko</w:t>
      </w:r>
      <w:r w:rsidR="00594D44" w:rsidRPr="007852F4">
        <w:rPr>
          <w:b w:val="0"/>
        </w:rPr>
        <w:t>s</w:t>
      </w:r>
      <w:r w:rsidRPr="007852F4">
        <w:rPr>
          <w:b w:val="0"/>
        </w:rPr>
        <w:t xml:space="preserve"> departamentas</w:t>
      </w:r>
    </w:p>
    <w:p w:rsidR="00B76AF6" w:rsidRPr="007852F4" w:rsidRDefault="00B059C5" w:rsidP="00B76AF6">
      <w:pPr>
        <w:jc w:val="both"/>
        <w:rPr>
          <w:rFonts w:ascii="Arial" w:eastAsia="MS PGothic" w:hAnsi="Arial" w:cs="Times New Roman"/>
          <w:sz w:val="20"/>
          <w:szCs w:val="24"/>
        </w:rPr>
      </w:pPr>
      <w:r>
        <w:rPr>
          <w:rFonts w:ascii="Arial" w:eastAsia="MS PGothic" w:hAnsi="Arial" w:cs="Times New Roman"/>
          <w:sz w:val="20"/>
          <w:szCs w:val="24"/>
        </w:rPr>
        <w:t>Vertinant</w:t>
      </w:r>
      <w:r w:rsidRPr="007762A7">
        <w:rPr>
          <w:rFonts w:ascii="Arial" w:eastAsia="MS PGothic" w:hAnsi="Arial" w:cs="Times New Roman"/>
          <w:sz w:val="20"/>
          <w:szCs w:val="24"/>
        </w:rPr>
        <w:t xml:space="preserve"> ekonominės veiklos rodiklius pastebima, kad stabiliausius rezultatus demonstravo pridėtinės vertės sukurtos gamybos rodiklis. Šiam rodikliui atspindint savivaldybėje verslo įmonių sukuriamą bendrą pridėtinę vertę, galima teigti, kad viso laikotarpio metu verslo subjektų situacija ir pasiekti rezultatai sistemingai gerėjo. Palyginti </w:t>
      </w:r>
      <w:r>
        <w:rPr>
          <w:rFonts w:ascii="Arial" w:eastAsia="MS PGothic" w:hAnsi="Arial" w:cs="Times New Roman"/>
          <w:sz w:val="20"/>
          <w:szCs w:val="24"/>
        </w:rPr>
        <w:t>laikotarpio pradžioje sukurtą pridėtinę vertą su 201</w:t>
      </w:r>
      <w:r>
        <w:rPr>
          <w:rFonts w:ascii="Arial" w:eastAsia="MS PGothic" w:hAnsi="Arial" w:cs="Times New Roman"/>
          <w:sz w:val="20"/>
          <w:szCs w:val="24"/>
          <w:lang w:val="en-US"/>
        </w:rPr>
        <w:t>3</w:t>
      </w:r>
      <w:r w:rsidRPr="007762A7">
        <w:rPr>
          <w:rFonts w:ascii="Arial" w:eastAsia="MS PGothic" w:hAnsi="Arial" w:cs="Times New Roman"/>
          <w:sz w:val="20"/>
          <w:szCs w:val="24"/>
        </w:rPr>
        <w:t xml:space="preserve"> m</w:t>
      </w:r>
      <w:r>
        <w:rPr>
          <w:rFonts w:ascii="Arial" w:eastAsia="MS PGothic" w:hAnsi="Arial" w:cs="Times New Roman"/>
          <w:sz w:val="20"/>
          <w:szCs w:val="24"/>
        </w:rPr>
        <w:t>.</w:t>
      </w:r>
      <w:r w:rsidRPr="007762A7">
        <w:rPr>
          <w:rFonts w:ascii="Arial" w:eastAsia="MS PGothic" w:hAnsi="Arial" w:cs="Times New Roman"/>
          <w:sz w:val="20"/>
          <w:szCs w:val="24"/>
        </w:rPr>
        <w:t xml:space="preserve"> pasiekimais, pastebimas </w:t>
      </w:r>
      <w:r>
        <w:rPr>
          <w:rFonts w:ascii="Arial" w:eastAsia="MS PGothic" w:hAnsi="Arial" w:cs="Times New Roman"/>
          <w:sz w:val="20"/>
          <w:szCs w:val="24"/>
        </w:rPr>
        <w:t xml:space="preserve">didesnis nei </w:t>
      </w:r>
      <w:r>
        <w:rPr>
          <w:rFonts w:ascii="Arial" w:eastAsia="MS PGothic" w:hAnsi="Arial" w:cs="Times New Roman"/>
          <w:sz w:val="20"/>
          <w:szCs w:val="24"/>
          <w:lang w:val="en-US"/>
        </w:rPr>
        <w:t xml:space="preserve">50 </w:t>
      </w:r>
      <w:r w:rsidRPr="007762A7">
        <w:rPr>
          <w:rFonts w:ascii="Arial" w:eastAsia="MS PGothic" w:hAnsi="Arial" w:cs="Times New Roman"/>
          <w:sz w:val="20"/>
          <w:szCs w:val="24"/>
        </w:rPr>
        <w:t xml:space="preserve">%  augimas. </w:t>
      </w:r>
      <w:r>
        <w:rPr>
          <w:rFonts w:ascii="Arial" w:eastAsia="MS PGothic" w:hAnsi="Arial" w:cs="Times New Roman"/>
          <w:sz w:val="20"/>
          <w:szCs w:val="24"/>
        </w:rPr>
        <w:t>N</w:t>
      </w:r>
      <w:r w:rsidRPr="007762A7">
        <w:rPr>
          <w:rFonts w:ascii="Arial" w:eastAsia="MS PGothic" w:hAnsi="Arial" w:cs="Times New Roman"/>
          <w:sz w:val="20"/>
          <w:szCs w:val="24"/>
        </w:rPr>
        <w:t xml:space="preserve">epaisant </w:t>
      </w:r>
      <w:r>
        <w:rPr>
          <w:rFonts w:ascii="Arial" w:eastAsia="MS PGothic" w:hAnsi="Arial" w:cs="Times New Roman"/>
          <w:sz w:val="20"/>
          <w:szCs w:val="24"/>
        </w:rPr>
        <w:t>finansų krizės</w:t>
      </w:r>
      <w:r w:rsidRPr="007762A7">
        <w:rPr>
          <w:rFonts w:ascii="Arial" w:eastAsia="MS PGothic" w:hAnsi="Arial" w:cs="Times New Roman"/>
          <w:sz w:val="20"/>
          <w:szCs w:val="24"/>
        </w:rPr>
        <w:t>, verslo objektų sukurta pridėtinė vertė krito santykinai nedideliu tempu. Nuo 2011 m</w:t>
      </w:r>
      <w:r>
        <w:rPr>
          <w:rFonts w:ascii="Arial" w:eastAsia="MS PGothic" w:hAnsi="Arial" w:cs="Times New Roman"/>
          <w:sz w:val="20"/>
          <w:szCs w:val="24"/>
        </w:rPr>
        <w:t>.</w:t>
      </w:r>
      <w:r w:rsidRPr="007762A7">
        <w:rPr>
          <w:rFonts w:ascii="Arial" w:eastAsia="MS PGothic" w:hAnsi="Arial" w:cs="Times New Roman"/>
          <w:sz w:val="20"/>
          <w:szCs w:val="24"/>
        </w:rPr>
        <w:t xml:space="preserve"> fiksuojamas viduti</w:t>
      </w:r>
      <w:r>
        <w:rPr>
          <w:rFonts w:ascii="Arial" w:eastAsia="MS PGothic" w:hAnsi="Arial" w:cs="Times New Roman"/>
          <w:sz w:val="20"/>
          <w:szCs w:val="24"/>
        </w:rPr>
        <w:t>nis augimas siekiantis 9.97%.</w:t>
      </w:r>
      <w:r w:rsidRPr="007762A7">
        <w:rPr>
          <w:rFonts w:ascii="Arial" w:eastAsia="MS PGothic" w:hAnsi="Arial" w:cs="Times New Roman"/>
          <w:sz w:val="20"/>
          <w:szCs w:val="24"/>
        </w:rPr>
        <w:t xml:space="preserve"> Tuo tarpu materialinės invest</w:t>
      </w:r>
      <w:r>
        <w:rPr>
          <w:rFonts w:ascii="Arial" w:eastAsia="MS PGothic" w:hAnsi="Arial" w:cs="Times New Roman"/>
          <w:sz w:val="20"/>
          <w:szCs w:val="24"/>
        </w:rPr>
        <w:t xml:space="preserve">icijos buvo linkusios svyruoti: </w:t>
      </w:r>
      <w:r w:rsidRPr="007762A7">
        <w:rPr>
          <w:rFonts w:ascii="Arial" w:eastAsia="MS PGothic" w:hAnsi="Arial" w:cs="Times New Roman"/>
          <w:sz w:val="20"/>
          <w:szCs w:val="24"/>
        </w:rPr>
        <w:t xml:space="preserve">neigiama ekonominė situacija </w:t>
      </w:r>
      <w:r>
        <w:rPr>
          <w:rFonts w:ascii="Arial" w:eastAsia="MS PGothic" w:hAnsi="Arial" w:cs="Times New Roman"/>
          <w:sz w:val="20"/>
          <w:szCs w:val="24"/>
        </w:rPr>
        <w:t>šio rodiklio kaitą lėmė</w:t>
      </w:r>
      <w:r w:rsidRPr="007762A7">
        <w:rPr>
          <w:rFonts w:ascii="Arial" w:eastAsia="MS PGothic" w:hAnsi="Arial" w:cs="Times New Roman"/>
          <w:sz w:val="20"/>
          <w:szCs w:val="24"/>
        </w:rPr>
        <w:t xml:space="preserve"> gerokai labiau nei tai buvo pastebima vertinant verslo sektoriaus sukuriamą pridėtinę vertę. Tiesioginių užsienio investicijų tenkančių vienam asmeniui rodiklis identifikuoja, kad nuo 2012 m</w:t>
      </w:r>
      <w:r>
        <w:rPr>
          <w:rFonts w:ascii="Arial" w:eastAsia="MS PGothic" w:hAnsi="Arial" w:cs="Times New Roman"/>
          <w:sz w:val="20"/>
          <w:szCs w:val="24"/>
        </w:rPr>
        <w:t>.</w:t>
      </w:r>
      <w:r w:rsidRPr="007762A7">
        <w:rPr>
          <w:rFonts w:ascii="Arial" w:eastAsia="MS PGothic" w:hAnsi="Arial" w:cs="Times New Roman"/>
          <w:sz w:val="20"/>
          <w:szCs w:val="24"/>
        </w:rPr>
        <w:t xml:space="preserve"> </w:t>
      </w:r>
      <w:r>
        <w:rPr>
          <w:rFonts w:ascii="Arial" w:eastAsia="MS PGothic" w:hAnsi="Arial" w:cs="Times New Roman"/>
          <w:sz w:val="20"/>
          <w:szCs w:val="24"/>
        </w:rPr>
        <w:t>rodiklis</w:t>
      </w:r>
      <w:r w:rsidRPr="007762A7">
        <w:rPr>
          <w:rFonts w:ascii="Arial" w:eastAsia="MS PGothic" w:hAnsi="Arial" w:cs="Times New Roman"/>
          <w:sz w:val="20"/>
          <w:szCs w:val="24"/>
        </w:rPr>
        <w:t xml:space="preserve"> išaugo dvigubai (nuo 1014 EUR iki 2157 EUR). Palyginti su kitomis probleminėmis teritorijomis, </w:t>
      </w:r>
      <w:r>
        <w:rPr>
          <w:rFonts w:ascii="Arial" w:eastAsia="MS PGothic" w:hAnsi="Arial" w:cs="Times New Roman"/>
          <w:sz w:val="20"/>
          <w:szCs w:val="24"/>
        </w:rPr>
        <w:t xml:space="preserve">geresnis rodiklis buvo pasiektas tik </w:t>
      </w:r>
      <w:r w:rsidRPr="007762A7">
        <w:rPr>
          <w:rFonts w:ascii="Arial" w:eastAsia="MS PGothic" w:hAnsi="Arial" w:cs="Times New Roman"/>
          <w:sz w:val="20"/>
          <w:szCs w:val="24"/>
        </w:rPr>
        <w:t>Mažeik</w:t>
      </w:r>
      <w:r>
        <w:rPr>
          <w:rFonts w:ascii="Arial" w:eastAsia="MS PGothic" w:hAnsi="Arial" w:cs="Times New Roman"/>
          <w:sz w:val="20"/>
          <w:szCs w:val="24"/>
        </w:rPr>
        <w:t>ių savivaldybėje. ES SF f</w:t>
      </w:r>
      <w:r w:rsidRPr="007762A7">
        <w:rPr>
          <w:rFonts w:ascii="Arial" w:eastAsia="MS PGothic" w:hAnsi="Arial" w:cs="Times New Roman"/>
          <w:sz w:val="20"/>
          <w:szCs w:val="24"/>
        </w:rPr>
        <w:t>inansavimas</w:t>
      </w:r>
      <w:r>
        <w:rPr>
          <w:rFonts w:ascii="Arial" w:eastAsia="MS PGothic" w:hAnsi="Arial" w:cs="Times New Roman"/>
          <w:sz w:val="20"/>
          <w:szCs w:val="24"/>
        </w:rPr>
        <w:t>,</w:t>
      </w:r>
      <w:r w:rsidRPr="007762A7">
        <w:rPr>
          <w:rFonts w:ascii="Arial" w:eastAsia="MS PGothic" w:hAnsi="Arial" w:cs="Times New Roman"/>
          <w:sz w:val="20"/>
          <w:szCs w:val="24"/>
        </w:rPr>
        <w:t xml:space="preserve"> skirtas </w:t>
      </w:r>
      <w:r>
        <w:rPr>
          <w:rFonts w:ascii="Arial" w:eastAsia="MS PGothic" w:hAnsi="Arial" w:cs="Times New Roman"/>
          <w:sz w:val="20"/>
          <w:szCs w:val="24"/>
        </w:rPr>
        <w:t>ekonominės</w:t>
      </w:r>
      <w:r w:rsidRPr="007762A7">
        <w:rPr>
          <w:rFonts w:ascii="Arial" w:eastAsia="MS PGothic" w:hAnsi="Arial" w:cs="Times New Roman"/>
          <w:sz w:val="20"/>
          <w:szCs w:val="24"/>
        </w:rPr>
        <w:t xml:space="preserve"> raidos projektams</w:t>
      </w:r>
      <w:r>
        <w:rPr>
          <w:rFonts w:ascii="Arial" w:eastAsia="MS PGothic" w:hAnsi="Arial" w:cs="Times New Roman"/>
          <w:sz w:val="20"/>
          <w:szCs w:val="24"/>
        </w:rPr>
        <w:t xml:space="preserve">, padarė teigiamą poveikį. </w:t>
      </w:r>
      <w:r w:rsidR="004B3A55" w:rsidRPr="007852F4">
        <w:rPr>
          <w:rFonts w:ascii="Arial" w:eastAsia="MS PGothic" w:hAnsi="Arial" w:cs="Times New Roman"/>
          <w:sz w:val="20"/>
          <w:szCs w:val="24"/>
        </w:rPr>
        <w:t xml:space="preserve"> </w:t>
      </w:r>
      <w:r w:rsidR="00CF2C00" w:rsidRPr="007852F4">
        <w:rPr>
          <w:rFonts w:ascii="Arial" w:eastAsia="MS PGothic" w:hAnsi="Arial" w:cs="Times New Roman"/>
          <w:sz w:val="20"/>
          <w:szCs w:val="24"/>
        </w:rPr>
        <w:t xml:space="preserve">Apibendrinant, ekonominės veiklos rodikliai </w:t>
      </w:r>
      <w:r>
        <w:rPr>
          <w:rFonts w:ascii="Arial" w:eastAsia="MS PGothic" w:hAnsi="Arial" w:cs="Times New Roman"/>
          <w:sz w:val="20"/>
          <w:szCs w:val="24"/>
        </w:rPr>
        <w:t>Švenčionių</w:t>
      </w:r>
      <w:r w:rsidR="00CF2C00" w:rsidRPr="007852F4">
        <w:rPr>
          <w:rFonts w:ascii="Arial" w:eastAsia="MS PGothic" w:hAnsi="Arial" w:cs="Times New Roman"/>
          <w:sz w:val="20"/>
          <w:szCs w:val="24"/>
        </w:rPr>
        <w:t xml:space="preserve"> savivaldybėje pasižymėjo bendra </w:t>
      </w:r>
      <w:r w:rsidR="004B3A55" w:rsidRPr="007852F4">
        <w:rPr>
          <w:rFonts w:ascii="Arial" w:eastAsia="MS PGothic" w:hAnsi="Arial" w:cs="Times New Roman"/>
          <w:sz w:val="20"/>
          <w:szCs w:val="24"/>
        </w:rPr>
        <w:t>teigiama</w:t>
      </w:r>
      <w:r w:rsidR="00CF2C00" w:rsidRPr="007852F4">
        <w:rPr>
          <w:rFonts w:ascii="Arial" w:eastAsia="MS PGothic" w:hAnsi="Arial" w:cs="Times New Roman"/>
          <w:sz w:val="20"/>
          <w:szCs w:val="24"/>
        </w:rPr>
        <w:t xml:space="preserve"> kitimo tendencija.</w:t>
      </w:r>
    </w:p>
    <w:p w:rsidR="008A1509" w:rsidRPr="007852F4" w:rsidRDefault="008A1509" w:rsidP="008A1509">
      <w:pPr>
        <w:pStyle w:val="Caption"/>
        <w:keepNext/>
      </w:pPr>
      <w:r w:rsidRPr="007852F4">
        <w:fldChar w:fldCharType="begin"/>
      </w:r>
      <w:r w:rsidRPr="007852F4">
        <w:instrText xml:space="preserve"> SEQ paveikslas \* ARABIC </w:instrText>
      </w:r>
      <w:r w:rsidRPr="007852F4">
        <w:fldChar w:fldCharType="separate"/>
      </w:r>
      <w:r w:rsidRPr="007852F4">
        <w:t>6</w:t>
      </w:r>
      <w:r w:rsidRPr="007852F4">
        <w:fldChar w:fldCharType="end"/>
      </w:r>
      <w:r w:rsidRPr="007852F4">
        <w:t xml:space="preserve"> paveikslas. Ekonominės veiklos rodikliai</w:t>
      </w:r>
    </w:p>
    <w:p w:rsidR="00A027E9" w:rsidRPr="007852F4" w:rsidRDefault="00EF54E2" w:rsidP="00A027E9">
      <w:r w:rsidRPr="007852F4">
        <w:rPr>
          <w:noProof/>
          <w:lang w:val="en-US"/>
        </w:rPr>
        <w:drawing>
          <wp:anchor distT="0" distB="0" distL="114300" distR="114300" simplePos="0" relativeHeight="251678720" behindDoc="0" locked="0" layoutInCell="1" allowOverlap="1" wp14:anchorId="6D71AE62" wp14:editId="511B6149">
            <wp:simplePos x="0" y="0"/>
            <wp:positionH relativeFrom="margin">
              <wp:align>left</wp:align>
            </wp:positionH>
            <wp:positionV relativeFrom="paragraph">
              <wp:posOffset>5971</wp:posOffset>
            </wp:positionV>
            <wp:extent cx="4448810" cy="2360930"/>
            <wp:effectExtent l="0" t="0" r="27940" b="2032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rsidR="00654795" w:rsidRDefault="00654795" w:rsidP="00805F6F">
      <w:pPr>
        <w:pStyle w:val="Caption"/>
        <w:spacing w:before="240" w:after="240"/>
        <w:rPr>
          <w:b w:val="0"/>
        </w:rPr>
      </w:pPr>
    </w:p>
    <w:p w:rsidR="00654795" w:rsidRDefault="00654795" w:rsidP="00805F6F">
      <w:pPr>
        <w:pStyle w:val="Caption"/>
        <w:spacing w:before="240" w:after="240"/>
        <w:rPr>
          <w:b w:val="0"/>
        </w:rPr>
      </w:pPr>
    </w:p>
    <w:p w:rsidR="00654795" w:rsidRDefault="00654795" w:rsidP="00805F6F">
      <w:pPr>
        <w:pStyle w:val="Caption"/>
        <w:spacing w:before="240" w:after="240"/>
        <w:rPr>
          <w:b w:val="0"/>
        </w:rPr>
      </w:pPr>
    </w:p>
    <w:p w:rsidR="00654795" w:rsidRDefault="00654795" w:rsidP="00805F6F">
      <w:pPr>
        <w:pStyle w:val="Caption"/>
        <w:spacing w:before="240" w:after="240"/>
        <w:rPr>
          <w:b w:val="0"/>
        </w:rPr>
      </w:pPr>
    </w:p>
    <w:p w:rsidR="00654795" w:rsidRDefault="00654795" w:rsidP="00805F6F">
      <w:pPr>
        <w:pStyle w:val="Caption"/>
        <w:spacing w:before="240" w:after="240"/>
        <w:rPr>
          <w:b w:val="0"/>
        </w:rPr>
      </w:pPr>
    </w:p>
    <w:p w:rsidR="00654795" w:rsidRDefault="00654795" w:rsidP="00805F6F">
      <w:pPr>
        <w:pStyle w:val="Caption"/>
        <w:spacing w:before="240" w:after="240"/>
        <w:rPr>
          <w:b w:val="0"/>
        </w:rPr>
      </w:pPr>
    </w:p>
    <w:p w:rsidR="00654795" w:rsidRDefault="00654795" w:rsidP="00805F6F">
      <w:pPr>
        <w:pStyle w:val="Caption"/>
        <w:spacing w:before="240" w:after="240"/>
        <w:rPr>
          <w:b w:val="0"/>
        </w:rPr>
      </w:pPr>
    </w:p>
    <w:p w:rsidR="00654795" w:rsidRDefault="00654795" w:rsidP="00805F6F">
      <w:pPr>
        <w:pStyle w:val="Caption"/>
        <w:spacing w:before="240" w:after="240"/>
        <w:rPr>
          <w:b w:val="0"/>
        </w:rPr>
      </w:pPr>
    </w:p>
    <w:p w:rsidR="004E0E71" w:rsidRPr="007852F4" w:rsidRDefault="004E0E71" w:rsidP="00805F6F">
      <w:pPr>
        <w:pStyle w:val="Caption"/>
        <w:spacing w:before="240" w:after="240"/>
        <w:rPr>
          <w:b w:val="0"/>
        </w:rPr>
      </w:pPr>
      <w:r w:rsidRPr="007852F4">
        <w:rPr>
          <w:b w:val="0"/>
        </w:rPr>
        <w:t>Šaltinis: Statistiko</w:t>
      </w:r>
      <w:r w:rsidR="0062159A" w:rsidRPr="007852F4">
        <w:rPr>
          <w:b w:val="0"/>
        </w:rPr>
        <w:t>s</w:t>
      </w:r>
      <w:r w:rsidRPr="007852F4">
        <w:rPr>
          <w:b w:val="0"/>
        </w:rPr>
        <w:t xml:space="preserve"> departamentas</w:t>
      </w:r>
    </w:p>
    <w:p w:rsidR="00942138" w:rsidRPr="007852F4" w:rsidRDefault="006C4D28" w:rsidP="008D26FF">
      <w:pPr>
        <w:pStyle w:val="Heading1"/>
        <w:numPr>
          <w:ilvl w:val="1"/>
          <w:numId w:val="1"/>
        </w:numPr>
        <w:spacing w:before="960" w:after="240"/>
        <w:rPr>
          <w:rFonts w:ascii="Arial" w:hAnsi="Arial" w:cs="Arial"/>
          <w:b w:val="0"/>
          <w:sz w:val="28"/>
        </w:rPr>
      </w:pPr>
      <w:r w:rsidRPr="007852F4">
        <w:rPr>
          <w:rFonts w:ascii="Arial" w:hAnsi="Arial" w:cs="Arial"/>
          <w:b w:val="0"/>
          <w:sz w:val="28"/>
        </w:rPr>
        <w:t>ES struktūrinės paramos poveikis</w:t>
      </w:r>
    </w:p>
    <w:p w:rsidR="00CF2C00" w:rsidRDefault="006C4D28" w:rsidP="00CF2C00">
      <w:pPr>
        <w:jc w:val="both"/>
        <w:rPr>
          <w:rFonts w:ascii="Arial" w:eastAsia="MS PGothic" w:hAnsi="Arial" w:cs="Times New Roman"/>
          <w:sz w:val="20"/>
          <w:szCs w:val="24"/>
        </w:rPr>
      </w:pPr>
      <w:r w:rsidRPr="007852F4">
        <w:rPr>
          <w:rFonts w:ascii="Arial" w:eastAsia="MS PGothic" w:hAnsi="Arial" w:cs="Times New Roman"/>
          <w:sz w:val="20"/>
          <w:szCs w:val="24"/>
        </w:rPr>
        <w:t xml:space="preserve">Investicijos probleminėms teritorijoms priskirtoms savivaldybėms buvo skiriamos pagal LRV nutarimu patvirtintas probleminių </w:t>
      </w:r>
      <w:r w:rsidR="002D1DCE" w:rsidRPr="007852F4">
        <w:rPr>
          <w:rFonts w:ascii="Arial" w:eastAsia="MS PGothic" w:hAnsi="Arial" w:cs="Times New Roman"/>
          <w:sz w:val="20"/>
          <w:szCs w:val="24"/>
        </w:rPr>
        <w:t xml:space="preserve">teritorijų gaivinimo programas. </w:t>
      </w:r>
      <w:r w:rsidR="00BF63D3" w:rsidRPr="007852F4">
        <w:rPr>
          <w:rFonts w:ascii="Arial" w:eastAsia="MS PGothic" w:hAnsi="Arial" w:cs="Times New Roman"/>
          <w:sz w:val="20"/>
          <w:szCs w:val="24"/>
        </w:rPr>
        <w:t xml:space="preserve">Pagrindiniai </w:t>
      </w:r>
      <w:r w:rsidR="00B059C5">
        <w:rPr>
          <w:rFonts w:ascii="Arial" w:eastAsia="MS PGothic" w:hAnsi="Arial" w:cs="Times New Roman"/>
          <w:sz w:val="20"/>
          <w:szCs w:val="24"/>
        </w:rPr>
        <w:t xml:space="preserve">Švenčionių </w:t>
      </w:r>
      <w:r w:rsidR="00C446C3" w:rsidRPr="007852F4">
        <w:rPr>
          <w:rFonts w:ascii="Arial" w:eastAsia="MS PGothic" w:hAnsi="Arial" w:cs="Times New Roman"/>
          <w:sz w:val="20"/>
          <w:szCs w:val="24"/>
        </w:rPr>
        <w:t>rajono</w:t>
      </w:r>
      <w:r w:rsidR="00BF63D3" w:rsidRPr="007852F4">
        <w:rPr>
          <w:rFonts w:ascii="Arial" w:eastAsia="MS PGothic" w:hAnsi="Arial" w:cs="Times New Roman"/>
          <w:sz w:val="20"/>
          <w:szCs w:val="24"/>
        </w:rPr>
        <w:t xml:space="preserve"> savivaldybės programos tikslai buvo mažinti nedarbo rodiklius ir socialinės pašalpos gavėjų skaičių. Tuo tarpu uždaviniai ir veiklos telkėsi į infrastruktūros tobulinimą, daugiabučių atnaujinimą ir </w:t>
      </w:r>
      <w:r w:rsidR="00CF2C00" w:rsidRPr="007852F4">
        <w:rPr>
          <w:rFonts w:ascii="Arial" w:eastAsia="MS PGothic" w:hAnsi="Arial" w:cs="Times New Roman"/>
          <w:sz w:val="20"/>
          <w:szCs w:val="24"/>
        </w:rPr>
        <w:t>kompleksinį</w:t>
      </w:r>
      <w:r w:rsidR="00D4179A" w:rsidRPr="007852F4">
        <w:rPr>
          <w:rFonts w:ascii="Arial" w:eastAsia="MS PGothic" w:hAnsi="Arial" w:cs="Times New Roman"/>
          <w:sz w:val="20"/>
          <w:szCs w:val="24"/>
        </w:rPr>
        <w:t xml:space="preserve"> gyvenamosios aplinkos ir </w:t>
      </w:r>
      <w:r w:rsidR="005E7012" w:rsidRPr="007852F4">
        <w:rPr>
          <w:rFonts w:ascii="Arial" w:eastAsia="MS PGothic" w:hAnsi="Arial" w:cs="Times New Roman"/>
          <w:sz w:val="20"/>
          <w:szCs w:val="24"/>
        </w:rPr>
        <w:t xml:space="preserve">urbanistinės </w:t>
      </w:r>
      <w:r w:rsidR="00BF63D3" w:rsidRPr="007852F4">
        <w:rPr>
          <w:rFonts w:ascii="Arial" w:eastAsia="MS PGothic" w:hAnsi="Arial" w:cs="Times New Roman"/>
          <w:sz w:val="20"/>
          <w:szCs w:val="24"/>
        </w:rPr>
        <w:t xml:space="preserve"> </w:t>
      </w:r>
      <w:r w:rsidR="005E7012" w:rsidRPr="007852F4">
        <w:rPr>
          <w:rFonts w:ascii="Arial" w:eastAsia="MS PGothic" w:hAnsi="Arial" w:cs="Times New Roman"/>
          <w:sz w:val="20"/>
          <w:szCs w:val="24"/>
        </w:rPr>
        <w:t xml:space="preserve">infrastruktūros </w:t>
      </w:r>
      <w:r w:rsidR="00BF63D3" w:rsidRPr="007852F4">
        <w:rPr>
          <w:rFonts w:ascii="Arial" w:eastAsia="MS PGothic" w:hAnsi="Arial" w:cs="Times New Roman"/>
          <w:sz w:val="20"/>
          <w:szCs w:val="24"/>
        </w:rPr>
        <w:t>tobulinimą.</w:t>
      </w:r>
      <w:r w:rsidR="00D66F8E" w:rsidRPr="007852F4">
        <w:rPr>
          <w:rStyle w:val="FootnoteReference"/>
          <w:rFonts w:ascii="Arial" w:eastAsia="MS PGothic" w:hAnsi="Arial" w:cs="Times New Roman"/>
          <w:sz w:val="20"/>
          <w:szCs w:val="24"/>
        </w:rPr>
        <w:footnoteReference w:id="1"/>
      </w:r>
      <w:r w:rsidR="002D1DCE" w:rsidRPr="007852F4">
        <w:rPr>
          <w:rFonts w:ascii="Arial" w:eastAsia="MS PGothic" w:hAnsi="Arial" w:cs="Times New Roman"/>
          <w:sz w:val="20"/>
          <w:szCs w:val="24"/>
        </w:rPr>
        <w:t xml:space="preserve"> </w:t>
      </w:r>
      <w:r w:rsidR="008D26FF" w:rsidRPr="007852F4">
        <w:rPr>
          <w:rFonts w:ascii="Arial" w:eastAsia="MS PGothic" w:hAnsi="Arial" w:cs="Times New Roman"/>
          <w:sz w:val="20"/>
          <w:szCs w:val="24"/>
        </w:rPr>
        <w:t>Taigi ir ES SF lėšos daugiausia buvo investuotos į fizinės aplinkos gerinimą, viešosios paskirties pastatų ir daugiabučių renovavimą.</w:t>
      </w:r>
      <w:r w:rsidR="008D26FF">
        <w:rPr>
          <w:rFonts w:ascii="Arial" w:eastAsia="MS PGothic" w:hAnsi="Arial" w:cs="Times New Roman"/>
          <w:sz w:val="20"/>
          <w:szCs w:val="24"/>
        </w:rPr>
        <w:t xml:space="preserve"> Švenčionių savivaldybė taip pat išsiskiria itin dideliu verslo sektoriaus aktyvumu ir verslo konkurencingumui, produktyvumui skirtų projektų skaičiumi. </w:t>
      </w:r>
      <w:r w:rsidR="008D26FF" w:rsidRPr="007852F4">
        <w:rPr>
          <w:rFonts w:ascii="Arial" w:eastAsia="MS PGothic" w:hAnsi="Arial" w:cs="Times New Roman"/>
          <w:sz w:val="20"/>
          <w:szCs w:val="24"/>
        </w:rPr>
        <w:t>Probleminių teritorijų programa buvo viena pagrindinių priemonių, skirtų socialinės atskirties mažinimui tarp regionų. Vis dėlto skirtos lėšos buvo nepakankamos numatytų tikslų pasiekimui.</w:t>
      </w:r>
    </w:p>
    <w:p w:rsidR="008D26FF" w:rsidRDefault="008D26FF" w:rsidP="008D26FF">
      <w:pPr>
        <w:jc w:val="both"/>
        <w:rPr>
          <w:rFonts w:ascii="Arial" w:eastAsia="MS PGothic" w:hAnsi="Arial" w:cs="Times New Roman"/>
          <w:sz w:val="20"/>
          <w:szCs w:val="24"/>
        </w:rPr>
      </w:pPr>
      <w:r w:rsidRPr="007852F4">
        <w:rPr>
          <w:rFonts w:ascii="Arial" w:eastAsia="MS PGothic" w:hAnsi="Arial" w:cs="Times New Roman"/>
          <w:sz w:val="20"/>
          <w:szCs w:val="24"/>
        </w:rPr>
        <w:t>ES SF programavimo laikotarpiu</w:t>
      </w:r>
      <w:r>
        <w:rPr>
          <w:rFonts w:ascii="Arial" w:eastAsia="MS PGothic" w:hAnsi="Arial" w:cs="Times New Roman"/>
          <w:sz w:val="20"/>
          <w:szCs w:val="24"/>
        </w:rPr>
        <w:t xml:space="preserve"> Švenčionių rajono</w:t>
      </w:r>
      <w:r w:rsidRPr="007852F4">
        <w:rPr>
          <w:rFonts w:ascii="Arial" w:eastAsia="MS PGothic" w:hAnsi="Arial" w:cs="Times New Roman"/>
          <w:sz w:val="20"/>
          <w:szCs w:val="24"/>
        </w:rPr>
        <w:t xml:space="preserve"> savivaldybėje buvo investuojama į miestų plėtrą, kompleksinį gyvenamosios aplinkos gerinimą. I2007 – 2013 m. įgyvendinti projektai labiausiai prisidėjo prie socialinės ir švietimo infrastruktūros plėtojimo</w:t>
      </w:r>
      <w:r>
        <w:rPr>
          <w:rFonts w:ascii="Arial" w:eastAsia="MS PGothic" w:hAnsi="Arial" w:cs="Times New Roman"/>
          <w:sz w:val="20"/>
          <w:szCs w:val="24"/>
        </w:rPr>
        <w:t>; taip pat verslo plėtros probleminėje teritorijoje</w:t>
      </w:r>
      <w:r w:rsidRPr="007852F4">
        <w:rPr>
          <w:rFonts w:ascii="Arial" w:eastAsia="MS PGothic" w:hAnsi="Arial" w:cs="Times New Roman"/>
          <w:sz w:val="20"/>
          <w:szCs w:val="24"/>
        </w:rPr>
        <w:t>. Lyginant savivaldybei tekusių lėšų kiekį ir pasiektus rezultatus, galima daryti išvadą, kad lėšos buvo panaudotos kryptingai ir efektyviai, daugiausiai dėmesio skiriant „kietosioms“ investicijų sritims.</w:t>
      </w:r>
    </w:p>
    <w:bookmarkStart w:id="0" w:name="_GoBack"/>
    <w:bookmarkEnd w:id="0"/>
    <w:p w:rsidR="00654795" w:rsidRDefault="00654795" w:rsidP="002D1DCE">
      <w:pPr>
        <w:jc w:val="both"/>
        <w:rPr>
          <w:rFonts w:ascii="Arial" w:eastAsia="MS PGothic" w:hAnsi="Arial" w:cs="Times New Roman"/>
          <w:sz w:val="20"/>
          <w:szCs w:val="24"/>
        </w:rPr>
      </w:pPr>
      <w:r w:rsidRPr="00654795">
        <w:rPr>
          <w:rFonts w:ascii="Arial" w:eastAsia="MS PGothic" w:hAnsi="Arial" w:cs="Times New Roman"/>
          <w:noProof/>
          <w:sz w:val="20"/>
          <w:szCs w:val="24"/>
          <w:lang w:val="en-US"/>
        </w:rPr>
        <mc:AlternateContent>
          <mc:Choice Requires="wps">
            <w:drawing>
              <wp:anchor distT="0" distB="0" distL="114300" distR="114300" simplePos="0" relativeHeight="251680768" behindDoc="1" locked="0" layoutInCell="1" allowOverlap="1" wp14:anchorId="4B027CA2" wp14:editId="397441D2">
                <wp:simplePos x="0" y="0"/>
                <wp:positionH relativeFrom="column">
                  <wp:posOffset>-13970</wp:posOffset>
                </wp:positionH>
                <wp:positionV relativeFrom="paragraph">
                  <wp:posOffset>76200</wp:posOffset>
                </wp:positionV>
                <wp:extent cx="5026025" cy="1403985"/>
                <wp:effectExtent l="0" t="0" r="22225" b="13970"/>
                <wp:wrapTight wrapText="bothSides">
                  <wp:wrapPolygon edited="0">
                    <wp:start x="0" y="0"/>
                    <wp:lineTo x="0" y="21316"/>
                    <wp:lineTo x="21614" y="21316"/>
                    <wp:lineTo x="21614"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6025" cy="1403985"/>
                        </a:xfrm>
                        <a:prstGeom prst="rect">
                          <a:avLst/>
                        </a:prstGeom>
                        <a:solidFill>
                          <a:srgbClr val="FFFFFF"/>
                        </a:solidFill>
                        <a:ln w="9525">
                          <a:solidFill>
                            <a:srgbClr val="000000"/>
                          </a:solidFill>
                          <a:miter lim="800000"/>
                          <a:headEnd/>
                          <a:tailEnd/>
                        </a:ln>
                      </wps:spPr>
                      <wps:txbx>
                        <w:txbxContent>
                          <w:p w:rsidR="00654795" w:rsidRPr="00654795" w:rsidRDefault="00654795" w:rsidP="00654795">
                            <w:pPr>
                              <w:jc w:val="both"/>
                              <w:rPr>
                                <w:rFonts w:ascii="Arial" w:hAnsi="Arial" w:cs="Arial"/>
                                <w:b/>
                                <w:sz w:val="16"/>
                                <w:szCs w:val="16"/>
                              </w:rPr>
                            </w:pPr>
                            <w:r w:rsidRPr="00654795">
                              <w:rPr>
                                <w:rFonts w:ascii="Arial" w:hAnsi="Arial" w:cs="Arial"/>
                                <w:b/>
                                <w:sz w:val="16"/>
                                <w:szCs w:val="16"/>
                              </w:rPr>
                              <w:t>Viešosios turizmo infrastruktūros įrengimas Kaltanėnų miestelyje, VP3-1.3-ŪM-05-R-01-018</w:t>
                            </w:r>
                          </w:p>
                          <w:p w:rsidR="00654795" w:rsidRPr="00654795" w:rsidRDefault="00654795" w:rsidP="00654795">
                            <w:pPr>
                              <w:jc w:val="both"/>
                              <w:rPr>
                                <w:rFonts w:ascii="Arial" w:hAnsi="Arial" w:cs="Arial"/>
                                <w:sz w:val="16"/>
                                <w:szCs w:val="16"/>
                              </w:rPr>
                            </w:pPr>
                            <w:r w:rsidRPr="00654795">
                              <w:rPr>
                                <w:rFonts w:ascii="Arial" w:hAnsi="Arial" w:cs="Arial"/>
                                <w:sz w:val="16"/>
                                <w:szCs w:val="16"/>
                              </w:rPr>
                              <w:t>Projektas bu</w:t>
                            </w:r>
                            <w:r>
                              <w:rPr>
                                <w:rFonts w:ascii="Arial" w:hAnsi="Arial" w:cs="Arial"/>
                                <w:sz w:val="16"/>
                                <w:szCs w:val="16"/>
                              </w:rPr>
                              <w:t>vo</w:t>
                            </w:r>
                            <w:r w:rsidRPr="00654795">
                              <w:rPr>
                                <w:rFonts w:ascii="Arial" w:hAnsi="Arial" w:cs="Arial"/>
                                <w:sz w:val="16"/>
                                <w:szCs w:val="16"/>
                              </w:rPr>
                              <w:t xml:space="preserve"> įgyvendinamas Švenčionių rajone, Kaltanėnų miestelyje apie 20 km į šiaurės vakarus nuo Švenčionių miesto. Projekto tikslas – efektyviai panaudoti Kaltanėnų miestelyje esančius kultūros ir istorijos paveldo objektus, plėtojant pažintinį, poilsinį ir skatinant vietinį bei atvyksta</w:t>
                            </w:r>
                            <w:r>
                              <w:rPr>
                                <w:rFonts w:ascii="Arial" w:hAnsi="Arial" w:cs="Arial"/>
                                <w:sz w:val="16"/>
                                <w:szCs w:val="16"/>
                              </w:rPr>
                              <w:t xml:space="preserve">mąjį turizmą. Projekto metu buvo </w:t>
                            </w:r>
                            <w:r w:rsidRPr="00654795">
                              <w:rPr>
                                <w:rFonts w:ascii="Arial" w:hAnsi="Arial" w:cs="Arial"/>
                                <w:sz w:val="16"/>
                                <w:szCs w:val="16"/>
                              </w:rPr>
                              <w:t>siekiama kompleksiškai sutvarkyti Kaltanėnų miestelio teritoriją, padidinti šio miestelio ir pačio rajono patrauklumą gyventojams, investuotojams, sudarant sąlygas geresniam ne tik Kaltanėnų miestelio, bet ir viso rajono estetiniam vaizdui. Įgyvendinus projektą bu</w:t>
                            </w:r>
                            <w:r>
                              <w:rPr>
                                <w:rFonts w:ascii="Arial" w:hAnsi="Arial" w:cs="Arial"/>
                                <w:sz w:val="16"/>
                                <w:szCs w:val="16"/>
                              </w:rPr>
                              <w:t>vo</w:t>
                            </w:r>
                            <w:r w:rsidRPr="00654795">
                              <w:rPr>
                                <w:rFonts w:ascii="Arial" w:hAnsi="Arial" w:cs="Arial"/>
                                <w:sz w:val="16"/>
                                <w:szCs w:val="16"/>
                              </w:rPr>
                              <w:t xml:space="preserve"> sutvarkyta Kaltanėnų miestelio teritorija (dešinysis Žeimenos upės krantas) – bendras plotas apie 7 ha ir kairysis upės krantas</w:t>
                            </w:r>
                            <w:r>
                              <w:rPr>
                                <w:rFonts w:ascii="Arial" w:hAnsi="Arial" w:cs="Arial"/>
                                <w:sz w:val="16"/>
                                <w:szCs w:val="16"/>
                              </w:rPr>
                              <w:t xml:space="preserve"> </w:t>
                            </w:r>
                            <w:r w:rsidRPr="00654795">
                              <w:rPr>
                                <w:rFonts w:ascii="Arial" w:hAnsi="Arial" w:cs="Arial"/>
                                <w:sz w:val="16"/>
                                <w:szCs w:val="16"/>
                              </w:rPr>
                              <w:t xml:space="preserve">- bendras plotas apie 1,0457 ha. Projekto metu </w:t>
                            </w:r>
                            <w:r>
                              <w:rPr>
                                <w:rFonts w:ascii="Arial" w:hAnsi="Arial" w:cs="Arial"/>
                                <w:sz w:val="16"/>
                                <w:szCs w:val="16"/>
                              </w:rPr>
                              <w:t xml:space="preserve">buvo </w:t>
                            </w:r>
                            <w:r w:rsidRPr="00654795">
                              <w:rPr>
                                <w:rFonts w:ascii="Arial" w:hAnsi="Arial" w:cs="Arial"/>
                                <w:sz w:val="16"/>
                                <w:szCs w:val="16"/>
                              </w:rPr>
                              <w:t>siekiama pritaikyti Kaltanėnų dvaro sodybos aplinką viešiems turizmo poreikiams bei įrengti viešąją turizmo ir poilsio infrastruktūrą, atkurti parko erdvinę struktūrą, pažeistus kompozicinius ir funkcinius ryšius, numatant: - privažiavimą prie teritorijos;- automobilių stovėjimo aikštelę;- vaikų žaidimo ir sporto aikštelę;- pėsčiųjų-dviračių takus;- pavėsinę;- suoliukus;- šiukšlių konteinerius ir šiukšliadėžes;- lauko tualetą;- turistams skirtus informacinius stendą;- teritorijos apšvietimą;- prieplauką baidarėms su atramine siena;- dviračių stovus, atitvarinius stulpelius; - želdynų tvarkymą: priemones vertingų želdynų bei jų sistemų tvarkymui ir išsaugojimui;- savaiminių arba nesilaikant parko planavimo principų pasodintų želdynų šalinimą; sunykusių vertingų želdynų ir jų sistemų (vertingi medžiai ir krūmai, gėlynai ir kt.) atsodinimą; vertingų medžių apsaugos ir tvarkymo priemones; prielaidas parko vertingųjų savybių išryškinimui, apsaugai.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9" type="#_x0000_t202" style="position:absolute;left:0;text-align:left;margin-left:-1.1pt;margin-top:6pt;width:395.75pt;height:110.55pt;z-index:-2516357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">
                <v:textbox style="mso-fit-shape-to-text:t">
                  <w:txbxContent>
                    <w:p w:rsidR="00654795" w:rsidRPr="00654795" w:rsidRDefault="00654795" w:rsidP="00654795">
                      <w:pPr>
                        <w:jc w:val="both"/>
                        <w:rPr>
                          <w:rFonts w:ascii="Arial" w:hAnsi="Arial" w:cs="Arial"/>
                          <w:b/>
                          <w:sz w:val="16"/>
                          <w:szCs w:val="16"/>
                        </w:rPr>
                      </w:pPr>
                      <w:r w:rsidRPr="00654795">
                        <w:rPr>
                          <w:rFonts w:ascii="Arial" w:hAnsi="Arial" w:cs="Arial"/>
                          <w:b/>
                          <w:sz w:val="16"/>
                          <w:szCs w:val="16"/>
                        </w:rPr>
                        <w:t>Viešosios turizmo infrastruktūros įrengimas Kaltanėnų miestelyje, VP3-1.3-ŪM-05-R-01-018</w:t>
                      </w:r>
                    </w:p>
                    <w:p w:rsidR="00654795" w:rsidRPr="00654795" w:rsidRDefault="00654795" w:rsidP="00654795">
                      <w:pPr>
                        <w:jc w:val="both"/>
                        <w:rPr>
                          <w:rFonts w:ascii="Arial" w:hAnsi="Arial" w:cs="Arial"/>
                          <w:sz w:val="16"/>
                          <w:szCs w:val="16"/>
                        </w:rPr>
                      </w:pPr>
                      <w:r w:rsidRPr="00654795">
                        <w:rPr>
                          <w:rFonts w:ascii="Arial" w:hAnsi="Arial" w:cs="Arial"/>
                          <w:sz w:val="16"/>
                          <w:szCs w:val="16"/>
                        </w:rPr>
                        <w:t>Projektas bu</w:t>
                      </w:r>
                      <w:r>
                        <w:rPr>
                          <w:rFonts w:ascii="Arial" w:hAnsi="Arial" w:cs="Arial"/>
                          <w:sz w:val="16"/>
                          <w:szCs w:val="16"/>
                        </w:rPr>
                        <w:t>vo</w:t>
                      </w:r>
                      <w:r w:rsidRPr="00654795">
                        <w:rPr>
                          <w:rFonts w:ascii="Arial" w:hAnsi="Arial" w:cs="Arial"/>
                          <w:sz w:val="16"/>
                          <w:szCs w:val="16"/>
                        </w:rPr>
                        <w:t xml:space="preserve"> įgyvendinamas Švenčionių rajone, Kaltanėnų miestelyje apie 20 km į šiaurės vakarus nuo Švenčionių miesto. Projekto tikslas – efektyviai panaudoti Kaltanėnų miestelyje esančius kultūros ir istorijos paveldo objektus, plėtojant pažintinį, poilsinį ir skatinant vietinį bei atvyksta</w:t>
                      </w:r>
                      <w:r>
                        <w:rPr>
                          <w:rFonts w:ascii="Arial" w:hAnsi="Arial" w:cs="Arial"/>
                          <w:sz w:val="16"/>
                          <w:szCs w:val="16"/>
                        </w:rPr>
                        <w:t xml:space="preserve">mąjį turizmą. Projekto metu buvo </w:t>
                      </w:r>
                      <w:r w:rsidRPr="00654795">
                        <w:rPr>
                          <w:rFonts w:ascii="Arial" w:hAnsi="Arial" w:cs="Arial"/>
                          <w:sz w:val="16"/>
                          <w:szCs w:val="16"/>
                        </w:rPr>
                        <w:t>siekiama kompleksiškai sutvarkyti Kaltanėnų miestelio teritoriją, padidinti šio miestelio ir pačio rajono patrauklumą gyventojams, investuotojams, sudarant sąlygas geresniam ne tik Kaltanėnų miestelio, bet ir viso rajono estetiniam vaizdui. Įgyvendinus projektą bu</w:t>
                      </w:r>
                      <w:r>
                        <w:rPr>
                          <w:rFonts w:ascii="Arial" w:hAnsi="Arial" w:cs="Arial"/>
                          <w:sz w:val="16"/>
                          <w:szCs w:val="16"/>
                        </w:rPr>
                        <w:t>vo</w:t>
                      </w:r>
                      <w:r w:rsidRPr="00654795">
                        <w:rPr>
                          <w:rFonts w:ascii="Arial" w:hAnsi="Arial" w:cs="Arial"/>
                          <w:sz w:val="16"/>
                          <w:szCs w:val="16"/>
                        </w:rPr>
                        <w:t xml:space="preserve"> sutvarkyta Kaltanėnų miestelio teritorija (dešinysis Žeimenos upės krantas) – bendras plotas apie 7 ha ir kairysis upės krantas</w:t>
                      </w:r>
                      <w:r>
                        <w:rPr>
                          <w:rFonts w:ascii="Arial" w:hAnsi="Arial" w:cs="Arial"/>
                          <w:sz w:val="16"/>
                          <w:szCs w:val="16"/>
                        </w:rPr>
                        <w:t xml:space="preserve"> </w:t>
                      </w:r>
                      <w:r w:rsidRPr="00654795">
                        <w:rPr>
                          <w:rFonts w:ascii="Arial" w:hAnsi="Arial" w:cs="Arial"/>
                          <w:sz w:val="16"/>
                          <w:szCs w:val="16"/>
                        </w:rPr>
                        <w:t xml:space="preserve">- bendras plotas apie 1,0457 ha. Projekto metu </w:t>
                      </w:r>
                      <w:r>
                        <w:rPr>
                          <w:rFonts w:ascii="Arial" w:hAnsi="Arial" w:cs="Arial"/>
                          <w:sz w:val="16"/>
                          <w:szCs w:val="16"/>
                        </w:rPr>
                        <w:t xml:space="preserve">buvo </w:t>
                      </w:r>
                      <w:r w:rsidRPr="00654795">
                        <w:rPr>
                          <w:rFonts w:ascii="Arial" w:hAnsi="Arial" w:cs="Arial"/>
                          <w:sz w:val="16"/>
                          <w:szCs w:val="16"/>
                        </w:rPr>
                        <w:t>siekiama pritaikyti Kaltanėnų dvaro sodybos aplinką viešiems turizmo poreikiams bei įrengti viešąją turizmo ir poilsio infrastruktūrą, atkurti parko erdvinę struktūrą, pažeistus kompozicinius ir funkcinius ryšius, numatant: - privažiavimą prie teritorijos;- automobilių stovėjimo aikštelę;- vaikų žaidimo ir sporto aikštelę;- pėsčiųjų-dviračių takus;- pavėsinę;- suoliukus;- šiukšlių konteinerius ir šiukšliadėžes;- lauko tualetą;- turistams skirtus informacinius stendą;- teritorijos apšvietimą;- prieplauką baidarėms su atramine siena;- dviračių stovus, atitvarinius stulpelius; - želdynų tvarkymą: priemones vertingų želdynų bei jų sistemų tvarkymui ir išsaugojimui;- savaiminių arba nesilaikant parko planavimo principų pasodintų želdynų šalinimą; sunykusių vertingų želdynų ir jų sistemų (vertingi medžiai ir krūmai, gėlynai ir kt.) atsodinimą; vertingų medžių apsaugos ir tvarkymo priemones; prielaidas parko vertingųjų savybių išryškinimui, apsaugai.</w:t>
                      </w:r>
                    </w:p>
                  </w:txbxContent>
                </v:textbox>
                <w10:wrap type="tight"/>
              </v:shape>
            </w:pict>
          </mc:Fallback>
        </mc:AlternateContent>
      </w:r>
    </w:p>
    <w:p w:rsidR="002D1DCE" w:rsidRPr="007852F4" w:rsidRDefault="002D1DCE" w:rsidP="002D1DCE">
      <w:pPr>
        <w:jc w:val="both"/>
        <w:rPr>
          <w:rFonts w:ascii="Arial" w:eastAsia="MS PGothic" w:hAnsi="Arial" w:cs="Times New Roman"/>
          <w:sz w:val="20"/>
          <w:szCs w:val="24"/>
        </w:rPr>
      </w:pPr>
      <w:r w:rsidRPr="007852F4">
        <w:rPr>
          <w:rFonts w:ascii="Arial" w:eastAsia="MS PGothic" w:hAnsi="Arial" w:cs="Times New Roman"/>
          <w:sz w:val="20"/>
          <w:szCs w:val="24"/>
        </w:rPr>
        <w:t xml:space="preserve">Apibendrinant, ES struktūrinių fondų lėšos didžiausią įtaką darė </w:t>
      </w:r>
      <w:r w:rsidR="005E7012" w:rsidRPr="007852F4">
        <w:rPr>
          <w:rFonts w:ascii="Arial" w:eastAsia="MS PGothic" w:hAnsi="Arial" w:cs="Times New Roman"/>
          <w:sz w:val="20"/>
          <w:szCs w:val="24"/>
        </w:rPr>
        <w:t>miestų ir gyvenamosios aplinkos tvarkymo</w:t>
      </w:r>
      <w:r w:rsidR="00075175">
        <w:rPr>
          <w:rFonts w:ascii="Arial" w:eastAsia="MS PGothic" w:hAnsi="Arial" w:cs="Times New Roman"/>
          <w:sz w:val="20"/>
          <w:szCs w:val="24"/>
        </w:rPr>
        <w:t xml:space="preserve"> bei verslo plėtros</w:t>
      </w:r>
      <w:r w:rsidR="005E7012" w:rsidRPr="007852F4">
        <w:rPr>
          <w:rFonts w:ascii="Arial" w:eastAsia="MS PGothic" w:hAnsi="Arial" w:cs="Times New Roman"/>
          <w:sz w:val="20"/>
          <w:szCs w:val="24"/>
        </w:rPr>
        <w:t xml:space="preserve"> srityse</w:t>
      </w:r>
      <w:r w:rsidRPr="007852F4">
        <w:rPr>
          <w:rFonts w:ascii="Arial" w:eastAsia="MS PGothic" w:hAnsi="Arial" w:cs="Times New Roman"/>
          <w:sz w:val="20"/>
          <w:szCs w:val="24"/>
        </w:rPr>
        <w:t>.</w:t>
      </w:r>
      <w:r w:rsidR="00075175">
        <w:rPr>
          <w:rFonts w:ascii="Arial" w:eastAsia="MS PGothic" w:hAnsi="Arial" w:cs="Times New Roman"/>
          <w:sz w:val="20"/>
          <w:szCs w:val="24"/>
        </w:rPr>
        <w:t xml:space="preserve"> Tai leido amortizuoti ekonominio nuosmukio sukeltus padarinius.</w:t>
      </w:r>
      <w:r w:rsidR="001824B7" w:rsidRPr="007852F4">
        <w:rPr>
          <w:rFonts w:ascii="Arial" w:eastAsia="MS PGothic" w:hAnsi="Arial" w:cs="Times New Roman"/>
          <w:sz w:val="20"/>
          <w:szCs w:val="24"/>
        </w:rPr>
        <w:t xml:space="preserve"> Vis dėlto savivaldybės situaciją apibrėžiantiems rodikliams didžiausią įtaką darė išorės veiksniai, o skirtas ES SF finansavimas nebuvo pakankamas</w:t>
      </w:r>
      <w:r w:rsidR="00075175">
        <w:rPr>
          <w:rFonts w:ascii="Arial" w:eastAsia="MS PGothic" w:hAnsi="Arial" w:cs="Times New Roman"/>
          <w:sz w:val="20"/>
          <w:szCs w:val="24"/>
        </w:rPr>
        <w:t xml:space="preserve"> tokių rodiklių kaip nedarbo lygis ar užimtumo lygis pokyčiams</w:t>
      </w:r>
      <w:r w:rsidR="001824B7" w:rsidRPr="007852F4">
        <w:rPr>
          <w:rFonts w:ascii="Arial" w:eastAsia="MS PGothic" w:hAnsi="Arial" w:cs="Times New Roman"/>
          <w:sz w:val="20"/>
          <w:szCs w:val="24"/>
        </w:rPr>
        <w:t>.</w:t>
      </w:r>
      <w:r w:rsidR="0020507E" w:rsidRPr="007852F4">
        <w:rPr>
          <w:rFonts w:ascii="Arial" w:eastAsia="MS PGothic" w:hAnsi="Arial" w:cs="Times New Roman"/>
          <w:sz w:val="20"/>
          <w:szCs w:val="24"/>
        </w:rPr>
        <w:t xml:space="preserve"> </w:t>
      </w:r>
      <w:r w:rsidRPr="007852F4">
        <w:rPr>
          <w:rFonts w:ascii="Arial" w:eastAsia="MS PGothic" w:hAnsi="Arial" w:cs="Times New Roman"/>
          <w:sz w:val="20"/>
          <w:szCs w:val="24"/>
        </w:rPr>
        <w:t xml:space="preserve">Įvertinus ES struktūrinių fondų investavimo kryptis ir stebimus socio-ekonominius bei aplinkos taršos rodiklių pokyčius, galima teigti, kad </w:t>
      </w:r>
      <w:r w:rsidR="00075175">
        <w:rPr>
          <w:rFonts w:ascii="Arial" w:eastAsia="MS PGothic" w:hAnsi="Arial" w:cs="Times New Roman"/>
          <w:sz w:val="20"/>
          <w:szCs w:val="24"/>
        </w:rPr>
        <w:t>Švenčionių</w:t>
      </w:r>
      <w:r w:rsidR="005E7012" w:rsidRPr="007852F4">
        <w:rPr>
          <w:rFonts w:ascii="Arial" w:eastAsia="MS PGothic" w:hAnsi="Arial" w:cs="Times New Roman"/>
          <w:sz w:val="20"/>
          <w:szCs w:val="24"/>
        </w:rPr>
        <w:t xml:space="preserve"> rajono savivaldybėje ES SF </w:t>
      </w:r>
      <w:r w:rsidR="00075175">
        <w:rPr>
          <w:rFonts w:ascii="Arial" w:eastAsia="MS PGothic" w:hAnsi="Arial" w:cs="Times New Roman"/>
          <w:sz w:val="20"/>
          <w:szCs w:val="24"/>
        </w:rPr>
        <w:t>lėšos nepadarė reikšmingo poveikio darniai plėtrai.</w:t>
      </w:r>
    </w:p>
    <w:p w:rsidR="00745B48" w:rsidRPr="007852F4" w:rsidRDefault="00745B48" w:rsidP="00A2570C">
      <w:pPr>
        <w:jc w:val="both"/>
        <w:rPr>
          <w:rFonts w:ascii="Arial" w:eastAsia="MS PGothic" w:hAnsi="Arial" w:cs="Times New Roman"/>
          <w:sz w:val="20"/>
          <w:szCs w:val="24"/>
        </w:rPr>
      </w:pPr>
    </w:p>
    <w:p w:rsidR="00897144" w:rsidRPr="007852F4" w:rsidRDefault="00897144">
      <w:pPr>
        <w:jc w:val="both"/>
        <w:rPr>
          <w:rFonts w:ascii="Arial" w:eastAsia="MS PGothic" w:hAnsi="Arial" w:cs="Times New Roman"/>
          <w:sz w:val="20"/>
          <w:szCs w:val="24"/>
        </w:rPr>
      </w:pPr>
    </w:p>
    <w:sectPr w:rsidR="00897144" w:rsidRPr="007852F4" w:rsidSect="00252B4A">
      <w:footerReference w:type="default" r:id="rId19"/>
      <w:footerReference w:type="first" r:id="rId20"/>
      <w:pgSz w:w="11901" w:h="16840"/>
      <w:pgMar w:top="1418" w:right="1134" w:bottom="1701" w:left="2835"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24D" w:rsidRDefault="0060524D">
      <w:pPr>
        <w:spacing w:after="0" w:line="240" w:lineRule="auto"/>
      </w:pPr>
      <w:r>
        <w:separator/>
      </w:r>
    </w:p>
  </w:endnote>
  <w:endnote w:type="continuationSeparator" w:id="0">
    <w:p w:rsidR="0060524D" w:rsidRDefault="0060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Times">
    <w:panose1 w:val="02020603050405020304"/>
    <w:charset w:val="BA"/>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319519"/>
      <w:docPartObj>
        <w:docPartGallery w:val="Page Numbers (Bottom of Page)"/>
        <w:docPartUnique/>
      </w:docPartObj>
    </w:sdtPr>
    <w:sdtEndPr>
      <w:rPr>
        <w:noProof/>
      </w:rPr>
    </w:sdtEndPr>
    <w:sdtContent>
      <w:p w:rsidR="00DC7F6C" w:rsidRDefault="00DC7F6C">
        <w:pPr>
          <w:pStyle w:val="Footer"/>
          <w:jc w:val="right"/>
        </w:pPr>
        <w:r>
          <w:fldChar w:fldCharType="begin"/>
        </w:r>
        <w:r>
          <w:instrText xml:space="preserve"> PAGE   \* MERGEFORMAT </w:instrText>
        </w:r>
        <w:r>
          <w:fldChar w:fldCharType="separate"/>
        </w:r>
        <w:r w:rsidR="008D26FF">
          <w:rPr>
            <w:noProof/>
          </w:rPr>
          <w:t>4</w:t>
        </w:r>
        <w:r>
          <w:rPr>
            <w:noProof/>
          </w:rPr>
          <w:fldChar w:fldCharType="end"/>
        </w:r>
      </w:p>
    </w:sdtContent>
  </w:sdt>
  <w:p w:rsidR="008F6941" w:rsidRDefault="008F6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416536"/>
      <w:docPartObj>
        <w:docPartGallery w:val="Page Numbers (Bottom of Page)"/>
        <w:docPartUnique/>
      </w:docPartObj>
    </w:sdtPr>
    <w:sdtEndPr>
      <w:rPr>
        <w:noProof/>
        <w:szCs w:val="17"/>
      </w:rPr>
    </w:sdtEndPr>
    <w:sdtContent>
      <w:p w:rsidR="008F6941" w:rsidRPr="00DC7F6C" w:rsidRDefault="008F6941">
        <w:pPr>
          <w:pStyle w:val="Footer"/>
          <w:jc w:val="right"/>
          <w:rPr>
            <w:szCs w:val="17"/>
          </w:rPr>
        </w:pPr>
        <w:r w:rsidRPr="00DC7F6C">
          <w:rPr>
            <w:szCs w:val="17"/>
          </w:rPr>
          <w:fldChar w:fldCharType="begin"/>
        </w:r>
        <w:r w:rsidRPr="00DC7F6C">
          <w:rPr>
            <w:szCs w:val="17"/>
          </w:rPr>
          <w:instrText xml:space="preserve"> PAGE   \* MERGEFORMAT </w:instrText>
        </w:r>
        <w:r w:rsidRPr="00DC7F6C">
          <w:rPr>
            <w:szCs w:val="17"/>
          </w:rPr>
          <w:fldChar w:fldCharType="separate"/>
        </w:r>
        <w:r w:rsidR="008D26FF">
          <w:rPr>
            <w:noProof/>
            <w:szCs w:val="17"/>
          </w:rPr>
          <w:t>1</w:t>
        </w:r>
        <w:r w:rsidRPr="00DC7F6C">
          <w:rPr>
            <w:noProof/>
            <w:szCs w:val="17"/>
          </w:rPr>
          <w:fldChar w:fldCharType="end"/>
        </w:r>
      </w:p>
    </w:sdtContent>
  </w:sdt>
  <w:p w:rsidR="00C45115" w:rsidRPr="00BE0549" w:rsidRDefault="008D26FF" w:rsidP="00BE05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24D" w:rsidRDefault="0060524D">
      <w:pPr>
        <w:spacing w:after="0" w:line="240" w:lineRule="auto"/>
      </w:pPr>
      <w:r>
        <w:separator/>
      </w:r>
    </w:p>
  </w:footnote>
  <w:footnote w:type="continuationSeparator" w:id="0">
    <w:p w:rsidR="0060524D" w:rsidRDefault="0060524D">
      <w:pPr>
        <w:spacing w:after="0" w:line="240" w:lineRule="auto"/>
      </w:pPr>
      <w:r>
        <w:continuationSeparator/>
      </w:r>
    </w:p>
  </w:footnote>
  <w:footnote w:id="1">
    <w:p w:rsidR="00D66F8E" w:rsidRPr="00FC1F97" w:rsidRDefault="00D66F8E">
      <w:pPr>
        <w:pStyle w:val="FootnoteText"/>
        <w:rPr>
          <w:rFonts w:ascii="Arial" w:hAnsi="Arial" w:cs="Arial"/>
          <w:sz w:val="18"/>
          <w:lang w:val="en-US"/>
        </w:rPr>
      </w:pPr>
      <w:r w:rsidRPr="00FC1F97">
        <w:rPr>
          <w:rStyle w:val="FootnoteReference"/>
          <w:rFonts w:ascii="Arial" w:hAnsi="Arial" w:cs="Arial"/>
          <w:sz w:val="18"/>
        </w:rPr>
        <w:footnoteRef/>
      </w:r>
      <w:r w:rsidRPr="00FC1F97">
        <w:rPr>
          <w:rFonts w:ascii="Arial" w:hAnsi="Arial" w:cs="Arial"/>
          <w:sz w:val="18"/>
        </w:rPr>
        <w:t xml:space="preserve"> 2011 m. gegužės 18 d. </w:t>
      </w:r>
      <w:r w:rsidRPr="00FC1F97">
        <w:rPr>
          <w:rFonts w:ascii="Arial" w:hAnsi="Arial" w:cs="Arial"/>
          <w:sz w:val="18"/>
          <w:lang w:val="en-US"/>
        </w:rPr>
        <w:t>Lietuvos Respublikos Vyriausyb</w:t>
      </w:r>
      <w:r w:rsidRPr="00FC1F97">
        <w:rPr>
          <w:rFonts w:ascii="Arial" w:hAnsi="Arial" w:cs="Arial"/>
          <w:sz w:val="18"/>
        </w:rPr>
        <w:t xml:space="preserve">ės nutarimas Nr. 588 „Dėl probleminių teritorijų plėtros programų patvirtinimo“ &lt; </w:t>
      </w:r>
      <w:hyperlink r:id="rId1" w:history="1">
        <w:r w:rsidRPr="00FC1F97">
          <w:rPr>
            <w:rStyle w:val="Hyperlink"/>
            <w:rFonts w:ascii="Arial" w:hAnsi="Arial" w:cs="Arial"/>
            <w:sz w:val="18"/>
          </w:rPr>
          <w:t>https://e-tar.lt/portal/lt/legalAct/TAR.FA6D2B23F867</w:t>
        </w:r>
      </w:hyperlink>
      <w:r w:rsidRPr="00FC1F97">
        <w:rPr>
          <w:rFonts w:ascii="Arial" w:hAnsi="Arial" w:cs="Arial"/>
          <w:sz w:val="18"/>
        </w:rPr>
        <w:t xml:space="preserve"> &gt;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74A"/>
    <w:multiLevelType w:val="multilevel"/>
    <w:tmpl w:val="E03E5E5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ascii="Arial" w:hAnsi="Arial" w:cs="Arial" w:hint="default"/>
        <w:b w:val="0"/>
        <w:sz w:val="28"/>
        <w:szCs w:val="28"/>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nsid w:val="08D503ED"/>
    <w:multiLevelType w:val="multilevel"/>
    <w:tmpl w:val="3EF012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nsid w:val="1AB36E7E"/>
    <w:multiLevelType w:val="multilevel"/>
    <w:tmpl w:val="3EF012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nsid w:val="58922398"/>
    <w:multiLevelType w:val="hybridMultilevel"/>
    <w:tmpl w:val="6924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86592C"/>
    <w:multiLevelType w:val="multilevel"/>
    <w:tmpl w:val="3EF012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7BB"/>
    <w:rsid w:val="0001054F"/>
    <w:rsid w:val="0001131C"/>
    <w:rsid w:val="00020455"/>
    <w:rsid w:val="000534F9"/>
    <w:rsid w:val="0005398B"/>
    <w:rsid w:val="0005613F"/>
    <w:rsid w:val="0006433C"/>
    <w:rsid w:val="00075175"/>
    <w:rsid w:val="000B2A0A"/>
    <w:rsid w:val="000C024B"/>
    <w:rsid w:val="000C341E"/>
    <w:rsid w:val="000D5BA5"/>
    <w:rsid w:val="000D77A0"/>
    <w:rsid w:val="000F56AE"/>
    <w:rsid w:val="00101E5E"/>
    <w:rsid w:val="00123257"/>
    <w:rsid w:val="001253F5"/>
    <w:rsid w:val="00136152"/>
    <w:rsid w:val="00156492"/>
    <w:rsid w:val="00156F09"/>
    <w:rsid w:val="001824B7"/>
    <w:rsid w:val="001A1350"/>
    <w:rsid w:val="001A72A7"/>
    <w:rsid w:val="001B09C3"/>
    <w:rsid w:val="001E095D"/>
    <w:rsid w:val="001F2140"/>
    <w:rsid w:val="0020507E"/>
    <w:rsid w:val="0020781B"/>
    <w:rsid w:val="00220A43"/>
    <w:rsid w:val="00223773"/>
    <w:rsid w:val="00231F9C"/>
    <w:rsid w:val="0023534D"/>
    <w:rsid w:val="002427B5"/>
    <w:rsid w:val="00242947"/>
    <w:rsid w:val="00245A8A"/>
    <w:rsid w:val="002502B8"/>
    <w:rsid w:val="00253066"/>
    <w:rsid w:val="00261F3E"/>
    <w:rsid w:val="00264515"/>
    <w:rsid w:val="002677E8"/>
    <w:rsid w:val="00284741"/>
    <w:rsid w:val="00295323"/>
    <w:rsid w:val="002A3F19"/>
    <w:rsid w:val="002B025C"/>
    <w:rsid w:val="002B4036"/>
    <w:rsid w:val="002D1DCE"/>
    <w:rsid w:val="002E30F9"/>
    <w:rsid w:val="002F53F5"/>
    <w:rsid w:val="00316283"/>
    <w:rsid w:val="00326A1B"/>
    <w:rsid w:val="00332F7B"/>
    <w:rsid w:val="00353193"/>
    <w:rsid w:val="00356065"/>
    <w:rsid w:val="0035623C"/>
    <w:rsid w:val="0037112C"/>
    <w:rsid w:val="00380461"/>
    <w:rsid w:val="003851F2"/>
    <w:rsid w:val="00397FF3"/>
    <w:rsid w:val="003B6A83"/>
    <w:rsid w:val="003B6A9C"/>
    <w:rsid w:val="003D195A"/>
    <w:rsid w:val="003E5F95"/>
    <w:rsid w:val="00412185"/>
    <w:rsid w:val="00424FB7"/>
    <w:rsid w:val="0044118D"/>
    <w:rsid w:val="00462CCD"/>
    <w:rsid w:val="004722C7"/>
    <w:rsid w:val="004743DF"/>
    <w:rsid w:val="00497FA6"/>
    <w:rsid w:val="004A5F6F"/>
    <w:rsid w:val="004B3A55"/>
    <w:rsid w:val="004B45DE"/>
    <w:rsid w:val="004C6B41"/>
    <w:rsid w:val="004E0E71"/>
    <w:rsid w:val="00500B34"/>
    <w:rsid w:val="00501B52"/>
    <w:rsid w:val="00540ADA"/>
    <w:rsid w:val="005411B7"/>
    <w:rsid w:val="00554B62"/>
    <w:rsid w:val="005577BB"/>
    <w:rsid w:val="00560E0D"/>
    <w:rsid w:val="00591462"/>
    <w:rsid w:val="00594D44"/>
    <w:rsid w:val="005966F9"/>
    <w:rsid w:val="005D7C5E"/>
    <w:rsid w:val="005E7012"/>
    <w:rsid w:val="0060524D"/>
    <w:rsid w:val="0061421F"/>
    <w:rsid w:val="0062033D"/>
    <w:rsid w:val="0062159A"/>
    <w:rsid w:val="00621899"/>
    <w:rsid w:val="00631113"/>
    <w:rsid w:val="00645918"/>
    <w:rsid w:val="00654795"/>
    <w:rsid w:val="00660951"/>
    <w:rsid w:val="00687A46"/>
    <w:rsid w:val="00692255"/>
    <w:rsid w:val="006B7576"/>
    <w:rsid w:val="006C16C9"/>
    <w:rsid w:val="006C4D28"/>
    <w:rsid w:val="0070178B"/>
    <w:rsid w:val="0070345E"/>
    <w:rsid w:val="00706426"/>
    <w:rsid w:val="00742C97"/>
    <w:rsid w:val="00745B48"/>
    <w:rsid w:val="00757A60"/>
    <w:rsid w:val="00761250"/>
    <w:rsid w:val="007852F4"/>
    <w:rsid w:val="007B57EE"/>
    <w:rsid w:val="007D0C4A"/>
    <w:rsid w:val="007F0777"/>
    <w:rsid w:val="00800911"/>
    <w:rsid w:val="0080175F"/>
    <w:rsid w:val="00805F6F"/>
    <w:rsid w:val="00847350"/>
    <w:rsid w:val="008856B5"/>
    <w:rsid w:val="00897144"/>
    <w:rsid w:val="008A1509"/>
    <w:rsid w:val="008B1202"/>
    <w:rsid w:val="008D26FF"/>
    <w:rsid w:val="008F1A11"/>
    <w:rsid w:val="008F6941"/>
    <w:rsid w:val="00917C1E"/>
    <w:rsid w:val="00923DC7"/>
    <w:rsid w:val="00942138"/>
    <w:rsid w:val="00955E14"/>
    <w:rsid w:val="009A35E9"/>
    <w:rsid w:val="009A43BA"/>
    <w:rsid w:val="009C0862"/>
    <w:rsid w:val="009D1D9B"/>
    <w:rsid w:val="009D7299"/>
    <w:rsid w:val="009F1A90"/>
    <w:rsid w:val="00A027E9"/>
    <w:rsid w:val="00A2570C"/>
    <w:rsid w:val="00A46722"/>
    <w:rsid w:val="00A552B8"/>
    <w:rsid w:val="00A70602"/>
    <w:rsid w:val="00A82AF0"/>
    <w:rsid w:val="00A8696E"/>
    <w:rsid w:val="00A90A5D"/>
    <w:rsid w:val="00AA3395"/>
    <w:rsid w:val="00AE6D59"/>
    <w:rsid w:val="00AF0119"/>
    <w:rsid w:val="00B059C5"/>
    <w:rsid w:val="00B06A2E"/>
    <w:rsid w:val="00B13875"/>
    <w:rsid w:val="00B20ED7"/>
    <w:rsid w:val="00B25538"/>
    <w:rsid w:val="00B25A1E"/>
    <w:rsid w:val="00B320FB"/>
    <w:rsid w:val="00B35CC8"/>
    <w:rsid w:val="00B47E2E"/>
    <w:rsid w:val="00B70EC1"/>
    <w:rsid w:val="00B72614"/>
    <w:rsid w:val="00B76AF6"/>
    <w:rsid w:val="00BA0105"/>
    <w:rsid w:val="00BC4ECE"/>
    <w:rsid w:val="00BF63D3"/>
    <w:rsid w:val="00C01E16"/>
    <w:rsid w:val="00C144CE"/>
    <w:rsid w:val="00C23DA0"/>
    <w:rsid w:val="00C24D75"/>
    <w:rsid w:val="00C266D6"/>
    <w:rsid w:val="00C335FC"/>
    <w:rsid w:val="00C363C5"/>
    <w:rsid w:val="00C369A0"/>
    <w:rsid w:val="00C446C3"/>
    <w:rsid w:val="00C6756A"/>
    <w:rsid w:val="00C77B11"/>
    <w:rsid w:val="00C83C6E"/>
    <w:rsid w:val="00C849C4"/>
    <w:rsid w:val="00C979EF"/>
    <w:rsid w:val="00C97DE2"/>
    <w:rsid w:val="00CB7E91"/>
    <w:rsid w:val="00CD0222"/>
    <w:rsid w:val="00CF2C00"/>
    <w:rsid w:val="00CF323C"/>
    <w:rsid w:val="00CF47D0"/>
    <w:rsid w:val="00D01CEF"/>
    <w:rsid w:val="00D3587C"/>
    <w:rsid w:val="00D4179A"/>
    <w:rsid w:val="00D41C73"/>
    <w:rsid w:val="00D45CFF"/>
    <w:rsid w:val="00D62EB8"/>
    <w:rsid w:val="00D65C3C"/>
    <w:rsid w:val="00D66F8E"/>
    <w:rsid w:val="00D81B36"/>
    <w:rsid w:val="00DA55EF"/>
    <w:rsid w:val="00DC3E9D"/>
    <w:rsid w:val="00DC7F6C"/>
    <w:rsid w:val="00DF75BE"/>
    <w:rsid w:val="00E12034"/>
    <w:rsid w:val="00E15C0D"/>
    <w:rsid w:val="00E41636"/>
    <w:rsid w:val="00E41B59"/>
    <w:rsid w:val="00E5283B"/>
    <w:rsid w:val="00E55606"/>
    <w:rsid w:val="00E56004"/>
    <w:rsid w:val="00E561C3"/>
    <w:rsid w:val="00E805EC"/>
    <w:rsid w:val="00EC1E09"/>
    <w:rsid w:val="00ED2FB0"/>
    <w:rsid w:val="00ED3673"/>
    <w:rsid w:val="00EF54E2"/>
    <w:rsid w:val="00F02104"/>
    <w:rsid w:val="00F43E9F"/>
    <w:rsid w:val="00F47E08"/>
    <w:rsid w:val="00F543B3"/>
    <w:rsid w:val="00F606F0"/>
    <w:rsid w:val="00F607CD"/>
    <w:rsid w:val="00F63FF4"/>
    <w:rsid w:val="00F73ED6"/>
    <w:rsid w:val="00F86DB2"/>
    <w:rsid w:val="00FA6284"/>
    <w:rsid w:val="00FB52BA"/>
    <w:rsid w:val="00FC1F97"/>
    <w:rsid w:val="00FC34DA"/>
    <w:rsid w:val="00FF20FA"/>
    <w:rsid w:val="00FF7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paragraph" w:styleId="Heading1">
    <w:name w:val="heading 1"/>
    <w:basedOn w:val="Normal"/>
    <w:next w:val="Normal"/>
    <w:link w:val="Heading1Char"/>
    <w:qFormat/>
    <w:rsid w:val="005577BB"/>
    <w:pPr>
      <w:keepNext/>
      <w:keepLines/>
      <w:spacing w:before="480" w:after="113" w:line="240" w:lineRule="exact"/>
      <w:outlineLvl w:val="0"/>
    </w:pPr>
    <w:rPr>
      <w:rFonts w:ascii="Calibri" w:eastAsia="MS PGothic" w:hAnsi="Calibri" w:cs="Times New Roman"/>
      <w:b/>
      <w:bCs/>
      <w:color w:val="6796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1-lineSectionheading">
    <w:name w:val="00. 1-line Section heading"/>
    <w:basedOn w:val="Normal"/>
    <w:qFormat/>
    <w:rsid w:val="005577BB"/>
    <w:pPr>
      <w:shd w:val="clear" w:color="auto" w:fill="FFFFFF"/>
      <w:spacing w:after="1440" w:line="720" w:lineRule="exact"/>
    </w:pPr>
    <w:rPr>
      <w:rFonts w:ascii="Times New Roman" w:eastAsia="Times" w:hAnsi="Times New Roman" w:cs="Times New Roman"/>
      <w:noProof/>
      <w:color w:val="002776"/>
      <w:kern w:val="28"/>
      <w:sz w:val="64"/>
      <w:szCs w:val="70"/>
    </w:rPr>
  </w:style>
  <w:style w:type="character" w:customStyle="1" w:styleId="Heading1Char">
    <w:name w:val="Heading 1 Char"/>
    <w:basedOn w:val="DefaultParagraphFont"/>
    <w:link w:val="Heading1"/>
    <w:rsid w:val="005577BB"/>
    <w:rPr>
      <w:rFonts w:ascii="Calibri" w:eastAsia="MS PGothic" w:hAnsi="Calibri" w:cs="Times New Roman"/>
      <w:b/>
      <w:bCs/>
      <w:color w:val="679600"/>
      <w:sz w:val="32"/>
      <w:szCs w:val="32"/>
      <w:lang w:val="lt-LT"/>
    </w:rPr>
  </w:style>
  <w:style w:type="paragraph" w:styleId="Footer">
    <w:name w:val="footer"/>
    <w:basedOn w:val="Normal"/>
    <w:link w:val="FooterChar"/>
    <w:uiPriority w:val="99"/>
    <w:rsid w:val="005577BB"/>
    <w:pPr>
      <w:tabs>
        <w:tab w:val="center" w:pos="4320"/>
        <w:tab w:val="right" w:pos="8640"/>
      </w:tabs>
      <w:spacing w:after="0" w:line="240" w:lineRule="auto"/>
    </w:pPr>
    <w:rPr>
      <w:rFonts w:ascii="Arial" w:eastAsia="MS PGothic" w:hAnsi="Arial" w:cs="Times New Roman"/>
      <w:sz w:val="17"/>
      <w:szCs w:val="24"/>
    </w:rPr>
  </w:style>
  <w:style w:type="character" w:customStyle="1" w:styleId="FooterChar">
    <w:name w:val="Footer Char"/>
    <w:basedOn w:val="DefaultParagraphFont"/>
    <w:link w:val="Footer"/>
    <w:uiPriority w:val="99"/>
    <w:rsid w:val="005577BB"/>
    <w:rPr>
      <w:rFonts w:ascii="Arial" w:eastAsia="MS PGothic" w:hAnsi="Arial" w:cs="Times New Roman"/>
      <w:sz w:val="17"/>
      <w:szCs w:val="24"/>
      <w:lang w:val="lt-LT"/>
    </w:rPr>
  </w:style>
  <w:style w:type="paragraph" w:styleId="Caption">
    <w:name w:val="caption"/>
    <w:basedOn w:val="Normal"/>
    <w:next w:val="Normal"/>
    <w:qFormat/>
    <w:rsid w:val="005577BB"/>
    <w:pPr>
      <w:spacing w:after="200" w:line="240" w:lineRule="auto"/>
    </w:pPr>
    <w:rPr>
      <w:rFonts w:ascii="Arial" w:eastAsia="Times" w:hAnsi="Arial" w:cs="Times New Roman"/>
      <w:b/>
      <w:bCs/>
      <w:sz w:val="18"/>
      <w:szCs w:val="18"/>
    </w:rPr>
  </w:style>
  <w:style w:type="paragraph" w:customStyle="1" w:styleId="Deloittebodytext">
    <w:name w:val="Deloitte body text"/>
    <w:qFormat/>
    <w:rsid w:val="005577BB"/>
    <w:pPr>
      <w:spacing w:after="240" w:line="280" w:lineRule="exact"/>
    </w:pPr>
    <w:rPr>
      <w:rFonts w:ascii="Arial" w:eastAsia="Times New Roman" w:hAnsi="Arial" w:cs="Times New Roman"/>
      <w:color w:val="000000"/>
      <w:sz w:val="20"/>
      <w:szCs w:val="48"/>
      <w:lang w:val="cs-CZ"/>
    </w:rPr>
  </w:style>
  <w:style w:type="paragraph" w:styleId="NormalWeb">
    <w:name w:val="Normal (Web)"/>
    <w:basedOn w:val="Normal"/>
    <w:uiPriority w:val="99"/>
    <w:semiHidden/>
    <w:unhideWhenUsed/>
    <w:rsid w:val="00F73ED6"/>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EC1E09"/>
    <w:pPr>
      <w:ind w:left="720"/>
      <w:contextualSpacing/>
    </w:pPr>
  </w:style>
  <w:style w:type="paragraph" w:styleId="BalloonText">
    <w:name w:val="Balloon Text"/>
    <w:basedOn w:val="Normal"/>
    <w:link w:val="BalloonTextChar"/>
    <w:uiPriority w:val="99"/>
    <w:semiHidden/>
    <w:unhideWhenUsed/>
    <w:rsid w:val="00C36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3C5"/>
    <w:rPr>
      <w:rFonts w:ascii="Segoe UI" w:hAnsi="Segoe UI" w:cs="Segoe UI"/>
      <w:sz w:val="18"/>
      <w:szCs w:val="18"/>
    </w:rPr>
  </w:style>
  <w:style w:type="character" w:styleId="Hyperlink">
    <w:name w:val="Hyperlink"/>
    <w:basedOn w:val="DefaultParagraphFont"/>
    <w:uiPriority w:val="99"/>
    <w:unhideWhenUsed/>
    <w:rsid w:val="009D7299"/>
    <w:rPr>
      <w:color w:val="0563C1" w:themeColor="hyperlink"/>
      <w:u w:val="single"/>
    </w:rPr>
  </w:style>
  <w:style w:type="paragraph" w:styleId="Header">
    <w:name w:val="header"/>
    <w:basedOn w:val="Normal"/>
    <w:link w:val="HeaderChar"/>
    <w:uiPriority w:val="99"/>
    <w:unhideWhenUsed/>
    <w:rsid w:val="008F6941"/>
    <w:pPr>
      <w:tabs>
        <w:tab w:val="center" w:pos="4986"/>
        <w:tab w:val="right" w:pos="9972"/>
      </w:tabs>
      <w:spacing w:after="0" w:line="240" w:lineRule="auto"/>
    </w:pPr>
  </w:style>
  <w:style w:type="character" w:customStyle="1" w:styleId="HeaderChar">
    <w:name w:val="Header Char"/>
    <w:basedOn w:val="DefaultParagraphFont"/>
    <w:link w:val="Header"/>
    <w:uiPriority w:val="99"/>
    <w:rsid w:val="008F6941"/>
    <w:rPr>
      <w:lang w:val="lt-LT"/>
    </w:rPr>
  </w:style>
  <w:style w:type="paragraph" w:styleId="FootnoteText">
    <w:name w:val="footnote text"/>
    <w:basedOn w:val="Normal"/>
    <w:link w:val="FootnoteTextChar"/>
    <w:uiPriority w:val="99"/>
    <w:semiHidden/>
    <w:unhideWhenUsed/>
    <w:rsid w:val="00D66F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F8E"/>
    <w:rPr>
      <w:sz w:val="20"/>
      <w:szCs w:val="20"/>
      <w:lang w:val="lt-LT"/>
    </w:rPr>
  </w:style>
  <w:style w:type="character" w:styleId="FootnoteReference">
    <w:name w:val="footnote reference"/>
    <w:basedOn w:val="DefaultParagraphFont"/>
    <w:uiPriority w:val="99"/>
    <w:semiHidden/>
    <w:unhideWhenUsed/>
    <w:rsid w:val="00D66F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paragraph" w:styleId="Heading1">
    <w:name w:val="heading 1"/>
    <w:basedOn w:val="Normal"/>
    <w:next w:val="Normal"/>
    <w:link w:val="Heading1Char"/>
    <w:qFormat/>
    <w:rsid w:val="005577BB"/>
    <w:pPr>
      <w:keepNext/>
      <w:keepLines/>
      <w:spacing w:before="480" w:after="113" w:line="240" w:lineRule="exact"/>
      <w:outlineLvl w:val="0"/>
    </w:pPr>
    <w:rPr>
      <w:rFonts w:ascii="Calibri" w:eastAsia="MS PGothic" w:hAnsi="Calibri" w:cs="Times New Roman"/>
      <w:b/>
      <w:bCs/>
      <w:color w:val="6796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1-lineSectionheading">
    <w:name w:val="00. 1-line Section heading"/>
    <w:basedOn w:val="Normal"/>
    <w:qFormat/>
    <w:rsid w:val="005577BB"/>
    <w:pPr>
      <w:shd w:val="clear" w:color="auto" w:fill="FFFFFF"/>
      <w:spacing w:after="1440" w:line="720" w:lineRule="exact"/>
    </w:pPr>
    <w:rPr>
      <w:rFonts w:ascii="Times New Roman" w:eastAsia="Times" w:hAnsi="Times New Roman" w:cs="Times New Roman"/>
      <w:noProof/>
      <w:color w:val="002776"/>
      <w:kern w:val="28"/>
      <w:sz w:val="64"/>
      <w:szCs w:val="70"/>
    </w:rPr>
  </w:style>
  <w:style w:type="character" w:customStyle="1" w:styleId="Heading1Char">
    <w:name w:val="Heading 1 Char"/>
    <w:basedOn w:val="DefaultParagraphFont"/>
    <w:link w:val="Heading1"/>
    <w:rsid w:val="005577BB"/>
    <w:rPr>
      <w:rFonts w:ascii="Calibri" w:eastAsia="MS PGothic" w:hAnsi="Calibri" w:cs="Times New Roman"/>
      <w:b/>
      <w:bCs/>
      <w:color w:val="679600"/>
      <w:sz w:val="32"/>
      <w:szCs w:val="32"/>
      <w:lang w:val="lt-LT"/>
    </w:rPr>
  </w:style>
  <w:style w:type="paragraph" w:styleId="Footer">
    <w:name w:val="footer"/>
    <w:basedOn w:val="Normal"/>
    <w:link w:val="FooterChar"/>
    <w:uiPriority w:val="99"/>
    <w:rsid w:val="005577BB"/>
    <w:pPr>
      <w:tabs>
        <w:tab w:val="center" w:pos="4320"/>
        <w:tab w:val="right" w:pos="8640"/>
      </w:tabs>
      <w:spacing w:after="0" w:line="240" w:lineRule="auto"/>
    </w:pPr>
    <w:rPr>
      <w:rFonts w:ascii="Arial" w:eastAsia="MS PGothic" w:hAnsi="Arial" w:cs="Times New Roman"/>
      <w:sz w:val="17"/>
      <w:szCs w:val="24"/>
    </w:rPr>
  </w:style>
  <w:style w:type="character" w:customStyle="1" w:styleId="FooterChar">
    <w:name w:val="Footer Char"/>
    <w:basedOn w:val="DefaultParagraphFont"/>
    <w:link w:val="Footer"/>
    <w:uiPriority w:val="99"/>
    <w:rsid w:val="005577BB"/>
    <w:rPr>
      <w:rFonts w:ascii="Arial" w:eastAsia="MS PGothic" w:hAnsi="Arial" w:cs="Times New Roman"/>
      <w:sz w:val="17"/>
      <w:szCs w:val="24"/>
      <w:lang w:val="lt-LT"/>
    </w:rPr>
  </w:style>
  <w:style w:type="paragraph" w:styleId="Caption">
    <w:name w:val="caption"/>
    <w:basedOn w:val="Normal"/>
    <w:next w:val="Normal"/>
    <w:qFormat/>
    <w:rsid w:val="005577BB"/>
    <w:pPr>
      <w:spacing w:after="200" w:line="240" w:lineRule="auto"/>
    </w:pPr>
    <w:rPr>
      <w:rFonts w:ascii="Arial" w:eastAsia="Times" w:hAnsi="Arial" w:cs="Times New Roman"/>
      <w:b/>
      <w:bCs/>
      <w:sz w:val="18"/>
      <w:szCs w:val="18"/>
    </w:rPr>
  </w:style>
  <w:style w:type="paragraph" w:customStyle="1" w:styleId="Deloittebodytext">
    <w:name w:val="Deloitte body text"/>
    <w:qFormat/>
    <w:rsid w:val="005577BB"/>
    <w:pPr>
      <w:spacing w:after="240" w:line="280" w:lineRule="exact"/>
    </w:pPr>
    <w:rPr>
      <w:rFonts w:ascii="Arial" w:eastAsia="Times New Roman" w:hAnsi="Arial" w:cs="Times New Roman"/>
      <w:color w:val="000000"/>
      <w:sz w:val="20"/>
      <w:szCs w:val="48"/>
      <w:lang w:val="cs-CZ"/>
    </w:rPr>
  </w:style>
  <w:style w:type="paragraph" w:styleId="NormalWeb">
    <w:name w:val="Normal (Web)"/>
    <w:basedOn w:val="Normal"/>
    <w:uiPriority w:val="99"/>
    <w:semiHidden/>
    <w:unhideWhenUsed/>
    <w:rsid w:val="00F73ED6"/>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EC1E09"/>
    <w:pPr>
      <w:ind w:left="720"/>
      <w:contextualSpacing/>
    </w:pPr>
  </w:style>
  <w:style w:type="paragraph" w:styleId="BalloonText">
    <w:name w:val="Balloon Text"/>
    <w:basedOn w:val="Normal"/>
    <w:link w:val="BalloonTextChar"/>
    <w:uiPriority w:val="99"/>
    <w:semiHidden/>
    <w:unhideWhenUsed/>
    <w:rsid w:val="00C36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3C5"/>
    <w:rPr>
      <w:rFonts w:ascii="Segoe UI" w:hAnsi="Segoe UI" w:cs="Segoe UI"/>
      <w:sz w:val="18"/>
      <w:szCs w:val="18"/>
    </w:rPr>
  </w:style>
  <w:style w:type="character" w:styleId="Hyperlink">
    <w:name w:val="Hyperlink"/>
    <w:basedOn w:val="DefaultParagraphFont"/>
    <w:uiPriority w:val="99"/>
    <w:unhideWhenUsed/>
    <w:rsid w:val="009D7299"/>
    <w:rPr>
      <w:color w:val="0563C1" w:themeColor="hyperlink"/>
      <w:u w:val="single"/>
    </w:rPr>
  </w:style>
  <w:style w:type="paragraph" w:styleId="Header">
    <w:name w:val="header"/>
    <w:basedOn w:val="Normal"/>
    <w:link w:val="HeaderChar"/>
    <w:uiPriority w:val="99"/>
    <w:unhideWhenUsed/>
    <w:rsid w:val="008F6941"/>
    <w:pPr>
      <w:tabs>
        <w:tab w:val="center" w:pos="4986"/>
        <w:tab w:val="right" w:pos="9972"/>
      </w:tabs>
      <w:spacing w:after="0" w:line="240" w:lineRule="auto"/>
    </w:pPr>
  </w:style>
  <w:style w:type="character" w:customStyle="1" w:styleId="HeaderChar">
    <w:name w:val="Header Char"/>
    <w:basedOn w:val="DefaultParagraphFont"/>
    <w:link w:val="Header"/>
    <w:uiPriority w:val="99"/>
    <w:rsid w:val="008F6941"/>
    <w:rPr>
      <w:lang w:val="lt-LT"/>
    </w:rPr>
  </w:style>
  <w:style w:type="paragraph" w:styleId="FootnoteText">
    <w:name w:val="footnote text"/>
    <w:basedOn w:val="Normal"/>
    <w:link w:val="FootnoteTextChar"/>
    <w:uiPriority w:val="99"/>
    <w:semiHidden/>
    <w:unhideWhenUsed/>
    <w:rsid w:val="00D66F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F8E"/>
    <w:rPr>
      <w:sz w:val="20"/>
      <w:szCs w:val="20"/>
      <w:lang w:val="lt-LT"/>
    </w:rPr>
  </w:style>
  <w:style w:type="character" w:styleId="FootnoteReference">
    <w:name w:val="footnote reference"/>
    <w:basedOn w:val="DefaultParagraphFont"/>
    <w:uiPriority w:val="99"/>
    <w:semiHidden/>
    <w:unhideWhenUsed/>
    <w:rsid w:val="00D66F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175393">
      <w:bodyDiv w:val="1"/>
      <w:marLeft w:val="0"/>
      <w:marRight w:val="0"/>
      <w:marTop w:val="0"/>
      <w:marBottom w:val="0"/>
      <w:divBdr>
        <w:top w:val="none" w:sz="0" w:space="0" w:color="auto"/>
        <w:left w:val="none" w:sz="0" w:space="0" w:color="auto"/>
        <w:bottom w:val="none" w:sz="0" w:space="0" w:color="auto"/>
        <w:right w:val="none" w:sz="0" w:space="0" w:color="auto"/>
      </w:divBdr>
    </w:div>
    <w:div w:id="162346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parama.lt" TargetMode="Externa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Excel_Chart1.xls"/><Relationship Id="rId5" Type="http://schemas.openxmlformats.org/officeDocument/2006/relationships/settings" Target="settings.xml"/><Relationship Id="rId15" Type="http://schemas.openxmlformats.org/officeDocument/2006/relationships/hyperlink" Target="http://www.esparama.lt" TargetMode="External"/><Relationship Id="rId10" Type="http://schemas.openxmlformats.org/officeDocument/2006/relationships/image" Target="media/image1.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TAR.FA6D2B23F867"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2007_Workbook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2007_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2007_Workbook3.xlsx"/></Relationships>
</file>

<file path=word/charts/_rels/chart4.xml.rels><?xml version="1.0" encoding="UTF-8" standalone="yes"?>
<Relationships xmlns="http://schemas.openxmlformats.org/package/2006/relationships"><Relationship Id="rId2" Type="http://schemas.openxmlformats.org/officeDocument/2006/relationships/oleObject" Target="file:///C:\Users\sgrigaliuniene\Desktop\Copy%20of%20Probleminiu%20statistika.xlsx"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sgrigaliuniene\Desktop\Copy%20of%20Probleminiu%20statistika.xlsx"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sgrigaliuniene\Desktop\Copy%20of%20Probleminiu%20statistika.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spPr>
            <a:pattFill prst="wdUpDiag">
              <a:fgClr>
                <a:schemeClr val="accent1"/>
              </a:fgClr>
              <a:bgClr>
                <a:schemeClr val="bg1"/>
              </a:bgClr>
            </a:pattFill>
            <a:ln>
              <a:noFill/>
            </a:ln>
          </c:spPr>
          <c:dPt>
            <c:idx val="0"/>
            <c:bubble3D val="0"/>
            <c:spPr>
              <a:pattFill prst="wdUpDiag">
                <a:fgClr>
                  <a:srgbClr val="FFFFFF"/>
                </a:fgClr>
                <a:bgClr>
                  <a:srgbClr val="00A1DE"/>
                </a:bgClr>
              </a:pattFill>
              <a:ln w="50800">
                <a:noFill/>
              </a:ln>
            </c:spPr>
          </c:dPt>
          <c:dPt>
            <c:idx val="1"/>
            <c:bubble3D val="0"/>
            <c:spPr>
              <a:solidFill>
                <a:srgbClr val="00A1DE"/>
              </a:solidFill>
              <a:ln w="50800">
                <a:noFill/>
              </a:ln>
            </c:spPr>
          </c:dPt>
          <c:dPt>
            <c:idx val="2"/>
            <c:bubble3D val="0"/>
            <c:spPr>
              <a:solidFill>
                <a:schemeClr val="accent3"/>
              </a:solidFill>
              <a:ln w="50800">
                <a:noFill/>
              </a:ln>
            </c:spPr>
          </c:dPt>
          <c:dPt>
            <c:idx val="3"/>
            <c:bubble3D val="0"/>
            <c:spPr>
              <a:solidFill>
                <a:schemeClr val="bg1">
                  <a:lumMod val="85000"/>
                </a:schemeClr>
              </a:solidFill>
              <a:ln w="50800">
                <a:noFill/>
              </a:ln>
            </c:spPr>
          </c:dPt>
          <c:cat>
            <c:numRef>
              <c:f>Sheet1!$A$2:$A$3</c:f>
              <c:numCache>
                <c:formatCode>General</c:formatCode>
                <c:ptCount val="2"/>
              </c:numCache>
            </c:numRef>
          </c:cat>
          <c:val>
            <c:numRef>
              <c:f>Sheet1!$B$2:$B$3</c:f>
              <c:numCache>
                <c:formatCode>General</c:formatCode>
                <c:ptCount val="2"/>
                <c:pt idx="0">
                  <c:v>11</c:v>
                </c:pt>
                <c:pt idx="1">
                  <c:v>89</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txPr>
    <a:bodyPr/>
    <a:lstStyle/>
    <a:p>
      <a:pPr>
        <a:defRPr sz="1800"/>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Skirtas finansavimas</c:v>
                </c:pt>
              </c:strCache>
            </c:strRef>
          </c:tx>
          <c:spPr>
            <a:solidFill>
              <a:srgbClr val="002776"/>
            </a:solidFill>
          </c:spPr>
          <c:dPt>
            <c:idx val="0"/>
            <c:bubble3D val="0"/>
            <c:spPr>
              <a:solidFill>
                <a:srgbClr val="002776"/>
              </a:solidFill>
              <a:ln w="19050">
                <a:solidFill>
                  <a:schemeClr val="lt1"/>
                </a:solidFill>
              </a:ln>
              <a:effectLst/>
            </c:spPr>
          </c:dPt>
          <c:dPt>
            <c:idx val="1"/>
            <c:bubble3D val="0"/>
            <c:spPr>
              <a:solidFill>
                <a:srgbClr val="00A1DE"/>
              </a:solidFill>
              <a:ln w="19050">
                <a:solidFill>
                  <a:schemeClr val="lt1"/>
                </a:solidFill>
              </a:ln>
              <a:effectLst/>
            </c:spPr>
          </c:dPt>
          <c:dPt>
            <c:idx val="2"/>
            <c:bubble3D val="0"/>
            <c:spPr>
              <a:solidFill>
                <a:srgbClr val="81BC00"/>
              </a:solidFill>
              <a:ln w="19050">
                <a:solidFill>
                  <a:schemeClr val="lt1"/>
                </a:solidFill>
              </a:ln>
              <a:effectLst/>
            </c:spPr>
          </c:dPt>
          <c:cat>
            <c:strRef>
              <c:f>Sheet1!$A$2:$A$4</c:f>
              <c:strCache>
                <c:ptCount val="3"/>
                <c:pt idx="0">
                  <c:v>ŽIPVP</c:v>
                </c:pt>
                <c:pt idx="1">
                  <c:v>EAVP</c:v>
                </c:pt>
                <c:pt idx="2">
                  <c:v>SSVP</c:v>
                </c:pt>
              </c:strCache>
            </c:strRef>
          </c:cat>
          <c:val>
            <c:numRef>
              <c:f>Sheet1!$B$2:$B$4</c:f>
              <c:numCache>
                <c:formatCode>General</c:formatCode>
                <c:ptCount val="3"/>
                <c:pt idx="0">
                  <c:v>3</c:v>
                </c:pt>
                <c:pt idx="1">
                  <c:v>71</c:v>
                </c:pt>
                <c:pt idx="2">
                  <c:v>26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79441113130089513"/>
          <c:y val="0.10148031496062994"/>
          <c:w val="0.17461572111178408"/>
          <c:h val="0.671112044327792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Sheet1!$B$1</c:f>
              <c:strCache>
                <c:ptCount val="1"/>
                <c:pt idx="0">
                  <c:v>1 prioritetas</c:v>
                </c:pt>
              </c:strCache>
            </c:strRef>
          </c:tx>
          <c:spPr>
            <a:solidFill>
              <a:srgbClr val="002776"/>
            </a:solidFill>
            <a:ln>
              <a:noFill/>
            </a:ln>
            <a:effectLst/>
          </c:spPr>
          <c:invertIfNegative val="0"/>
          <c:cat>
            <c:strRef>
              <c:f>Sheet1!$A$2:$A$4</c:f>
              <c:strCache>
                <c:ptCount val="3"/>
                <c:pt idx="0">
                  <c:v>ŽIPVP</c:v>
                </c:pt>
                <c:pt idx="1">
                  <c:v>EAVP</c:v>
                </c:pt>
                <c:pt idx="2">
                  <c:v>SSVP</c:v>
                </c:pt>
              </c:strCache>
            </c:strRef>
          </c:cat>
          <c:val>
            <c:numRef>
              <c:f>Sheet1!$B$2:$B$4</c:f>
              <c:numCache>
                <c:formatCode>0%</c:formatCode>
                <c:ptCount val="3"/>
                <c:pt idx="0">
                  <c:v>0.40683499699410125</c:v>
                </c:pt>
                <c:pt idx="1">
                  <c:v>0.21127910872148395</c:v>
                </c:pt>
                <c:pt idx="2">
                  <c:v>0.38487668402526365</c:v>
                </c:pt>
              </c:numCache>
            </c:numRef>
          </c:val>
        </c:ser>
        <c:ser>
          <c:idx val="1"/>
          <c:order val="1"/>
          <c:tx>
            <c:strRef>
              <c:f>Sheet1!$C$1</c:f>
              <c:strCache>
                <c:ptCount val="1"/>
                <c:pt idx="0">
                  <c:v>2 prioritetas</c:v>
                </c:pt>
              </c:strCache>
            </c:strRef>
          </c:tx>
          <c:spPr>
            <a:solidFill>
              <a:srgbClr val="81BC00"/>
            </a:solidFill>
            <a:ln>
              <a:noFill/>
            </a:ln>
            <a:effectLst/>
          </c:spPr>
          <c:invertIfNegative val="0"/>
          <c:cat>
            <c:strRef>
              <c:f>Sheet1!$A$2:$A$4</c:f>
              <c:strCache>
                <c:ptCount val="3"/>
                <c:pt idx="0">
                  <c:v>ŽIPVP</c:v>
                </c:pt>
                <c:pt idx="1">
                  <c:v>EAVP</c:v>
                </c:pt>
                <c:pt idx="2">
                  <c:v>SSVP</c:v>
                </c:pt>
              </c:strCache>
            </c:strRef>
          </c:cat>
          <c:val>
            <c:numRef>
              <c:f>Sheet1!$C$2:$C$4</c:f>
              <c:numCache>
                <c:formatCode>0%</c:formatCode>
                <c:ptCount val="3"/>
                <c:pt idx="0">
                  <c:v>0</c:v>
                </c:pt>
                <c:pt idx="1">
                  <c:v>0.30570141520937061</c:v>
                </c:pt>
                <c:pt idx="2">
                  <c:v>0.21473210242293947</c:v>
                </c:pt>
              </c:numCache>
            </c:numRef>
          </c:val>
        </c:ser>
        <c:ser>
          <c:idx val="2"/>
          <c:order val="2"/>
          <c:tx>
            <c:strRef>
              <c:f>Sheet1!$D$1</c:f>
              <c:strCache>
                <c:ptCount val="1"/>
                <c:pt idx="0">
                  <c:v>3  prioritetas</c:v>
                </c:pt>
              </c:strCache>
            </c:strRef>
          </c:tx>
          <c:spPr>
            <a:solidFill>
              <a:srgbClr val="00A1DE"/>
            </a:solidFill>
            <a:ln>
              <a:noFill/>
            </a:ln>
            <a:effectLst/>
          </c:spPr>
          <c:invertIfNegative val="0"/>
          <c:cat>
            <c:strRef>
              <c:f>Sheet1!$A$2:$A$4</c:f>
              <c:strCache>
                <c:ptCount val="3"/>
                <c:pt idx="0">
                  <c:v>ŽIPVP</c:v>
                </c:pt>
                <c:pt idx="1">
                  <c:v>EAVP</c:v>
                </c:pt>
                <c:pt idx="2">
                  <c:v>SSVP</c:v>
                </c:pt>
              </c:strCache>
            </c:strRef>
          </c:cat>
          <c:val>
            <c:numRef>
              <c:f>Sheet1!$D$2:$D$4</c:f>
              <c:numCache>
                <c:formatCode>0%</c:formatCode>
                <c:ptCount val="3"/>
                <c:pt idx="0">
                  <c:v>0</c:v>
                </c:pt>
                <c:pt idx="1">
                  <c:v>2.1237660444873539E-3</c:v>
                </c:pt>
                <c:pt idx="2">
                  <c:v>0.40039121355179691</c:v>
                </c:pt>
              </c:numCache>
            </c:numRef>
          </c:val>
        </c:ser>
        <c:ser>
          <c:idx val="3"/>
          <c:order val="3"/>
          <c:tx>
            <c:strRef>
              <c:f>Sheet1!$E$1</c:f>
              <c:strCache>
                <c:ptCount val="1"/>
                <c:pt idx="0">
                  <c:v>4 prioritetas</c:v>
                </c:pt>
              </c:strCache>
            </c:strRef>
          </c:tx>
          <c:spPr>
            <a:solidFill>
              <a:srgbClr val="8C8C8C"/>
            </a:solidFill>
            <a:ln>
              <a:noFill/>
            </a:ln>
            <a:effectLst/>
          </c:spPr>
          <c:invertIfNegative val="0"/>
          <c:cat>
            <c:strRef>
              <c:f>Sheet1!$A$2:$A$4</c:f>
              <c:strCache>
                <c:ptCount val="3"/>
                <c:pt idx="0">
                  <c:v>ŽIPVP</c:v>
                </c:pt>
                <c:pt idx="1">
                  <c:v>EAVP</c:v>
                </c:pt>
                <c:pt idx="2">
                  <c:v>SSVP</c:v>
                </c:pt>
              </c:strCache>
            </c:strRef>
          </c:cat>
          <c:val>
            <c:numRef>
              <c:f>Sheet1!$E$2:$E$4</c:f>
              <c:numCache>
                <c:formatCode>0%</c:formatCode>
                <c:ptCount val="3"/>
                <c:pt idx="0">
                  <c:v>0.59316500300589869</c:v>
                </c:pt>
                <c:pt idx="1">
                  <c:v>0.48089571002465809</c:v>
                </c:pt>
                <c:pt idx="2">
                  <c:v>0</c:v>
                </c:pt>
              </c:numCache>
            </c:numRef>
          </c:val>
        </c:ser>
        <c:dLbls>
          <c:showLegendKey val="0"/>
          <c:showVal val="0"/>
          <c:showCatName val="0"/>
          <c:showSerName val="0"/>
          <c:showPercent val="0"/>
          <c:showBubbleSize val="0"/>
        </c:dLbls>
        <c:gapWidth val="150"/>
        <c:overlap val="100"/>
        <c:axId val="73323648"/>
        <c:axId val="73325184"/>
      </c:barChart>
      <c:catAx>
        <c:axId val="73323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325184"/>
        <c:crosses val="autoZero"/>
        <c:auto val="1"/>
        <c:lblAlgn val="ctr"/>
        <c:lblOffset val="100"/>
        <c:noMultiLvlLbl val="0"/>
      </c:catAx>
      <c:valAx>
        <c:axId val="733251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3236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2772528433945753E-2"/>
          <c:y val="1.5397346165062702E-2"/>
          <c:w val="0.8695239011993916"/>
          <c:h val="0.69345701529316683"/>
        </c:manualLayout>
      </c:layout>
      <c:barChart>
        <c:barDir val="col"/>
        <c:grouping val="clustered"/>
        <c:varyColors val="0"/>
        <c:ser>
          <c:idx val="0"/>
          <c:order val="0"/>
          <c:tx>
            <c:strRef>
              <c:f>Švenčionių!$L$7</c:f>
              <c:strCache>
                <c:ptCount val="1"/>
                <c:pt idx="0">
                  <c:v>Kietosios medžiagos</c:v>
                </c:pt>
              </c:strCache>
            </c:strRef>
          </c:tx>
          <c:spPr>
            <a:solidFill>
              <a:srgbClr val="8C8C8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Švenčionių!$M$6:$U$6</c:f>
              <c:numCache>
                <c:formatCode>General</c:formatCode>
                <c:ptCount val="7"/>
                <c:pt idx="0">
                  <c:v>2007</c:v>
                </c:pt>
                <c:pt idx="1">
                  <c:v>2008</c:v>
                </c:pt>
                <c:pt idx="2">
                  <c:v>2009</c:v>
                </c:pt>
                <c:pt idx="3">
                  <c:v>2010</c:v>
                </c:pt>
                <c:pt idx="4">
                  <c:v>2011</c:v>
                </c:pt>
                <c:pt idx="5">
                  <c:v>2012</c:v>
                </c:pt>
                <c:pt idx="6">
                  <c:v>2013</c:v>
                </c:pt>
              </c:numCache>
            </c:numRef>
          </c:cat>
          <c:val>
            <c:numRef>
              <c:f>Švenčionių!$M$7:$U$7</c:f>
              <c:numCache>
                <c:formatCode>General</c:formatCode>
                <c:ptCount val="7"/>
                <c:pt idx="0">
                  <c:v>25.7</c:v>
                </c:pt>
                <c:pt idx="1">
                  <c:v>24.1</c:v>
                </c:pt>
                <c:pt idx="2">
                  <c:v>22.8</c:v>
                </c:pt>
                <c:pt idx="3">
                  <c:v>27.8</c:v>
                </c:pt>
                <c:pt idx="4">
                  <c:v>27.5</c:v>
                </c:pt>
                <c:pt idx="5">
                  <c:v>28.5</c:v>
                </c:pt>
                <c:pt idx="6">
                  <c:v>23.3</c:v>
                </c:pt>
              </c:numCache>
            </c:numRef>
          </c:val>
        </c:ser>
        <c:ser>
          <c:idx val="1"/>
          <c:order val="1"/>
          <c:tx>
            <c:strRef>
              <c:f>Švenčionių!$L$8</c:f>
              <c:strCache>
                <c:ptCount val="1"/>
                <c:pt idx="0">
                  <c:v>Sieros dioksidas, tonos</c:v>
                </c:pt>
              </c:strCache>
            </c:strRef>
          </c:tx>
          <c:spPr>
            <a:solidFill>
              <a:srgbClr val="81BC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Švenčionių!$M$6:$U$6</c:f>
              <c:numCache>
                <c:formatCode>General</c:formatCode>
                <c:ptCount val="7"/>
                <c:pt idx="0">
                  <c:v>2007</c:v>
                </c:pt>
                <c:pt idx="1">
                  <c:v>2008</c:v>
                </c:pt>
                <c:pt idx="2">
                  <c:v>2009</c:v>
                </c:pt>
                <c:pt idx="3">
                  <c:v>2010</c:v>
                </c:pt>
                <c:pt idx="4">
                  <c:v>2011</c:v>
                </c:pt>
                <c:pt idx="5">
                  <c:v>2012</c:v>
                </c:pt>
                <c:pt idx="6">
                  <c:v>2013</c:v>
                </c:pt>
              </c:numCache>
            </c:numRef>
          </c:cat>
          <c:val>
            <c:numRef>
              <c:f>Švenčionių!$M$8:$U$8</c:f>
              <c:numCache>
                <c:formatCode>General</c:formatCode>
                <c:ptCount val="7"/>
              </c:numCache>
            </c:numRef>
          </c:val>
        </c:ser>
        <c:ser>
          <c:idx val="2"/>
          <c:order val="2"/>
          <c:tx>
            <c:strRef>
              <c:f>Švenčionių!$L$9</c:f>
              <c:strCache>
                <c:ptCount val="1"/>
                <c:pt idx="0">
                  <c:v>Azoto oksidai, tonos</c:v>
                </c:pt>
              </c:strCache>
            </c:strRef>
          </c:tx>
          <c:spPr>
            <a:solidFill>
              <a:srgbClr val="B4B4B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Švenčionių!$M$6:$U$6</c:f>
              <c:numCache>
                <c:formatCode>General</c:formatCode>
                <c:ptCount val="7"/>
                <c:pt idx="0">
                  <c:v>2007</c:v>
                </c:pt>
                <c:pt idx="1">
                  <c:v>2008</c:v>
                </c:pt>
                <c:pt idx="2">
                  <c:v>2009</c:v>
                </c:pt>
                <c:pt idx="3">
                  <c:v>2010</c:v>
                </c:pt>
                <c:pt idx="4">
                  <c:v>2011</c:v>
                </c:pt>
                <c:pt idx="5">
                  <c:v>2012</c:v>
                </c:pt>
                <c:pt idx="6">
                  <c:v>2013</c:v>
                </c:pt>
              </c:numCache>
            </c:numRef>
          </c:cat>
          <c:val>
            <c:numRef>
              <c:f>Švenčionių!$M$9:$U$9</c:f>
              <c:numCache>
                <c:formatCode>General</c:formatCode>
                <c:ptCount val="7"/>
                <c:pt idx="0">
                  <c:v>41.2</c:v>
                </c:pt>
                <c:pt idx="1">
                  <c:v>38.1</c:v>
                </c:pt>
                <c:pt idx="2">
                  <c:v>37.4</c:v>
                </c:pt>
                <c:pt idx="3">
                  <c:v>39.9</c:v>
                </c:pt>
                <c:pt idx="4">
                  <c:v>39.200000000000003</c:v>
                </c:pt>
                <c:pt idx="5">
                  <c:v>27</c:v>
                </c:pt>
                <c:pt idx="6">
                  <c:v>20.100000000000001</c:v>
                </c:pt>
              </c:numCache>
            </c:numRef>
          </c:val>
        </c:ser>
        <c:ser>
          <c:idx val="3"/>
          <c:order val="3"/>
          <c:tx>
            <c:strRef>
              <c:f>Švenčionių!$L$10</c:f>
              <c:strCache>
                <c:ptCount val="1"/>
                <c:pt idx="0">
                  <c:v>Anglies monoksidas, tonos</c:v>
                </c:pt>
              </c:strCache>
            </c:strRef>
          </c:tx>
          <c:spPr>
            <a:solidFill>
              <a:srgbClr val="BDD20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Švenčionių!$M$6:$U$6</c:f>
              <c:numCache>
                <c:formatCode>General</c:formatCode>
                <c:ptCount val="7"/>
                <c:pt idx="0">
                  <c:v>2007</c:v>
                </c:pt>
                <c:pt idx="1">
                  <c:v>2008</c:v>
                </c:pt>
                <c:pt idx="2">
                  <c:v>2009</c:v>
                </c:pt>
                <c:pt idx="3">
                  <c:v>2010</c:v>
                </c:pt>
                <c:pt idx="4">
                  <c:v>2011</c:v>
                </c:pt>
                <c:pt idx="5">
                  <c:v>2012</c:v>
                </c:pt>
                <c:pt idx="6">
                  <c:v>2013</c:v>
                </c:pt>
              </c:numCache>
            </c:numRef>
          </c:cat>
          <c:val>
            <c:numRef>
              <c:f>Švenčionių!$M$10:$U$10</c:f>
              <c:numCache>
                <c:formatCode>General</c:formatCode>
                <c:ptCount val="7"/>
                <c:pt idx="0">
                  <c:v>207.7</c:v>
                </c:pt>
                <c:pt idx="1">
                  <c:v>206.5</c:v>
                </c:pt>
                <c:pt idx="2">
                  <c:v>199.2</c:v>
                </c:pt>
                <c:pt idx="3">
                  <c:v>207.5</c:v>
                </c:pt>
                <c:pt idx="4">
                  <c:v>203.6</c:v>
                </c:pt>
                <c:pt idx="5">
                  <c:v>309.10000000000002</c:v>
                </c:pt>
                <c:pt idx="6">
                  <c:v>266.5</c:v>
                </c:pt>
              </c:numCache>
            </c:numRef>
          </c:val>
        </c:ser>
        <c:dLbls>
          <c:showLegendKey val="0"/>
          <c:showVal val="1"/>
          <c:showCatName val="0"/>
          <c:showSerName val="0"/>
          <c:showPercent val="0"/>
          <c:showBubbleSize val="0"/>
        </c:dLbls>
        <c:gapWidth val="75"/>
        <c:axId val="90899584"/>
        <c:axId val="90918912"/>
      </c:barChart>
      <c:lineChart>
        <c:grouping val="standard"/>
        <c:varyColors val="0"/>
        <c:ser>
          <c:idx val="4"/>
          <c:order val="4"/>
          <c:tx>
            <c:strRef>
              <c:f>Švenčionių!$L$11</c:f>
              <c:strCache>
                <c:ptCount val="1"/>
                <c:pt idx="0">
                  <c:v>Visi teršalai</c:v>
                </c:pt>
              </c:strCache>
            </c:strRef>
          </c:tx>
          <c:spPr>
            <a:ln w="28575" cap="rnd">
              <a:solidFill>
                <a:srgbClr val="3C8A2E"/>
              </a:solidFill>
              <a:round/>
            </a:ln>
            <a:effectLst/>
          </c:spPr>
          <c:marker>
            <c:symbol val="none"/>
          </c:marker>
          <c:dLbls>
            <c:delete val="1"/>
          </c:dLbls>
          <c:cat>
            <c:numRef>
              <c:f>Švenčionių!$M$6:$U$6</c:f>
              <c:numCache>
                <c:formatCode>General</c:formatCode>
                <c:ptCount val="7"/>
                <c:pt idx="0">
                  <c:v>2007</c:v>
                </c:pt>
                <c:pt idx="1">
                  <c:v>2008</c:v>
                </c:pt>
                <c:pt idx="2">
                  <c:v>2009</c:v>
                </c:pt>
                <c:pt idx="3">
                  <c:v>2010</c:v>
                </c:pt>
                <c:pt idx="4">
                  <c:v>2011</c:v>
                </c:pt>
                <c:pt idx="5">
                  <c:v>2012</c:v>
                </c:pt>
                <c:pt idx="6">
                  <c:v>2013</c:v>
                </c:pt>
              </c:numCache>
            </c:numRef>
          </c:cat>
          <c:val>
            <c:numRef>
              <c:f>Švenčionių!$M$11:$U$11</c:f>
              <c:numCache>
                <c:formatCode>General</c:formatCode>
                <c:ptCount val="7"/>
                <c:pt idx="0">
                  <c:v>355.8</c:v>
                </c:pt>
                <c:pt idx="1">
                  <c:v>346.4</c:v>
                </c:pt>
                <c:pt idx="2">
                  <c:v>325.39999999999998</c:v>
                </c:pt>
                <c:pt idx="3">
                  <c:v>406.8</c:v>
                </c:pt>
                <c:pt idx="4">
                  <c:v>398.6</c:v>
                </c:pt>
                <c:pt idx="5">
                  <c:v>448.4</c:v>
                </c:pt>
                <c:pt idx="6">
                  <c:v>394.8</c:v>
                </c:pt>
              </c:numCache>
            </c:numRef>
          </c:val>
          <c:smooth val="0"/>
        </c:ser>
        <c:dLbls>
          <c:showLegendKey val="0"/>
          <c:showVal val="1"/>
          <c:showCatName val="0"/>
          <c:showSerName val="0"/>
          <c:showPercent val="0"/>
          <c:showBubbleSize val="0"/>
        </c:dLbls>
        <c:marker val="1"/>
        <c:smooth val="0"/>
        <c:axId val="90899584"/>
        <c:axId val="90918912"/>
      </c:lineChart>
      <c:lineChart>
        <c:grouping val="standard"/>
        <c:varyColors val="0"/>
        <c:ser>
          <c:idx val="5"/>
          <c:order val="5"/>
          <c:tx>
            <c:strRef>
              <c:f>Švenčionių!$L$12</c:f>
              <c:strCache>
                <c:ptCount val="1"/>
                <c:pt idx="0">
                  <c:v>Išleista išvalytų iki normos nuotekų, tūkst. M³</c:v>
                </c:pt>
              </c:strCache>
            </c:strRef>
          </c:tx>
          <c:spPr>
            <a:ln w="28575" cap="rnd">
              <a:solidFill>
                <a:srgbClr val="00A1DE"/>
              </a:solidFill>
              <a:round/>
            </a:ln>
            <a:effectLst/>
          </c:spPr>
          <c:marker>
            <c:symbol val="none"/>
          </c:marker>
          <c:dLbls>
            <c:dLbl>
              <c:idx val="0"/>
              <c:layout>
                <c:manualLayout>
                  <c:x val="-2.9882838708310986E-17"/>
                  <c:y val="-2.174208734283987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3.2728172018318263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5199674001630587E-3"/>
                  <c:y val="1.075557945684323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9765677416621972E-17"/>
                  <c:y val="-2.1972610967095182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1953135483324394E-16"/>
                  <c:y val="-2.1972610967095168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
                  <c:y val="-3.8336696976254303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9559902200488997E-2"/>
                  <c:y val="-2.6889160366113149E-2"/>
                </c:manualLayout>
              </c:layout>
              <c:showLegendKey val="0"/>
              <c:showVal val="1"/>
              <c:showCatName val="0"/>
              <c:showSerName val="0"/>
              <c:showPercent val="0"/>
              <c:showBubbleSize val="0"/>
              <c:extLst>
                <c:ext xmlns:c15="http://schemas.microsoft.com/office/drawing/2012/chart" uri="{CE6537A1-D6FC-4f65-9D91-7224C49458BB}">
                  <c15:layout>
                    <c:manualLayout>
                      <c:w val="6.4987646715309738E-2"/>
                      <c:h val="4.8964987201283887E-2"/>
                    </c:manualLayout>
                  </c15:layout>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Švenčionių!$M$6:$U$6</c:f>
              <c:numCache>
                <c:formatCode>General</c:formatCode>
                <c:ptCount val="7"/>
                <c:pt idx="0">
                  <c:v>2007</c:v>
                </c:pt>
                <c:pt idx="1">
                  <c:v>2008</c:v>
                </c:pt>
                <c:pt idx="2">
                  <c:v>2009</c:v>
                </c:pt>
                <c:pt idx="3">
                  <c:v>2010</c:v>
                </c:pt>
                <c:pt idx="4">
                  <c:v>2011</c:v>
                </c:pt>
                <c:pt idx="5">
                  <c:v>2012</c:v>
                </c:pt>
                <c:pt idx="6">
                  <c:v>2013</c:v>
                </c:pt>
              </c:numCache>
            </c:numRef>
          </c:cat>
          <c:val>
            <c:numRef>
              <c:f>Švenčionių!$M$12:$U$12</c:f>
              <c:numCache>
                <c:formatCode>General</c:formatCode>
                <c:ptCount val="7"/>
                <c:pt idx="0">
                  <c:v>334</c:v>
                </c:pt>
                <c:pt idx="1">
                  <c:v>392</c:v>
                </c:pt>
                <c:pt idx="2">
                  <c:v>1087</c:v>
                </c:pt>
                <c:pt idx="3">
                  <c:v>1368</c:v>
                </c:pt>
                <c:pt idx="4">
                  <c:v>907</c:v>
                </c:pt>
                <c:pt idx="5">
                  <c:v>900</c:v>
                </c:pt>
                <c:pt idx="6">
                  <c:v>650</c:v>
                </c:pt>
              </c:numCache>
            </c:numRef>
          </c:val>
          <c:smooth val="0"/>
          <c:extLst>
            <c:ext xmlns:c15="http://schemas.microsoft.com/office/drawing/2012/chart" uri="{02D57815-91ED-43cb-92C2-25804820EDAC}">
              <c15:categoryFilterExceptions>
                <c15:categoryFilterException>
                  <c15:sqref/>
                  <c15:dLbl>
                    <c:idx val="-1"/>
                    <c:layout>
                      <c:manualLayout>
                        <c:x val="-5.2159739201303991E-2"/>
                        <c:y val="-5.6085249579360626E-2"/>
                      </c:manualLayout>
                    </c:layout>
                    <c:showLegendKey val="0"/>
                    <c:showVal val="1"/>
                    <c:showCatName val="0"/>
                    <c:showSerName val="0"/>
                    <c:showPercent val="0"/>
                    <c:showBubbleSize val="0"/>
                    <c:extLst>
                      <c:ext uri="{CE6537A1-D6FC-4f65-9D91-7224C49458BB}"/>
                    </c:extLst>
                  </c15:dLbl>
                </c15:categoryFilterException>
              </c15:categoryFilterExceptions>
            </c:ext>
          </c:extLst>
        </c:ser>
        <c:dLbls>
          <c:showLegendKey val="0"/>
          <c:showVal val="1"/>
          <c:showCatName val="0"/>
          <c:showSerName val="0"/>
          <c:showPercent val="0"/>
          <c:showBubbleSize val="0"/>
        </c:dLbls>
        <c:marker val="1"/>
        <c:smooth val="0"/>
        <c:axId val="90927104"/>
        <c:axId val="90920832"/>
      </c:lineChart>
      <c:catAx>
        <c:axId val="9089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0918912"/>
        <c:crosses val="autoZero"/>
        <c:auto val="1"/>
        <c:lblAlgn val="ctr"/>
        <c:lblOffset val="100"/>
        <c:noMultiLvlLbl val="0"/>
      </c:catAx>
      <c:valAx>
        <c:axId val="9091891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Tonos</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0899584"/>
        <c:crosses val="autoZero"/>
        <c:crossBetween val="between"/>
      </c:valAx>
      <c:valAx>
        <c:axId val="90920832"/>
        <c:scaling>
          <c:orientation val="minMax"/>
        </c:scaling>
        <c:delete val="0"/>
        <c:axPos val="r"/>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lt-LT"/>
                  <a:t>Tūkst. m</a:t>
                </a:r>
                <a:r>
                  <a:rPr lang="en-US"/>
                  <a:t>3</a:t>
                </a:r>
              </a:p>
            </c:rich>
          </c:tx>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0927104"/>
        <c:crosses val="max"/>
        <c:crossBetween val="between"/>
      </c:valAx>
      <c:catAx>
        <c:axId val="90927104"/>
        <c:scaling>
          <c:orientation val="minMax"/>
        </c:scaling>
        <c:delete val="1"/>
        <c:axPos val="b"/>
        <c:numFmt formatCode="General" sourceLinked="1"/>
        <c:majorTickMark val="out"/>
        <c:minorTickMark val="none"/>
        <c:tickLblPos val="nextTo"/>
        <c:crossAx val="90920832"/>
        <c:crosses val="autoZero"/>
        <c:auto val="1"/>
        <c:lblAlgn val="ctr"/>
        <c:lblOffset val="100"/>
        <c:noMultiLvlLbl val="0"/>
      </c:catAx>
      <c:spPr>
        <a:noFill/>
        <a:ln>
          <a:noFill/>
        </a:ln>
        <a:effectLst/>
      </c:spPr>
    </c:plotArea>
    <c:legend>
      <c:legendPos val="b"/>
      <c:layout>
        <c:manualLayout>
          <c:xMode val="edge"/>
          <c:yMode val="edge"/>
          <c:x val="3.2353405075626535E-2"/>
          <c:y val="0.7797851255479421"/>
          <c:w val="0.92975197171258228"/>
          <c:h val="0.1929462030475553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a:latin typeface="Arial" panose="020B0604020202020204" pitchFamily="34" charset="0"/>
          <a:cs typeface="Arial" panose="020B0604020202020204" pitchFamily="34"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61509186351706E-2"/>
          <c:y val="5.0925925925925923E-2"/>
          <c:w val="0.88882349081364831"/>
          <c:h val="0.6800182268883056"/>
        </c:manualLayout>
      </c:layout>
      <c:barChart>
        <c:barDir val="col"/>
        <c:grouping val="clustered"/>
        <c:varyColors val="0"/>
        <c:ser>
          <c:idx val="0"/>
          <c:order val="0"/>
          <c:tx>
            <c:strRef>
              <c:f>Švenčionių!$M$20</c:f>
              <c:strCache>
                <c:ptCount val="1"/>
                <c:pt idx="0">
                  <c:v>Nuolatinių gyventojų skaičius metų pradžioje</c:v>
                </c:pt>
              </c:strCache>
            </c:strRef>
          </c:tx>
          <c:spPr>
            <a:solidFill>
              <a:srgbClr val="81BC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Švenčionių!$N$19:$V$19</c:f>
              <c:numCache>
                <c:formatCode>General</c:formatCode>
                <c:ptCount val="7"/>
                <c:pt idx="0">
                  <c:v>2007</c:v>
                </c:pt>
                <c:pt idx="1">
                  <c:v>2008</c:v>
                </c:pt>
                <c:pt idx="2">
                  <c:v>2009</c:v>
                </c:pt>
                <c:pt idx="3">
                  <c:v>2010</c:v>
                </c:pt>
                <c:pt idx="4">
                  <c:v>2011</c:v>
                </c:pt>
                <c:pt idx="5">
                  <c:v>2012</c:v>
                </c:pt>
                <c:pt idx="6">
                  <c:v>2013</c:v>
                </c:pt>
              </c:numCache>
            </c:numRef>
          </c:cat>
          <c:val>
            <c:numRef>
              <c:f>Švenčionių!$N$20:$V$20</c:f>
              <c:numCache>
                <c:formatCode>General</c:formatCode>
                <c:ptCount val="7"/>
                <c:pt idx="0">
                  <c:v>30148</c:v>
                </c:pt>
                <c:pt idx="1">
                  <c:v>29613</c:v>
                </c:pt>
                <c:pt idx="2">
                  <c:v>29218</c:v>
                </c:pt>
                <c:pt idx="3">
                  <c:v>28690</c:v>
                </c:pt>
                <c:pt idx="4">
                  <c:v>27961</c:v>
                </c:pt>
                <c:pt idx="5">
                  <c:v>27434</c:v>
                </c:pt>
                <c:pt idx="6">
                  <c:v>26853</c:v>
                </c:pt>
              </c:numCache>
            </c:numRef>
          </c:val>
        </c:ser>
        <c:ser>
          <c:idx val="1"/>
          <c:order val="1"/>
          <c:tx>
            <c:strRef>
              <c:f>Švenčionių!$M$21</c:f>
              <c:strCache>
                <c:ptCount val="1"/>
                <c:pt idx="0">
                  <c:v>Darbingo amžiaus gyventojai</c:v>
                </c:pt>
              </c:strCache>
            </c:strRef>
          </c:tx>
          <c:spPr>
            <a:solidFill>
              <a:srgbClr val="B4B4B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Švenčionių!$N$19:$V$19</c:f>
              <c:numCache>
                <c:formatCode>General</c:formatCode>
                <c:ptCount val="7"/>
                <c:pt idx="0">
                  <c:v>2007</c:v>
                </c:pt>
                <c:pt idx="1">
                  <c:v>2008</c:v>
                </c:pt>
                <c:pt idx="2">
                  <c:v>2009</c:v>
                </c:pt>
                <c:pt idx="3">
                  <c:v>2010</c:v>
                </c:pt>
                <c:pt idx="4">
                  <c:v>2011</c:v>
                </c:pt>
                <c:pt idx="5">
                  <c:v>2012</c:v>
                </c:pt>
                <c:pt idx="6">
                  <c:v>2013</c:v>
                </c:pt>
              </c:numCache>
            </c:numRef>
          </c:cat>
          <c:val>
            <c:numRef>
              <c:f>Švenčionių!$N$21:$V$21</c:f>
              <c:numCache>
                <c:formatCode>General</c:formatCode>
                <c:ptCount val="7"/>
                <c:pt idx="0">
                  <c:v>17549</c:v>
                </c:pt>
                <c:pt idx="1">
                  <c:v>17369</c:v>
                </c:pt>
                <c:pt idx="2">
                  <c:v>17192</c:v>
                </c:pt>
                <c:pt idx="3">
                  <c:v>16903</c:v>
                </c:pt>
                <c:pt idx="4">
                  <c:v>16685</c:v>
                </c:pt>
                <c:pt idx="5">
                  <c:v>16376</c:v>
                </c:pt>
                <c:pt idx="6">
                  <c:v>16106</c:v>
                </c:pt>
              </c:numCache>
            </c:numRef>
          </c:val>
        </c:ser>
        <c:ser>
          <c:idx val="2"/>
          <c:order val="2"/>
          <c:tx>
            <c:strRef>
              <c:f>Švenčionių!$M$22</c:f>
              <c:strCache>
                <c:ptCount val="1"/>
                <c:pt idx="0">
                  <c:v>Pensinio amžiaus gyventojai</c:v>
                </c:pt>
              </c:strCache>
            </c:strRef>
          </c:tx>
          <c:spPr>
            <a:solidFill>
              <a:srgbClr val="BDD20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Švenčionių!$N$19:$V$19</c:f>
              <c:numCache>
                <c:formatCode>General</c:formatCode>
                <c:ptCount val="7"/>
                <c:pt idx="0">
                  <c:v>2007</c:v>
                </c:pt>
                <c:pt idx="1">
                  <c:v>2008</c:v>
                </c:pt>
                <c:pt idx="2">
                  <c:v>2009</c:v>
                </c:pt>
                <c:pt idx="3">
                  <c:v>2010</c:v>
                </c:pt>
                <c:pt idx="4">
                  <c:v>2011</c:v>
                </c:pt>
                <c:pt idx="5">
                  <c:v>2012</c:v>
                </c:pt>
                <c:pt idx="6">
                  <c:v>2013</c:v>
                </c:pt>
              </c:numCache>
            </c:numRef>
          </c:cat>
          <c:val>
            <c:numRef>
              <c:f>Švenčionių!$N$22:$V$22</c:f>
              <c:numCache>
                <c:formatCode>General</c:formatCode>
                <c:ptCount val="7"/>
                <c:pt idx="0">
                  <c:v>7726</c:v>
                </c:pt>
                <c:pt idx="1">
                  <c:v>7575</c:v>
                </c:pt>
                <c:pt idx="2">
                  <c:v>7544</c:v>
                </c:pt>
                <c:pt idx="3">
                  <c:v>7457</c:v>
                </c:pt>
                <c:pt idx="4">
                  <c:v>7244</c:v>
                </c:pt>
                <c:pt idx="5">
                  <c:v>7162</c:v>
                </c:pt>
                <c:pt idx="6">
                  <c:v>6989</c:v>
                </c:pt>
              </c:numCache>
            </c:numRef>
          </c:val>
        </c:ser>
        <c:dLbls>
          <c:showLegendKey val="0"/>
          <c:showVal val="0"/>
          <c:showCatName val="0"/>
          <c:showSerName val="0"/>
          <c:showPercent val="0"/>
          <c:showBubbleSize val="0"/>
        </c:dLbls>
        <c:gapWidth val="219"/>
        <c:overlap val="-27"/>
        <c:axId val="90981120"/>
        <c:axId val="90982656"/>
      </c:barChart>
      <c:lineChart>
        <c:grouping val="standard"/>
        <c:varyColors val="0"/>
        <c:ser>
          <c:idx val="3"/>
          <c:order val="3"/>
          <c:tx>
            <c:strRef>
              <c:f>Švenčionių!$M$23</c:f>
              <c:strCache>
                <c:ptCount val="1"/>
                <c:pt idx="0">
                  <c:v>Registruotų bedarbių ir darbingo amžiaus gyventojų santykis | proc.</c:v>
                </c:pt>
              </c:strCache>
            </c:strRef>
          </c:tx>
          <c:spPr>
            <a:ln w="28575" cap="rnd">
              <a:solidFill>
                <a:srgbClr val="00A1DE"/>
              </a:solidFill>
              <a:round/>
            </a:ln>
            <a:effectLst/>
          </c:spPr>
          <c:marker>
            <c:symbol val="none"/>
          </c:marker>
          <c:cat>
            <c:numRef>
              <c:f>Švenčionių!$N$19:$V$19</c:f>
              <c:numCache>
                <c:formatCode>General</c:formatCode>
                <c:ptCount val="7"/>
                <c:pt idx="0">
                  <c:v>2007</c:v>
                </c:pt>
                <c:pt idx="1">
                  <c:v>2008</c:v>
                </c:pt>
                <c:pt idx="2">
                  <c:v>2009</c:v>
                </c:pt>
                <c:pt idx="3">
                  <c:v>2010</c:v>
                </c:pt>
                <c:pt idx="4">
                  <c:v>2011</c:v>
                </c:pt>
                <c:pt idx="5">
                  <c:v>2012</c:v>
                </c:pt>
                <c:pt idx="6">
                  <c:v>2013</c:v>
                </c:pt>
              </c:numCache>
            </c:numRef>
          </c:cat>
          <c:val>
            <c:numRef>
              <c:f>Švenčionių!$N$23:$V$23</c:f>
              <c:numCache>
                <c:formatCode>General</c:formatCode>
                <c:ptCount val="7"/>
                <c:pt idx="0">
                  <c:v>5.2</c:v>
                </c:pt>
                <c:pt idx="1">
                  <c:v>5.5</c:v>
                </c:pt>
                <c:pt idx="2">
                  <c:v>10.8</c:v>
                </c:pt>
                <c:pt idx="3">
                  <c:v>17.3</c:v>
                </c:pt>
                <c:pt idx="4">
                  <c:v>13.5</c:v>
                </c:pt>
                <c:pt idx="5">
                  <c:v>11.4</c:v>
                </c:pt>
                <c:pt idx="6">
                  <c:v>11.4</c:v>
                </c:pt>
              </c:numCache>
            </c:numRef>
          </c:val>
          <c:smooth val="0"/>
        </c:ser>
        <c:dLbls>
          <c:showLegendKey val="0"/>
          <c:showVal val="0"/>
          <c:showCatName val="0"/>
          <c:showSerName val="0"/>
          <c:showPercent val="0"/>
          <c:showBubbleSize val="0"/>
        </c:dLbls>
        <c:marker val="1"/>
        <c:smooth val="0"/>
        <c:axId val="90990080"/>
        <c:axId val="90988544"/>
      </c:lineChart>
      <c:catAx>
        <c:axId val="90981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0982656"/>
        <c:crosses val="autoZero"/>
        <c:auto val="1"/>
        <c:lblAlgn val="ctr"/>
        <c:lblOffset val="100"/>
        <c:noMultiLvlLbl val="0"/>
      </c:catAx>
      <c:valAx>
        <c:axId val="90982656"/>
        <c:scaling>
          <c:orientation val="minMax"/>
          <c:max val="35000"/>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0981120"/>
        <c:crosses val="autoZero"/>
        <c:crossBetween val="between"/>
      </c:valAx>
      <c:valAx>
        <c:axId val="90988544"/>
        <c:scaling>
          <c:orientation val="minMax"/>
        </c:scaling>
        <c:delete val="0"/>
        <c:axPos val="r"/>
        <c:numFmt formatCode="General\ \%" sourceLinked="0"/>
        <c:majorTickMark val="out"/>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0990080"/>
        <c:crosses val="max"/>
        <c:crossBetween val="between"/>
      </c:valAx>
      <c:catAx>
        <c:axId val="90990080"/>
        <c:scaling>
          <c:orientation val="minMax"/>
        </c:scaling>
        <c:delete val="1"/>
        <c:axPos val="b"/>
        <c:numFmt formatCode="General" sourceLinked="1"/>
        <c:majorTickMark val="out"/>
        <c:minorTickMark val="none"/>
        <c:tickLblPos val="nextTo"/>
        <c:crossAx val="90988544"/>
        <c:crosses val="autoZero"/>
        <c:auto val="1"/>
        <c:lblAlgn val="ctr"/>
        <c:lblOffset val="100"/>
        <c:noMultiLvlLbl val="0"/>
      </c:catAx>
      <c:spPr>
        <a:noFill/>
        <a:ln>
          <a:noFill/>
        </a:ln>
        <a:effectLst/>
      </c:spPr>
    </c:plotArea>
    <c:legend>
      <c:legendPos val="b"/>
      <c:layout>
        <c:manualLayout>
          <c:xMode val="edge"/>
          <c:yMode val="edge"/>
          <c:x val="7.3523622047244113E-3"/>
          <c:y val="0.78547317002041395"/>
          <c:w val="0.97973972003499565"/>
          <c:h val="0.1867490522018081"/>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a:latin typeface="Arial" panose="020B0604020202020204" pitchFamily="34" charset="0"/>
          <a:cs typeface="Arial" panose="020B0604020202020204" pitchFamily="34"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61509186351706E-2"/>
          <c:y val="5.0925925925925923E-2"/>
          <c:w val="0.88882349081364831"/>
          <c:h val="0.6800182268883056"/>
        </c:manualLayout>
      </c:layout>
      <c:barChart>
        <c:barDir val="col"/>
        <c:grouping val="clustered"/>
        <c:varyColors val="0"/>
        <c:ser>
          <c:idx val="1"/>
          <c:order val="1"/>
          <c:tx>
            <c:strRef>
              <c:f>Švenčionių!$L$45</c:f>
              <c:strCache>
                <c:ptCount val="1"/>
                <c:pt idx="0">
                  <c:v>Pridėtinė vertė gamybos kainomis pagal veiklos vykdymo vietą | tūkst. EUR</c:v>
                </c:pt>
              </c:strCache>
            </c:strRef>
          </c:tx>
          <c:spPr>
            <a:solidFill>
              <a:srgbClr val="81BC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Švenčionių!$M$43:$U$43</c:f>
              <c:numCache>
                <c:formatCode>General</c:formatCode>
                <c:ptCount val="7"/>
                <c:pt idx="0">
                  <c:v>2007</c:v>
                </c:pt>
                <c:pt idx="1">
                  <c:v>2008</c:v>
                </c:pt>
                <c:pt idx="2">
                  <c:v>2009</c:v>
                </c:pt>
                <c:pt idx="3">
                  <c:v>2010</c:v>
                </c:pt>
                <c:pt idx="4">
                  <c:v>2011</c:v>
                </c:pt>
                <c:pt idx="5">
                  <c:v>2012</c:v>
                </c:pt>
                <c:pt idx="6">
                  <c:v>2013</c:v>
                </c:pt>
              </c:numCache>
            </c:numRef>
          </c:cat>
          <c:val>
            <c:numRef>
              <c:f>Švenčionių!$M$45:$U$45</c:f>
              <c:numCache>
                <c:formatCode>General</c:formatCode>
                <c:ptCount val="7"/>
                <c:pt idx="0">
                  <c:v>44590</c:v>
                </c:pt>
                <c:pt idx="1">
                  <c:v>44591</c:v>
                </c:pt>
                <c:pt idx="2">
                  <c:v>43025</c:v>
                </c:pt>
                <c:pt idx="3">
                  <c:v>39557</c:v>
                </c:pt>
                <c:pt idx="4">
                  <c:v>45075</c:v>
                </c:pt>
                <c:pt idx="5">
                  <c:v>48229</c:v>
                </c:pt>
                <c:pt idx="6">
                  <c:v>52552</c:v>
                </c:pt>
              </c:numCache>
            </c:numRef>
          </c:val>
        </c:ser>
        <c:ser>
          <c:idx val="2"/>
          <c:order val="2"/>
          <c:tx>
            <c:strRef>
              <c:f>Švenčionių!$L$46</c:f>
              <c:strCache>
                <c:ptCount val="1"/>
                <c:pt idx="0">
                  <c:v>Materialinės investicijos to meto kainomis | tūkst. EUR</c:v>
                </c:pt>
              </c:strCache>
            </c:strRef>
          </c:tx>
          <c:spPr>
            <a:solidFill>
              <a:srgbClr val="B4B4B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Švenčionių!$M$43:$U$43</c:f>
              <c:numCache>
                <c:formatCode>General</c:formatCode>
                <c:ptCount val="7"/>
                <c:pt idx="0">
                  <c:v>2007</c:v>
                </c:pt>
                <c:pt idx="1">
                  <c:v>2008</c:v>
                </c:pt>
                <c:pt idx="2">
                  <c:v>2009</c:v>
                </c:pt>
                <c:pt idx="3">
                  <c:v>2010</c:v>
                </c:pt>
                <c:pt idx="4">
                  <c:v>2011</c:v>
                </c:pt>
                <c:pt idx="5">
                  <c:v>2012</c:v>
                </c:pt>
                <c:pt idx="6">
                  <c:v>2013</c:v>
                </c:pt>
              </c:numCache>
            </c:numRef>
          </c:cat>
          <c:val>
            <c:numRef>
              <c:f>Švenčionių!$M$46:$U$46</c:f>
              <c:numCache>
                <c:formatCode>General</c:formatCode>
                <c:ptCount val="7"/>
                <c:pt idx="0">
                  <c:v>31923</c:v>
                </c:pt>
                <c:pt idx="1">
                  <c:v>24180</c:v>
                </c:pt>
                <c:pt idx="2">
                  <c:v>13229</c:v>
                </c:pt>
                <c:pt idx="3">
                  <c:v>15469</c:v>
                </c:pt>
                <c:pt idx="4">
                  <c:v>26927</c:v>
                </c:pt>
                <c:pt idx="5">
                  <c:v>26571</c:v>
                </c:pt>
                <c:pt idx="6">
                  <c:v>28700</c:v>
                </c:pt>
              </c:numCache>
            </c:numRef>
          </c:val>
        </c:ser>
        <c:dLbls>
          <c:showLegendKey val="0"/>
          <c:showVal val="0"/>
          <c:showCatName val="0"/>
          <c:showSerName val="0"/>
          <c:showPercent val="0"/>
          <c:showBubbleSize val="0"/>
        </c:dLbls>
        <c:gapWidth val="219"/>
        <c:overlap val="-27"/>
        <c:axId val="91042560"/>
        <c:axId val="91044096"/>
      </c:barChart>
      <c:lineChart>
        <c:grouping val="standard"/>
        <c:varyColors val="0"/>
        <c:ser>
          <c:idx val="0"/>
          <c:order val="0"/>
          <c:tx>
            <c:strRef>
              <c:f>Švenčionių!$L$44</c:f>
              <c:strCache>
                <c:ptCount val="1"/>
                <c:pt idx="0">
                  <c:v>Tiesioginės užsienio investicijos, tenkančios vienam gyventojui, metų pabaigoje | EUR</c:v>
                </c:pt>
              </c:strCache>
            </c:strRef>
          </c:tx>
          <c:spPr>
            <a:ln w="28575" cap="rnd">
              <a:solidFill>
                <a:srgbClr val="00A1DE"/>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Švenčionių!$M$43:$U$43</c:f>
              <c:numCache>
                <c:formatCode>General</c:formatCode>
                <c:ptCount val="7"/>
                <c:pt idx="0">
                  <c:v>2007</c:v>
                </c:pt>
                <c:pt idx="1">
                  <c:v>2008</c:v>
                </c:pt>
                <c:pt idx="2">
                  <c:v>2009</c:v>
                </c:pt>
                <c:pt idx="3">
                  <c:v>2010</c:v>
                </c:pt>
                <c:pt idx="4">
                  <c:v>2011</c:v>
                </c:pt>
                <c:pt idx="5">
                  <c:v>2012</c:v>
                </c:pt>
                <c:pt idx="6">
                  <c:v>2013</c:v>
                </c:pt>
              </c:numCache>
            </c:numRef>
          </c:cat>
          <c:val>
            <c:numRef>
              <c:f>Švenčionių!$M$44:$U$44</c:f>
              <c:numCache>
                <c:formatCode>General</c:formatCode>
                <c:ptCount val="7"/>
                <c:pt idx="0">
                  <c:v>622</c:v>
                </c:pt>
                <c:pt idx="1">
                  <c:v>563</c:v>
                </c:pt>
                <c:pt idx="2">
                  <c:v>787</c:v>
                </c:pt>
                <c:pt idx="3">
                  <c:v>796</c:v>
                </c:pt>
                <c:pt idx="4">
                  <c:v>900</c:v>
                </c:pt>
                <c:pt idx="5">
                  <c:v>1014</c:v>
                </c:pt>
                <c:pt idx="6">
                  <c:v>1916</c:v>
                </c:pt>
              </c:numCache>
            </c:numRef>
          </c:val>
          <c:smooth val="0"/>
        </c:ser>
        <c:dLbls>
          <c:showLegendKey val="0"/>
          <c:showVal val="0"/>
          <c:showCatName val="0"/>
          <c:showSerName val="0"/>
          <c:showPercent val="0"/>
          <c:showBubbleSize val="0"/>
        </c:dLbls>
        <c:marker val="1"/>
        <c:smooth val="0"/>
        <c:axId val="91056384"/>
        <c:axId val="91054464"/>
      </c:lineChart>
      <c:catAx>
        <c:axId val="91042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1044096"/>
        <c:crosses val="autoZero"/>
        <c:auto val="1"/>
        <c:lblAlgn val="ctr"/>
        <c:lblOffset val="100"/>
        <c:noMultiLvlLbl val="0"/>
      </c:catAx>
      <c:valAx>
        <c:axId val="91044096"/>
        <c:scaling>
          <c:orientation val="minMax"/>
          <c:max val="60000"/>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lt-LT"/>
                  <a:t>Tūkst. EUR</a:t>
                </a:r>
                <a:endParaRPr lang="en-US"/>
              </a:p>
            </c:rich>
          </c:tx>
          <c:layout>
            <c:manualLayout>
              <c:xMode val="edge"/>
              <c:yMode val="edge"/>
              <c:x val="8.2830048393618821E-3"/>
              <c:y val="0.6720514486660040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1042560"/>
        <c:crosses val="autoZero"/>
        <c:crossBetween val="between"/>
      </c:valAx>
      <c:valAx>
        <c:axId val="91054464"/>
        <c:scaling>
          <c:orientation val="minMax"/>
        </c:scaling>
        <c:delete val="0"/>
        <c:axPos val="r"/>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lt-LT"/>
                  <a:t>EUR</a:t>
                </a:r>
                <a:endParaRPr lang="en-US"/>
              </a:p>
            </c:rich>
          </c:tx>
          <c:layout>
            <c:manualLayout>
              <c:xMode val="edge"/>
              <c:yMode val="edge"/>
              <c:x val="0.97486097161168572"/>
              <c:y val="0.71574076905435369"/>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1056384"/>
        <c:crosses val="max"/>
        <c:crossBetween val="between"/>
      </c:valAx>
      <c:catAx>
        <c:axId val="91056384"/>
        <c:scaling>
          <c:orientation val="minMax"/>
        </c:scaling>
        <c:delete val="1"/>
        <c:axPos val="b"/>
        <c:numFmt formatCode="General" sourceLinked="1"/>
        <c:majorTickMark val="out"/>
        <c:minorTickMark val="none"/>
        <c:tickLblPos val="nextTo"/>
        <c:crossAx val="91054464"/>
        <c:crosses val="autoZero"/>
        <c:auto val="1"/>
        <c:lblAlgn val="ctr"/>
        <c:lblOffset val="100"/>
        <c:noMultiLvlLbl val="0"/>
      </c:catAx>
      <c:spPr>
        <a:noFill/>
        <a:ln>
          <a:noFill/>
        </a:ln>
        <a:effectLst/>
      </c:spPr>
    </c:plotArea>
    <c:legend>
      <c:legendPos val="b"/>
      <c:layout>
        <c:manualLayout>
          <c:xMode val="edge"/>
          <c:yMode val="edge"/>
          <c:x val="1.5635312993230111E-2"/>
          <c:y val="0.8048906811405856"/>
          <c:w val="0.97973972003499565"/>
          <c:h val="0.1867490522018081"/>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a:latin typeface="Arial" panose="020B0604020202020204" pitchFamily="34" charset="0"/>
          <a:cs typeface="Arial" panose="020B0604020202020204"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Custom 1">
    <a:dk1>
      <a:srgbClr val="002776"/>
    </a:dk1>
    <a:lt1>
      <a:srgbClr val="FFFFFF"/>
    </a:lt1>
    <a:dk2>
      <a:srgbClr val="002776"/>
    </a:dk2>
    <a:lt2>
      <a:srgbClr val="FFFFFF"/>
    </a:lt2>
    <a:accent1>
      <a:srgbClr val="00A1DE"/>
    </a:accent1>
    <a:accent2>
      <a:srgbClr val="92D400"/>
    </a:accent2>
    <a:accent3>
      <a:srgbClr val="72C7E7"/>
    </a:accent3>
    <a:accent4>
      <a:srgbClr val="3C8A2E"/>
    </a:accent4>
    <a:accent5>
      <a:srgbClr val="002776"/>
    </a:accent5>
    <a:accent6>
      <a:srgbClr val="C9DD03"/>
    </a:accent6>
    <a:hlink>
      <a:srgbClr val="00A1DE"/>
    </a:hlink>
    <a:folHlink>
      <a:srgbClr val="72C7E7"/>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13010-D775-43CB-A6BE-3CD5ABED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1356</TotalTime>
  <Pages>5</Pages>
  <Words>1560</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10435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Gytis Jakstonis</dc:creator>
  <cp:keywords/>
  <dc:description/>
  <cp:lastModifiedBy>Sabina</cp:lastModifiedBy>
  <cp:revision>93</cp:revision>
  <cp:lastPrinted>2016-03-02T08:05:00Z</cp:lastPrinted>
  <dcterms:created xsi:type="dcterms:W3CDTF">2016-03-01T20:52:00Z</dcterms:created>
  <dcterms:modified xsi:type="dcterms:W3CDTF">2016-06-02T21:14:00Z</dcterms:modified>
</cp:coreProperties>
</file>