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3D29D" w14:textId="0A69847F" w:rsidR="00EA0E04" w:rsidRPr="007549C5" w:rsidRDefault="00EA0E04" w:rsidP="007549C5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173B1">
        <w:rPr>
          <w:rFonts w:ascii="Times New Roman" w:hAnsi="Times New Roman" w:cs="Times New Roman"/>
          <w:sz w:val="24"/>
          <w:szCs w:val="24"/>
        </w:rPr>
        <w:t>2014-2020 METŲ EUROPOS SĄJUNGOS FONDŲ INVESTICIJŲ VEIKSMŲ PROGRAMOS PRIORITETŲ ĮGYVENDINIMO PRIEMONĖS</w:t>
      </w:r>
      <w:r w:rsidR="00EF2A84">
        <w:rPr>
          <w:rFonts w:ascii="Times New Roman" w:hAnsi="Times New Roman" w:cs="Times New Roman"/>
          <w:sz w:val="24"/>
          <w:szCs w:val="24"/>
        </w:rPr>
        <w:t xml:space="preserve"> </w:t>
      </w:r>
      <w:r w:rsidR="00426B8D" w:rsidRPr="00B173B1">
        <w:rPr>
          <w:rFonts w:ascii="Times New Roman" w:hAnsi="Times New Roman" w:cs="Times New Roman"/>
          <w:sz w:val="24"/>
          <w:szCs w:val="24"/>
        </w:rPr>
        <w:t xml:space="preserve">NR. </w:t>
      </w:r>
      <w:r w:rsidR="00426B8D" w:rsidRPr="00B173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04.1.1-LVPA-V-</w:t>
      </w:r>
      <w:r w:rsidR="00E772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115</w:t>
      </w:r>
      <w:r w:rsidR="00426B8D" w:rsidRPr="00B173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,,</w:t>
      </w:r>
      <w:r w:rsidR="003E1C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AIE </w:t>
      </w:r>
      <w:r w:rsidR="00426B8D" w:rsidRPr="00B173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NAMŲ ŪKI</w:t>
      </w:r>
      <w:r w:rsidR="003E1C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CA52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MS</w:t>
      </w:r>
      <w:r w:rsidR="00426B8D" w:rsidRPr="00B173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0B19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173B1">
        <w:rPr>
          <w:rFonts w:ascii="Times New Roman" w:hAnsi="Times New Roman" w:cs="Times New Roman"/>
          <w:sz w:val="24"/>
          <w:szCs w:val="24"/>
        </w:rPr>
        <w:t>PAGRINDIMAS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2563"/>
        <w:gridCol w:w="6509"/>
      </w:tblGrid>
      <w:tr w:rsidR="00100D7B" w:rsidRPr="008B685C" w14:paraId="03F25E8D" w14:textId="77777777" w:rsidTr="007549C5">
        <w:tc>
          <w:tcPr>
            <w:tcW w:w="562" w:type="dxa"/>
          </w:tcPr>
          <w:p w14:paraId="75638050" w14:textId="77777777" w:rsidR="00100D7B" w:rsidRPr="008B685C" w:rsidRDefault="00100D7B" w:rsidP="00007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63" w:type="dxa"/>
          </w:tcPr>
          <w:p w14:paraId="053E6E82" w14:textId="77777777" w:rsidR="00100D7B" w:rsidRPr="008B685C" w:rsidRDefault="00100D7B" w:rsidP="00007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509" w:type="dxa"/>
          </w:tcPr>
          <w:p w14:paraId="47222500" w14:textId="77777777" w:rsidR="00100D7B" w:rsidRPr="008B685C" w:rsidRDefault="00100D7B" w:rsidP="00007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</w:tc>
      </w:tr>
      <w:tr w:rsidR="00100D7B" w:rsidRPr="008B685C" w14:paraId="2411D3EE" w14:textId="77777777" w:rsidTr="007549C5">
        <w:tc>
          <w:tcPr>
            <w:tcW w:w="9634" w:type="dxa"/>
            <w:gridSpan w:val="3"/>
          </w:tcPr>
          <w:p w14:paraId="0421E9C5" w14:textId="77777777" w:rsidR="00100D7B" w:rsidRPr="008B685C" w:rsidRDefault="00100D7B" w:rsidP="00007EB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b/>
                <w:sz w:val="24"/>
                <w:szCs w:val="24"/>
              </w:rPr>
              <w:t>Priemonės aprašymas</w:t>
            </w:r>
          </w:p>
        </w:tc>
      </w:tr>
      <w:tr w:rsidR="00100D7B" w:rsidRPr="008B685C" w14:paraId="6DC05277" w14:textId="77777777" w:rsidTr="007549C5">
        <w:trPr>
          <w:trHeight w:val="1975"/>
        </w:trPr>
        <w:tc>
          <w:tcPr>
            <w:tcW w:w="562" w:type="dxa"/>
          </w:tcPr>
          <w:p w14:paraId="5AFC0F20" w14:textId="77777777" w:rsidR="00100D7B" w:rsidRPr="008B685C" w:rsidRDefault="00100D7B" w:rsidP="0000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3" w:type="dxa"/>
          </w:tcPr>
          <w:p w14:paraId="12DD2B46" w14:textId="61919FE9" w:rsidR="00100D7B" w:rsidRPr="008B685C" w:rsidRDefault="00426B8D" w:rsidP="0000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Intervencijos poreikio, jos įgyvendinimo būdo</w:t>
            </w:r>
            <w:r w:rsidR="00DD42A0">
              <w:rPr>
                <w:rFonts w:ascii="Times New Roman" w:hAnsi="Times New Roman" w:cs="Times New Roman"/>
                <w:sz w:val="24"/>
                <w:szCs w:val="24"/>
              </w:rPr>
              <w:t xml:space="preserve"> ir numatomo ilgalaikio poveikio pagrindimas, aiškiai nurodant, koks pokytis bus pasiektas</w:t>
            </w:r>
          </w:p>
        </w:tc>
        <w:tc>
          <w:tcPr>
            <w:tcW w:w="6509" w:type="dxa"/>
          </w:tcPr>
          <w:p w14:paraId="73B8E7AC" w14:textId="1A76FDFD" w:rsidR="00910593" w:rsidRDefault="00DC350A" w:rsidP="00007EB5">
            <w:pPr>
              <w:pStyle w:val="Default"/>
              <w:jc w:val="both"/>
              <w:rPr>
                <w:color w:val="000000" w:themeColor="text1"/>
              </w:rPr>
            </w:pPr>
            <w:r>
              <w:t>Decentralizuota (paskirstytoji) generacija yra visai energetikos sistemai stabilumą teikiantis veiksnys.</w:t>
            </w:r>
            <w:r w:rsidR="008202C2">
              <w:t xml:space="preserve"> </w:t>
            </w:r>
            <w:r w:rsidR="00E3444C">
              <w:t xml:space="preserve">Siekiant </w:t>
            </w:r>
            <w:hyperlink r:id="rId6" w:history="1">
              <w:r w:rsidR="0039387B" w:rsidRPr="008F6453">
                <w:t>Nacionalinės energetinės nepriklausomybės strategijos,</w:t>
              </w:r>
            </w:hyperlink>
            <w:r w:rsidR="0039387B" w:rsidRPr="008F6453">
              <w:rPr>
                <w:color w:val="000000" w:themeColor="text1"/>
              </w:rPr>
              <w:t xml:space="preserve"> patvirtintos Lietuvos Respublikos Seimo 2018 m. birželio 21 d. nutarimu Nr. XIII-1288</w:t>
            </w:r>
            <w:r w:rsidR="0039387B">
              <w:rPr>
                <w:color w:val="000000" w:themeColor="text1"/>
              </w:rPr>
              <w:t xml:space="preserve"> </w:t>
            </w:r>
            <w:r w:rsidR="0039387B" w:rsidRPr="008F6453">
              <w:rPr>
                <w:color w:val="000000" w:themeColor="text1"/>
              </w:rPr>
              <w:t>„Dėl Nacionalinės energetinės nepriklausomybės strategijos patvirtinimo“,</w:t>
            </w:r>
            <w:r w:rsidR="0039387B">
              <w:rPr>
                <w:color w:val="000000" w:themeColor="text1"/>
              </w:rPr>
              <w:t xml:space="preserve"> </w:t>
            </w:r>
            <w:r w:rsidR="00E3444C" w:rsidRPr="006708E8">
              <w:rPr>
                <w:color w:val="000000" w:themeColor="text1"/>
              </w:rPr>
              <w:t>25.1.2 papunktyje nurodyto tikslo</w:t>
            </w:r>
            <w:r w:rsidR="00E3444C">
              <w:rPr>
                <w:color w:val="000000" w:themeColor="text1"/>
              </w:rPr>
              <w:t xml:space="preserve">, kad </w:t>
            </w:r>
            <w:r w:rsidR="00E3444C" w:rsidRPr="006708E8">
              <w:rPr>
                <w:color w:val="000000" w:themeColor="text1"/>
              </w:rPr>
              <w:t>iki 2020 metų sukūrus palankią investicijų aplinką, būtų ne mažiau kaip 34 tūkst. elektros energijos vartotojų, naudojančių gaminančio vartotojo schemą</w:t>
            </w:r>
            <w:r w:rsidR="00E3444C">
              <w:rPr>
                <w:color w:val="000000" w:themeColor="text1"/>
              </w:rPr>
              <w:t xml:space="preserve">, </w:t>
            </w:r>
            <w:r w:rsidR="00163D77">
              <w:rPr>
                <w:color w:val="000000" w:themeColor="text1"/>
              </w:rPr>
              <w:t xml:space="preserve">decentralizuotos </w:t>
            </w:r>
            <w:r w:rsidR="000B16CA">
              <w:rPr>
                <w:color w:val="000000" w:themeColor="text1"/>
              </w:rPr>
              <w:t xml:space="preserve">generacijos </w:t>
            </w:r>
            <w:r w:rsidR="00E77264">
              <w:rPr>
                <w:bCs/>
                <w:lang w:eastAsia="lt-LT"/>
              </w:rPr>
              <w:t>elektros energijos vartojimo vietoje</w:t>
            </w:r>
            <w:r w:rsidR="00E77264">
              <w:rPr>
                <w:color w:val="000000" w:themeColor="text1"/>
              </w:rPr>
              <w:t xml:space="preserve"> </w:t>
            </w:r>
            <w:r w:rsidR="000B16CA">
              <w:rPr>
                <w:color w:val="000000" w:themeColor="text1"/>
              </w:rPr>
              <w:t xml:space="preserve">vienbučiuose, dvibučiuose </w:t>
            </w:r>
            <w:r w:rsidR="00934283">
              <w:rPr>
                <w:color w:val="000000" w:themeColor="text1"/>
              </w:rPr>
              <w:t xml:space="preserve">gyvenamosios </w:t>
            </w:r>
            <w:r w:rsidR="00E77264">
              <w:rPr>
                <w:color w:val="000000" w:themeColor="text1"/>
              </w:rPr>
              <w:t>bei</w:t>
            </w:r>
            <w:r w:rsidR="000B16CA">
              <w:rPr>
                <w:color w:val="000000" w:themeColor="text1"/>
              </w:rPr>
              <w:t xml:space="preserve"> sod</w:t>
            </w:r>
            <w:r w:rsidR="00934283">
              <w:rPr>
                <w:color w:val="000000" w:themeColor="text1"/>
              </w:rPr>
              <w:t>ų paskirties</w:t>
            </w:r>
            <w:r w:rsidR="000B16CA">
              <w:rPr>
                <w:color w:val="000000" w:themeColor="text1"/>
              </w:rPr>
              <w:t xml:space="preserve"> namuose</w:t>
            </w:r>
            <w:r w:rsidR="00E77264">
              <w:rPr>
                <w:color w:val="000000" w:themeColor="text1"/>
              </w:rPr>
              <w:t xml:space="preserve"> -</w:t>
            </w:r>
            <w:r w:rsidR="00E77264">
              <w:rPr>
                <w:bCs/>
                <w:lang w:eastAsia="lt-LT"/>
              </w:rPr>
              <w:t xml:space="preserve"> </w:t>
            </w:r>
            <w:r w:rsidR="00C435A7">
              <w:rPr>
                <w:color w:val="000000" w:themeColor="text1"/>
              </w:rPr>
              <w:t xml:space="preserve">nepakanka. </w:t>
            </w:r>
            <w:r w:rsidR="00D36A61">
              <w:rPr>
                <w:color w:val="000000" w:themeColor="text1"/>
              </w:rPr>
              <w:t>Lietuvos saulės energetikos asociacijos skaičiavimais</w:t>
            </w:r>
            <w:r w:rsidR="007A741F">
              <w:rPr>
                <w:color w:val="000000" w:themeColor="text1"/>
              </w:rPr>
              <w:t>, pasitelku</w:t>
            </w:r>
            <w:r w:rsidR="003E1C19">
              <w:rPr>
                <w:color w:val="000000" w:themeColor="text1"/>
              </w:rPr>
              <w:t>s</w:t>
            </w:r>
            <w:r w:rsidR="007A741F">
              <w:rPr>
                <w:color w:val="000000" w:themeColor="text1"/>
              </w:rPr>
              <w:t xml:space="preserve"> </w:t>
            </w:r>
            <w:r w:rsidR="00544577">
              <w:rPr>
                <w:color w:val="000000" w:themeColor="text1"/>
              </w:rPr>
              <w:t>tik Lietuvoje esančius vi</w:t>
            </w:r>
            <w:r w:rsidR="007429B8">
              <w:rPr>
                <w:color w:val="000000" w:themeColor="text1"/>
              </w:rPr>
              <w:t>e</w:t>
            </w:r>
            <w:r w:rsidR="00544577">
              <w:rPr>
                <w:color w:val="000000" w:themeColor="text1"/>
              </w:rPr>
              <w:t xml:space="preserve">nbučius namus su vidutine 7 kW galia, </w:t>
            </w:r>
            <w:r w:rsidR="00FD3B37">
              <w:rPr>
                <w:color w:val="000000" w:themeColor="text1"/>
              </w:rPr>
              <w:t>reiktų saulės elektrines įrengti mažiausiai ant kas antro vienbučio gyvenamojo namo.</w:t>
            </w:r>
            <w:r w:rsidR="00B366DA">
              <w:rPr>
                <w:color w:val="000000" w:themeColor="text1"/>
              </w:rPr>
              <w:t xml:space="preserve"> Taigi</w:t>
            </w:r>
            <w:r w:rsidR="00B67264">
              <w:rPr>
                <w:color w:val="000000" w:themeColor="text1"/>
              </w:rPr>
              <w:t xml:space="preserve">, </w:t>
            </w:r>
            <w:r w:rsidR="00270E3D" w:rsidRPr="006708E8">
              <w:rPr>
                <w:color w:val="000000" w:themeColor="text1"/>
              </w:rPr>
              <w:t>34 tūkst. elektros energijos vartotojų, naudojančių gaminančio vartotojo schemą</w:t>
            </w:r>
            <w:r w:rsidR="00B67264">
              <w:rPr>
                <w:color w:val="000000" w:themeColor="text1"/>
              </w:rPr>
              <w:t>, tikslas</w:t>
            </w:r>
            <w:r w:rsidR="003011C6">
              <w:rPr>
                <w:color w:val="000000" w:themeColor="text1"/>
              </w:rPr>
              <w:t xml:space="preserve"> neįmanomas įgyvendinti nepasitelkiant smulkiausiųjų vartotojų</w:t>
            </w:r>
            <w:r w:rsidR="009A3D1F">
              <w:rPr>
                <w:color w:val="000000" w:themeColor="text1"/>
              </w:rPr>
              <w:t>, gyvenančių daugiabučiuose</w:t>
            </w:r>
            <w:r w:rsidR="00C67B90">
              <w:rPr>
                <w:color w:val="000000" w:themeColor="text1"/>
              </w:rPr>
              <w:t>.</w:t>
            </w:r>
          </w:p>
          <w:p w14:paraId="7522DD1F" w14:textId="482F6067" w:rsidR="00C67B90" w:rsidRDefault="001F1C81" w:rsidP="00007EB5">
            <w:pPr>
              <w:pStyle w:val="Default"/>
              <w:jc w:val="both"/>
            </w:pPr>
            <w:r>
              <w:t xml:space="preserve">Daugiabučių </w:t>
            </w:r>
            <w:r w:rsidR="002A335B">
              <w:t>gyventojai Lietuvoje yra statistiškai mažesnes pajamas gaunanti visuomenės dalis</w:t>
            </w:r>
            <w:r w:rsidR="004D3EAB">
              <w:t xml:space="preserve">. </w:t>
            </w:r>
            <w:r w:rsidR="002322EB">
              <w:t>Mažos pajamos (</w:t>
            </w:r>
            <w:r w:rsidR="00086BFF">
              <w:t xml:space="preserve">vadinasi ir nedidelės </w:t>
            </w:r>
            <w:r w:rsidR="00220993">
              <w:t>s</w:t>
            </w:r>
            <w:r w:rsidR="00086BFF">
              <w:t>antaupos</w:t>
            </w:r>
            <w:r w:rsidR="00220993">
              <w:t xml:space="preserve"> arba jų stoka)</w:t>
            </w:r>
            <w:r w:rsidR="009B09A4">
              <w:t xml:space="preserve"> užkerta kelią investicijoms į efektyvų energijos vartojimą </w:t>
            </w:r>
            <w:r w:rsidR="00F90CC6">
              <w:t>pastate</w:t>
            </w:r>
            <w:r w:rsidR="009B09A4">
              <w:t xml:space="preserve"> ar bute.</w:t>
            </w:r>
            <w:r w:rsidR="00086BFF">
              <w:t xml:space="preserve"> </w:t>
            </w:r>
            <w:r w:rsidR="001D4814">
              <w:t xml:space="preserve">Atitinkamai </w:t>
            </w:r>
            <w:r w:rsidR="00A020CD">
              <w:t>ši visuomenės dalis labiausiai kenčia nuo energetinio skurdo.</w:t>
            </w:r>
            <w:r w:rsidR="002322EB">
              <w:t xml:space="preserve"> Atsižvelgiant į tai</w:t>
            </w:r>
            <w:r w:rsidR="00044C10">
              <w:t>, kad elektr</w:t>
            </w:r>
            <w:r w:rsidR="009256F9">
              <w:t>a yra universaliausia energijos forma, kurią galima lengvai paversti bet kokia kita energijos forma</w:t>
            </w:r>
            <w:r w:rsidR="00DB2C75">
              <w:t>, kuri paprastai naudojama buityje</w:t>
            </w:r>
            <w:r w:rsidR="00774CE4">
              <w:t>,</w:t>
            </w:r>
            <w:r w:rsidR="00DB2C75">
              <w:t xml:space="preserve"> būtent </w:t>
            </w:r>
            <w:r w:rsidR="00E77264">
              <w:t>elektros</w:t>
            </w:r>
            <w:r w:rsidR="00DB2C75">
              <w:t xml:space="preserve"> energijos gamyba </w:t>
            </w:r>
            <w:r w:rsidR="00CE3627">
              <w:t xml:space="preserve">savo reikmėms </w:t>
            </w:r>
            <w:r w:rsidR="003568F5">
              <w:t xml:space="preserve">yra labiausiai </w:t>
            </w:r>
            <w:r w:rsidR="001B5A05">
              <w:t>prie socialinės lygybės ir energijos nepritekliaus mažinimo prisidedanti priemonė.</w:t>
            </w:r>
          </w:p>
          <w:p w14:paraId="48012338" w14:textId="3C1E0EF3" w:rsidR="00A0795E" w:rsidRDefault="00FE104F" w:rsidP="00007EB5">
            <w:pPr>
              <w:pStyle w:val="Default"/>
              <w:jc w:val="both"/>
            </w:pPr>
            <w:r w:rsidRPr="00FE104F">
              <w:t>Viešo</w:t>
            </w:r>
            <w:r w:rsidR="00DF3042">
              <w:t>sios</w:t>
            </w:r>
            <w:r w:rsidRPr="00FE104F">
              <w:t xml:space="preserve"> konsultacij</w:t>
            </w:r>
            <w:r w:rsidR="00DF3042">
              <w:t>os</w:t>
            </w:r>
            <w:r w:rsidRPr="00FE104F">
              <w:t xml:space="preserve"> dėl daugiabučių-gaminančių vartotojų skaičiaus didinimo, vykusi</w:t>
            </w:r>
            <w:r w:rsidR="00DF3042">
              <w:t>os</w:t>
            </w:r>
            <w:r w:rsidRPr="00FE104F">
              <w:t xml:space="preserve"> </w:t>
            </w:r>
            <w:r w:rsidR="00DF3042">
              <w:t>Lietuvos Respublikos e</w:t>
            </w:r>
            <w:r w:rsidRPr="00FE104F">
              <w:t xml:space="preserve">nergetikos ministerijoje 2017 m. rugsėjo–spalio mėn., </w:t>
            </w:r>
            <w:r w:rsidR="00A0795E">
              <w:t xml:space="preserve">metu, </w:t>
            </w:r>
            <w:r w:rsidR="00A8314C">
              <w:t xml:space="preserve">respondentai </w:t>
            </w:r>
            <w:r w:rsidR="00E83DD1">
              <w:t xml:space="preserve">vieną iš pagrindinių iššūkių, įsirengiant elektrines daugiabučiuose namuose, </w:t>
            </w:r>
            <w:r w:rsidR="00E25EDA">
              <w:t xml:space="preserve">yra </w:t>
            </w:r>
            <w:r w:rsidR="00E83DD1">
              <w:t>nurodę techninius daugiabučio parametrus: daugiabučio namo stogo dydį, tinkamumą, apribojimus, taikomus papildomai intervencijai ant stogo, kai stogui taikomas garantinis priežiūros laikotarpis ir pan.</w:t>
            </w:r>
            <w:r w:rsidR="003F56E6">
              <w:t xml:space="preserve"> </w:t>
            </w:r>
            <w:r w:rsidR="009B486A">
              <w:t>Taip pat respondentai pažymėjo, kad d</w:t>
            </w:r>
            <w:r w:rsidR="006645D5" w:rsidRPr="006645D5">
              <w:t xml:space="preserve">idelis daugiabučio namo turto savininkų skaičius paprastai lemia keblų sprendimų priėmimą </w:t>
            </w:r>
            <w:r w:rsidR="00D905B5">
              <w:t>(</w:t>
            </w:r>
            <w:r w:rsidR="006645D5" w:rsidRPr="006645D5">
              <w:t>paprastai surinkti bendrijos narius ar butų savininkus bendram balsavimui yra sudėtinga (pasiekti juos fiziškai, nustatyti visiems tinkamą laiką, užtikrinti jų iniciatyvumą, kt.).</w:t>
            </w:r>
            <w:r w:rsidR="00C047BE">
              <w:t xml:space="preserve"> </w:t>
            </w:r>
            <w:r w:rsidR="00C047BE" w:rsidRPr="00C047BE">
              <w:t xml:space="preserve">Nemaža dalis konsultacijos dalyvių </w:t>
            </w:r>
            <w:r w:rsidR="00C047BE">
              <w:t xml:space="preserve">taip pat </w:t>
            </w:r>
            <w:r w:rsidR="00C047BE" w:rsidRPr="00C047BE">
              <w:t xml:space="preserve">nerimavo dėl saulės modulių aptarnavimui reikalingų kompetencijų trūkumo: abejota, ar specialių žinių neturintys asmenys atliktų saulės modulių priežiūrą tinkamai (saulės kolektorius įsirengusio daugiabučio namo savininkų bendrijos </w:t>
            </w:r>
            <w:r w:rsidR="00C047BE" w:rsidRPr="00C047BE">
              <w:lastRenderedPageBreak/>
              <w:t>pirmininkė pabrėžė įrangos priežiūrą atliekančių specialistų profesionalumą kaip itin svarbų veiksnį).</w:t>
            </w:r>
          </w:p>
          <w:p w14:paraId="4F959DB2" w14:textId="30046257" w:rsidR="00343BAF" w:rsidRDefault="00C73A28" w:rsidP="00007EB5">
            <w:pPr>
              <w:pStyle w:val="Default"/>
              <w:jc w:val="both"/>
            </w:pPr>
            <w:r>
              <w:t xml:space="preserve">Visų šių </w:t>
            </w:r>
            <w:r w:rsidR="00054F43">
              <w:t>nuogąstavimų</w:t>
            </w:r>
            <w:r>
              <w:t xml:space="preserve"> </w:t>
            </w:r>
            <w:r w:rsidR="00355B33">
              <w:t>išveng</w:t>
            </w:r>
            <w:r w:rsidR="008B74ED">
              <w:t>iama</w:t>
            </w:r>
            <w:r w:rsidR="000E168B">
              <w:t xml:space="preserve"> </w:t>
            </w:r>
            <w:r w:rsidR="00C10BAF">
              <w:t>L</w:t>
            </w:r>
            <w:r w:rsidR="000E168B">
              <w:t>ietuvos Res</w:t>
            </w:r>
            <w:r w:rsidR="00C10BAF">
              <w:t>p</w:t>
            </w:r>
            <w:r w:rsidR="000E168B">
              <w:t>ublikos</w:t>
            </w:r>
            <w:r w:rsidR="00C10BAF">
              <w:t xml:space="preserve"> Seimui 2019 m. </w:t>
            </w:r>
            <w:r w:rsidR="00E77264">
              <w:t>birželio 6</w:t>
            </w:r>
            <w:r w:rsidR="00C10BAF">
              <w:t xml:space="preserve"> d.</w:t>
            </w:r>
            <w:r w:rsidR="008B74ED">
              <w:t xml:space="preserve"> priėmus </w:t>
            </w:r>
            <w:r w:rsidR="00E65158" w:rsidRPr="00E65158">
              <w:t>Atsinaujinančių išteklių energetikos įstatymo Nr. XI-1375 13, 14, 20 ir 20</w:t>
            </w:r>
            <w:r w:rsidR="004D32F5" w:rsidRPr="004D32F5">
              <w:rPr>
                <w:vertAlign w:val="superscript"/>
              </w:rPr>
              <w:t>1</w:t>
            </w:r>
            <w:r w:rsidR="00E65158" w:rsidRPr="00E65158">
              <w:t xml:space="preserve"> straipsnių pakeitimo įstatym</w:t>
            </w:r>
            <w:r w:rsidR="00E65158">
              <w:t>ą</w:t>
            </w:r>
            <w:r w:rsidR="00E77264">
              <w:t xml:space="preserve"> Nr. XIII-2200</w:t>
            </w:r>
            <w:r w:rsidR="000E168B">
              <w:t>.</w:t>
            </w:r>
            <w:r w:rsidR="00C10BAF">
              <w:t xml:space="preserve"> </w:t>
            </w:r>
            <w:r w:rsidR="00F15641">
              <w:t>Ši</w:t>
            </w:r>
            <w:r w:rsidR="00AB3F51">
              <w:t>s</w:t>
            </w:r>
            <w:r w:rsidR="00F15641">
              <w:t xml:space="preserve"> įstatymo pakeitim</w:t>
            </w:r>
            <w:r w:rsidR="00AB3F51">
              <w:t>as leid</w:t>
            </w:r>
            <w:r w:rsidR="000E4361">
              <w:t>žia gaminantiems vartotojams gaminti ir vartoti</w:t>
            </w:r>
            <w:r w:rsidR="00184B16">
              <w:t xml:space="preserve"> elektros energij</w:t>
            </w:r>
            <w:r w:rsidR="000E4361">
              <w:t>ą</w:t>
            </w:r>
            <w:r w:rsidR="00184B16">
              <w:t xml:space="preserve"> geografiškai </w:t>
            </w:r>
            <w:r w:rsidR="00B14C39">
              <w:t>skirtingose vie</w:t>
            </w:r>
            <w:r w:rsidR="00184B16">
              <w:t>tos</w:t>
            </w:r>
            <w:r w:rsidR="00B14C39">
              <w:t>e</w:t>
            </w:r>
            <w:r w:rsidR="00CF1CAC">
              <w:t xml:space="preserve">, o tai savo ruožtu </w:t>
            </w:r>
            <w:r w:rsidR="00184B16">
              <w:t>užtikrin</w:t>
            </w:r>
            <w:r w:rsidR="00CF1CAC">
              <w:t>a</w:t>
            </w:r>
            <w:r w:rsidR="00184B16">
              <w:t xml:space="preserve"> didesnį daugiabučiuose gyvenančių asmenų įsitraukimą į elektros energijos gamybą, pasinaudojant gaminančių vartotojų kainodaros modeliu.</w:t>
            </w:r>
            <w:r w:rsidR="001814C4">
              <w:t xml:space="preserve"> </w:t>
            </w:r>
            <w:r w:rsidR="00E55947">
              <w:t>G</w:t>
            </w:r>
            <w:r w:rsidR="00AA4B2D" w:rsidRPr="007E0150">
              <w:rPr>
                <w:bCs/>
              </w:rPr>
              <w:t>eografiškai nutolus</w:t>
            </w:r>
            <w:r w:rsidR="00AA4B2D">
              <w:rPr>
                <w:bCs/>
              </w:rPr>
              <w:t>ioje</w:t>
            </w:r>
            <w:r w:rsidR="00AA4B2D" w:rsidRPr="007E0150">
              <w:rPr>
                <w:bCs/>
              </w:rPr>
              <w:t xml:space="preserve"> nuo gaminančio vartotojo elektros energijos vartojimo vietos</w:t>
            </w:r>
            <w:r w:rsidR="00AA4B2D">
              <w:rPr>
                <w:bCs/>
              </w:rPr>
              <w:t xml:space="preserve"> elektrinėje </w:t>
            </w:r>
            <w:r w:rsidR="00A86D69" w:rsidRPr="00C035AD">
              <w:rPr>
                <w:bCs/>
              </w:rPr>
              <w:t>(</w:t>
            </w:r>
            <w:r w:rsidR="00C035AD">
              <w:rPr>
                <w:bCs/>
              </w:rPr>
              <w:t xml:space="preserve">naudojančioje </w:t>
            </w:r>
            <w:r w:rsidR="00A86D69" w:rsidRPr="00C035AD">
              <w:rPr>
                <w:bCs/>
              </w:rPr>
              <w:t>saulės, vėjo, bio</w:t>
            </w:r>
            <w:r w:rsidR="00C035AD">
              <w:rPr>
                <w:bCs/>
              </w:rPr>
              <w:t>masės</w:t>
            </w:r>
            <w:r w:rsidR="00A86D69" w:rsidRPr="00C035AD">
              <w:rPr>
                <w:bCs/>
              </w:rPr>
              <w:t xml:space="preserve"> ar </w:t>
            </w:r>
            <w:r w:rsidR="005B7C14">
              <w:rPr>
                <w:bCs/>
              </w:rPr>
              <w:t>vandens</w:t>
            </w:r>
            <w:r w:rsidR="00C035AD">
              <w:rPr>
                <w:bCs/>
              </w:rPr>
              <w:t xml:space="preserve"> </w:t>
            </w:r>
            <w:r w:rsidR="00A86D69" w:rsidRPr="00C035AD">
              <w:rPr>
                <w:bCs/>
              </w:rPr>
              <w:t>energij</w:t>
            </w:r>
            <w:r w:rsidR="00C035AD">
              <w:rPr>
                <w:bCs/>
              </w:rPr>
              <w:t>ą</w:t>
            </w:r>
            <w:r w:rsidR="00A86D69" w:rsidRPr="00C035AD">
              <w:rPr>
                <w:bCs/>
              </w:rPr>
              <w:t>)</w:t>
            </w:r>
            <w:r w:rsidR="00A86D69">
              <w:rPr>
                <w:bCs/>
              </w:rPr>
              <w:t xml:space="preserve"> </w:t>
            </w:r>
            <w:r w:rsidR="00AA4B2D" w:rsidRPr="007E0150">
              <w:rPr>
                <w:bCs/>
              </w:rPr>
              <w:t xml:space="preserve">pagaminta elektros energija galėtų būti </w:t>
            </w:r>
            <w:r w:rsidR="00AA4B2D">
              <w:rPr>
                <w:bCs/>
              </w:rPr>
              <w:t xml:space="preserve">persiųsta ir </w:t>
            </w:r>
            <w:r w:rsidR="00AA4B2D" w:rsidRPr="007E0150">
              <w:rPr>
                <w:bCs/>
              </w:rPr>
              <w:t>naudojama butų reikmėms</w:t>
            </w:r>
            <w:r w:rsidR="002E4273">
              <w:rPr>
                <w:bCs/>
              </w:rPr>
              <w:t xml:space="preserve"> (</w:t>
            </w:r>
            <w:r w:rsidR="00F93D6D">
              <w:rPr>
                <w:bCs/>
              </w:rPr>
              <w:t>t.y.</w:t>
            </w:r>
            <w:r w:rsidR="002E4273">
              <w:rPr>
                <w:bCs/>
              </w:rPr>
              <w:t xml:space="preserve"> fizinis asmuo, </w:t>
            </w:r>
            <w:r w:rsidR="003E1C19">
              <w:rPr>
                <w:bCs/>
              </w:rPr>
              <w:t>teisėtais</w:t>
            </w:r>
            <w:r w:rsidR="00643816">
              <w:rPr>
                <w:bCs/>
              </w:rPr>
              <w:t xml:space="preserve"> </w:t>
            </w:r>
            <w:r w:rsidR="002E6CA1">
              <w:rPr>
                <w:bCs/>
              </w:rPr>
              <w:t xml:space="preserve">pagrindais </w:t>
            </w:r>
            <w:r w:rsidR="00643816">
              <w:rPr>
                <w:bCs/>
              </w:rPr>
              <w:t xml:space="preserve">valdomame žemės sklype </w:t>
            </w:r>
            <w:r w:rsidR="00E94D15">
              <w:rPr>
                <w:bCs/>
              </w:rPr>
              <w:t xml:space="preserve">įsirengęs elektrinę, </w:t>
            </w:r>
            <w:r w:rsidR="00CC394A">
              <w:rPr>
                <w:bCs/>
              </w:rPr>
              <w:t>jo</w:t>
            </w:r>
            <w:r w:rsidR="005C7346">
              <w:rPr>
                <w:bCs/>
              </w:rPr>
              <w:t>je</w:t>
            </w:r>
            <w:r w:rsidR="00CC394A">
              <w:rPr>
                <w:bCs/>
              </w:rPr>
              <w:t xml:space="preserve"> pagamint</w:t>
            </w:r>
            <w:r w:rsidR="005C7346">
              <w:rPr>
                <w:bCs/>
              </w:rPr>
              <w:t>ą</w:t>
            </w:r>
            <w:r w:rsidR="00660386">
              <w:rPr>
                <w:bCs/>
              </w:rPr>
              <w:t xml:space="preserve"> elektros energiją gali vartoti fiziniam asmeniui nuosavybės teise priklausančiame bute, esančiame daugiabu</w:t>
            </w:r>
            <w:r w:rsidR="00F93D6D">
              <w:rPr>
                <w:bCs/>
              </w:rPr>
              <w:t>čiame</w:t>
            </w:r>
            <w:r w:rsidR="00660386">
              <w:rPr>
                <w:bCs/>
              </w:rPr>
              <w:t xml:space="preserve"> pastate</w:t>
            </w:r>
            <w:r w:rsidR="002E4273">
              <w:rPr>
                <w:bCs/>
              </w:rPr>
              <w:t>)</w:t>
            </w:r>
            <w:r w:rsidR="00E55947">
              <w:rPr>
                <w:bCs/>
              </w:rPr>
              <w:t>.</w:t>
            </w:r>
            <w:r w:rsidR="005053FD">
              <w:rPr>
                <w:bCs/>
              </w:rPr>
              <w:t xml:space="preserve"> </w:t>
            </w:r>
            <w:r w:rsidR="0054342D" w:rsidRPr="00E65158">
              <w:t>Atsinaujinančių išteklių energetikos įstatymo Nr. XI-1375 13, 14, 20 ir 20</w:t>
            </w:r>
            <w:r w:rsidR="004D32F5" w:rsidRPr="004D32F5">
              <w:rPr>
                <w:vertAlign w:val="superscript"/>
              </w:rPr>
              <w:t>1</w:t>
            </w:r>
            <w:r w:rsidR="0054342D" w:rsidRPr="00E65158">
              <w:t xml:space="preserve"> straipsnių pakeitimo įstatym</w:t>
            </w:r>
            <w:r w:rsidR="0054342D">
              <w:t>as</w:t>
            </w:r>
            <w:r w:rsidR="00E77264">
              <w:t xml:space="preserve"> Nr. XIII-2200</w:t>
            </w:r>
            <w:r w:rsidR="0054342D">
              <w:t xml:space="preserve"> </w:t>
            </w:r>
            <w:r w:rsidR="00E77264">
              <w:t xml:space="preserve">taip pat </w:t>
            </w:r>
            <w:r w:rsidR="0054342D">
              <w:t>nu</w:t>
            </w:r>
            <w:r w:rsidR="006D365A">
              <w:t>m</w:t>
            </w:r>
            <w:r w:rsidR="0054342D">
              <w:t xml:space="preserve">ato, kad </w:t>
            </w:r>
            <w:r w:rsidR="005026BF">
              <w:rPr>
                <w:bCs/>
              </w:rPr>
              <w:t xml:space="preserve">elektrinės </w:t>
            </w:r>
            <w:r w:rsidR="005026BF" w:rsidRPr="00304A22">
              <w:rPr>
                <w:bCs/>
              </w:rPr>
              <w:t xml:space="preserve">gali būti </w:t>
            </w:r>
            <w:r w:rsidR="005026BF">
              <w:rPr>
                <w:bCs/>
              </w:rPr>
              <w:t xml:space="preserve">statomos, įrengiamos ir eksploatuojamos </w:t>
            </w:r>
            <w:r w:rsidR="0054342D">
              <w:rPr>
                <w:bCs/>
              </w:rPr>
              <w:t>Elektros energetikos</w:t>
            </w:r>
            <w:r w:rsidR="005026BF" w:rsidRPr="00304A22">
              <w:rPr>
                <w:bCs/>
              </w:rPr>
              <w:t xml:space="preserve"> įstatymo nustatyta tvarka trečiųjų asmenų, gavus leidimą plėtoti elektros energijos gamybos pajėgumus</w:t>
            </w:r>
            <w:r w:rsidR="005026BF">
              <w:rPr>
                <w:bCs/>
              </w:rPr>
              <w:t xml:space="preserve"> ir leidimą gaminti elektros energiją</w:t>
            </w:r>
            <w:r w:rsidR="00A33B97">
              <w:rPr>
                <w:bCs/>
              </w:rPr>
              <w:t xml:space="preserve"> (</w:t>
            </w:r>
            <w:r w:rsidR="00294476">
              <w:rPr>
                <w:bCs/>
              </w:rPr>
              <w:t>t.y.</w:t>
            </w:r>
            <w:r w:rsidR="006D365A">
              <w:rPr>
                <w:bCs/>
              </w:rPr>
              <w:t xml:space="preserve"> fizinis asmuo nuosavybės teise įsig</w:t>
            </w:r>
            <w:r w:rsidR="00FA1866">
              <w:rPr>
                <w:bCs/>
              </w:rPr>
              <w:t>y</w:t>
            </w:r>
            <w:r w:rsidR="006D365A">
              <w:rPr>
                <w:bCs/>
              </w:rPr>
              <w:t xml:space="preserve">ja elektrinės dalį elektrinių parke (elektrinių fermoje) iš </w:t>
            </w:r>
            <w:r w:rsidR="00A33B97">
              <w:rPr>
                <w:bCs/>
              </w:rPr>
              <w:t>tre</w:t>
            </w:r>
            <w:r w:rsidR="006D365A">
              <w:rPr>
                <w:bCs/>
              </w:rPr>
              <w:t>čiųjų</w:t>
            </w:r>
            <w:r w:rsidR="00A33B97">
              <w:rPr>
                <w:bCs/>
              </w:rPr>
              <w:t xml:space="preserve"> asmen</w:t>
            </w:r>
            <w:r w:rsidR="006D365A">
              <w:rPr>
                <w:bCs/>
              </w:rPr>
              <w:t>ų ir elektrinės pagamintą energiją suvartoja fizinio asmens bute, esančiame daugiabučiame pastate</w:t>
            </w:r>
            <w:r w:rsidR="00A33B97">
              <w:rPr>
                <w:bCs/>
              </w:rPr>
              <w:t>)</w:t>
            </w:r>
            <w:r w:rsidR="005026BF" w:rsidRPr="00304A22">
              <w:rPr>
                <w:bCs/>
              </w:rPr>
              <w:t xml:space="preserve">. </w:t>
            </w:r>
            <w:r w:rsidR="005026BF">
              <w:rPr>
                <w:bCs/>
              </w:rPr>
              <w:t xml:space="preserve">Tokiu atveju </w:t>
            </w:r>
            <w:r w:rsidR="005026BF" w:rsidRPr="003F7CF8">
              <w:rPr>
                <w:bCs/>
              </w:rPr>
              <w:t xml:space="preserve">pagaminto elektros energijos kiekio apskaita </w:t>
            </w:r>
            <w:r w:rsidR="005026BF">
              <w:rPr>
                <w:bCs/>
              </w:rPr>
              <w:t xml:space="preserve">būtų </w:t>
            </w:r>
            <w:r w:rsidR="005026BF" w:rsidRPr="003F7CF8">
              <w:rPr>
                <w:bCs/>
              </w:rPr>
              <w:t>tvarkoma atsižvelgiant į gaminančio vartotojo nuosavybės teise ar kitais teisėtais pagrindais valdomos elektrinės dalį</w:t>
            </w:r>
            <w:r w:rsidR="005026BF">
              <w:rPr>
                <w:bCs/>
              </w:rPr>
              <w:t xml:space="preserve">, </w:t>
            </w:r>
            <w:r w:rsidR="005026BF" w:rsidRPr="003F7CF8">
              <w:rPr>
                <w:bCs/>
              </w:rPr>
              <w:t>įrengi</w:t>
            </w:r>
            <w:r w:rsidR="005026BF">
              <w:rPr>
                <w:bCs/>
              </w:rPr>
              <w:t>ant</w:t>
            </w:r>
            <w:r w:rsidR="005026BF" w:rsidRPr="003F7CF8">
              <w:rPr>
                <w:bCs/>
              </w:rPr>
              <w:t xml:space="preserve"> tik vien</w:t>
            </w:r>
            <w:r w:rsidR="005026BF">
              <w:rPr>
                <w:bCs/>
              </w:rPr>
              <w:t>ą</w:t>
            </w:r>
            <w:r w:rsidR="005026BF" w:rsidRPr="003F7CF8">
              <w:rPr>
                <w:bCs/>
              </w:rPr>
              <w:t xml:space="preserve"> elektros energijos apskaitos prietais</w:t>
            </w:r>
            <w:r w:rsidR="005026BF">
              <w:rPr>
                <w:bCs/>
              </w:rPr>
              <w:t>ą. A</w:t>
            </w:r>
            <w:r w:rsidR="005026BF" w:rsidRPr="003F7CF8">
              <w:rPr>
                <w:bCs/>
              </w:rPr>
              <w:t xml:space="preserve">tskiro gaminančio vartotojo į elektros tinklus patiektas elektros energijos kiekis </w:t>
            </w:r>
            <w:r w:rsidR="005026BF">
              <w:rPr>
                <w:bCs/>
              </w:rPr>
              <w:t xml:space="preserve">būtų </w:t>
            </w:r>
            <w:r w:rsidR="005026BF" w:rsidRPr="003F7CF8">
              <w:rPr>
                <w:bCs/>
              </w:rPr>
              <w:t>apskaičiuojamas pagal apskaitos prietaiso rodmenis proporcingai gaminančio vartotojo valdomos elektrinės daliai.</w:t>
            </w:r>
            <w:r w:rsidR="005026BF">
              <w:rPr>
                <w:bCs/>
              </w:rPr>
              <w:t xml:space="preserve"> Gaminančių vartotojų elektrinėse pagamintos elektros energijos apskaitą vykdys elektros tinklų operatorius.</w:t>
            </w:r>
            <w:r w:rsidR="00A33B97">
              <w:rPr>
                <w:bCs/>
              </w:rPr>
              <w:t xml:space="preserve"> Taigi, </w:t>
            </w:r>
            <w:r w:rsidR="00A33B97" w:rsidRPr="00E65158">
              <w:t>Atsinaujinančių išteklių energetikos įstatymo Nr. XI-1375 13, 14, 20 ir 20</w:t>
            </w:r>
            <w:r w:rsidR="004D32F5" w:rsidRPr="004D32F5">
              <w:rPr>
                <w:vertAlign w:val="superscript"/>
              </w:rPr>
              <w:t>1</w:t>
            </w:r>
            <w:r w:rsidR="00A33B97" w:rsidRPr="00E65158">
              <w:t xml:space="preserve"> straipsnių pakeitimo įstatym</w:t>
            </w:r>
            <w:r w:rsidR="00A33B97">
              <w:t xml:space="preserve">u </w:t>
            </w:r>
            <w:r w:rsidR="00764524">
              <w:t xml:space="preserve"> Nr. XIII-2200 </w:t>
            </w:r>
            <w:r w:rsidR="00A33B97">
              <w:t>yra išspręsti techniniai elektrinių įrengimo klausimai</w:t>
            </w:r>
            <w:r w:rsidR="00CB3251">
              <w:t xml:space="preserve"> (elektrinių įrengimui nereikia daugiabučio pastato stogo), išspręsta bendros dalinės nuosavybės valdymo ir bendraturčių sutikimo problema</w:t>
            </w:r>
            <w:r w:rsidR="003763F4">
              <w:t xml:space="preserve"> (nereikia daugiabučio namo bendraturčių sutikimo</w:t>
            </w:r>
            <w:r w:rsidR="00764524">
              <w:t xml:space="preserve">, tačiau išlieka galimybė, esant galimybėms ir daugiabučio namo bendraturčių sutikimui, įrengti elektrinę </w:t>
            </w:r>
            <w:r w:rsidR="00764524" w:rsidRPr="00764524">
              <w:rPr>
                <w:bCs/>
                <w:lang w:eastAsia="lt-LT"/>
              </w:rPr>
              <w:t>elektros energijos vartojimo vietoje</w:t>
            </w:r>
            <w:r w:rsidR="003763F4">
              <w:t>)</w:t>
            </w:r>
            <w:r w:rsidR="00CB3251">
              <w:t>,</w:t>
            </w:r>
            <w:r w:rsidR="003763F4">
              <w:t xml:space="preserve"> </w:t>
            </w:r>
            <w:r w:rsidR="00CB3251">
              <w:t>taip pat išspręsta individualiems poreikiams sunaudotos energijos kiekio apskaitos problema</w:t>
            </w:r>
            <w:r w:rsidR="003763F4">
              <w:t xml:space="preserve"> (nustatyti aiškūs ir objektyvūs apskaitos principai)</w:t>
            </w:r>
            <w:r w:rsidR="00B52045">
              <w:t xml:space="preserve"> </w:t>
            </w:r>
            <w:r w:rsidR="005239D6">
              <w:t>bei</w:t>
            </w:r>
            <w:r w:rsidR="00B52045">
              <w:t xml:space="preserve"> profesional</w:t>
            </w:r>
            <w:r w:rsidR="00A655AC">
              <w:t>ios</w:t>
            </w:r>
            <w:r w:rsidR="00B52045">
              <w:t xml:space="preserve"> </w:t>
            </w:r>
            <w:r w:rsidR="00A655AC">
              <w:t>priežiūros</w:t>
            </w:r>
            <w:r w:rsidR="00B52045">
              <w:t xml:space="preserve"> problema (</w:t>
            </w:r>
            <w:r w:rsidR="0072729E">
              <w:t xml:space="preserve">tuo rūpintųsi </w:t>
            </w:r>
            <w:r w:rsidR="00B52045">
              <w:t>tretieji asmenys</w:t>
            </w:r>
            <w:r w:rsidR="0072729E">
              <w:t>, turintys tam reikalingą kompetenciją</w:t>
            </w:r>
            <w:r w:rsidR="00B52045">
              <w:t>)</w:t>
            </w:r>
            <w:r w:rsidR="00CB3251">
              <w:t>.</w:t>
            </w:r>
          </w:p>
          <w:p w14:paraId="69F222D8" w14:textId="77777777" w:rsidR="00343BAF" w:rsidRDefault="00343BAF" w:rsidP="00007EB5">
            <w:pPr>
              <w:pStyle w:val="Default"/>
              <w:jc w:val="both"/>
            </w:pPr>
          </w:p>
          <w:p w14:paraId="48FDFDA0" w14:textId="442DB0CC" w:rsidR="00A655AC" w:rsidRPr="00303A13" w:rsidRDefault="00265D6D" w:rsidP="00A655AC">
            <w:pPr>
              <w:tabs>
                <w:tab w:val="left" w:pos="993"/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B173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Priemonės paskirtis – </w:t>
            </w:r>
            <w:r w:rsidR="00A6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A655AC" w:rsidRPr="00A6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 10 kW galios AIE naudojančių technologijų, skirtų elektros energijos gamybai namų ūkių reikmėms:</w:t>
            </w:r>
          </w:p>
          <w:p w14:paraId="52F7C701" w14:textId="107F3089" w:rsidR="00A655AC" w:rsidRPr="00A655AC" w:rsidRDefault="00A655AC" w:rsidP="00A655AC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įrengimas geografiškai nutolusiose nuo elektros energijos vartojimo vietose;</w:t>
            </w:r>
          </w:p>
          <w:p w14:paraId="1547879F" w14:textId="77777777" w:rsidR="00A655AC" w:rsidRDefault="00A655AC" w:rsidP="00A655AC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įsigijimas iš elektrinių parkų;</w:t>
            </w:r>
          </w:p>
          <w:p w14:paraId="0573BF20" w14:textId="78570EC1" w:rsidR="00764524" w:rsidRPr="00A655AC" w:rsidRDefault="00A655AC" w:rsidP="00A655AC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įrengimas elektros energijos vartojimo vietoje daugiabučiame pastate</w:t>
            </w:r>
            <w:r w:rsidR="002E6CA1">
              <w:rPr>
                <w:rFonts w:ascii="Times New Roman" w:hAnsi="Times New Roman" w:cs="Times New Roman"/>
                <w:sz w:val="24"/>
                <w:szCs w:val="24"/>
              </w:rPr>
              <w:t xml:space="preserve"> ar jo teritorijoje</w:t>
            </w:r>
            <w:bookmarkStart w:id="0" w:name="_GoBack"/>
            <w:bookmarkEnd w:id="0"/>
            <w:r w:rsidRPr="00A6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26F9D" w14:textId="557E0DE6" w:rsidR="00712404" w:rsidRPr="00B173B1" w:rsidRDefault="00712404" w:rsidP="00B173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73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Įgyvendinant priemonę bus kompensuojama dalis išlaidų, patirtų įrengiant</w:t>
            </w:r>
            <w:r w:rsidR="003E1C1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ar </w:t>
            </w:r>
            <w:r w:rsidR="00A655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įsigyjant</w:t>
            </w:r>
            <w:r w:rsidRPr="00B173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173B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iki </w:t>
            </w:r>
            <w:r w:rsidR="003E1C1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76452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  <w:r w:rsidRPr="00B173B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kW galios atsinaujinančių išteklių energiją naudojančias technologijas</w:t>
            </w:r>
            <w:r w:rsidRPr="001B24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98350D1" w14:textId="33CA477B" w:rsidR="00363BF1" w:rsidRPr="008B685C" w:rsidRDefault="008D1B3F" w:rsidP="00B173B1">
            <w:pPr>
              <w:jc w:val="both"/>
            </w:pPr>
            <w:r w:rsidRPr="00B173B1">
              <w:rPr>
                <w:rFonts w:ascii="Times New Roman" w:hAnsi="Times New Roman" w:cs="Times New Roman"/>
                <w:sz w:val="24"/>
              </w:rPr>
              <w:t xml:space="preserve">Įgyvendinus priemonę, bus pasiektas pagrindinis tikslas – iki 2023 m. papildomai bus įrengta mažiausiai </w:t>
            </w:r>
            <w:r w:rsidR="00751C1D">
              <w:rPr>
                <w:rFonts w:ascii="Times New Roman" w:hAnsi="Times New Roman" w:cs="Times New Roman"/>
                <w:sz w:val="24"/>
              </w:rPr>
              <w:t>26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 MW </w:t>
            </w:r>
            <w:r w:rsidR="00A655AC">
              <w:rPr>
                <w:rFonts w:ascii="Times New Roman" w:hAnsi="Times New Roman" w:cs="Times New Roman"/>
                <w:sz w:val="24"/>
              </w:rPr>
              <w:t>AIE</w:t>
            </w:r>
            <w:r w:rsidRPr="00B173B1">
              <w:rPr>
                <w:rFonts w:ascii="Times New Roman" w:hAnsi="Times New Roman" w:cs="Times New Roman"/>
                <w:bCs/>
                <w:sz w:val="24"/>
              </w:rPr>
              <w:t xml:space="preserve"> gamybos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55AC">
              <w:rPr>
                <w:rFonts w:ascii="Times New Roman" w:hAnsi="Times New Roman" w:cs="Times New Roman"/>
                <w:sz w:val="24"/>
              </w:rPr>
              <w:t>pajėgum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ų, skirtų elektros energijos gamybai </w:t>
            </w:r>
            <w:r w:rsidRPr="00B173B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namų ūkių</w:t>
            </w:r>
            <w:r w:rsidR="00A655A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(įskaitant daugiabuči</w:t>
            </w:r>
            <w:r w:rsidR="00A86D6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u</w:t>
            </w:r>
            <w:r w:rsidR="00A655A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s)</w:t>
            </w:r>
            <w:r w:rsidRPr="00B173B1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reikmėms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, taip </w:t>
            </w:r>
            <w:r w:rsidR="00694A65">
              <w:rPr>
                <w:rFonts w:ascii="Times New Roman" w:hAnsi="Times New Roman" w:cs="Times New Roman"/>
                <w:sz w:val="24"/>
              </w:rPr>
              <w:t>pat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 sumažintas</w:t>
            </w:r>
            <w:r w:rsidR="00B30568">
              <w:rPr>
                <w:rFonts w:ascii="Times New Roman" w:hAnsi="Times New Roman" w:cs="Times New Roman"/>
                <w:sz w:val="24"/>
              </w:rPr>
              <w:t xml:space="preserve"> bendras metinis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 šiltnamio efektą sukeliančių dujų kiekis </w:t>
            </w:r>
            <w:r w:rsidR="00751C1D">
              <w:rPr>
                <w:rFonts w:ascii="Times New Roman" w:hAnsi="Times New Roman" w:cs="Times New Roman"/>
                <w:sz w:val="24"/>
              </w:rPr>
              <w:t>15</w:t>
            </w:r>
            <w:r w:rsidR="00694A6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1C1D">
              <w:rPr>
                <w:rFonts w:ascii="Times New Roman" w:hAnsi="Times New Roman" w:cs="Times New Roman"/>
                <w:sz w:val="24"/>
              </w:rPr>
              <w:t>6</w:t>
            </w:r>
            <w:r w:rsidR="00694A65">
              <w:rPr>
                <w:rFonts w:ascii="Times New Roman" w:hAnsi="Times New Roman" w:cs="Times New Roman"/>
                <w:sz w:val="24"/>
              </w:rPr>
              <w:t>00</w:t>
            </w:r>
            <w:r w:rsidRPr="00B173B1">
              <w:rPr>
                <w:rFonts w:ascii="Times New Roman" w:hAnsi="Times New Roman" w:cs="Times New Roman"/>
                <w:sz w:val="24"/>
              </w:rPr>
              <w:t xml:space="preserve"> t CO</w:t>
            </w:r>
            <w:r w:rsidRPr="00B173B1">
              <w:rPr>
                <w:rFonts w:ascii="Times New Roman" w:hAnsi="Times New Roman" w:cs="Times New Roman"/>
                <w:sz w:val="24"/>
                <w:vertAlign w:val="subscript"/>
              </w:rPr>
              <w:t xml:space="preserve">2 </w:t>
            </w:r>
            <w:r w:rsidRPr="00B173B1">
              <w:rPr>
                <w:rFonts w:ascii="Times New Roman" w:hAnsi="Times New Roman" w:cs="Times New Roman"/>
                <w:sz w:val="24"/>
              </w:rPr>
              <w:t>ekvivalentu</w:t>
            </w:r>
            <w:r w:rsidRPr="00B173B1">
              <w:t>.</w:t>
            </w:r>
          </w:p>
        </w:tc>
      </w:tr>
      <w:tr w:rsidR="00100D7B" w:rsidRPr="008B685C" w14:paraId="728543F6" w14:textId="77777777" w:rsidTr="007549C5">
        <w:tc>
          <w:tcPr>
            <w:tcW w:w="562" w:type="dxa"/>
          </w:tcPr>
          <w:p w14:paraId="062898B1" w14:textId="77777777" w:rsidR="00100D7B" w:rsidRPr="008B685C" w:rsidRDefault="00100D7B" w:rsidP="0000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3" w:type="dxa"/>
          </w:tcPr>
          <w:p w14:paraId="5E7682B5" w14:textId="4786DC8F" w:rsidR="00702499" w:rsidRPr="008B685C" w:rsidRDefault="00702499" w:rsidP="0000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atrankos būdo </w:t>
            </w:r>
            <w:r w:rsidR="00C032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g</w:t>
            </w:r>
            <w:r w:rsidR="00C0322B" w:rsidRPr="008B685C">
              <w:rPr>
                <w:rFonts w:ascii="Times New Roman" w:hAnsi="Times New Roman" w:cs="Times New Roman"/>
                <w:sz w:val="24"/>
                <w:szCs w:val="24"/>
              </w:rPr>
              <w:t>alimų pareiškėjų</w:t>
            </w:r>
            <w:r w:rsidR="0041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2B" w:rsidRPr="008B685C">
              <w:rPr>
                <w:rFonts w:ascii="Times New Roman" w:hAnsi="Times New Roman" w:cs="Times New Roman"/>
                <w:sz w:val="24"/>
                <w:szCs w:val="24"/>
              </w:rPr>
              <w:t>ir partnerių pasirinkimo pagrindimas</w:t>
            </w:r>
          </w:p>
        </w:tc>
        <w:tc>
          <w:tcPr>
            <w:tcW w:w="6509" w:type="dxa"/>
          </w:tcPr>
          <w:p w14:paraId="3263D5EE" w14:textId="7AC9F18B" w:rsidR="00CF092E" w:rsidRPr="008B685C" w:rsidRDefault="00CF092E" w:rsidP="00CF0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įgyvendinimui pasirinktas valstybės projektų planavimo projektų atrankos būdas, kadangi atsižvelgiant į priemonės įgyvendinimo specifiką, toks projektų atrankos būdas yra tinkamiausias atsinaujinančių energijos išteklių naudojimo didinimo tikslams pasiekti. </w:t>
            </w:r>
          </w:p>
          <w:p w14:paraId="3B12CD8C" w14:textId="71FB01B4" w:rsidR="00CF092E" w:rsidRPr="008B685C" w:rsidRDefault="00CF092E" w:rsidP="00CF0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lėšomis numatoma</w:t>
            </w:r>
            <w:r w:rsidR="007645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fiziniams asmenims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kompensuoti dalį</w:t>
            </w:r>
            <w:r w:rsidR="00B425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425F2" w:rsidRPr="00B173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išlaidų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patirtų įsirengiant 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įsigyjant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elektrinę savo elektros energijos poreikiams tenkinti. Planuojama, kad finansavimas bus skirtas 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  <w:r w:rsidR="00122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51C1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036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22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namų ūkių. Atsižvelgiant į tai, kad numatoma finansuoti daug </w:t>
            </w:r>
            <w:r w:rsidR="00B425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fizinių asmenų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siekiant optimizuoti ir sparčiai įgyvendinti priemonę tikslinga vykdyti vien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projektą, kuris būtų įgyvendinamas visoje Lietuvoje, o šio projekto įgyvendinimą tikslinga paskirti valstybės institucijai, turinčiai reikiamus administracinius gebėjimus ir patirtį įgyvendinant panašias priemones bei galinčiai užtikrinti skaidrų ir efektyvų lėšų 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investavim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siekiant valstybės strateginiuose dokumentuose numatytų tikslų ir uždavinių. </w:t>
            </w:r>
          </w:p>
          <w:p w14:paraId="6D6AF597" w14:textId="6E2EEE58" w:rsidR="00122E16" w:rsidRPr="008B685C" w:rsidRDefault="00122E16" w:rsidP="00122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Priemonę </w:t>
            </w:r>
            <w:r w:rsidRPr="0036149A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614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04.1.1-LVPA-V-</w:t>
            </w:r>
            <w:r w:rsidR="00752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115</w:t>
            </w:r>
            <w:r w:rsidRPr="003614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,,</w:t>
            </w:r>
            <w:r w:rsidR="003E1C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AIE</w:t>
            </w:r>
            <w:r w:rsidR="00B425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614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namų ūki</w:t>
            </w:r>
            <w:r w:rsidR="003E1C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="00752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ms</w:t>
            </w:r>
            <w:r w:rsidRPr="003614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“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numatoma įgyvendinti kaip vieną </w:t>
            </w:r>
            <w:r w:rsidR="007522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skėtinį</w:t>
            </w:r>
            <w:r w:rsidR="007522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projektą, apimantį visą Lietuvos Respublikos teritoriją, kurio įgyvendinimo metu bus kompensuojama dalis atsinaujinančius energijos išteklius naudojančios elektrinės įrengimo 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įsigijimo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išlaidų. Šias išlaidas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galutiniams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fiziniam asmenims iš priemonės lėšų kompensuos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projekto vy</w:t>
            </w:r>
            <w:r w:rsidR="00C035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dytojas.</w:t>
            </w:r>
          </w:p>
          <w:p w14:paraId="3B5C8E0D" w14:textId="4DF35DCD" w:rsidR="00122E16" w:rsidRPr="008B685C" w:rsidRDefault="00B425F2" w:rsidP="00122E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Fiziniai asmenys</w:t>
            </w:r>
            <w:r w:rsidR="00122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22E16"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įgyvendinant šią priemonę</w:t>
            </w:r>
            <w:r w:rsidR="00122E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22E16"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bus atrenkami vadovaujantis sąžiningumo ir skaidrumo principais. </w:t>
            </w:r>
            <w:r w:rsidR="00A86D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Fizinių asmenų projektams atrinkti ir išdėstyti juos pagal prioritetus, reikalavimai bus numatyti PSFA</w:t>
            </w:r>
            <w:r w:rsidR="00122E16"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04141C7" w14:textId="05F56CD9" w:rsidR="00CF092E" w:rsidRPr="008B685C" w:rsidRDefault="00122E16" w:rsidP="00007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bus įgyvendinama be projekto partnerių.</w:t>
            </w:r>
          </w:p>
        </w:tc>
      </w:tr>
      <w:tr w:rsidR="00B173B1" w:rsidRPr="008B685C" w14:paraId="49C0EEC2" w14:textId="77777777" w:rsidTr="007549C5">
        <w:tc>
          <w:tcPr>
            <w:tcW w:w="562" w:type="dxa"/>
          </w:tcPr>
          <w:p w14:paraId="7D8D17F2" w14:textId="77777777" w:rsidR="00B173B1" w:rsidRPr="008B685C" w:rsidRDefault="00B173B1" w:rsidP="00B1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3" w:type="dxa"/>
          </w:tcPr>
          <w:p w14:paraId="28DC8831" w14:textId="3CEF6F92" w:rsidR="00B173B1" w:rsidRPr="008B685C" w:rsidRDefault="00B173B1" w:rsidP="00B1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Priemonei skiriamo finansavimo sumos pagrindimas</w:t>
            </w:r>
          </w:p>
        </w:tc>
        <w:tc>
          <w:tcPr>
            <w:tcW w:w="6509" w:type="dxa"/>
          </w:tcPr>
          <w:p w14:paraId="2F617B38" w14:textId="4628F37B" w:rsidR="00B173B1" w:rsidRPr="00A70C50" w:rsidRDefault="00B173B1" w:rsidP="00B17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įgyvendinimui numatoma skirti </w:t>
            </w:r>
            <w:r w:rsidR="009E78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mln. eurų. Ši suma nustatyta atsižvelgiant į numatomą finansuoti bendrą suminį instaliuotos galios skaičių, kuris yra nustatytas Lietuvos Respublikos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tsinaujinančių išteklių energetikos įstatymo 20</w:t>
            </w:r>
            <w:r w:rsidRPr="003614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straipsnio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dalies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punkte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maksimali galima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fizinių asmenų elektrinių įrengtoji 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suminė galia yra galia </w:t>
            </w:r>
            <w:r w:rsidR="007549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Pr="008B68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MW. </w:t>
            </w:r>
          </w:p>
        </w:tc>
      </w:tr>
    </w:tbl>
    <w:p w14:paraId="6C6870D7" w14:textId="58627BDB" w:rsidR="008B1939" w:rsidRDefault="00B173B1" w:rsidP="00B173B1">
      <w:pPr>
        <w:jc w:val="center"/>
      </w:pPr>
      <w:r>
        <w:t>_________________</w:t>
      </w:r>
    </w:p>
    <w:sectPr w:rsidR="008B1939" w:rsidSect="00270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945"/>
    <w:multiLevelType w:val="hybridMultilevel"/>
    <w:tmpl w:val="2F8A32A4"/>
    <w:lvl w:ilvl="0" w:tplc="B6905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79FC"/>
    <w:multiLevelType w:val="hybridMultilevel"/>
    <w:tmpl w:val="39A4A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77971"/>
    <w:multiLevelType w:val="hybridMultilevel"/>
    <w:tmpl w:val="9C202932"/>
    <w:lvl w:ilvl="0" w:tplc="2C3EB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7B"/>
    <w:rsid w:val="00002F28"/>
    <w:rsid w:val="00003AB1"/>
    <w:rsid w:val="000055A2"/>
    <w:rsid w:val="000066D3"/>
    <w:rsid w:val="00006CA0"/>
    <w:rsid w:val="0001124F"/>
    <w:rsid w:val="00044C10"/>
    <w:rsid w:val="00054F43"/>
    <w:rsid w:val="00086999"/>
    <w:rsid w:val="00086BFF"/>
    <w:rsid w:val="000B16CA"/>
    <w:rsid w:val="000B195A"/>
    <w:rsid w:val="000B3EF7"/>
    <w:rsid w:val="000D0234"/>
    <w:rsid w:val="000E168B"/>
    <w:rsid w:val="000E4361"/>
    <w:rsid w:val="00100D7B"/>
    <w:rsid w:val="00122E16"/>
    <w:rsid w:val="00123831"/>
    <w:rsid w:val="00132F0F"/>
    <w:rsid w:val="00133E41"/>
    <w:rsid w:val="00147D7C"/>
    <w:rsid w:val="00163D77"/>
    <w:rsid w:val="001814C4"/>
    <w:rsid w:val="00184B16"/>
    <w:rsid w:val="00184F9C"/>
    <w:rsid w:val="001B240A"/>
    <w:rsid w:val="001B5A05"/>
    <w:rsid w:val="001D4814"/>
    <w:rsid w:val="001F1C81"/>
    <w:rsid w:val="002152FE"/>
    <w:rsid w:val="00220993"/>
    <w:rsid w:val="002322EB"/>
    <w:rsid w:val="00265D6D"/>
    <w:rsid w:val="002708D7"/>
    <w:rsid w:val="00270E3D"/>
    <w:rsid w:val="0027290D"/>
    <w:rsid w:val="00294476"/>
    <w:rsid w:val="00297021"/>
    <w:rsid w:val="002A2AB6"/>
    <w:rsid w:val="002A335B"/>
    <w:rsid w:val="002D1A2C"/>
    <w:rsid w:val="002E4273"/>
    <w:rsid w:val="002E6CA1"/>
    <w:rsid w:val="003011C6"/>
    <w:rsid w:val="00321AD8"/>
    <w:rsid w:val="00343BAF"/>
    <w:rsid w:val="00350A22"/>
    <w:rsid w:val="00355B33"/>
    <w:rsid w:val="003568F5"/>
    <w:rsid w:val="0036149A"/>
    <w:rsid w:val="00363BF1"/>
    <w:rsid w:val="003763F4"/>
    <w:rsid w:val="0039387B"/>
    <w:rsid w:val="003B46D7"/>
    <w:rsid w:val="003E1C19"/>
    <w:rsid w:val="003F56E6"/>
    <w:rsid w:val="00414026"/>
    <w:rsid w:val="00426B8D"/>
    <w:rsid w:val="00457E0C"/>
    <w:rsid w:val="004A149D"/>
    <w:rsid w:val="004A4770"/>
    <w:rsid w:val="004B0B67"/>
    <w:rsid w:val="004C5B2E"/>
    <w:rsid w:val="004C66BC"/>
    <w:rsid w:val="004D32F5"/>
    <w:rsid w:val="004D3EAB"/>
    <w:rsid w:val="005026BF"/>
    <w:rsid w:val="005053FD"/>
    <w:rsid w:val="005239D6"/>
    <w:rsid w:val="005372DB"/>
    <w:rsid w:val="005414CA"/>
    <w:rsid w:val="0054342D"/>
    <w:rsid w:val="00544577"/>
    <w:rsid w:val="00545ABB"/>
    <w:rsid w:val="00547591"/>
    <w:rsid w:val="00563DAD"/>
    <w:rsid w:val="005B7C14"/>
    <w:rsid w:val="005C7346"/>
    <w:rsid w:val="00603A17"/>
    <w:rsid w:val="00643816"/>
    <w:rsid w:val="00660386"/>
    <w:rsid w:val="0066167C"/>
    <w:rsid w:val="006645D5"/>
    <w:rsid w:val="00676DAB"/>
    <w:rsid w:val="00694A65"/>
    <w:rsid w:val="006A3131"/>
    <w:rsid w:val="006D365A"/>
    <w:rsid w:val="00702499"/>
    <w:rsid w:val="00712404"/>
    <w:rsid w:val="0072222A"/>
    <w:rsid w:val="0072729E"/>
    <w:rsid w:val="007429B8"/>
    <w:rsid w:val="00743D29"/>
    <w:rsid w:val="00745081"/>
    <w:rsid w:val="00751C1D"/>
    <w:rsid w:val="0075222F"/>
    <w:rsid w:val="007549C5"/>
    <w:rsid w:val="007643F7"/>
    <w:rsid w:val="00764524"/>
    <w:rsid w:val="00774CE4"/>
    <w:rsid w:val="007A741F"/>
    <w:rsid w:val="007D33F6"/>
    <w:rsid w:val="007F0F38"/>
    <w:rsid w:val="0081638A"/>
    <w:rsid w:val="008202C2"/>
    <w:rsid w:val="00831AA3"/>
    <w:rsid w:val="00834D81"/>
    <w:rsid w:val="008B1939"/>
    <w:rsid w:val="008B3BFA"/>
    <w:rsid w:val="008B74ED"/>
    <w:rsid w:val="008D1B3F"/>
    <w:rsid w:val="008E049A"/>
    <w:rsid w:val="00910593"/>
    <w:rsid w:val="009256F9"/>
    <w:rsid w:val="00934283"/>
    <w:rsid w:val="00942F02"/>
    <w:rsid w:val="00967304"/>
    <w:rsid w:val="009700D7"/>
    <w:rsid w:val="009810BA"/>
    <w:rsid w:val="009A3D1F"/>
    <w:rsid w:val="009A7323"/>
    <w:rsid w:val="009B09A4"/>
    <w:rsid w:val="009B486A"/>
    <w:rsid w:val="009C12D4"/>
    <w:rsid w:val="009D2DF9"/>
    <w:rsid w:val="009D48EE"/>
    <w:rsid w:val="009E1D22"/>
    <w:rsid w:val="009E78A7"/>
    <w:rsid w:val="009F0169"/>
    <w:rsid w:val="009F4DAF"/>
    <w:rsid w:val="00A020CD"/>
    <w:rsid w:val="00A0795E"/>
    <w:rsid w:val="00A33B97"/>
    <w:rsid w:val="00A41CF6"/>
    <w:rsid w:val="00A56C23"/>
    <w:rsid w:val="00A655AC"/>
    <w:rsid w:val="00A70C50"/>
    <w:rsid w:val="00A8314C"/>
    <w:rsid w:val="00A86D69"/>
    <w:rsid w:val="00AA4B2D"/>
    <w:rsid w:val="00AB3F51"/>
    <w:rsid w:val="00AE1AE3"/>
    <w:rsid w:val="00B14C39"/>
    <w:rsid w:val="00B163AC"/>
    <w:rsid w:val="00B173B1"/>
    <w:rsid w:val="00B30568"/>
    <w:rsid w:val="00B366DA"/>
    <w:rsid w:val="00B425F2"/>
    <w:rsid w:val="00B476A4"/>
    <w:rsid w:val="00B52045"/>
    <w:rsid w:val="00B67264"/>
    <w:rsid w:val="00B849A9"/>
    <w:rsid w:val="00BE284E"/>
    <w:rsid w:val="00C00E66"/>
    <w:rsid w:val="00C0322B"/>
    <w:rsid w:val="00C035AD"/>
    <w:rsid w:val="00C047BE"/>
    <w:rsid w:val="00C10BAF"/>
    <w:rsid w:val="00C311A2"/>
    <w:rsid w:val="00C322E4"/>
    <w:rsid w:val="00C435A7"/>
    <w:rsid w:val="00C477AC"/>
    <w:rsid w:val="00C55092"/>
    <w:rsid w:val="00C67B90"/>
    <w:rsid w:val="00C73A28"/>
    <w:rsid w:val="00C80B01"/>
    <w:rsid w:val="00C96F5A"/>
    <w:rsid w:val="00CA52A4"/>
    <w:rsid w:val="00CB3251"/>
    <w:rsid w:val="00CC394A"/>
    <w:rsid w:val="00CE3627"/>
    <w:rsid w:val="00CF092E"/>
    <w:rsid w:val="00CF1CAC"/>
    <w:rsid w:val="00D36A61"/>
    <w:rsid w:val="00D57790"/>
    <w:rsid w:val="00D72A52"/>
    <w:rsid w:val="00D905B5"/>
    <w:rsid w:val="00DB2C75"/>
    <w:rsid w:val="00DB53A0"/>
    <w:rsid w:val="00DC350A"/>
    <w:rsid w:val="00DD42A0"/>
    <w:rsid w:val="00DF3042"/>
    <w:rsid w:val="00E25EDA"/>
    <w:rsid w:val="00E3444C"/>
    <w:rsid w:val="00E55947"/>
    <w:rsid w:val="00E65158"/>
    <w:rsid w:val="00E77264"/>
    <w:rsid w:val="00E83DD1"/>
    <w:rsid w:val="00E94D15"/>
    <w:rsid w:val="00EA0E04"/>
    <w:rsid w:val="00EF2A84"/>
    <w:rsid w:val="00F0368B"/>
    <w:rsid w:val="00F051E0"/>
    <w:rsid w:val="00F15641"/>
    <w:rsid w:val="00F90CC6"/>
    <w:rsid w:val="00F93D6D"/>
    <w:rsid w:val="00FA1866"/>
    <w:rsid w:val="00FA3C75"/>
    <w:rsid w:val="00FD3B37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AD76"/>
  <w15:chartTrackingRefBased/>
  <w15:docId w15:val="{F91A0C54-F985-490D-AD76-88C57B21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D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0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D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7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E151BC09AE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D72F-708A-4806-8DD3-A06A6F42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5798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Sveklaite</dc:creator>
  <cp:keywords/>
  <dc:description/>
  <cp:lastModifiedBy>Renata Ambrazeviciene</cp:lastModifiedBy>
  <cp:revision>130</cp:revision>
  <cp:lastPrinted>2019-07-25T04:42:00Z</cp:lastPrinted>
  <dcterms:created xsi:type="dcterms:W3CDTF">2018-10-01T13:10:00Z</dcterms:created>
  <dcterms:modified xsi:type="dcterms:W3CDTF">2019-08-19T07:45:00Z</dcterms:modified>
</cp:coreProperties>
</file>