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A334B" w14:textId="0DADDF4D" w:rsidR="001E0F40" w:rsidRDefault="008C4054" w:rsidP="008C4054">
      <w:pPr>
        <w:tabs>
          <w:tab w:val="center" w:pos="4819"/>
          <w:tab w:val="right" w:pos="9638"/>
        </w:tabs>
        <w:jc w:val="right"/>
        <w:rPr>
          <w:b/>
          <w:noProof/>
          <w:szCs w:val="24"/>
          <w:lang w:eastAsia="lt-LT"/>
        </w:rPr>
      </w:pPr>
      <w:r w:rsidRPr="008C4054">
        <w:rPr>
          <w:b/>
          <w:noProof/>
          <w:szCs w:val="24"/>
          <w:lang w:eastAsia="lt-LT"/>
        </w:rPr>
        <w:t>Lyginamasis projekto variantas</w:t>
      </w:r>
    </w:p>
    <w:p w14:paraId="625C46F7" w14:textId="77777777" w:rsidR="008C4054" w:rsidRPr="008C4054" w:rsidRDefault="008C4054" w:rsidP="008C4054">
      <w:pPr>
        <w:tabs>
          <w:tab w:val="center" w:pos="4819"/>
          <w:tab w:val="right" w:pos="9638"/>
        </w:tabs>
        <w:jc w:val="right"/>
        <w:rPr>
          <w:b/>
          <w:szCs w:val="24"/>
        </w:rPr>
      </w:pPr>
    </w:p>
    <w:p w14:paraId="27CA334D" w14:textId="77777777" w:rsidR="001E0F40" w:rsidRDefault="00D24F49">
      <w:pPr>
        <w:tabs>
          <w:tab w:val="center" w:pos="4153"/>
          <w:tab w:val="right" w:pos="8306"/>
        </w:tabs>
        <w:spacing w:line="259" w:lineRule="auto"/>
        <w:jc w:val="center"/>
        <w:rPr>
          <w:b/>
          <w:bCs/>
          <w:szCs w:val="24"/>
        </w:rPr>
      </w:pPr>
      <w:r>
        <w:rPr>
          <w:b/>
          <w:bCs/>
          <w:szCs w:val="24"/>
        </w:rPr>
        <w:t>LIETUVOS RESPUBLIKOS SVEIKATOS APSAUGOS MINISTRAS</w:t>
      </w:r>
    </w:p>
    <w:p w14:paraId="27CA334E" w14:textId="77777777" w:rsidR="001E0F40" w:rsidRDefault="001E0F40">
      <w:pPr>
        <w:rPr>
          <w:sz w:val="14"/>
          <w:szCs w:val="14"/>
        </w:rPr>
      </w:pPr>
    </w:p>
    <w:p w14:paraId="27CA334F" w14:textId="77777777" w:rsidR="001E0F40" w:rsidRDefault="00D24F49">
      <w:pPr>
        <w:tabs>
          <w:tab w:val="center" w:pos="4153"/>
          <w:tab w:val="right" w:pos="8306"/>
        </w:tabs>
        <w:spacing w:line="259" w:lineRule="auto"/>
        <w:jc w:val="center"/>
        <w:rPr>
          <w:szCs w:val="24"/>
        </w:rPr>
      </w:pPr>
      <w:r>
        <w:rPr>
          <w:b/>
          <w:bCs/>
          <w:szCs w:val="24"/>
        </w:rPr>
        <w:t>ĮSAKYMAS</w:t>
      </w:r>
    </w:p>
    <w:p w14:paraId="27CA3350" w14:textId="77777777" w:rsidR="001E0F40" w:rsidRDefault="00D24F49">
      <w:pPr>
        <w:spacing w:line="259" w:lineRule="auto"/>
        <w:ind w:right="-456"/>
        <w:jc w:val="center"/>
        <w:rPr>
          <w:szCs w:val="24"/>
        </w:rPr>
      </w:pPr>
      <w:r>
        <w:rPr>
          <w:rFonts w:eastAsia="Calibri"/>
          <w:b/>
          <w:bCs/>
          <w:color w:val="000000"/>
          <w:szCs w:val="24"/>
        </w:rPr>
        <w:t xml:space="preserve">DĖL </w:t>
      </w:r>
      <w:r>
        <w:rPr>
          <w:rFonts w:eastAsia="Calibri"/>
          <w:b/>
          <w:color w:val="000000"/>
          <w:szCs w:val="24"/>
        </w:rPr>
        <w:t xml:space="preserve">LIETUVOS RESPUBLIKOS SVEIKATOS APSAUGOS MINISTRO 2015 M. BIRŽELIO 22 D. ĮSAKYMO NR. V-783 „DĖL </w:t>
      </w:r>
      <w:r>
        <w:rPr>
          <w:rFonts w:eastAsia="Calibri"/>
          <w:b/>
          <w:color w:val="000000"/>
          <w:szCs w:val="24"/>
        </w:rPr>
        <w:b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27CA3351" w14:textId="77777777" w:rsidR="001E0F40" w:rsidRDefault="001E0F40">
      <w:pPr>
        <w:shd w:val="clear" w:color="auto" w:fill="FFFFFF"/>
        <w:tabs>
          <w:tab w:val="left" w:pos="1134"/>
          <w:tab w:val="left" w:pos="1276"/>
        </w:tabs>
        <w:spacing w:line="259" w:lineRule="auto"/>
        <w:ind w:right="57"/>
        <w:jc w:val="center"/>
        <w:rPr>
          <w:color w:val="000000"/>
          <w:spacing w:val="-9"/>
          <w:szCs w:val="24"/>
        </w:rPr>
      </w:pPr>
    </w:p>
    <w:p w14:paraId="27CA3352" w14:textId="13D05BB6" w:rsidR="001E0F40" w:rsidRDefault="00D24F49">
      <w:pPr>
        <w:shd w:val="clear" w:color="auto" w:fill="FFFFFF"/>
        <w:tabs>
          <w:tab w:val="left" w:pos="1134"/>
          <w:tab w:val="left" w:pos="1276"/>
        </w:tabs>
        <w:spacing w:line="259" w:lineRule="auto"/>
        <w:ind w:right="57"/>
        <w:jc w:val="center"/>
        <w:rPr>
          <w:color w:val="000000"/>
          <w:spacing w:val="-9"/>
          <w:szCs w:val="24"/>
        </w:rPr>
      </w:pPr>
      <w:r>
        <w:rPr>
          <w:color w:val="000000"/>
          <w:spacing w:val="-9"/>
          <w:szCs w:val="24"/>
        </w:rPr>
        <w:t>201</w:t>
      </w:r>
      <w:r w:rsidR="008C4054">
        <w:rPr>
          <w:color w:val="000000"/>
          <w:spacing w:val="-9"/>
          <w:szCs w:val="24"/>
        </w:rPr>
        <w:t xml:space="preserve">9 </w:t>
      </w:r>
      <w:r>
        <w:rPr>
          <w:color w:val="000000"/>
          <w:spacing w:val="-9"/>
          <w:szCs w:val="24"/>
        </w:rPr>
        <w:t xml:space="preserve"> m. </w:t>
      </w:r>
      <w:r w:rsidR="008C4054">
        <w:rPr>
          <w:color w:val="000000"/>
          <w:spacing w:val="-9"/>
          <w:szCs w:val="24"/>
        </w:rPr>
        <w:t xml:space="preserve">                                     </w:t>
      </w:r>
      <w:r>
        <w:rPr>
          <w:color w:val="000000"/>
          <w:spacing w:val="-9"/>
          <w:szCs w:val="24"/>
        </w:rPr>
        <w:t xml:space="preserve"> d. Nr. V-</w:t>
      </w:r>
    </w:p>
    <w:p w14:paraId="27CA3353" w14:textId="77777777" w:rsidR="001E0F40" w:rsidRDefault="00D24F49">
      <w:pPr>
        <w:shd w:val="clear" w:color="auto" w:fill="FFFFFF"/>
        <w:tabs>
          <w:tab w:val="left" w:pos="1134"/>
          <w:tab w:val="left" w:pos="1276"/>
        </w:tabs>
        <w:spacing w:line="259" w:lineRule="auto"/>
        <w:ind w:right="57"/>
        <w:jc w:val="center"/>
        <w:rPr>
          <w:color w:val="000000"/>
          <w:spacing w:val="-9"/>
          <w:szCs w:val="24"/>
        </w:rPr>
      </w:pPr>
      <w:r>
        <w:rPr>
          <w:color w:val="000000"/>
          <w:spacing w:val="-9"/>
          <w:szCs w:val="24"/>
        </w:rPr>
        <w:t>Vilnius</w:t>
      </w:r>
    </w:p>
    <w:p w14:paraId="27CA3354" w14:textId="77777777" w:rsidR="001E0F40" w:rsidRPr="00BF48E1" w:rsidRDefault="001E0F40">
      <w:pPr>
        <w:shd w:val="clear" w:color="auto" w:fill="FFFFFF"/>
        <w:tabs>
          <w:tab w:val="left" w:pos="1134"/>
          <w:tab w:val="left" w:pos="1276"/>
        </w:tabs>
        <w:ind w:right="57"/>
        <w:jc w:val="center"/>
        <w:rPr>
          <w:color w:val="000000"/>
          <w:spacing w:val="-9"/>
          <w:szCs w:val="24"/>
        </w:rPr>
      </w:pPr>
    </w:p>
    <w:p w14:paraId="27CA3356" w14:textId="75568D71" w:rsidR="001E0F40" w:rsidRDefault="00D24F49">
      <w:pPr>
        <w:ind w:firstLine="851"/>
        <w:jc w:val="both"/>
        <w:rPr>
          <w:color w:val="000000"/>
          <w:szCs w:val="24"/>
          <w:lang w:eastAsia="lt-LT"/>
        </w:rPr>
      </w:pPr>
      <w:r>
        <w:rPr>
          <w:color w:val="000000"/>
          <w:szCs w:val="24"/>
          <w:lang w:eastAsia="lt-LT"/>
        </w:rPr>
        <w:t xml:space="preserve">P a k e i č i u Lietuvos Respublikos sveikatos apsaugos ministro 2015 m. birželio 22 d. įsakymą Nr. V-783 „Dėl 2014–2020 metų Europos Sąjungos fondų investicijų veiksmų programos, patvirtintos 2014 m. rugsėjo 8 d. Europos Komisijos sprendimu, 8 prioriteto „Socialinės </w:t>
      </w:r>
      <w:proofErr w:type="spellStart"/>
      <w:r>
        <w:rPr>
          <w:color w:val="000000"/>
          <w:szCs w:val="24"/>
          <w:lang w:eastAsia="lt-LT"/>
        </w:rPr>
        <w:t>įtraukties</w:t>
      </w:r>
      <w:proofErr w:type="spellEnd"/>
      <w:r>
        <w:rPr>
          <w:color w:val="000000"/>
          <w:szCs w:val="24"/>
          <w:lang w:eastAsia="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147D2EDA" w14:textId="5315C8D3" w:rsidR="003546B2" w:rsidRDefault="003546B2">
      <w:pPr>
        <w:ind w:firstLine="851"/>
        <w:jc w:val="both"/>
        <w:rPr>
          <w:szCs w:val="24"/>
          <w:lang w:eastAsia="lt-LT"/>
        </w:rPr>
      </w:pPr>
      <w:r w:rsidRPr="003546B2">
        <w:rPr>
          <w:color w:val="000000"/>
          <w:szCs w:val="24"/>
          <w:lang w:eastAsia="lt-LT"/>
        </w:rPr>
        <w:t xml:space="preserve">1.    Pakeičiu nurodytu įsakymu patvirtintą 2014–2020 metų Europos Sąjungos fondų investicijų veiksmų programos, patvirtintos 2014 m. rugsėjo 8 d. Europos Komisijos sprendimu, 8 prioriteto „Socialinės </w:t>
      </w:r>
      <w:proofErr w:type="spellStart"/>
      <w:r w:rsidRPr="003546B2">
        <w:rPr>
          <w:color w:val="000000"/>
          <w:szCs w:val="24"/>
          <w:lang w:eastAsia="lt-LT"/>
        </w:rPr>
        <w:t>įtraukties</w:t>
      </w:r>
      <w:proofErr w:type="spellEnd"/>
      <w:r w:rsidRPr="003546B2">
        <w:rPr>
          <w:color w:val="000000"/>
          <w:szCs w:val="24"/>
          <w:lang w:eastAsia="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w:t>
      </w:r>
    </w:p>
    <w:p w14:paraId="27CA3358" w14:textId="5EB507E5" w:rsidR="001E0F40" w:rsidRDefault="00954413" w:rsidP="00954413">
      <w:pPr>
        <w:ind w:left="851"/>
        <w:jc w:val="both"/>
        <w:rPr>
          <w:rFonts w:eastAsia="Calibri"/>
          <w:color w:val="000000"/>
          <w:szCs w:val="24"/>
        </w:rPr>
      </w:pPr>
      <w:r>
        <w:rPr>
          <w:color w:val="000000"/>
          <w:szCs w:val="24"/>
          <w:lang w:eastAsia="lt-LT"/>
        </w:rPr>
        <w:t xml:space="preserve">1.1. </w:t>
      </w:r>
      <w:r w:rsidR="00D24F49">
        <w:rPr>
          <w:rFonts w:eastAsia="Calibri"/>
          <w:color w:val="000000"/>
          <w:szCs w:val="24"/>
        </w:rPr>
        <w:t>Pakeičiu dvidešimt pirmojo skirsnio 1 punktą ir jį išdėstau taip:</w:t>
      </w:r>
    </w:p>
    <w:p w14:paraId="70F6357F" w14:textId="249869FC" w:rsidR="008C4054" w:rsidRDefault="00D24F49">
      <w:pPr>
        <w:tabs>
          <w:tab w:val="left" w:pos="709"/>
          <w:tab w:val="left" w:pos="1134"/>
          <w:tab w:val="left" w:pos="1276"/>
        </w:tabs>
        <w:suppressAutoHyphens/>
        <w:spacing w:line="259" w:lineRule="auto"/>
        <w:ind w:firstLine="851"/>
        <w:jc w:val="both"/>
        <w:textAlignment w:val="baseline"/>
        <w:rPr>
          <w:color w:val="000000"/>
          <w:szCs w:val="24"/>
          <w:lang w:eastAsia="lt-LT"/>
        </w:rPr>
      </w:pPr>
      <w:r>
        <w:rPr>
          <w:color w:val="000000"/>
          <w:szCs w:val="24"/>
          <w:lang w:eastAsia="lt-LT"/>
        </w:rPr>
        <w:t xml:space="preserve">„1. Priemonės aprašymas </w:t>
      </w:r>
    </w:p>
    <w:p w14:paraId="7AA49CA0"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1.1. Priemonės įgyvendinimas finansuojamas Europos socialinio fondo lėšomis.</w:t>
      </w:r>
    </w:p>
    <w:p w14:paraId="181993D3"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1.2. Įgyvendinant priemonę prisidedama prie uždavinio „Sumažinti sveikatos netolygumus, gerinant sveikatos priežiūros kokybę ir prieinamumą tikslinėms gyventojų grupėms, ir skatinti sveiką senėjimą“</w:t>
      </w:r>
      <w:r w:rsidRPr="008C4054">
        <w:rPr>
          <w:b/>
          <w:bCs/>
          <w:szCs w:val="24"/>
          <w:lang w:eastAsia="lt-LT"/>
        </w:rPr>
        <w:t xml:space="preserve"> </w:t>
      </w:r>
      <w:r w:rsidRPr="008C4054">
        <w:rPr>
          <w:szCs w:val="24"/>
          <w:lang w:eastAsia="lt-LT"/>
        </w:rPr>
        <w:t>įgyvendinimo.</w:t>
      </w:r>
    </w:p>
    <w:p w14:paraId="2848B622"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lastRenderedPageBreak/>
        <w:t>1.3. Remiama veikla:</w:t>
      </w:r>
    </w:p>
    <w:p w14:paraId="087FFDD6" w14:textId="2400D49C" w:rsid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1.3.1. kardiologų, neurologų, šeimos gydytojų, pulmonologų rezidentūros studijų finansavimas;</w:t>
      </w:r>
    </w:p>
    <w:p w14:paraId="4EE9208A" w14:textId="50281EB3" w:rsidR="008C4054" w:rsidRPr="003546B2"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trike/>
          <w:szCs w:val="24"/>
          <w:lang w:eastAsia="lt-LT"/>
        </w:rPr>
      </w:pPr>
      <w:r w:rsidRPr="003546B2">
        <w:rPr>
          <w:strike/>
          <w:szCs w:val="24"/>
          <w:lang w:eastAsia="lt-LT"/>
        </w:rPr>
        <w:t>1.3.2</w:t>
      </w:r>
      <w:r w:rsidR="003546B2" w:rsidRPr="003546B2">
        <w:rPr>
          <w:strike/>
          <w:szCs w:val="24"/>
          <w:lang w:eastAsia="lt-LT"/>
        </w:rPr>
        <w:t>.</w:t>
      </w:r>
      <w:r w:rsidRPr="003546B2">
        <w:rPr>
          <w:strike/>
          <w:szCs w:val="24"/>
          <w:lang w:eastAsia="lt-LT"/>
        </w:rPr>
        <w:t xml:space="preserve"> gydytojų rezidentų </w:t>
      </w:r>
      <w:proofErr w:type="spellStart"/>
      <w:r w:rsidRPr="003546B2">
        <w:rPr>
          <w:strike/>
          <w:szCs w:val="24"/>
          <w:lang w:eastAsia="lt-LT"/>
        </w:rPr>
        <w:t>etapinių</w:t>
      </w:r>
      <w:proofErr w:type="spellEnd"/>
      <w:r w:rsidRPr="003546B2">
        <w:rPr>
          <w:strike/>
          <w:szCs w:val="24"/>
          <w:lang w:eastAsia="lt-LT"/>
        </w:rPr>
        <w:t xml:space="preserve"> </w:t>
      </w:r>
      <w:r w:rsidR="003546B2" w:rsidRPr="003546B2">
        <w:rPr>
          <w:strike/>
          <w:szCs w:val="24"/>
          <w:lang w:eastAsia="lt-LT"/>
        </w:rPr>
        <w:t>(pakopinių</w:t>
      </w:r>
      <w:r w:rsidR="00BB71F5">
        <w:rPr>
          <w:strike/>
          <w:szCs w:val="24"/>
          <w:lang w:eastAsia="lt-LT"/>
        </w:rPr>
        <w:t>)</w:t>
      </w:r>
      <w:bookmarkStart w:id="0" w:name="_GoBack"/>
      <w:bookmarkEnd w:id="0"/>
      <w:r w:rsidR="003546B2" w:rsidRPr="003546B2">
        <w:rPr>
          <w:strike/>
          <w:szCs w:val="24"/>
          <w:lang w:eastAsia="lt-LT"/>
        </w:rPr>
        <w:t xml:space="preserve"> kompetencijų modelio kūrimas ir diegimas;</w:t>
      </w:r>
    </w:p>
    <w:p w14:paraId="10EE0CBC" w14:textId="39592249" w:rsidR="003546B2" w:rsidRPr="003546B2" w:rsidRDefault="003546B2"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b/>
          <w:szCs w:val="24"/>
          <w:lang w:eastAsia="lt-LT"/>
        </w:rPr>
      </w:pPr>
      <w:r>
        <w:rPr>
          <w:szCs w:val="24"/>
          <w:lang w:eastAsia="lt-LT"/>
        </w:rPr>
        <w:t xml:space="preserve">1.3.3. </w:t>
      </w:r>
      <w:r w:rsidRPr="008C4054">
        <w:rPr>
          <w:szCs w:val="24"/>
          <w:lang w:eastAsia="lt-LT"/>
        </w:rPr>
        <w:t>rezidentūrą baigusių asmenų skatinimas dirbti asmens sveikatos priežiūros įstaigose, esančiose sveikatos priežiūros specialistų netolygiu pasiskirstymu pasižyminčiuose šalies regionuose</w:t>
      </w:r>
      <w:r w:rsidRPr="003546B2">
        <w:rPr>
          <w:strike/>
          <w:szCs w:val="24"/>
          <w:lang w:eastAsia="lt-LT"/>
        </w:rPr>
        <w:t>;</w:t>
      </w:r>
      <w:r>
        <w:rPr>
          <w:b/>
          <w:szCs w:val="24"/>
          <w:lang w:eastAsia="lt-LT"/>
        </w:rPr>
        <w:t>.</w:t>
      </w:r>
    </w:p>
    <w:p w14:paraId="6F5CE123" w14:textId="1424A4F1" w:rsidR="003546B2" w:rsidRDefault="003546B2"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3546B2">
        <w:rPr>
          <w:strike/>
          <w:szCs w:val="24"/>
          <w:lang w:eastAsia="lt-LT"/>
        </w:rPr>
        <w:t xml:space="preserve">1.3.4. </w:t>
      </w:r>
      <w:r w:rsidRPr="008C4054">
        <w:rPr>
          <w:strike/>
          <w:szCs w:val="24"/>
          <w:lang w:eastAsia="lt-LT"/>
        </w:rPr>
        <w:t>priemonių, kuriomis sprendžiamas gydytojų trūkumas regionuose ir gydytojai rezidentai skatinami likti dirbti Lietuvoje, įgyvendinimas (socialinių garantijų gydytojams rezidentams gerinimas</w:t>
      </w:r>
      <w:r w:rsidRPr="003546B2">
        <w:rPr>
          <w:strike/>
          <w:szCs w:val="24"/>
          <w:lang w:eastAsia="lt-LT"/>
        </w:rPr>
        <w:t>).</w:t>
      </w:r>
    </w:p>
    <w:p w14:paraId="7617204B"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1.4. Galimi pareiškėjai:</w:t>
      </w:r>
    </w:p>
    <w:p w14:paraId="703EE64A"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1.4.1. Sveikatos apsaugos ministerija;</w:t>
      </w:r>
    </w:p>
    <w:p w14:paraId="38158744"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1.4.2. Lietuvos sveikatos mokslų universitetas;</w:t>
      </w:r>
    </w:p>
    <w:p w14:paraId="2CF30236"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1.4.3. Vilniaus universitetas.</w:t>
      </w:r>
    </w:p>
    <w:p w14:paraId="01A8A88A"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1.5. Galimi partneriai:</w:t>
      </w:r>
    </w:p>
    <w:p w14:paraId="3E565E38"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1.5.1. Lietuvos nacionalinės sveikatos sistemos subjektai;</w:t>
      </w:r>
    </w:p>
    <w:p w14:paraId="12696B01"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1.5.2. savivaldybių administracijos;</w:t>
      </w:r>
    </w:p>
    <w:p w14:paraId="713AD070"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1.5.3. Sveikatos apsaugos ministerija;</w:t>
      </w:r>
    </w:p>
    <w:p w14:paraId="785B5909"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1.5.4. Lietuvos sveikatos mokslų universitetas;</w:t>
      </w:r>
    </w:p>
    <w:p w14:paraId="6373B450" w14:textId="77777777"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1.5.5. Vilniaus universitetas;</w:t>
      </w:r>
    </w:p>
    <w:p w14:paraId="68D95F9D" w14:textId="087B0AE9" w:rsidR="008C4054" w:rsidRPr="008C4054" w:rsidRDefault="008C4054" w:rsidP="008C4054">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8C4054">
        <w:rPr>
          <w:szCs w:val="24"/>
          <w:lang w:eastAsia="lt-LT"/>
        </w:rPr>
        <w:t>1.5.6. rezidentūros bazės.</w:t>
      </w:r>
      <w:r w:rsidR="003546B2">
        <w:rPr>
          <w:szCs w:val="24"/>
          <w:lang w:eastAsia="lt-LT"/>
        </w:rPr>
        <w:t>“</w:t>
      </w:r>
    </w:p>
    <w:p w14:paraId="27CA336E" w14:textId="7A20DDFD" w:rsidR="001E0F40" w:rsidRDefault="00D24F49">
      <w:pPr>
        <w:widowControl w:val="0"/>
        <w:tabs>
          <w:tab w:val="left" w:pos="1418"/>
        </w:tabs>
        <w:ind w:left="360" w:firstLine="633"/>
        <w:jc w:val="both"/>
        <w:rPr>
          <w:rFonts w:eastAsia="Calibri"/>
          <w:color w:val="000000"/>
          <w:szCs w:val="24"/>
        </w:rPr>
      </w:pPr>
      <w:r>
        <w:rPr>
          <w:rFonts w:eastAsia="Calibri"/>
          <w:color w:val="000000"/>
          <w:szCs w:val="24"/>
        </w:rPr>
        <w:t>1.2.</w:t>
      </w:r>
      <w:r>
        <w:rPr>
          <w:rFonts w:eastAsia="Calibri"/>
          <w:color w:val="000000"/>
          <w:szCs w:val="24"/>
        </w:rPr>
        <w:tab/>
        <w:t>Pakeičiu dvidešimt pirmojo skirsnio 6 punktą ir jį išdėstau taip:</w:t>
      </w:r>
    </w:p>
    <w:p w14:paraId="27CA336F" w14:textId="735E509A" w:rsidR="001E0F40" w:rsidRDefault="00D24F49" w:rsidP="00331F89">
      <w:pPr>
        <w:widowControl w:val="0"/>
        <w:tabs>
          <w:tab w:val="left" w:pos="1418"/>
        </w:tabs>
        <w:ind w:left="360" w:firstLine="633"/>
        <w:jc w:val="both"/>
        <w:rPr>
          <w:color w:val="000000"/>
          <w:szCs w:val="24"/>
        </w:rPr>
      </w:pPr>
      <w:r>
        <w:rPr>
          <w:color w:val="000000"/>
          <w:szCs w:val="24"/>
        </w:rPr>
        <w:t>„6.  Priemonės įgyvendinimo stebėsenos rodikliai</w:t>
      </w:r>
    </w:p>
    <w:tbl>
      <w:tblPr>
        <w:tblW w:w="1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5"/>
        <w:gridCol w:w="4674"/>
        <w:gridCol w:w="1203"/>
        <w:gridCol w:w="1832"/>
        <w:gridCol w:w="2400"/>
      </w:tblGrid>
      <w:tr w:rsidR="003B5738" w:rsidRPr="003546B2" w14:paraId="5112453A" w14:textId="77777777" w:rsidTr="00793A4B">
        <w:tc>
          <w:tcPr>
            <w:tcW w:w="1509" w:type="dxa"/>
            <w:tcMar>
              <w:top w:w="0" w:type="dxa"/>
              <w:left w:w="108" w:type="dxa"/>
              <w:bottom w:w="0" w:type="dxa"/>
              <w:right w:w="108" w:type="dxa"/>
            </w:tcMar>
            <w:hideMark/>
          </w:tcPr>
          <w:p w14:paraId="3E13817B" w14:textId="0C189E8D" w:rsidR="003546B2" w:rsidRPr="003546B2" w:rsidRDefault="003546B2" w:rsidP="003B5738">
            <w:pPr>
              <w:spacing w:before="100" w:beforeAutospacing="1" w:after="100" w:afterAutospacing="1" w:line="256" w:lineRule="auto"/>
              <w:jc w:val="center"/>
              <w:rPr>
                <w:szCs w:val="24"/>
                <w:lang w:eastAsia="lt-LT"/>
              </w:rPr>
            </w:pPr>
            <w:r w:rsidRPr="003546B2">
              <w:rPr>
                <w:color w:val="000000"/>
                <w:szCs w:val="24"/>
                <w:lang w:eastAsia="lt-LT"/>
              </w:rPr>
              <w:t>Stebėsenos rodiklio kodas</w:t>
            </w:r>
          </w:p>
        </w:tc>
        <w:tc>
          <w:tcPr>
            <w:tcW w:w="4718" w:type="dxa"/>
            <w:tcMar>
              <w:top w:w="0" w:type="dxa"/>
              <w:left w:w="108" w:type="dxa"/>
              <w:bottom w:w="0" w:type="dxa"/>
              <w:right w:w="108" w:type="dxa"/>
            </w:tcMar>
            <w:hideMark/>
          </w:tcPr>
          <w:p w14:paraId="7C149ED9" w14:textId="27873109" w:rsidR="003546B2" w:rsidRPr="003546B2" w:rsidRDefault="003546B2" w:rsidP="003B5738">
            <w:pPr>
              <w:spacing w:before="100" w:beforeAutospacing="1" w:after="100" w:afterAutospacing="1" w:line="256" w:lineRule="auto"/>
              <w:jc w:val="center"/>
              <w:rPr>
                <w:szCs w:val="24"/>
                <w:lang w:eastAsia="lt-LT"/>
              </w:rPr>
            </w:pPr>
            <w:r w:rsidRPr="003546B2">
              <w:rPr>
                <w:color w:val="000000"/>
                <w:szCs w:val="24"/>
                <w:lang w:eastAsia="lt-LT"/>
              </w:rPr>
              <w:t>Stebėsenos rodiklio pavadinimas</w:t>
            </w:r>
          </w:p>
        </w:tc>
        <w:tc>
          <w:tcPr>
            <w:tcW w:w="1134" w:type="dxa"/>
            <w:tcMar>
              <w:top w:w="0" w:type="dxa"/>
              <w:left w:w="108" w:type="dxa"/>
              <w:bottom w:w="0" w:type="dxa"/>
              <w:right w:w="108" w:type="dxa"/>
            </w:tcMar>
            <w:hideMark/>
          </w:tcPr>
          <w:p w14:paraId="446D7B88" w14:textId="0870E763" w:rsidR="003546B2" w:rsidRPr="003546B2" w:rsidRDefault="003546B2" w:rsidP="003B5738">
            <w:pPr>
              <w:spacing w:before="100" w:beforeAutospacing="1" w:after="100" w:afterAutospacing="1" w:line="256" w:lineRule="auto"/>
              <w:jc w:val="center"/>
              <w:rPr>
                <w:szCs w:val="24"/>
                <w:lang w:eastAsia="lt-LT"/>
              </w:rPr>
            </w:pPr>
            <w:r w:rsidRPr="003546B2">
              <w:rPr>
                <w:color w:val="000000"/>
                <w:szCs w:val="24"/>
                <w:lang w:eastAsia="lt-LT"/>
              </w:rPr>
              <w:t>Matavimo vienetas</w:t>
            </w:r>
          </w:p>
        </w:tc>
        <w:tc>
          <w:tcPr>
            <w:tcW w:w="1843" w:type="dxa"/>
            <w:tcMar>
              <w:top w:w="0" w:type="dxa"/>
              <w:left w:w="108" w:type="dxa"/>
              <w:bottom w:w="0" w:type="dxa"/>
              <w:right w:w="108" w:type="dxa"/>
            </w:tcMar>
            <w:hideMark/>
          </w:tcPr>
          <w:p w14:paraId="3728EF91" w14:textId="6E696E85" w:rsidR="003546B2" w:rsidRPr="003546B2" w:rsidRDefault="003546B2" w:rsidP="003B5738">
            <w:pPr>
              <w:spacing w:line="256" w:lineRule="auto"/>
              <w:jc w:val="center"/>
              <w:textAlignment w:val="baseline"/>
              <w:rPr>
                <w:szCs w:val="24"/>
                <w:lang w:eastAsia="lt-LT"/>
              </w:rPr>
            </w:pPr>
            <w:r w:rsidRPr="003546B2">
              <w:rPr>
                <w:color w:val="000000"/>
                <w:szCs w:val="24"/>
                <w:lang w:eastAsia="lt-LT"/>
              </w:rPr>
              <w:t>Tarpinė reikšmė</w:t>
            </w:r>
          </w:p>
          <w:p w14:paraId="387B5B61" w14:textId="77777777" w:rsidR="003546B2" w:rsidRPr="003546B2" w:rsidRDefault="003546B2" w:rsidP="003B5738">
            <w:pPr>
              <w:spacing w:line="256" w:lineRule="auto"/>
              <w:jc w:val="center"/>
              <w:textAlignment w:val="baseline"/>
              <w:rPr>
                <w:szCs w:val="24"/>
                <w:lang w:eastAsia="lt-LT"/>
              </w:rPr>
            </w:pPr>
            <w:r w:rsidRPr="003546B2">
              <w:rPr>
                <w:color w:val="000000"/>
                <w:szCs w:val="24"/>
                <w:lang w:eastAsia="lt-LT"/>
              </w:rPr>
              <w:t>2018 m. gruodžio 31 d.</w:t>
            </w:r>
          </w:p>
        </w:tc>
        <w:tc>
          <w:tcPr>
            <w:tcW w:w="2410" w:type="dxa"/>
            <w:tcMar>
              <w:top w:w="0" w:type="dxa"/>
              <w:left w:w="108" w:type="dxa"/>
              <w:bottom w:w="0" w:type="dxa"/>
              <w:right w:w="108" w:type="dxa"/>
            </w:tcMar>
            <w:hideMark/>
          </w:tcPr>
          <w:p w14:paraId="6F6D5993" w14:textId="77777777" w:rsidR="003546B2" w:rsidRPr="003546B2" w:rsidRDefault="003546B2" w:rsidP="003B5738">
            <w:pPr>
              <w:spacing w:before="100" w:beforeAutospacing="1" w:after="100" w:afterAutospacing="1" w:line="256" w:lineRule="auto"/>
              <w:jc w:val="center"/>
              <w:textAlignment w:val="baseline"/>
              <w:rPr>
                <w:szCs w:val="24"/>
                <w:lang w:eastAsia="lt-LT"/>
              </w:rPr>
            </w:pPr>
            <w:r w:rsidRPr="003546B2">
              <w:rPr>
                <w:color w:val="000000"/>
                <w:szCs w:val="24"/>
                <w:lang w:eastAsia="lt-LT"/>
              </w:rPr>
              <w:t>Galutinė reikšmė    2023 m. gruodžio 31 d.</w:t>
            </w:r>
          </w:p>
        </w:tc>
      </w:tr>
      <w:tr w:rsidR="003B5738" w:rsidRPr="003546B2" w14:paraId="697F1619" w14:textId="77777777" w:rsidTr="00793A4B">
        <w:tc>
          <w:tcPr>
            <w:tcW w:w="1509" w:type="dxa"/>
            <w:tcMar>
              <w:top w:w="0" w:type="dxa"/>
              <w:left w:w="108" w:type="dxa"/>
              <w:bottom w:w="0" w:type="dxa"/>
              <w:right w:w="108" w:type="dxa"/>
            </w:tcMar>
            <w:vAlign w:val="center"/>
            <w:hideMark/>
          </w:tcPr>
          <w:p w14:paraId="44F6A068" w14:textId="77777777" w:rsidR="003546B2" w:rsidRPr="003546B2" w:rsidRDefault="003546B2" w:rsidP="003546B2">
            <w:pPr>
              <w:spacing w:before="100" w:beforeAutospacing="1" w:after="100" w:afterAutospacing="1" w:line="256" w:lineRule="auto"/>
              <w:ind w:right="-108"/>
              <w:jc w:val="center"/>
              <w:textAlignment w:val="baseline"/>
              <w:rPr>
                <w:szCs w:val="24"/>
                <w:lang w:eastAsia="lt-LT"/>
              </w:rPr>
            </w:pPr>
            <w:r w:rsidRPr="003546B2">
              <w:rPr>
                <w:color w:val="000000"/>
                <w:szCs w:val="24"/>
                <w:lang w:eastAsia="lt-LT"/>
              </w:rPr>
              <w:t>P.N.670</w:t>
            </w:r>
          </w:p>
        </w:tc>
        <w:tc>
          <w:tcPr>
            <w:tcW w:w="4718" w:type="dxa"/>
            <w:tcMar>
              <w:top w:w="0" w:type="dxa"/>
              <w:left w:w="108" w:type="dxa"/>
              <w:bottom w:w="0" w:type="dxa"/>
              <w:right w:w="108" w:type="dxa"/>
            </w:tcMar>
            <w:vAlign w:val="center"/>
            <w:hideMark/>
          </w:tcPr>
          <w:p w14:paraId="4474838F" w14:textId="77777777" w:rsidR="003546B2" w:rsidRPr="003546B2" w:rsidRDefault="003546B2" w:rsidP="003546B2">
            <w:pPr>
              <w:spacing w:before="100" w:beforeAutospacing="1" w:after="100" w:afterAutospacing="1" w:line="256" w:lineRule="auto"/>
              <w:textAlignment w:val="baseline"/>
              <w:rPr>
                <w:szCs w:val="24"/>
                <w:lang w:eastAsia="lt-LT"/>
              </w:rPr>
            </w:pPr>
            <w:r w:rsidRPr="003546B2">
              <w:rPr>
                <w:color w:val="000000"/>
                <w:szCs w:val="24"/>
                <w:lang w:eastAsia="lt-LT"/>
              </w:rPr>
              <w:t>„Asmenys, kurie dalyvavo ESF veiklose, skirtose rezidentūrai“</w:t>
            </w:r>
          </w:p>
        </w:tc>
        <w:tc>
          <w:tcPr>
            <w:tcW w:w="1134" w:type="dxa"/>
            <w:tcMar>
              <w:top w:w="0" w:type="dxa"/>
              <w:left w:w="108" w:type="dxa"/>
              <w:bottom w:w="0" w:type="dxa"/>
              <w:right w:w="108" w:type="dxa"/>
            </w:tcMar>
            <w:vAlign w:val="center"/>
            <w:hideMark/>
          </w:tcPr>
          <w:p w14:paraId="44E7CD41" w14:textId="77777777" w:rsidR="003546B2" w:rsidRPr="003546B2" w:rsidRDefault="003546B2" w:rsidP="003546B2">
            <w:pPr>
              <w:spacing w:line="256" w:lineRule="auto"/>
              <w:ind w:left="-108" w:right="-182"/>
              <w:jc w:val="center"/>
              <w:textAlignment w:val="baseline"/>
              <w:rPr>
                <w:szCs w:val="24"/>
                <w:lang w:eastAsia="lt-LT"/>
              </w:rPr>
            </w:pPr>
            <w:r w:rsidRPr="003546B2">
              <w:rPr>
                <w:color w:val="000000"/>
                <w:szCs w:val="24"/>
                <w:lang w:eastAsia="lt-LT"/>
              </w:rPr>
              <w:t>Skaičius</w:t>
            </w:r>
          </w:p>
        </w:tc>
        <w:tc>
          <w:tcPr>
            <w:tcW w:w="1843" w:type="dxa"/>
            <w:tcMar>
              <w:top w:w="0" w:type="dxa"/>
              <w:left w:w="108" w:type="dxa"/>
              <w:bottom w:w="0" w:type="dxa"/>
              <w:right w:w="108" w:type="dxa"/>
            </w:tcMar>
            <w:vAlign w:val="center"/>
            <w:hideMark/>
          </w:tcPr>
          <w:p w14:paraId="0BBA1B52" w14:textId="77777777" w:rsidR="003546B2" w:rsidRPr="003546B2" w:rsidRDefault="003546B2" w:rsidP="003546B2">
            <w:pPr>
              <w:spacing w:before="100" w:beforeAutospacing="1" w:after="100" w:afterAutospacing="1" w:line="256" w:lineRule="auto"/>
              <w:jc w:val="center"/>
              <w:textAlignment w:val="baseline"/>
              <w:rPr>
                <w:szCs w:val="24"/>
                <w:lang w:eastAsia="lt-LT"/>
              </w:rPr>
            </w:pPr>
            <w:r w:rsidRPr="003546B2">
              <w:rPr>
                <w:color w:val="000000"/>
                <w:szCs w:val="24"/>
                <w:lang w:eastAsia="lt-LT"/>
              </w:rPr>
              <w:t>5</w:t>
            </w:r>
          </w:p>
        </w:tc>
        <w:tc>
          <w:tcPr>
            <w:tcW w:w="2410" w:type="dxa"/>
            <w:tcMar>
              <w:top w:w="0" w:type="dxa"/>
              <w:left w:w="108" w:type="dxa"/>
              <w:bottom w:w="0" w:type="dxa"/>
              <w:right w:w="108" w:type="dxa"/>
            </w:tcMar>
            <w:vAlign w:val="center"/>
            <w:hideMark/>
          </w:tcPr>
          <w:p w14:paraId="7CD3BE0E" w14:textId="77777777" w:rsidR="003546B2" w:rsidRDefault="003546B2" w:rsidP="003546B2">
            <w:pPr>
              <w:spacing w:line="256" w:lineRule="auto"/>
              <w:jc w:val="center"/>
              <w:textAlignment w:val="baseline"/>
              <w:rPr>
                <w:strike/>
                <w:szCs w:val="24"/>
                <w:lang w:eastAsia="lt-LT"/>
              </w:rPr>
            </w:pPr>
            <w:r w:rsidRPr="003546B2">
              <w:rPr>
                <w:strike/>
                <w:szCs w:val="24"/>
                <w:lang w:eastAsia="lt-LT"/>
              </w:rPr>
              <w:t>1900</w:t>
            </w:r>
          </w:p>
          <w:p w14:paraId="7DB6D10F" w14:textId="43E7562E" w:rsidR="003546B2" w:rsidRPr="003546B2" w:rsidRDefault="003546B2" w:rsidP="003546B2">
            <w:pPr>
              <w:spacing w:line="256" w:lineRule="auto"/>
              <w:jc w:val="center"/>
              <w:textAlignment w:val="baseline"/>
              <w:rPr>
                <w:b/>
                <w:szCs w:val="24"/>
                <w:lang w:eastAsia="lt-LT"/>
              </w:rPr>
            </w:pPr>
            <w:r>
              <w:rPr>
                <w:b/>
                <w:szCs w:val="24"/>
                <w:lang w:eastAsia="lt-LT"/>
              </w:rPr>
              <w:t>25</w:t>
            </w:r>
          </w:p>
        </w:tc>
      </w:tr>
      <w:tr w:rsidR="003B5738" w:rsidRPr="003546B2" w14:paraId="5BF615C4" w14:textId="77777777" w:rsidTr="00793A4B">
        <w:tc>
          <w:tcPr>
            <w:tcW w:w="1509" w:type="dxa"/>
            <w:tcMar>
              <w:top w:w="0" w:type="dxa"/>
              <w:left w:w="108" w:type="dxa"/>
              <w:bottom w:w="0" w:type="dxa"/>
              <w:right w:w="108" w:type="dxa"/>
            </w:tcMar>
            <w:hideMark/>
          </w:tcPr>
          <w:p w14:paraId="4B7F9B6B" w14:textId="77777777" w:rsidR="003546B2" w:rsidRPr="003546B2" w:rsidRDefault="003546B2" w:rsidP="003546B2">
            <w:pPr>
              <w:spacing w:before="100" w:beforeAutospacing="1" w:after="100" w:afterAutospacing="1" w:line="256" w:lineRule="auto"/>
              <w:ind w:right="-108"/>
              <w:jc w:val="center"/>
              <w:textAlignment w:val="baseline"/>
              <w:rPr>
                <w:strike/>
                <w:szCs w:val="24"/>
                <w:lang w:eastAsia="lt-LT"/>
              </w:rPr>
            </w:pPr>
            <w:r w:rsidRPr="003546B2">
              <w:rPr>
                <w:strike/>
                <w:color w:val="000000"/>
                <w:szCs w:val="24"/>
                <w:lang w:eastAsia="lt-LT"/>
              </w:rPr>
              <w:t>R.N.673</w:t>
            </w:r>
          </w:p>
        </w:tc>
        <w:tc>
          <w:tcPr>
            <w:tcW w:w="4718" w:type="dxa"/>
            <w:tcMar>
              <w:top w:w="0" w:type="dxa"/>
              <w:left w:w="108" w:type="dxa"/>
              <w:bottom w:w="0" w:type="dxa"/>
              <w:right w:w="108" w:type="dxa"/>
            </w:tcMar>
            <w:hideMark/>
          </w:tcPr>
          <w:p w14:paraId="797A25A5" w14:textId="77777777" w:rsidR="003546B2" w:rsidRPr="003546B2" w:rsidRDefault="003546B2" w:rsidP="003546B2">
            <w:pPr>
              <w:spacing w:before="100" w:beforeAutospacing="1" w:after="100" w:afterAutospacing="1" w:line="256" w:lineRule="auto"/>
              <w:textAlignment w:val="baseline"/>
              <w:rPr>
                <w:strike/>
                <w:szCs w:val="24"/>
                <w:lang w:eastAsia="lt-LT"/>
              </w:rPr>
            </w:pPr>
            <w:r w:rsidRPr="003546B2">
              <w:rPr>
                <w:strike/>
                <w:color w:val="000000"/>
                <w:szCs w:val="24"/>
                <w:lang w:eastAsia="lt-LT"/>
              </w:rPr>
              <w:t>„Asmenų, kurie po dalyvavimo ESF veiklose įgijo pakopines kompetencijas, dalis“</w:t>
            </w:r>
          </w:p>
        </w:tc>
        <w:tc>
          <w:tcPr>
            <w:tcW w:w="1134" w:type="dxa"/>
            <w:tcMar>
              <w:top w:w="0" w:type="dxa"/>
              <w:left w:w="108" w:type="dxa"/>
              <w:bottom w:w="0" w:type="dxa"/>
              <w:right w:w="108" w:type="dxa"/>
            </w:tcMar>
            <w:hideMark/>
          </w:tcPr>
          <w:p w14:paraId="5E03199C" w14:textId="77777777" w:rsidR="003546B2" w:rsidRPr="003546B2" w:rsidRDefault="003546B2" w:rsidP="003546B2">
            <w:pPr>
              <w:spacing w:line="256" w:lineRule="auto"/>
              <w:ind w:left="-108" w:right="-182"/>
              <w:jc w:val="center"/>
              <w:textAlignment w:val="baseline"/>
              <w:rPr>
                <w:strike/>
                <w:szCs w:val="24"/>
                <w:lang w:eastAsia="lt-LT"/>
              </w:rPr>
            </w:pPr>
            <w:r w:rsidRPr="003546B2">
              <w:rPr>
                <w:strike/>
                <w:color w:val="000000"/>
                <w:szCs w:val="24"/>
                <w:lang w:eastAsia="lt-LT"/>
              </w:rPr>
              <w:t>Procentai</w:t>
            </w:r>
          </w:p>
        </w:tc>
        <w:tc>
          <w:tcPr>
            <w:tcW w:w="1843" w:type="dxa"/>
            <w:tcMar>
              <w:top w:w="0" w:type="dxa"/>
              <w:left w:w="108" w:type="dxa"/>
              <w:bottom w:w="0" w:type="dxa"/>
              <w:right w:w="108" w:type="dxa"/>
            </w:tcMar>
            <w:hideMark/>
          </w:tcPr>
          <w:p w14:paraId="37FA5A74" w14:textId="77777777" w:rsidR="003546B2" w:rsidRPr="003546B2" w:rsidRDefault="003546B2" w:rsidP="003546B2">
            <w:pPr>
              <w:spacing w:before="100" w:beforeAutospacing="1" w:after="100" w:afterAutospacing="1" w:line="256" w:lineRule="auto"/>
              <w:jc w:val="center"/>
              <w:textAlignment w:val="baseline"/>
              <w:rPr>
                <w:strike/>
                <w:szCs w:val="24"/>
                <w:lang w:eastAsia="lt-LT"/>
              </w:rPr>
            </w:pPr>
            <w:r w:rsidRPr="003546B2">
              <w:rPr>
                <w:strike/>
                <w:color w:val="000000"/>
                <w:szCs w:val="24"/>
                <w:lang w:eastAsia="lt-LT"/>
              </w:rPr>
              <w:t>0</w:t>
            </w:r>
          </w:p>
        </w:tc>
        <w:tc>
          <w:tcPr>
            <w:tcW w:w="2410" w:type="dxa"/>
            <w:tcMar>
              <w:top w:w="0" w:type="dxa"/>
              <w:left w:w="108" w:type="dxa"/>
              <w:bottom w:w="0" w:type="dxa"/>
              <w:right w:w="108" w:type="dxa"/>
            </w:tcMar>
            <w:hideMark/>
          </w:tcPr>
          <w:p w14:paraId="1A6CD362" w14:textId="77777777" w:rsidR="003546B2" w:rsidRPr="003546B2" w:rsidRDefault="003546B2" w:rsidP="003546B2">
            <w:pPr>
              <w:spacing w:before="100" w:beforeAutospacing="1" w:after="100" w:afterAutospacing="1" w:line="256" w:lineRule="auto"/>
              <w:jc w:val="center"/>
              <w:textAlignment w:val="baseline"/>
              <w:rPr>
                <w:strike/>
                <w:szCs w:val="24"/>
                <w:lang w:eastAsia="lt-LT"/>
              </w:rPr>
            </w:pPr>
            <w:r w:rsidRPr="003546B2">
              <w:rPr>
                <w:strike/>
                <w:color w:val="000000"/>
                <w:szCs w:val="24"/>
                <w:lang w:eastAsia="lt-LT"/>
              </w:rPr>
              <w:t>85</w:t>
            </w:r>
          </w:p>
        </w:tc>
      </w:tr>
      <w:tr w:rsidR="003B5738" w:rsidRPr="003546B2" w14:paraId="3C135C4B" w14:textId="77777777" w:rsidTr="00793A4B">
        <w:tc>
          <w:tcPr>
            <w:tcW w:w="1509" w:type="dxa"/>
            <w:tcMar>
              <w:top w:w="0" w:type="dxa"/>
              <w:left w:w="108" w:type="dxa"/>
              <w:bottom w:w="0" w:type="dxa"/>
              <w:right w:w="108" w:type="dxa"/>
            </w:tcMar>
            <w:hideMark/>
          </w:tcPr>
          <w:p w14:paraId="0AADDEC4" w14:textId="77777777" w:rsidR="003546B2" w:rsidRPr="003546B2" w:rsidRDefault="003546B2" w:rsidP="003546B2">
            <w:pPr>
              <w:spacing w:before="100" w:beforeAutospacing="1" w:after="100" w:afterAutospacing="1" w:line="256" w:lineRule="auto"/>
              <w:ind w:right="-108"/>
              <w:jc w:val="center"/>
              <w:textAlignment w:val="baseline"/>
              <w:rPr>
                <w:szCs w:val="24"/>
                <w:lang w:eastAsia="lt-LT"/>
              </w:rPr>
            </w:pPr>
            <w:r w:rsidRPr="003546B2">
              <w:rPr>
                <w:color w:val="000000"/>
                <w:szCs w:val="24"/>
                <w:lang w:eastAsia="lt-LT"/>
              </w:rPr>
              <w:t>R.N.671</w:t>
            </w:r>
          </w:p>
        </w:tc>
        <w:tc>
          <w:tcPr>
            <w:tcW w:w="4718" w:type="dxa"/>
            <w:tcMar>
              <w:top w:w="0" w:type="dxa"/>
              <w:left w:w="108" w:type="dxa"/>
              <w:bottom w:w="0" w:type="dxa"/>
              <w:right w:w="108" w:type="dxa"/>
            </w:tcMar>
            <w:hideMark/>
          </w:tcPr>
          <w:p w14:paraId="4B47C185" w14:textId="77777777" w:rsidR="003546B2" w:rsidRPr="003546B2" w:rsidRDefault="003546B2" w:rsidP="003546B2">
            <w:pPr>
              <w:spacing w:before="100" w:beforeAutospacing="1" w:after="100" w:afterAutospacing="1" w:line="256" w:lineRule="auto"/>
              <w:textAlignment w:val="baseline"/>
              <w:rPr>
                <w:szCs w:val="24"/>
                <w:lang w:eastAsia="lt-LT"/>
              </w:rPr>
            </w:pPr>
            <w:r w:rsidRPr="003546B2">
              <w:rPr>
                <w:color w:val="000000"/>
                <w:szCs w:val="24"/>
                <w:lang w:eastAsia="lt-LT"/>
              </w:rPr>
              <w:t>„Asmenų, kurie po dalyvavimo ESF veiklose baigė rezidentūros studijas, dalis“</w:t>
            </w:r>
          </w:p>
        </w:tc>
        <w:tc>
          <w:tcPr>
            <w:tcW w:w="1134" w:type="dxa"/>
            <w:tcMar>
              <w:top w:w="0" w:type="dxa"/>
              <w:left w:w="108" w:type="dxa"/>
              <w:bottom w:w="0" w:type="dxa"/>
              <w:right w:w="108" w:type="dxa"/>
            </w:tcMar>
            <w:hideMark/>
          </w:tcPr>
          <w:p w14:paraId="1AD7EDA0" w14:textId="77777777" w:rsidR="003546B2" w:rsidRPr="003546B2" w:rsidRDefault="003546B2" w:rsidP="003546B2">
            <w:pPr>
              <w:spacing w:line="256" w:lineRule="auto"/>
              <w:ind w:left="-108" w:right="-182"/>
              <w:jc w:val="center"/>
              <w:textAlignment w:val="baseline"/>
              <w:rPr>
                <w:szCs w:val="24"/>
                <w:lang w:eastAsia="lt-LT"/>
              </w:rPr>
            </w:pPr>
            <w:r w:rsidRPr="003546B2">
              <w:rPr>
                <w:color w:val="000000"/>
                <w:szCs w:val="24"/>
                <w:lang w:eastAsia="lt-LT"/>
              </w:rPr>
              <w:t>Procentai</w:t>
            </w:r>
          </w:p>
        </w:tc>
        <w:tc>
          <w:tcPr>
            <w:tcW w:w="1843" w:type="dxa"/>
            <w:tcMar>
              <w:top w:w="0" w:type="dxa"/>
              <w:left w:w="108" w:type="dxa"/>
              <w:bottom w:w="0" w:type="dxa"/>
              <w:right w:w="108" w:type="dxa"/>
            </w:tcMar>
            <w:hideMark/>
          </w:tcPr>
          <w:p w14:paraId="68C3D296" w14:textId="77777777" w:rsidR="003546B2" w:rsidRPr="003546B2" w:rsidRDefault="003546B2" w:rsidP="003546B2">
            <w:pPr>
              <w:spacing w:before="100" w:beforeAutospacing="1" w:after="100" w:afterAutospacing="1" w:line="256" w:lineRule="auto"/>
              <w:jc w:val="center"/>
              <w:textAlignment w:val="baseline"/>
              <w:rPr>
                <w:szCs w:val="24"/>
                <w:lang w:eastAsia="lt-LT"/>
              </w:rPr>
            </w:pPr>
            <w:r w:rsidRPr="003546B2">
              <w:rPr>
                <w:color w:val="000000"/>
                <w:szCs w:val="24"/>
                <w:lang w:eastAsia="lt-LT"/>
              </w:rPr>
              <w:t>0</w:t>
            </w:r>
          </w:p>
        </w:tc>
        <w:tc>
          <w:tcPr>
            <w:tcW w:w="2410" w:type="dxa"/>
            <w:tcMar>
              <w:top w:w="0" w:type="dxa"/>
              <w:left w:w="108" w:type="dxa"/>
              <w:bottom w:w="0" w:type="dxa"/>
              <w:right w:w="108" w:type="dxa"/>
            </w:tcMar>
            <w:hideMark/>
          </w:tcPr>
          <w:p w14:paraId="3B72BEED" w14:textId="77777777" w:rsidR="003546B2" w:rsidRPr="003546B2" w:rsidRDefault="003546B2" w:rsidP="003546B2">
            <w:pPr>
              <w:spacing w:before="100" w:beforeAutospacing="1" w:after="100" w:afterAutospacing="1" w:line="256" w:lineRule="auto"/>
              <w:jc w:val="center"/>
              <w:textAlignment w:val="baseline"/>
              <w:rPr>
                <w:szCs w:val="24"/>
                <w:lang w:eastAsia="lt-LT"/>
              </w:rPr>
            </w:pPr>
            <w:r w:rsidRPr="003546B2">
              <w:rPr>
                <w:color w:val="000000"/>
                <w:szCs w:val="24"/>
                <w:lang w:eastAsia="lt-LT"/>
              </w:rPr>
              <w:t>85</w:t>
            </w:r>
          </w:p>
        </w:tc>
      </w:tr>
      <w:tr w:rsidR="003B5738" w:rsidRPr="003546B2" w14:paraId="6C591ACC" w14:textId="77777777" w:rsidTr="00793A4B">
        <w:tc>
          <w:tcPr>
            <w:tcW w:w="1509" w:type="dxa"/>
            <w:tcMar>
              <w:top w:w="0" w:type="dxa"/>
              <w:left w:w="108" w:type="dxa"/>
              <w:bottom w:w="0" w:type="dxa"/>
              <w:right w:w="108" w:type="dxa"/>
            </w:tcMar>
            <w:hideMark/>
          </w:tcPr>
          <w:p w14:paraId="4DC88D0D" w14:textId="77777777" w:rsidR="003546B2" w:rsidRPr="003546B2" w:rsidRDefault="003546B2" w:rsidP="003546B2">
            <w:pPr>
              <w:spacing w:before="100" w:beforeAutospacing="1" w:after="100" w:afterAutospacing="1" w:line="256" w:lineRule="auto"/>
              <w:jc w:val="center"/>
              <w:rPr>
                <w:szCs w:val="24"/>
                <w:lang w:eastAsia="lt-LT"/>
              </w:rPr>
            </w:pPr>
            <w:r w:rsidRPr="003546B2">
              <w:rPr>
                <w:color w:val="000000"/>
                <w:szCs w:val="24"/>
                <w:lang w:eastAsia="lt-LT"/>
              </w:rPr>
              <w:t>R.N.672</w:t>
            </w:r>
          </w:p>
        </w:tc>
        <w:tc>
          <w:tcPr>
            <w:tcW w:w="4718" w:type="dxa"/>
            <w:tcMar>
              <w:top w:w="0" w:type="dxa"/>
              <w:left w:w="108" w:type="dxa"/>
              <w:bottom w:w="0" w:type="dxa"/>
              <w:right w:w="108" w:type="dxa"/>
            </w:tcMar>
            <w:hideMark/>
          </w:tcPr>
          <w:p w14:paraId="21D80377" w14:textId="77777777" w:rsidR="003546B2" w:rsidRPr="003546B2" w:rsidRDefault="003546B2" w:rsidP="003546B2">
            <w:pPr>
              <w:spacing w:before="100" w:beforeAutospacing="1" w:after="100" w:afterAutospacing="1" w:line="256" w:lineRule="auto"/>
              <w:rPr>
                <w:szCs w:val="24"/>
                <w:lang w:eastAsia="lt-LT"/>
              </w:rPr>
            </w:pPr>
            <w:r w:rsidRPr="003546B2">
              <w:rPr>
                <w:szCs w:val="24"/>
                <w:lang w:eastAsia="lt-LT"/>
              </w:rPr>
              <w:t xml:space="preserve">„Rezidentūros studijas pabaigę asmenys, kurie mažiausiai 2 metus dirbo asmens </w:t>
            </w:r>
            <w:r w:rsidRPr="003546B2">
              <w:rPr>
                <w:szCs w:val="24"/>
                <w:lang w:eastAsia="lt-LT"/>
              </w:rPr>
              <w:lastRenderedPageBreak/>
              <w:t>sveikatos priežiūros įstaigose tikslinėse teritorijose“</w:t>
            </w:r>
          </w:p>
        </w:tc>
        <w:tc>
          <w:tcPr>
            <w:tcW w:w="1134" w:type="dxa"/>
            <w:tcMar>
              <w:top w:w="0" w:type="dxa"/>
              <w:left w:w="108" w:type="dxa"/>
              <w:bottom w:w="0" w:type="dxa"/>
              <w:right w:w="108" w:type="dxa"/>
            </w:tcMar>
            <w:hideMark/>
          </w:tcPr>
          <w:p w14:paraId="7709BA9A" w14:textId="77777777" w:rsidR="003546B2" w:rsidRPr="003546B2" w:rsidRDefault="003546B2" w:rsidP="003546B2">
            <w:pPr>
              <w:spacing w:line="256" w:lineRule="auto"/>
              <w:ind w:left="-108" w:right="-182"/>
              <w:jc w:val="center"/>
              <w:textAlignment w:val="baseline"/>
              <w:rPr>
                <w:szCs w:val="24"/>
                <w:lang w:eastAsia="lt-LT"/>
              </w:rPr>
            </w:pPr>
            <w:r w:rsidRPr="003546B2">
              <w:rPr>
                <w:color w:val="000000"/>
                <w:szCs w:val="24"/>
                <w:lang w:eastAsia="lt-LT"/>
              </w:rPr>
              <w:lastRenderedPageBreak/>
              <w:t>Skaičius</w:t>
            </w:r>
          </w:p>
        </w:tc>
        <w:tc>
          <w:tcPr>
            <w:tcW w:w="1843" w:type="dxa"/>
            <w:tcMar>
              <w:top w:w="0" w:type="dxa"/>
              <w:left w:w="108" w:type="dxa"/>
              <w:bottom w:w="0" w:type="dxa"/>
              <w:right w:w="108" w:type="dxa"/>
            </w:tcMar>
            <w:hideMark/>
          </w:tcPr>
          <w:p w14:paraId="4B48A5FF" w14:textId="77777777" w:rsidR="003546B2" w:rsidRPr="003546B2" w:rsidRDefault="003546B2" w:rsidP="003546B2">
            <w:pPr>
              <w:spacing w:before="100" w:beforeAutospacing="1" w:after="100" w:afterAutospacing="1" w:line="256" w:lineRule="auto"/>
              <w:ind w:firstLine="682"/>
              <w:rPr>
                <w:szCs w:val="24"/>
                <w:lang w:eastAsia="lt-LT"/>
              </w:rPr>
            </w:pPr>
            <w:r w:rsidRPr="003546B2">
              <w:rPr>
                <w:color w:val="000000"/>
                <w:szCs w:val="24"/>
                <w:lang w:eastAsia="lt-LT"/>
              </w:rPr>
              <w:t>0</w:t>
            </w:r>
          </w:p>
        </w:tc>
        <w:tc>
          <w:tcPr>
            <w:tcW w:w="2410" w:type="dxa"/>
            <w:tcMar>
              <w:top w:w="0" w:type="dxa"/>
              <w:left w:w="108" w:type="dxa"/>
              <w:bottom w:w="0" w:type="dxa"/>
              <w:right w:w="108" w:type="dxa"/>
            </w:tcMar>
            <w:hideMark/>
          </w:tcPr>
          <w:p w14:paraId="3D1511D0" w14:textId="031BA9A1" w:rsidR="003546B2" w:rsidRPr="003546B2" w:rsidRDefault="00954413" w:rsidP="003546B2">
            <w:pPr>
              <w:spacing w:before="100" w:beforeAutospacing="1" w:after="100" w:afterAutospacing="1" w:line="256" w:lineRule="auto"/>
              <w:ind w:firstLine="558"/>
              <w:rPr>
                <w:szCs w:val="24"/>
                <w:lang w:eastAsia="lt-LT"/>
              </w:rPr>
            </w:pPr>
            <w:r>
              <w:rPr>
                <w:color w:val="000000"/>
                <w:szCs w:val="24"/>
                <w:lang w:eastAsia="lt-LT"/>
              </w:rPr>
              <w:t xml:space="preserve">   </w:t>
            </w:r>
            <w:r w:rsidR="003B5738">
              <w:rPr>
                <w:color w:val="000000"/>
                <w:szCs w:val="24"/>
                <w:lang w:eastAsia="lt-LT"/>
              </w:rPr>
              <w:t xml:space="preserve">  </w:t>
            </w:r>
            <w:r>
              <w:rPr>
                <w:color w:val="000000"/>
                <w:szCs w:val="24"/>
                <w:lang w:eastAsia="lt-LT"/>
              </w:rPr>
              <w:t xml:space="preserve"> </w:t>
            </w:r>
            <w:r w:rsidR="003546B2" w:rsidRPr="003546B2">
              <w:rPr>
                <w:color w:val="000000"/>
                <w:szCs w:val="24"/>
                <w:lang w:eastAsia="lt-LT"/>
              </w:rPr>
              <w:t>21</w:t>
            </w:r>
            <w:r>
              <w:rPr>
                <w:color w:val="000000"/>
                <w:szCs w:val="24"/>
                <w:lang w:eastAsia="lt-LT"/>
              </w:rPr>
              <w:t>“</w:t>
            </w:r>
          </w:p>
        </w:tc>
      </w:tr>
    </w:tbl>
    <w:p w14:paraId="4FC28B9A" w14:textId="5DD28060" w:rsidR="00954413" w:rsidRDefault="003546B2" w:rsidP="00BF48E1">
      <w:pPr>
        <w:tabs>
          <w:tab w:val="left" w:pos="709"/>
          <w:tab w:val="left" w:pos="1134"/>
          <w:tab w:val="left" w:pos="1276"/>
        </w:tabs>
        <w:suppressAutoHyphens/>
        <w:spacing w:line="259" w:lineRule="auto"/>
        <w:ind w:firstLine="851"/>
        <w:jc w:val="both"/>
        <w:textAlignment w:val="baseline"/>
        <w:rPr>
          <w:rFonts w:eastAsia="Calibri"/>
          <w:color w:val="000000"/>
          <w:szCs w:val="24"/>
        </w:rPr>
      </w:pPr>
      <w:r w:rsidRPr="003546B2">
        <w:rPr>
          <w:szCs w:val="24"/>
          <w:lang w:eastAsia="lt-LT"/>
        </w:rPr>
        <w:t> </w:t>
      </w:r>
      <w:r w:rsidR="00954413">
        <w:rPr>
          <w:rFonts w:eastAsia="Calibri"/>
          <w:color w:val="000000"/>
          <w:szCs w:val="24"/>
        </w:rPr>
        <w:t>1.</w:t>
      </w:r>
      <w:r w:rsidR="0067613D">
        <w:rPr>
          <w:rFonts w:eastAsia="Calibri"/>
          <w:color w:val="000000"/>
          <w:szCs w:val="24"/>
        </w:rPr>
        <w:t>3</w:t>
      </w:r>
      <w:r w:rsidR="00954413">
        <w:rPr>
          <w:rFonts w:eastAsia="Calibri"/>
          <w:color w:val="000000"/>
          <w:szCs w:val="24"/>
        </w:rPr>
        <w:t>.</w:t>
      </w:r>
      <w:r w:rsidR="00954413">
        <w:rPr>
          <w:rFonts w:eastAsia="Calibri"/>
          <w:color w:val="000000"/>
          <w:szCs w:val="24"/>
        </w:rPr>
        <w:tab/>
        <w:t xml:space="preserve">Pakeičiu dvidešimt pirmojo skirsnio </w:t>
      </w:r>
      <w:r w:rsidR="00954413">
        <w:rPr>
          <w:rFonts w:eastAsia="Calibri"/>
          <w:color w:val="000000"/>
          <w:szCs w:val="24"/>
        </w:rPr>
        <w:t>7</w:t>
      </w:r>
      <w:r w:rsidR="00954413">
        <w:rPr>
          <w:rFonts w:eastAsia="Calibri"/>
          <w:color w:val="000000"/>
          <w:szCs w:val="24"/>
        </w:rPr>
        <w:t xml:space="preserve"> punktą ir jį išdėstau taip:</w:t>
      </w:r>
    </w:p>
    <w:p w14:paraId="3B29BBA1" w14:textId="0B2690BF" w:rsidR="0067613D" w:rsidRDefault="0067613D" w:rsidP="003B5738">
      <w:pPr>
        <w:ind w:firstLine="851"/>
        <w:jc w:val="both"/>
        <w:textAlignment w:val="baseline"/>
        <w:rPr>
          <w:color w:val="000000"/>
          <w:szCs w:val="24"/>
          <w:lang w:eastAsia="lt-LT"/>
        </w:rPr>
      </w:pPr>
      <w:r>
        <w:rPr>
          <w:color w:val="000000"/>
          <w:szCs w:val="24"/>
          <w:lang w:eastAsia="lt-LT"/>
        </w:rPr>
        <w:t>„</w:t>
      </w:r>
      <w:r w:rsidRPr="0067613D">
        <w:rPr>
          <w:color w:val="000000"/>
          <w:szCs w:val="24"/>
          <w:lang w:eastAsia="lt-LT"/>
        </w:rPr>
        <w:t xml:space="preserve">7. Priemonės finansavimo šaltiniai (eurais) </w:t>
      </w:r>
    </w:p>
    <w:tbl>
      <w:tblPr>
        <w:tblW w:w="14251" w:type="dxa"/>
        <w:tblCellMar>
          <w:left w:w="0" w:type="dxa"/>
          <w:right w:w="0" w:type="dxa"/>
        </w:tblCellMar>
        <w:tblLook w:val="04A0" w:firstRow="1" w:lastRow="0" w:firstColumn="1" w:lastColumn="0" w:noHBand="0" w:noVBand="1"/>
      </w:tblPr>
      <w:tblGrid>
        <w:gridCol w:w="2038"/>
        <w:gridCol w:w="2234"/>
        <w:gridCol w:w="1623"/>
        <w:gridCol w:w="2275"/>
        <w:gridCol w:w="2339"/>
        <w:gridCol w:w="1806"/>
        <w:gridCol w:w="1936"/>
      </w:tblGrid>
      <w:tr w:rsidR="0067613D" w:rsidRPr="0067613D" w14:paraId="2B7E41E8" w14:textId="77777777" w:rsidTr="003B5738">
        <w:trPr>
          <w:trHeight w:val="449"/>
          <w:tblHeader/>
        </w:trPr>
        <w:tc>
          <w:tcPr>
            <w:tcW w:w="427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E2C9A1" w14:textId="49261E2D"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Projektams skiriamas finansavimas</w:t>
            </w:r>
          </w:p>
        </w:tc>
        <w:tc>
          <w:tcPr>
            <w:tcW w:w="9979"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D1B0F3" w14:textId="5660883A"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Kiti projektų finansavimo šaltiniai</w:t>
            </w:r>
          </w:p>
        </w:tc>
      </w:tr>
      <w:tr w:rsidR="0067613D" w:rsidRPr="0067613D" w14:paraId="69FD2AEE" w14:textId="77777777" w:rsidTr="0067613D">
        <w:trPr>
          <w:trHeight w:val="449"/>
          <w:tblHeader/>
        </w:trPr>
        <w:tc>
          <w:tcPr>
            <w:tcW w:w="203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669A2E" w14:textId="24A5FD77"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ES struktūrinių fondų lėšos – iki</w:t>
            </w:r>
          </w:p>
        </w:tc>
        <w:tc>
          <w:tcPr>
            <w:tcW w:w="12213" w:type="dxa"/>
            <w:gridSpan w:val="6"/>
            <w:tcBorders>
              <w:top w:val="nil"/>
              <w:left w:val="nil"/>
              <w:bottom w:val="single" w:sz="8" w:space="0" w:color="000000"/>
              <w:right w:val="single" w:sz="8" w:space="0" w:color="000000"/>
            </w:tcBorders>
            <w:tcMar>
              <w:top w:w="0" w:type="dxa"/>
              <w:left w:w="108" w:type="dxa"/>
              <w:bottom w:w="0" w:type="dxa"/>
              <w:right w:w="108" w:type="dxa"/>
            </w:tcMar>
            <w:hideMark/>
          </w:tcPr>
          <w:p w14:paraId="12FC094B" w14:textId="336C7DE9"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Nacionalinės lėšos</w:t>
            </w:r>
          </w:p>
        </w:tc>
      </w:tr>
      <w:tr w:rsidR="0067613D" w:rsidRPr="0067613D" w14:paraId="1BAD62E3" w14:textId="77777777" w:rsidTr="003B5738">
        <w:trPr>
          <w:trHeight w:val="324"/>
          <w:tblHeader/>
        </w:trPr>
        <w:tc>
          <w:tcPr>
            <w:tcW w:w="0" w:type="auto"/>
            <w:vMerge/>
            <w:tcBorders>
              <w:top w:val="nil"/>
              <w:left w:val="single" w:sz="8" w:space="0" w:color="000000"/>
              <w:bottom w:val="single" w:sz="8" w:space="0" w:color="000000"/>
              <w:right w:val="single" w:sz="8" w:space="0" w:color="000000"/>
            </w:tcBorders>
            <w:vAlign w:val="center"/>
            <w:hideMark/>
          </w:tcPr>
          <w:p w14:paraId="3064DE81" w14:textId="77777777" w:rsidR="0067613D" w:rsidRPr="0067613D" w:rsidRDefault="0067613D" w:rsidP="0067613D">
            <w:pPr>
              <w:rPr>
                <w:szCs w:val="24"/>
                <w:lang w:eastAsia="lt-LT"/>
              </w:rPr>
            </w:pPr>
          </w:p>
        </w:tc>
        <w:tc>
          <w:tcPr>
            <w:tcW w:w="223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A5B304" w14:textId="133596CC"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Lietuvos Respublikos valstybės biudžeto lėšos – iki</w:t>
            </w:r>
          </w:p>
        </w:tc>
        <w:tc>
          <w:tcPr>
            <w:tcW w:w="997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73F867A7" w14:textId="1A82E986"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Projektų vykdytojų lėšos</w:t>
            </w:r>
          </w:p>
        </w:tc>
      </w:tr>
      <w:tr w:rsidR="0067613D" w:rsidRPr="0067613D" w14:paraId="70FF6AB7" w14:textId="77777777" w:rsidTr="003B5738">
        <w:trPr>
          <w:trHeight w:val="1010"/>
          <w:tblHeader/>
        </w:trPr>
        <w:tc>
          <w:tcPr>
            <w:tcW w:w="0" w:type="auto"/>
            <w:vMerge/>
            <w:tcBorders>
              <w:top w:val="nil"/>
              <w:left w:val="single" w:sz="8" w:space="0" w:color="000000"/>
              <w:bottom w:val="single" w:sz="8" w:space="0" w:color="000000"/>
              <w:right w:val="single" w:sz="8" w:space="0" w:color="000000"/>
            </w:tcBorders>
            <w:vAlign w:val="center"/>
            <w:hideMark/>
          </w:tcPr>
          <w:p w14:paraId="65B7639F" w14:textId="77777777" w:rsidR="0067613D" w:rsidRPr="0067613D" w:rsidRDefault="0067613D" w:rsidP="0067613D">
            <w:pPr>
              <w:rPr>
                <w:szCs w:val="24"/>
                <w:lang w:eastAsia="lt-LT"/>
              </w:rPr>
            </w:pPr>
          </w:p>
        </w:tc>
        <w:tc>
          <w:tcPr>
            <w:tcW w:w="0" w:type="auto"/>
            <w:vMerge/>
            <w:tcBorders>
              <w:top w:val="nil"/>
              <w:left w:val="nil"/>
              <w:bottom w:val="single" w:sz="8" w:space="0" w:color="000000"/>
              <w:right w:val="single" w:sz="8" w:space="0" w:color="000000"/>
            </w:tcBorders>
            <w:vAlign w:val="center"/>
            <w:hideMark/>
          </w:tcPr>
          <w:p w14:paraId="4775BDB4" w14:textId="77777777" w:rsidR="0067613D" w:rsidRPr="0067613D" w:rsidRDefault="0067613D" w:rsidP="0067613D">
            <w:pPr>
              <w:rPr>
                <w:szCs w:val="24"/>
                <w:lang w:eastAsia="lt-LT"/>
              </w:rPr>
            </w:pPr>
          </w:p>
        </w:tc>
        <w:tc>
          <w:tcPr>
            <w:tcW w:w="1623" w:type="dxa"/>
            <w:tcBorders>
              <w:top w:val="nil"/>
              <w:left w:val="nil"/>
              <w:bottom w:val="single" w:sz="8" w:space="0" w:color="000000"/>
              <w:right w:val="single" w:sz="8" w:space="0" w:color="000000"/>
            </w:tcBorders>
            <w:tcMar>
              <w:top w:w="0" w:type="dxa"/>
              <w:left w:w="108" w:type="dxa"/>
              <w:bottom w:w="0" w:type="dxa"/>
              <w:right w:w="108" w:type="dxa"/>
            </w:tcMar>
            <w:hideMark/>
          </w:tcPr>
          <w:p w14:paraId="35CCAB74" w14:textId="77777777" w:rsidR="0067613D" w:rsidRDefault="0067613D" w:rsidP="0067613D">
            <w:pPr>
              <w:jc w:val="center"/>
              <w:rPr>
                <w:color w:val="000000"/>
                <w:szCs w:val="24"/>
                <w:lang w:eastAsia="lt-LT"/>
              </w:rPr>
            </w:pPr>
          </w:p>
          <w:p w14:paraId="6AC30D28" w14:textId="42B506A4" w:rsidR="0067613D" w:rsidRPr="0067613D" w:rsidRDefault="0067613D" w:rsidP="0067613D">
            <w:pPr>
              <w:jc w:val="center"/>
              <w:rPr>
                <w:szCs w:val="24"/>
                <w:lang w:eastAsia="lt-LT"/>
              </w:rPr>
            </w:pPr>
            <w:r w:rsidRPr="0067613D">
              <w:rPr>
                <w:color w:val="000000"/>
                <w:szCs w:val="24"/>
                <w:lang w:eastAsia="lt-LT"/>
              </w:rPr>
              <w:t>Iš viso – ne mažiau kaip</w:t>
            </w:r>
          </w:p>
        </w:tc>
        <w:tc>
          <w:tcPr>
            <w:tcW w:w="2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537B0A" w14:textId="7B693BC6"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Lietuvos Respublikos valstybės biudžeto lėšos</w:t>
            </w:r>
          </w:p>
        </w:tc>
        <w:tc>
          <w:tcPr>
            <w:tcW w:w="2339" w:type="dxa"/>
            <w:tcBorders>
              <w:top w:val="nil"/>
              <w:left w:val="nil"/>
              <w:bottom w:val="single" w:sz="8" w:space="0" w:color="000000"/>
              <w:right w:val="single" w:sz="8" w:space="0" w:color="000000"/>
            </w:tcBorders>
            <w:tcMar>
              <w:top w:w="0" w:type="dxa"/>
              <w:left w:w="108" w:type="dxa"/>
              <w:bottom w:w="0" w:type="dxa"/>
              <w:right w:w="108" w:type="dxa"/>
            </w:tcMar>
            <w:hideMark/>
          </w:tcPr>
          <w:p w14:paraId="60AE024F" w14:textId="77777777" w:rsidR="0067613D" w:rsidRDefault="0067613D" w:rsidP="0067613D">
            <w:pPr>
              <w:jc w:val="center"/>
              <w:textAlignment w:val="baseline"/>
              <w:rPr>
                <w:color w:val="000000"/>
                <w:szCs w:val="24"/>
                <w:lang w:eastAsia="lt-LT"/>
              </w:rPr>
            </w:pPr>
          </w:p>
          <w:p w14:paraId="6303EF8C" w14:textId="108530CE" w:rsidR="0067613D" w:rsidRPr="0067613D" w:rsidRDefault="0067613D" w:rsidP="0067613D">
            <w:pPr>
              <w:jc w:val="center"/>
              <w:textAlignment w:val="baseline"/>
              <w:rPr>
                <w:szCs w:val="24"/>
                <w:lang w:eastAsia="lt-LT"/>
              </w:rPr>
            </w:pPr>
            <w:r w:rsidRPr="0067613D">
              <w:rPr>
                <w:color w:val="000000"/>
                <w:szCs w:val="24"/>
                <w:lang w:eastAsia="lt-LT"/>
              </w:rPr>
              <w:t>Savivaldybės biudžeto</w:t>
            </w:r>
            <w:r>
              <w:rPr>
                <w:color w:val="000000"/>
                <w:szCs w:val="24"/>
                <w:lang w:eastAsia="lt-LT"/>
              </w:rPr>
              <w:t xml:space="preserve"> </w:t>
            </w:r>
            <w:r w:rsidRPr="0067613D">
              <w:rPr>
                <w:color w:val="000000"/>
                <w:szCs w:val="24"/>
                <w:lang w:eastAsia="lt-LT"/>
              </w:rPr>
              <w:t>lėšos</w:t>
            </w:r>
          </w:p>
        </w:tc>
        <w:tc>
          <w:tcPr>
            <w:tcW w:w="1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C3750E" w14:textId="72DA3264" w:rsidR="0067613D" w:rsidRPr="0067613D" w:rsidRDefault="0067613D" w:rsidP="0067613D">
            <w:pPr>
              <w:spacing w:before="100" w:beforeAutospacing="1" w:after="100" w:afterAutospacing="1"/>
              <w:jc w:val="center"/>
              <w:textAlignment w:val="baseline"/>
              <w:rPr>
                <w:szCs w:val="24"/>
                <w:lang w:eastAsia="lt-LT"/>
              </w:rPr>
            </w:pPr>
            <w:r w:rsidRPr="0067613D">
              <w:rPr>
                <w:color w:val="000000"/>
                <w:szCs w:val="24"/>
                <w:lang w:eastAsia="lt-LT"/>
              </w:rPr>
              <w:t>Kitos viešosios lėšos</w:t>
            </w:r>
          </w:p>
        </w:tc>
        <w:tc>
          <w:tcPr>
            <w:tcW w:w="193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52E3F0" w14:textId="2B096285" w:rsidR="0067613D" w:rsidRPr="0067613D" w:rsidRDefault="0067613D" w:rsidP="0067613D">
            <w:pPr>
              <w:spacing w:before="100" w:beforeAutospacing="1" w:after="100" w:afterAutospacing="1"/>
              <w:jc w:val="center"/>
              <w:textAlignment w:val="baseline"/>
              <w:rPr>
                <w:szCs w:val="24"/>
                <w:lang w:eastAsia="lt-LT"/>
              </w:rPr>
            </w:pPr>
            <w:r w:rsidRPr="0067613D">
              <w:rPr>
                <w:color w:val="000000"/>
                <w:szCs w:val="24"/>
                <w:lang w:eastAsia="lt-LT"/>
              </w:rPr>
              <w:t>Privačios lėšos</w:t>
            </w:r>
          </w:p>
        </w:tc>
      </w:tr>
      <w:tr w:rsidR="0067613D" w:rsidRPr="0067613D" w14:paraId="00C8DD46" w14:textId="77777777" w:rsidTr="0067613D">
        <w:trPr>
          <w:trHeight w:val="312"/>
        </w:trPr>
        <w:tc>
          <w:tcPr>
            <w:tcW w:w="14251"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098890" w14:textId="07DA4DDF" w:rsidR="0067613D" w:rsidRPr="0067613D" w:rsidRDefault="0067613D" w:rsidP="0067613D">
            <w:pPr>
              <w:spacing w:before="100" w:beforeAutospacing="1" w:after="100" w:afterAutospacing="1"/>
              <w:rPr>
                <w:szCs w:val="24"/>
                <w:lang w:eastAsia="lt-LT"/>
              </w:rPr>
            </w:pPr>
            <w:r w:rsidRPr="0067613D">
              <w:rPr>
                <w:sz w:val="8"/>
                <w:szCs w:val="8"/>
                <w:lang w:eastAsia="lt-LT"/>
              </w:rPr>
              <w:t> </w:t>
            </w:r>
            <w:r w:rsidRPr="0067613D">
              <w:rPr>
                <w:color w:val="000000"/>
                <w:szCs w:val="24"/>
                <w:lang w:eastAsia="lt-LT"/>
              </w:rPr>
              <w:t>1.   Priemonės finansavimo šaltiniai, neįskaitant veiklos lėšų rezervo ir jam finansuoti skiriamų lėšų</w:t>
            </w:r>
          </w:p>
        </w:tc>
      </w:tr>
      <w:tr w:rsidR="0067613D" w:rsidRPr="0067613D" w14:paraId="7615E62E" w14:textId="77777777" w:rsidTr="003B5738">
        <w:trPr>
          <w:trHeight w:val="563"/>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D9C81C" w14:textId="08FAEB2E" w:rsidR="0067613D" w:rsidRDefault="0067613D" w:rsidP="0067613D">
            <w:pPr>
              <w:jc w:val="center"/>
              <w:textAlignment w:val="baseline"/>
              <w:rPr>
                <w:strike/>
                <w:szCs w:val="24"/>
                <w:lang w:eastAsia="lt-LT"/>
              </w:rPr>
            </w:pPr>
            <w:r w:rsidRPr="0067613D">
              <w:rPr>
                <w:strike/>
                <w:szCs w:val="24"/>
                <w:lang w:eastAsia="lt-LT"/>
              </w:rPr>
              <w:t>12 779 810</w:t>
            </w:r>
          </w:p>
          <w:p w14:paraId="1D1D0B7F" w14:textId="6C15F882" w:rsidR="0067613D" w:rsidRPr="0067613D" w:rsidRDefault="0067613D" w:rsidP="0067613D">
            <w:pPr>
              <w:jc w:val="center"/>
              <w:textAlignment w:val="baseline"/>
              <w:rPr>
                <w:b/>
                <w:strike/>
                <w:szCs w:val="24"/>
                <w:lang w:eastAsia="lt-LT"/>
              </w:rPr>
            </w:pPr>
            <w:r w:rsidRPr="003F640E">
              <w:rPr>
                <w:b/>
                <w:bCs/>
                <w:szCs w:val="24"/>
              </w:rPr>
              <w:t>5 979 810</w:t>
            </w:r>
          </w:p>
          <w:p w14:paraId="50DEB120" w14:textId="02426FBF" w:rsidR="0067613D" w:rsidRPr="0067613D" w:rsidRDefault="0067613D" w:rsidP="0067613D">
            <w:pPr>
              <w:spacing w:before="100" w:beforeAutospacing="1" w:after="100" w:afterAutospacing="1"/>
              <w:jc w:val="center"/>
              <w:rPr>
                <w:szCs w:val="24"/>
                <w:lang w:eastAsia="lt-LT"/>
              </w:rPr>
            </w:pPr>
          </w:p>
        </w:tc>
        <w:tc>
          <w:tcPr>
            <w:tcW w:w="22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3C2D68" w14:textId="0365ACCC" w:rsidR="0067613D" w:rsidRDefault="0067613D" w:rsidP="0067613D">
            <w:pPr>
              <w:jc w:val="center"/>
              <w:rPr>
                <w:strike/>
                <w:szCs w:val="24"/>
                <w:lang w:eastAsia="lt-LT"/>
              </w:rPr>
            </w:pPr>
            <w:r w:rsidRPr="0067613D">
              <w:rPr>
                <w:strike/>
                <w:szCs w:val="24"/>
                <w:lang w:eastAsia="lt-LT"/>
              </w:rPr>
              <w:t>2 255 261</w:t>
            </w:r>
          </w:p>
          <w:p w14:paraId="6EA2CAE0" w14:textId="4E728720" w:rsidR="0067613D" w:rsidRPr="0067613D" w:rsidRDefault="0067613D" w:rsidP="0067613D">
            <w:pPr>
              <w:jc w:val="center"/>
              <w:rPr>
                <w:b/>
                <w:strike/>
                <w:szCs w:val="24"/>
                <w:lang w:eastAsia="lt-LT"/>
              </w:rPr>
            </w:pPr>
            <w:r w:rsidRPr="003F640E">
              <w:rPr>
                <w:b/>
                <w:szCs w:val="24"/>
              </w:rPr>
              <w:t>1 055 261</w:t>
            </w:r>
          </w:p>
          <w:p w14:paraId="2AA697EB" w14:textId="3CEF12AD" w:rsidR="0067613D" w:rsidRPr="0067613D" w:rsidRDefault="0067613D" w:rsidP="0067613D">
            <w:pPr>
              <w:spacing w:before="100" w:beforeAutospacing="1" w:after="100" w:afterAutospacing="1"/>
              <w:jc w:val="center"/>
              <w:rPr>
                <w:szCs w:val="24"/>
                <w:lang w:eastAsia="lt-LT"/>
              </w:rPr>
            </w:pPr>
          </w:p>
        </w:tc>
        <w:tc>
          <w:tcPr>
            <w:tcW w:w="1623" w:type="dxa"/>
            <w:tcBorders>
              <w:top w:val="nil"/>
              <w:left w:val="nil"/>
              <w:bottom w:val="single" w:sz="8" w:space="0" w:color="000000"/>
              <w:right w:val="single" w:sz="8" w:space="0" w:color="000000"/>
            </w:tcBorders>
            <w:tcMar>
              <w:top w:w="0" w:type="dxa"/>
              <w:left w:w="108" w:type="dxa"/>
              <w:bottom w:w="0" w:type="dxa"/>
              <w:right w:w="108" w:type="dxa"/>
            </w:tcMar>
            <w:hideMark/>
          </w:tcPr>
          <w:p w14:paraId="3FBD97C8" w14:textId="3AAC5C60"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133 768</w:t>
            </w:r>
          </w:p>
        </w:tc>
        <w:tc>
          <w:tcPr>
            <w:tcW w:w="2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333BAA" w14:textId="0160AD70"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0</w:t>
            </w:r>
          </w:p>
          <w:p w14:paraId="3C849305" w14:textId="74EA5E00" w:rsidR="0067613D" w:rsidRPr="0067613D" w:rsidRDefault="0067613D" w:rsidP="0067613D">
            <w:pPr>
              <w:spacing w:before="100" w:beforeAutospacing="1" w:after="100" w:afterAutospacing="1"/>
              <w:jc w:val="center"/>
              <w:rPr>
                <w:szCs w:val="24"/>
                <w:lang w:eastAsia="lt-LT"/>
              </w:rPr>
            </w:pPr>
          </w:p>
        </w:tc>
        <w:tc>
          <w:tcPr>
            <w:tcW w:w="2339" w:type="dxa"/>
            <w:tcBorders>
              <w:top w:val="nil"/>
              <w:left w:val="nil"/>
              <w:bottom w:val="single" w:sz="8" w:space="0" w:color="000000"/>
              <w:right w:val="single" w:sz="8" w:space="0" w:color="000000"/>
            </w:tcBorders>
            <w:tcMar>
              <w:top w:w="0" w:type="dxa"/>
              <w:left w:w="108" w:type="dxa"/>
              <w:bottom w:w="0" w:type="dxa"/>
              <w:right w:w="108" w:type="dxa"/>
            </w:tcMar>
            <w:hideMark/>
          </w:tcPr>
          <w:p w14:paraId="023AA370" w14:textId="5E252EAB"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0</w:t>
            </w:r>
          </w:p>
        </w:tc>
        <w:tc>
          <w:tcPr>
            <w:tcW w:w="1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AC854B" w14:textId="537C477D"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133 768</w:t>
            </w:r>
          </w:p>
          <w:p w14:paraId="6A829A0F" w14:textId="61CF596E" w:rsidR="0067613D" w:rsidRPr="0067613D" w:rsidRDefault="0067613D" w:rsidP="0067613D">
            <w:pPr>
              <w:spacing w:before="100" w:beforeAutospacing="1" w:after="100" w:afterAutospacing="1"/>
              <w:jc w:val="center"/>
              <w:rPr>
                <w:szCs w:val="24"/>
                <w:lang w:eastAsia="lt-LT"/>
              </w:rPr>
            </w:pPr>
          </w:p>
        </w:tc>
        <w:tc>
          <w:tcPr>
            <w:tcW w:w="193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F628F7" w14:textId="6AA6B4B0"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0</w:t>
            </w:r>
          </w:p>
          <w:p w14:paraId="128E3F0F" w14:textId="186EBB14" w:rsidR="0067613D" w:rsidRPr="0067613D" w:rsidRDefault="0067613D" w:rsidP="0067613D">
            <w:pPr>
              <w:spacing w:before="100" w:beforeAutospacing="1" w:after="100" w:afterAutospacing="1"/>
              <w:jc w:val="center"/>
              <w:rPr>
                <w:szCs w:val="24"/>
                <w:lang w:eastAsia="lt-LT"/>
              </w:rPr>
            </w:pPr>
          </w:p>
        </w:tc>
      </w:tr>
      <w:tr w:rsidR="0067613D" w:rsidRPr="0067613D" w14:paraId="6DC56D19" w14:textId="77777777" w:rsidTr="0067613D">
        <w:trPr>
          <w:trHeight w:val="246"/>
        </w:trPr>
        <w:tc>
          <w:tcPr>
            <w:tcW w:w="14251"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6C3F4E" w14:textId="6B0B9A65" w:rsidR="0067613D" w:rsidRPr="0067613D" w:rsidRDefault="0067613D" w:rsidP="0067613D">
            <w:pPr>
              <w:spacing w:before="100" w:beforeAutospacing="1" w:after="100" w:afterAutospacing="1"/>
              <w:rPr>
                <w:szCs w:val="24"/>
                <w:lang w:eastAsia="lt-LT"/>
              </w:rPr>
            </w:pPr>
            <w:r w:rsidRPr="0067613D">
              <w:rPr>
                <w:sz w:val="8"/>
                <w:szCs w:val="8"/>
                <w:lang w:eastAsia="lt-LT"/>
              </w:rPr>
              <w:t> </w:t>
            </w:r>
            <w:r w:rsidRPr="0067613D">
              <w:rPr>
                <w:color w:val="000000"/>
                <w:szCs w:val="24"/>
                <w:lang w:eastAsia="lt-LT"/>
              </w:rPr>
              <w:t>2.   Veiklos lėšų rezervas ir jam finansuoti skiriamos nacionalinės lėšos</w:t>
            </w:r>
          </w:p>
        </w:tc>
      </w:tr>
      <w:tr w:rsidR="0067613D" w:rsidRPr="0067613D" w14:paraId="22CCB3D5" w14:textId="77777777" w:rsidTr="003B5738">
        <w:trPr>
          <w:trHeight w:val="246"/>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BE1464" w14:textId="7D9E24EE"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0</w:t>
            </w:r>
          </w:p>
        </w:tc>
        <w:tc>
          <w:tcPr>
            <w:tcW w:w="22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351DF6" w14:textId="36FBAF3B"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0</w:t>
            </w:r>
          </w:p>
        </w:tc>
        <w:tc>
          <w:tcPr>
            <w:tcW w:w="1623" w:type="dxa"/>
            <w:tcBorders>
              <w:top w:val="nil"/>
              <w:left w:val="nil"/>
              <w:bottom w:val="single" w:sz="8" w:space="0" w:color="000000"/>
              <w:right w:val="single" w:sz="8" w:space="0" w:color="000000"/>
            </w:tcBorders>
            <w:tcMar>
              <w:top w:w="0" w:type="dxa"/>
              <w:left w:w="108" w:type="dxa"/>
              <w:bottom w:w="0" w:type="dxa"/>
              <w:right w:w="108" w:type="dxa"/>
            </w:tcMar>
            <w:hideMark/>
          </w:tcPr>
          <w:p w14:paraId="6CBC58DA" w14:textId="707E2C25"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0</w:t>
            </w:r>
          </w:p>
        </w:tc>
        <w:tc>
          <w:tcPr>
            <w:tcW w:w="2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AF4015" w14:textId="33706CBF"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0</w:t>
            </w:r>
          </w:p>
        </w:tc>
        <w:tc>
          <w:tcPr>
            <w:tcW w:w="2339" w:type="dxa"/>
            <w:tcBorders>
              <w:top w:val="nil"/>
              <w:left w:val="nil"/>
              <w:bottom w:val="single" w:sz="8" w:space="0" w:color="000000"/>
              <w:right w:val="single" w:sz="8" w:space="0" w:color="000000"/>
            </w:tcBorders>
            <w:tcMar>
              <w:top w:w="0" w:type="dxa"/>
              <w:left w:w="108" w:type="dxa"/>
              <w:bottom w:w="0" w:type="dxa"/>
              <w:right w:w="108" w:type="dxa"/>
            </w:tcMar>
            <w:hideMark/>
          </w:tcPr>
          <w:p w14:paraId="38205616" w14:textId="7B08A50A"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0</w:t>
            </w:r>
          </w:p>
        </w:tc>
        <w:tc>
          <w:tcPr>
            <w:tcW w:w="1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641FD1" w14:textId="15B05FAE"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0</w:t>
            </w:r>
          </w:p>
        </w:tc>
        <w:tc>
          <w:tcPr>
            <w:tcW w:w="193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7B1476" w14:textId="2A53512E" w:rsidR="0067613D" w:rsidRPr="0067613D" w:rsidRDefault="0067613D" w:rsidP="0067613D">
            <w:pPr>
              <w:spacing w:before="100" w:beforeAutospacing="1" w:after="100" w:afterAutospacing="1"/>
              <w:jc w:val="center"/>
              <w:rPr>
                <w:szCs w:val="24"/>
                <w:lang w:eastAsia="lt-LT"/>
              </w:rPr>
            </w:pPr>
            <w:r w:rsidRPr="0067613D">
              <w:rPr>
                <w:color w:val="000000"/>
                <w:szCs w:val="24"/>
                <w:lang w:eastAsia="lt-LT"/>
              </w:rPr>
              <w:t>0</w:t>
            </w:r>
          </w:p>
        </w:tc>
      </w:tr>
      <w:tr w:rsidR="0067613D" w:rsidRPr="0067613D" w14:paraId="72519FD0" w14:textId="77777777" w:rsidTr="0067613D">
        <w:trPr>
          <w:trHeight w:val="246"/>
        </w:trPr>
        <w:tc>
          <w:tcPr>
            <w:tcW w:w="14251"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7C944A" w14:textId="595E29AD" w:rsidR="0067613D" w:rsidRPr="0067613D" w:rsidRDefault="0067613D" w:rsidP="0067613D">
            <w:pPr>
              <w:spacing w:before="100" w:beforeAutospacing="1" w:after="100" w:afterAutospacing="1"/>
              <w:rPr>
                <w:szCs w:val="24"/>
                <w:lang w:eastAsia="lt-LT"/>
              </w:rPr>
            </w:pPr>
            <w:r w:rsidRPr="0067613D">
              <w:rPr>
                <w:sz w:val="8"/>
                <w:szCs w:val="8"/>
                <w:lang w:eastAsia="lt-LT"/>
              </w:rPr>
              <w:t> </w:t>
            </w:r>
            <w:r w:rsidRPr="0067613D">
              <w:rPr>
                <w:color w:val="000000"/>
                <w:szCs w:val="24"/>
                <w:lang w:eastAsia="lt-LT"/>
              </w:rPr>
              <w:t xml:space="preserve">3.   Iš viso </w:t>
            </w:r>
          </w:p>
        </w:tc>
      </w:tr>
      <w:tr w:rsidR="0067613D" w:rsidRPr="0067613D" w14:paraId="35DCCA26" w14:textId="77777777" w:rsidTr="003B5738">
        <w:trPr>
          <w:trHeight w:val="881"/>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B19FB6" w14:textId="40332BA6" w:rsidR="0067613D" w:rsidRDefault="0067613D" w:rsidP="003F640E">
            <w:pPr>
              <w:jc w:val="center"/>
              <w:rPr>
                <w:strike/>
                <w:szCs w:val="24"/>
                <w:lang w:eastAsia="lt-LT"/>
              </w:rPr>
            </w:pPr>
            <w:r w:rsidRPr="0067613D">
              <w:rPr>
                <w:strike/>
                <w:szCs w:val="24"/>
                <w:lang w:eastAsia="lt-LT"/>
              </w:rPr>
              <w:t>12 779 810</w:t>
            </w:r>
          </w:p>
          <w:p w14:paraId="6F48C282" w14:textId="5ABA13AE" w:rsidR="0067613D" w:rsidRPr="0067613D" w:rsidRDefault="0067613D" w:rsidP="00F6441A">
            <w:pPr>
              <w:jc w:val="center"/>
              <w:textAlignment w:val="baseline"/>
              <w:rPr>
                <w:strike/>
                <w:szCs w:val="24"/>
                <w:lang w:eastAsia="lt-LT"/>
              </w:rPr>
            </w:pPr>
            <w:r w:rsidRPr="003F640E">
              <w:rPr>
                <w:b/>
                <w:bCs/>
                <w:szCs w:val="24"/>
              </w:rPr>
              <w:t>5 979 810</w:t>
            </w:r>
          </w:p>
        </w:tc>
        <w:tc>
          <w:tcPr>
            <w:tcW w:w="2234" w:type="dxa"/>
            <w:tcBorders>
              <w:top w:val="nil"/>
              <w:left w:val="nil"/>
              <w:bottom w:val="single" w:sz="8" w:space="0" w:color="000000"/>
              <w:right w:val="single" w:sz="8" w:space="0" w:color="000000"/>
            </w:tcBorders>
            <w:tcMar>
              <w:top w:w="0" w:type="dxa"/>
              <w:left w:w="108" w:type="dxa"/>
              <w:bottom w:w="0" w:type="dxa"/>
              <w:right w:w="108" w:type="dxa"/>
            </w:tcMar>
            <w:hideMark/>
          </w:tcPr>
          <w:p w14:paraId="0AB9143F" w14:textId="77777777" w:rsidR="00F6441A" w:rsidRDefault="00F6441A" w:rsidP="00F6441A">
            <w:pPr>
              <w:jc w:val="center"/>
              <w:rPr>
                <w:strike/>
                <w:szCs w:val="24"/>
                <w:lang w:eastAsia="lt-LT"/>
              </w:rPr>
            </w:pPr>
            <w:r w:rsidRPr="0067613D">
              <w:rPr>
                <w:strike/>
                <w:szCs w:val="24"/>
                <w:lang w:eastAsia="lt-LT"/>
              </w:rPr>
              <w:t>2 255 261</w:t>
            </w:r>
          </w:p>
          <w:p w14:paraId="6BC74A75" w14:textId="6D3CC4E5" w:rsidR="0067613D" w:rsidRPr="0067613D" w:rsidRDefault="00F6441A" w:rsidP="00F6441A">
            <w:pPr>
              <w:jc w:val="center"/>
              <w:rPr>
                <w:strike/>
                <w:szCs w:val="24"/>
                <w:lang w:eastAsia="lt-LT"/>
              </w:rPr>
            </w:pPr>
            <w:r w:rsidRPr="003F640E">
              <w:rPr>
                <w:b/>
                <w:szCs w:val="24"/>
              </w:rPr>
              <w:t>1 055 261</w:t>
            </w:r>
          </w:p>
        </w:tc>
        <w:tc>
          <w:tcPr>
            <w:tcW w:w="1623" w:type="dxa"/>
            <w:tcBorders>
              <w:top w:val="nil"/>
              <w:left w:val="nil"/>
              <w:bottom w:val="single" w:sz="8" w:space="0" w:color="000000"/>
              <w:right w:val="single" w:sz="8" w:space="0" w:color="000000"/>
            </w:tcBorders>
            <w:tcMar>
              <w:top w:w="0" w:type="dxa"/>
              <w:left w:w="108" w:type="dxa"/>
              <w:bottom w:w="0" w:type="dxa"/>
              <w:right w:w="108" w:type="dxa"/>
            </w:tcMar>
            <w:hideMark/>
          </w:tcPr>
          <w:p w14:paraId="705D239B" w14:textId="32B79300" w:rsidR="0067613D" w:rsidRPr="0067613D" w:rsidRDefault="0067613D" w:rsidP="003F640E">
            <w:pPr>
              <w:spacing w:before="100" w:beforeAutospacing="1" w:after="100" w:afterAutospacing="1"/>
              <w:jc w:val="center"/>
              <w:rPr>
                <w:szCs w:val="24"/>
                <w:lang w:eastAsia="lt-LT"/>
              </w:rPr>
            </w:pPr>
            <w:r w:rsidRPr="0067613D">
              <w:rPr>
                <w:color w:val="000000"/>
                <w:szCs w:val="24"/>
                <w:lang w:eastAsia="lt-LT"/>
              </w:rPr>
              <w:t>133 768</w:t>
            </w:r>
          </w:p>
        </w:tc>
        <w:tc>
          <w:tcPr>
            <w:tcW w:w="2275" w:type="dxa"/>
            <w:tcBorders>
              <w:top w:val="nil"/>
              <w:left w:val="nil"/>
              <w:bottom w:val="single" w:sz="8" w:space="0" w:color="000000"/>
              <w:right w:val="single" w:sz="8" w:space="0" w:color="000000"/>
            </w:tcBorders>
            <w:tcMar>
              <w:top w:w="0" w:type="dxa"/>
              <w:left w:w="108" w:type="dxa"/>
              <w:bottom w:w="0" w:type="dxa"/>
              <w:right w:w="108" w:type="dxa"/>
            </w:tcMar>
            <w:hideMark/>
          </w:tcPr>
          <w:p w14:paraId="45D35A25" w14:textId="6A5580D8" w:rsidR="0067613D" w:rsidRPr="0067613D" w:rsidRDefault="0067613D" w:rsidP="00F6441A">
            <w:pPr>
              <w:spacing w:before="100" w:beforeAutospacing="1" w:after="100" w:afterAutospacing="1"/>
              <w:jc w:val="center"/>
              <w:rPr>
                <w:szCs w:val="24"/>
                <w:lang w:eastAsia="lt-LT"/>
              </w:rPr>
            </w:pPr>
            <w:r w:rsidRPr="0067613D">
              <w:rPr>
                <w:color w:val="000000"/>
                <w:szCs w:val="24"/>
                <w:lang w:eastAsia="lt-LT"/>
              </w:rPr>
              <w:t>0</w:t>
            </w:r>
          </w:p>
        </w:tc>
        <w:tc>
          <w:tcPr>
            <w:tcW w:w="2339" w:type="dxa"/>
            <w:tcBorders>
              <w:top w:val="nil"/>
              <w:left w:val="nil"/>
              <w:bottom w:val="single" w:sz="8" w:space="0" w:color="000000"/>
              <w:right w:val="single" w:sz="8" w:space="0" w:color="000000"/>
            </w:tcBorders>
            <w:tcMar>
              <w:top w:w="0" w:type="dxa"/>
              <w:left w:w="108" w:type="dxa"/>
              <w:bottom w:w="0" w:type="dxa"/>
              <w:right w:w="108" w:type="dxa"/>
            </w:tcMar>
            <w:hideMark/>
          </w:tcPr>
          <w:p w14:paraId="2EF6ED85" w14:textId="28ADA9BE" w:rsidR="0067613D" w:rsidRPr="0067613D" w:rsidRDefault="0067613D" w:rsidP="003F640E">
            <w:pPr>
              <w:spacing w:before="100" w:beforeAutospacing="1" w:after="100" w:afterAutospacing="1"/>
              <w:jc w:val="center"/>
              <w:rPr>
                <w:szCs w:val="24"/>
                <w:lang w:eastAsia="lt-LT"/>
              </w:rPr>
            </w:pPr>
            <w:r w:rsidRPr="0067613D">
              <w:rPr>
                <w:color w:val="000000"/>
                <w:szCs w:val="24"/>
                <w:lang w:eastAsia="lt-LT"/>
              </w:rPr>
              <w:t>0</w:t>
            </w:r>
          </w:p>
        </w:tc>
        <w:tc>
          <w:tcPr>
            <w:tcW w:w="1806" w:type="dxa"/>
            <w:tcBorders>
              <w:top w:val="nil"/>
              <w:left w:val="nil"/>
              <w:bottom w:val="single" w:sz="8" w:space="0" w:color="000000"/>
              <w:right w:val="single" w:sz="8" w:space="0" w:color="000000"/>
            </w:tcBorders>
            <w:tcMar>
              <w:top w:w="0" w:type="dxa"/>
              <w:left w:w="108" w:type="dxa"/>
              <w:bottom w:w="0" w:type="dxa"/>
              <w:right w:w="108" w:type="dxa"/>
            </w:tcMar>
            <w:hideMark/>
          </w:tcPr>
          <w:p w14:paraId="1217DB0D" w14:textId="79A281AB" w:rsidR="0067613D" w:rsidRPr="0067613D" w:rsidRDefault="0067613D" w:rsidP="00F6441A">
            <w:pPr>
              <w:spacing w:before="100" w:beforeAutospacing="1" w:after="100" w:afterAutospacing="1"/>
              <w:jc w:val="center"/>
              <w:rPr>
                <w:szCs w:val="24"/>
                <w:lang w:eastAsia="lt-LT"/>
              </w:rPr>
            </w:pPr>
            <w:r w:rsidRPr="0067613D">
              <w:rPr>
                <w:color w:val="000000"/>
                <w:szCs w:val="24"/>
                <w:lang w:eastAsia="lt-LT"/>
              </w:rPr>
              <w:t>133 768</w:t>
            </w:r>
          </w:p>
        </w:tc>
        <w:tc>
          <w:tcPr>
            <w:tcW w:w="1936" w:type="dxa"/>
            <w:tcBorders>
              <w:top w:val="nil"/>
              <w:left w:val="nil"/>
              <w:bottom w:val="single" w:sz="8" w:space="0" w:color="000000"/>
              <w:right w:val="single" w:sz="8" w:space="0" w:color="000000"/>
            </w:tcBorders>
            <w:tcMar>
              <w:top w:w="0" w:type="dxa"/>
              <w:left w:w="108" w:type="dxa"/>
              <w:bottom w:w="0" w:type="dxa"/>
              <w:right w:w="108" w:type="dxa"/>
            </w:tcMar>
            <w:hideMark/>
          </w:tcPr>
          <w:p w14:paraId="0FF7F0C7" w14:textId="3F505032" w:rsidR="0067613D" w:rsidRPr="0067613D" w:rsidRDefault="0067613D" w:rsidP="00F6441A">
            <w:pPr>
              <w:spacing w:before="100" w:beforeAutospacing="1" w:after="100" w:afterAutospacing="1"/>
              <w:jc w:val="center"/>
              <w:rPr>
                <w:szCs w:val="24"/>
                <w:lang w:eastAsia="lt-LT"/>
              </w:rPr>
            </w:pPr>
            <w:r w:rsidRPr="0067613D">
              <w:rPr>
                <w:color w:val="000000"/>
                <w:szCs w:val="24"/>
                <w:lang w:eastAsia="lt-LT"/>
              </w:rPr>
              <w:t>0</w:t>
            </w:r>
            <w:r w:rsidR="003B5738">
              <w:rPr>
                <w:color w:val="000000"/>
                <w:szCs w:val="24"/>
                <w:lang w:eastAsia="lt-LT"/>
              </w:rPr>
              <w:t>“</w:t>
            </w:r>
          </w:p>
        </w:tc>
      </w:tr>
    </w:tbl>
    <w:p w14:paraId="79588432" w14:textId="79D8FF4B" w:rsidR="005F2D48" w:rsidRPr="005F2D48" w:rsidRDefault="00D24F49">
      <w:pPr>
        <w:tabs>
          <w:tab w:val="left" w:pos="0"/>
          <w:tab w:val="left" w:pos="1134"/>
        </w:tabs>
        <w:ind w:firstLine="851"/>
        <w:jc w:val="both"/>
      </w:pPr>
      <w:r>
        <w:rPr>
          <w:bCs/>
          <w:color w:val="000000"/>
          <w:szCs w:val="24"/>
        </w:rPr>
        <w:t>2.</w:t>
      </w:r>
      <w:r>
        <w:rPr>
          <w:bCs/>
          <w:color w:val="000000"/>
          <w:szCs w:val="24"/>
        </w:rPr>
        <w:tab/>
      </w:r>
      <w:r>
        <w:rPr>
          <w:color w:val="000000"/>
          <w:szCs w:val="24"/>
        </w:rPr>
        <w:t xml:space="preserve">Pakeičiu nurodytu įsakymu patvirtintą 2014–2020 metų Europos Sąjungos fondų investicijų veiksmų programos, patvirtintos 2014 m. rugsėjo 8 d. Europos Komisijos sprendimu, 8 prioriteto „Socialinės </w:t>
      </w:r>
      <w:proofErr w:type="spellStart"/>
      <w:r>
        <w:rPr>
          <w:color w:val="000000"/>
          <w:szCs w:val="24"/>
        </w:rPr>
        <w:t>įtraukties</w:t>
      </w:r>
      <w:proofErr w:type="spellEnd"/>
      <w:r>
        <w:rPr>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nacionalinių stebėsenos rodiklių skaičiavimo aprašą</w:t>
      </w:r>
      <w:r w:rsidR="005F2D48">
        <w:rPr>
          <w:color w:val="000000"/>
          <w:szCs w:val="24"/>
        </w:rPr>
        <w:t>, ir p</w:t>
      </w:r>
      <w:r w:rsidR="005F2D48">
        <w:t>ripažįstu netekusiu galios rodiklį R.N.6</w:t>
      </w:r>
      <w:r w:rsidR="005F2D48">
        <w:t>73</w:t>
      </w:r>
      <w:r w:rsidR="005F2D48">
        <w:t xml:space="preserve"> </w:t>
      </w:r>
      <w:r w:rsidR="005F2D48" w:rsidRPr="003546B2">
        <w:rPr>
          <w:color w:val="000000"/>
          <w:szCs w:val="24"/>
          <w:lang w:eastAsia="lt-LT"/>
        </w:rPr>
        <w:t>„Asmenų, kurie po dalyvavimo ESF veiklose įgijo pakopines kompetencijas, dalis“</w:t>
      </w:r>
      <w:r w:rsidR="005F2D48">
        <w:rPr>
          <w:color w:val="000000"/>
          <w:szCs w:val="24"/>
          <w:lang w:eastAsia="lt-LT"/>
        </w:rPr>
        <w:t>.</w:t>
      </w:r>
    </w:p>
    <w:p w14:paraId="2BD9DA26" w14:textId="77777777" w:rsidR="00E500FA" w:rsidRDefault="00E500FA">
      <w:pPr>
        <w:spacing w:line="259" w:lineRule="auto"/>
        <w:rPr>
          <w:szCs w:val="24"/>
        </w:rPr>
      </w:pPr>
    </w:p>
    <w:p w14:paraId="0B29D750" w14:textId="6CF0EA0B" w:rsidR="005F2D48" w:rsidRDefault="00D24F49">
      <w:pPr>
        <w:spacing w:line="259" w:lineRule="auto"/>
        <w:rPr>
          <w:szCs w:val="24"/>
        </w:rPr>
      </w:pPr>
      <w:r>
        <w:rPr>
          <w:szCs w:val="24"/>
        </w:rPr>
        <w:t>Sveikatos apsaugos ministras</w:t>
      </w:r>
      <w:r>
        <w:rPr>
          <w:szCs w:val="24"/>
        </w:rPr>
        <w:tab/>
      </w:r>
    </w:p>
    <w:p w14:paraId="30E4BB3E" w14:textId="51EFFE28" w:rsidR="005F2D48" w:rsidRDefault="005F2D48">
      <w:pPr>
        <w:spacing w:line="259" w:lineRule="auto"/>
        <w:rPr>
          <w:szCs w:val="24"/>
        </w:rPr>
      </w:pPr>
    </w:p>
    <w:p w14:paraId="7EF62D0D" w14:textId="77777777" w:rsidR="005F2D48" w:rsidRDefault="005F2D48">
      <w:pPr>
        <w:spacing w:line="259" w:lineRule="auto"/>
        <w:rPr>
          <w:szCs w:val="24"/>
        </w:rPr>
      </w:pPr>
    </w:p>
    <w:sectPr w:rsidR="005F2D48">
      <w:headerReference w:type="even" r:id="rId6"/>
      <w:headerReference w:type="default" r:id="rId7"/>
      <w:footerReference w:type="even" r:id="rId8"/>
      <w:footerReference w:type="default" r:id="rId9"/>
      <w:headerReference w:type="first" r:id="rId10"/>
      <w:footerReference w:type="first" r:id="rId11"/>
      <w:pgSz w:w="16838" w:h="11906" w:orient="landscape"/>
      <w:pgMar w:top="1701" w:right="1245"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E2E7E" w14:textId="77777777" w:rsidR="00172209" w:rsidRDefault="00172209">
      <w:pPr>
        <w:rPr>
          <w:sz w:val="22"/>
          <w:szCs w:val="22"/>
        </w:rPr>
      </w:pPr>
      <w:r>
        <w:rPr>
          <w:sz w:val="22"/>
          <w:szCs w:val="22"/>
        </w:rPr>
        <w:separator/>
      </w:r>
    </w:p>
  </w:endnote>
  <w:endnote w:type="continuationSeparator" w:id="0">
    <w:p w14:paraId="0EBFC714" w14:textId="77777777" w:rsidR="00172209" w:rsidRDefault="00172209">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342B" w14:textId="77777777" w:rsidR="001E0F40" w:rsidRDefault="001E0F40">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342C" w14:textId="77777777" w:rsidR="001E0F40" w:rsidRDefault="001E0F40">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342E" w14:textId="77777777" w:rsidR="001E0F40" w:rsidRDefault="001E0F40">
    <w:pPr>
      <w:tabs>
        <w:tab w:val="center" w:pos="4986"/>
        <w:tab w:val="right" w:pos="9972"/>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E961E" w14:textId="77777777" w:rsidR="00172209" w:rsidRDefault="00172209">
      <w:pPr>
        <w:rPr>
          <w:sz w:val="22"/>
          <w:szCs w:val="22"/>
        </w:rPr>
      </w:pPr>
      <w:r>
        <w:rPr>
          <w:sz w:val="22"/>
          <w:szCs w:val="22"/>
        </w:rPr>
        <w:separator/>
      </w:r>
    </w:p>
  </w:footnote>
  <w:footnote w:type="continuationSeparator" w:id="0">
    <w:p w14:paraId="50F593A5" w14:textId="77777777" w:rsidR="00172209" w:rsidRDefault="00172209">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3428" w14:textId="77777777" w:rsidR="001E0F40" w:rsidRDefault="001E0F4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3429" w14:textId="77777777" w:rsidR="001E0F40" w:rsidRDefault="00D24F49">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E500FA">
      <w:rPr>
        <w:noProof/>
        <w:sz w:val="22"/>
        <w:szCs w:val="22"/>
      </w:rPr>
      <w:t>12</w:t>
    </w:r>
    <w:r>
      <w:rPr>
        <w:sz w:val="22"/>
        <w:szCs w:val="22"/>
      </w:rPr>
      <w:fldChar w:fldCharType="end"/>
    </w:r>
  </w:p>
  <w:p w14:paraId="27CA342A" w14:textId="77777777" w:rsidR="001E0F40" w:rsidRDefault="001E0F40">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342D" w14:textId="77777777" w:rsidR="001E0F40" w:rsidRDefault="001E0F40">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D2"/>
    <w:rsid w:val="00172209"/>
    <w:rsid w:val="001E0F40"/>
    <w:rsid w:val="00331F89"/>
    <w:rsid w:val="003546B2"/>
    <w:rsid w:val="0038299D"/>
    <w:rsid w:val="003B5738"/>
    <w:rsid w:val="003F640E"/>
    <w:rsid w:val="005F2D48"/>
    <w:rsid w:val="0067613D"/>
    <w:rsid w:val="006A6CB1"/>
    <w:rsid w:val="00793A4B"/>
    <w:rsid w:val="008C4054"/>
    <w:rsid w:val="00954413"/>
    <w:rsid w:val="00AC37A3"/>
    <w:rsid w:val="00BB71F5"/>
    <w:rsid w:val="00BF48E1"/>
    <w:rsid w:val="00C318D2"/>
    <w:rsid w:val="00D24F49"/>
    <w:rsid w:val="00E500FA"/>
    <w:rsid w:val="00F6441A"/>
    <w:rsid w:val="00FF4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334A"/>
  <w15:docId w15:val="{84E72230-4BF0-499A-B89C-DEBBC008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299D"/>
    <w:rPr>
      <w:color w:val="808080"/>
    </w:rPr>
  </w:style>
  <w:style w:type="paragraph" w:styleId="Debesliotekstas">
    <w:name w:val="Balloon Text"/>
    <w:basedOn w:val="prastasis"/>
    <w:link w:val="DebesliotekstasDiagrama"/>
    <w:rsid w:val="00AC37A3"/>
    <w:rPr>
      <w:rFonts w:ascii="Segoe UI" w:hAnsi="Segoe UI" w:cs="Segoe UI"/>
      <w:sz w:val="18"/>
      <w:szCs w:val="18"/>
    </w:rPr>
  </w:style>
  <w:style w:type="character" w:customStyle="1" w:styleId="DebesliotekstasDiagrama">
    <w:name w:val="Debesėlio tekstas Diagrama"/>
    <w:basedOn w:val="Numatytasispastraiposriftas"/>
    <w:link w:val="Debesliotekstas"/>
    <w:rsid w:val="00AC37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41785">
      <w:bodyDiv w:val="1"/>
      <w:marLeft w:val="0"/>
      <w:marRight w:val="0"/>
      <w:marTop w:val="0"/>
      <w:marBottom w:val="0"/>
      <w:divBdr>
        <w:top w:val="none" w:sz="0" w:space="0" w:color="auto"/>
        <w:left w:val="none" w:sz="0" w:space="0" w:color="auto"/>
        <w:bottom w:val="none" w:sz="0" w:space="0" w:color="auto"/>
        <w:right w:val="none" w:sz="0" w:space="0" w:color="auto"/>
      </w:divBdr>
    </w:div>
    <w:div w:id="992417503">
      <w:bodyDiv w:val="1"/>
      <w:marLeft w:val="0"/>
      <w:marRight w:val="0"/>
      <w:marTop w:val="0"/>
      <w:marBottom w:val="0"/>
      <w:divBdr>
        <w:top w:val="none" w:sz="0" w:space="0" w:color="auto"/>
        <w:left w:val="none" w:sz="0" w:space="0" w:color="auto"/>
        <w:bottom w:val="none" w:sz="0" w:space="0" w:color="auto"/>
        <w:right w:val="none" w:sz="0" w:space="0" w:color="auto"/>
      </w:divBdr>
    </w:div>
    <w:div w:id="1311129835">
      <w:bodyDiv w:val="1"/>
      <w:marLeft w:val="0"/>
      <w:marRight w:val="0"/>
      <w:marTop w:val="0"/>
      <w:marBottom w:val="0"/>
      <w:divBdr>
        <w:top w:val="none" w:sz="0" w:space="0" w:color="auto"/>
        <w:left w:val="none" w:sz="0" w:space="0" w:color="auto"/>
        <w:bottom w:val="none" w:sz="0" w:space="0" w:color="auto"/>
        <w:right w:val="none" w:sz="0" w:space="0" w:color="auto"/>
      </w:divBdr>
    </w:div>
    <w:div w:id="1521161417">
      <w:bodyDiv w:val="1"/>
      <w:marLeft w:val="0"/>
      <w:marRight w:val="0"/>
      <w:marTop w:val="0"/>
      <w:marBottom w:val="0"/>
      <w:divBdr>
        <w:top w:val="none" w:sz="0" w:space="0" w:color="auto"/>
        <w:left w:val="none" w:sz="0" w:space="0" w:color="auto"/>
        <w:bottom w:val="none" w:sz="0" w:space="0" w:color="auto"/>
        <w:right w:val="none" w:sz="0" w:space="0" w:color="auto"/>
      </w:divBdr>
    </w:div>
    <w:div w:id="167552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3778</Words>
  <Characters>2155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PETRAUSKAITĖ Girmantė</dc:creator>
  <cp:lastModifiedBy>Sandra Jarašiūnienė</cp:lastModifiedBy>
  <cp:revision>9</cp:revision>
  <cp:lastPrinted>2019-09-17T12:12:00Z</cp:lastPrinted>
  <dcterms:created xsi:type="dcterms:W3CDTF">2019-09-17T11:25:00Z</dcterms:created>
  <dcterms:modified xsi:type="dcterms:W3CDTF">2019-09-19T06:30:00Z</dcterms:modified>
</cp:coreProperties>
</file>