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BD95" w14:textId="77777777" w:rsidR="004524D5" w:rsidRPr="004524D5" w:rsidRDefault="004524D5" w:rsidP="004524D5">
      <w:pPr>
        <w:spacing w:after="0" w:line="240" w:lineRule="auto"/>
        <w:ind w:left="4395"/>
        <w:rPr>
          <w:rFonts w:ascii="Times New Roman" w:eastAsia="Calibri" w:hAnsi="Times New Roman" w:cs="Times New Roman"/>
          <w:sz w:val="24"/>
          <w:szCs w:val="24"/>
        </w:rPr>
      </w:pPr>
      <w:r w:rsidRPr="004524D5">
        <w:rPr>
          <w:rFonts w:ascii="Times New Roman" w:eastAsia="Calibri" w:hAnsi="Times New Roman" w:cs="Times New Roman"/>
          <w:sz w:val="24"/>
          <w:szCs w:val="24"/>
        </w:rPr>
        <w:t>2014–2020 metų Europos Sąjungos fondų</w:t>
      </w:r>
    </w:p>
    <w:p w14:paraId="1829E3DC" w14:textId="77777777" w:rsidR="004524D5" w:rsidRPr="004524D5" w:rsidRDefault="004524D5" w:rsidP="004524D5">
      <w:pPr>
        <w:spacing w:after="0" w:line="240" w:lineRule="auto"/>
        <w:ind w:left="4395"/>
        <w:rPr>
          <w:rFonts w:ascii="Times New Roman" w:eastAsia="Calibri" w:hAnsi="Times New Roman" w:cs="Times New Roman"/>
          <w:sz w:val="24"/>
          <w:szCs w:val="24"/>
        </w:rPr>
      </w:pPr>
      <w:r w:rsidRPr="004524D5">
        <w:rPr>
          <w:rFonts w:ascii="Times New Roman" w:eastAsia="Calibri" w:hAnsi="Times New Roman" w:cs="Times New Roman"/>
          <w:sz w:val="24"/>
          <w:szCs w:val="24"/>
        </w:rPr>
        <w:t>investicijų veiksmų programos 1 prioriteto</w:t>
      </w:r>
    </w:p>
    <w:p w14:paraId="1A172399" w14:textId="77777777" w:rsidR="004524D5" w:rsidRPr="004524D5" w:rsidRDefault="004524D5" w:rsidP="004524D5">
      <w:pPr>
        <w:spacing w:after="0" w:line="240" w:lineRule="auto"/>
        <w:ind w:left="4395"/>
        <w:rPr>
          <w:rFonts w:ascii="Times New Roman" w:eastAsia="Calibri" w:hAnsi="Times New Roman" w:cs="Times New Roman"/>
          <w:sz w:val="24"/>
          <w:szCs w:val="24"/>
        </w:rPr>
      </w:pPr>
      <w:r w:rsidRPr="004524D5">
        <w:rPr>
          <w:rFonts w:ascii="Times New Roman" w:eastAsia="Calibri" w:hAnsi="Times New Roman" w:cs="Times New Roman"/>
          <w:sz w:val="24"/>
          <w:szCs w:val="24"/>
        </w:rPr>
        <w:t>„Mokslinių tyrimų, eksperimentinės plėtros ir</w:t>
      </w:r>
    </w:p>
    <w:p w14:paraId="04BD72A9" w14:textId="77777777" w:rsidR="004524D5" w:rsidRPr="004524D5" w:rsidRDefault="004524D5" w:rsidP="004524D5">
      <w:pPr>
        <w:spacing w:after="0" w:line="240" w:lineRule="auto"/>
        <w:ind w:left="4395"/>
        <w:rPr>
          <w:rFonts w:ascii="Times New Roman" w:eastAsia="Calibri" w:hAnsi="Times New Roman" w:cs="Times New Roman"/>
          <w:sz w:val="24"/>
          <w:szCs w:val="24"/>
        </w:rPr>
      </w:pPr>
      <w:r w:rsidRPr="004524D5">
        <w:rPr>
          <w:rFonts w:ascii="Times New Roman" w:eastAsia="Calibri" w:hAnsi="Times New Roman" w:cs="Times New Roman"/>
          <w:sz w:val="24"/>
          <w:szCs w:val="24"/>
        </w:rPr>
        <w:t>inovacijų skatinimas“ priemonės</w:t>
      </w:r>
    </w:p>
    <w:p w14:paraId="72E47B35" w14:textId="77777777" w:rsidR="004524D5" w:rsidRPr="004524D5" w:rsidRDefault="004524D5" w:rsidP="004524D5">
      <w:pPr>
        <w:spacing w:after="0" w:line="240" w:lineRule="auto"/>
        <w:ind w:left="4395"/>
        <w:rPr>
          <w:rFonts w:ascii="Times New Roman" w:eastAsia="Calibri" w:hAnsi="Times New Roman" w:cs="Times New Roman"/>
          <w:sz w:val="24"/>
          <w:szCs w:val="24"/>
        </w:rPr>
      </w:pPr>
      <w:r w:rsidRPr="004524D5">
        <w:rPr>
          <w:rFonts w:ascii="Times New Roman" w:eastAsia="Calibri" w:hAnsi="Times New Roman" w:cs="Times New Roman"/>
          <w:sz w:val="24"/>
          <w:szCs w:val="24"/>
        </w:rPr>
        <w:t>Nr. 01.2.1-MITA-T-845 „</w:t>
      </w:r>
      <w:proofErr w:type="spellStart"/>
      <w:r w:rsidRPr="004524D5">
        <w:rPr>
          <w:rFonts w:ascii="Times New Roman" w:eastAsia="Calibri" w:hAnsi="Times New Roman" w:cs="Times New Roman"/>
          <w:sz w:val="24"/>
          <w:szCs w:val="24"/>
        </w:rPr>
        <w:t>Inopatentas</w:t>
      </w:r>
      <w:proofErr w:type="spellEnd"/>
      <w:r w:rsidRPr="004524D5">
        <w:rPr>
          <w:rFonts w:ascii="Times New Roman" w:eastAsia="Calibri" w:hAnsi="Times New Roman" w:cs="Times New Roman"/>
          <w:sz w:val="24"/>
          <w:szCs w:val="24"/>
        </w:rPr>
        <w:t>“</w:t>
      </w:r>
    </w:p>
    <w:p w14:paraId="42579AD6" w14:textId="77777777" w:rsidR="004524D5" w:rsidRPr="004524D5" w:rsidRDefault="004524D5" w:rsidP="004524D5">
      <w:pPr>
        <w:spacing w:after="0" w:line="240" w:lineRule="auto"/>
        <w:ind w:left="4395"/>
        <w:rPr>
          <w:rFonts w:ascii="Times New Roman" w:eastAsia="Calibri" w:hAnsi="Times New Roman" w:cs="Times New Roman"/>
          <w:sz w:val="24"/>
          <w:szCs w:val="24"/>
        </w:rPr>
      </w:pPr>
      <w:r w:rsidRPr="004524D5">
        <w:rPr>
          <w:rFonts w:ascii="Times New Roman" w:eastAsia="Calibri" w:hAnsi="Times New Roman" w:cs="Times New Roman"/>
          <w:sz w:val="24"/>
          <w:szCs w:val="24"/>
        </w:rPr>
        <w:t>projektų finansavimo sąlygų aprašo</w:t>
      </w:r>
    </w:p>
    <w:p w14:paraId="35DBE3E0" w14:textId="77777777" w:rsidR="004524D5" w:rsidRPr="004524D5" w:rsidRDefault="004524D5" w:rsidP="004524D5">
      <w:pPr>
        <w:spacing w:after="0" w:line="240" w:lineRule="auto"/>
        <w:ind w:left="4395"/>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 priedas</w:t>
      </w:r>
    </w:p>
    <w:p w14:paraId="4FC1E3F0" w14:textId="77777777" w:rsidR="004524D5" w:rsidRPr="004524D5" w:rsidRDefault="004524D5" w:rsidP="004524D5">
      <w:pPr>
        <w:spacing w:after="0" w:line="240" w:lineRule="auto"/>
        <w:ind w:left="3888" w:firstLine="1296"/>
        <w:jc w:val="both"/>
        <w:rPr>
          <w:rFonts w:ascii="Times New Roman" w:eastAsia="Times New Roman" w:hAnsi="Times New Roman" w:cs="Times New Roman"/>
          <w:sz w:val="24"/>
          <w:szCs w:val="24"/>
          <w:lang w:eastAsia="lt-LT"/>
        </w:rPr>
      </w:pPr>
    </w:p>
    <w:p w14:paraId="5C5246AD" w14:textId="77777777" w:rsidR="004524D5" w:rsidRPr="004524D5" w:rsidRDefault="004524D5" w:rsidP="004524D5">
      <w:pPr>
        <w:spacing w:after="0" w:line="240" w:lineRule="auto"/>
        <w:jc w:val="center"/>
        <w:rPr>
          <w:rFonts w:ascii="Calibri" w:eastAsia="Calibri" w:hAnsi="Calibri" w:cs="Times New Roman"/>
          <w:color w:val="000000"/>
        </w:rPr>
      </w:pPr>
      <w:r w:rsidRPr="004524D5">
        <w:rPr>
          <w:rFonts w:ascii="Times New Roman" w:eastAsia="Times New Roman" w:hAnsi="Times New Roman" w:cs="Times New Roman"/>
          <w:b/>
          <w:caps/>
          <w:color w:val="000000"/>
          <w:sz w:val="24"/>
          <w:szCs w:val="24"/>
        </w:rPr>
        <w:t xml:space="preserve">INFORMACIJa, </w:t>
      </w:r>
      <w:r w:rsidRPr="004524D5">
        <w:rPr>
          <w:rFonts w:ascii="Times New Roman" w:eastAsia="Times New Roman" w:hAnsi="Times New Roman" w:cs="Times New Roman"/>
          <w:b/>
          <w:caps/>
          <w:color w:val="000000"/>
          <w:sz w:val="24"/>
          <w:szCs w:val="24"/>
          <w:lang w:eastAsia="lt-LT"/>
        </w:rPr>
        <w:t xml:space="preserve">reikalingA projekto atitikČIAI </w:t>
      </w:r>
      <w:r w:rsidRPr="004524D5">
        <w:rPr>
          <w:rFonts w:ascii="Times New Roman" w:eastAsia="Calibri" w:hAnsi="Times New Roman" w:cs="Times New Roman"/>
          <w:b/>
          <w:caps/>
          <w:color w:val="000000"/>
          <w:sz w:val="24"/>
          <w:szCs w:val="24"/>
          <w:lang w:eastAsia="lt-LT"/>
        </w:rPr>
        <w:t>2014–2020 metų Europos Sąjungos fondų investicijų veiksmų programos 1 </w:t>
      </w:r>
      <w:r w:rsidRPr="004524D5">
        <w:rPr>
          <w:rFonts w:ascii="Times New Roman" w:eastAsia="Calibri" w:hAnsi="Times New Roman" w:cs="Times New Roman"/>
          <w:b/>
          <w:caps/>
          <w:sz w:val="24"/>
          <w:szCs w:val="24"/>
        </w:rPr>
        <w:t>prioriteto „Mokslinių tyrimų, eksperimentinės plėtros ir inovacijų skatinimas“ priemonės Nr. </w:t>
      </w:r>
      <w:r w:rsidRPr="004524D5">
        <w:rPr>
          <w:rFonts w:ascii="Times New Roman" w:eastAsia="Times New Roman" w:hAnsi="Times New Roman" w:cs="Times New Roman"/>
          <w:b/>
          <w:caps/>
          <w:sz w:val="24"/>
          <w:szCs w:val="24"/>
          <w:lang w:eastAsia="lt-LT"/>
        </w:rPr>
        <w:t xml:space="preserve">01.2.1-MITA-T-845 </w:t>
      </w:r>
      <w:r w:rsidRPr="004524D5">
        <w:rPr>
          <w:rFonts w:ascii="Times New Roman" w:eastAsia="Calibri" w:hAnsi="Times New Roman" w:cs="Times New Roman"/>
          <w:b/>
          <w:caps/>
          <w:sz w:val="24"/>
          <w:szCs w:val="24"/>
        </w:rPr>
        <w:t>„Inopatentas“</w:t>
      </w:r>
      <w:r w:rsidRPr="004524D5">
        <w:rPr>
          <w:rFonts w:ascii="Times New Roman" w:eastAsia="Calibri" w:hAnsi="Times New Roman" w:cs="Times New Roman"/>
          <w:b/>
          <w:caps/>
          <w:color w:val="000000"/>
          <w:sz w:val="24"/>
          <w:szCs w:val="24"/>
          <w:lang w:eastAsia="lt-LT"/>
        </w:rPr>
        <w:t xml:space="preserve"> projektų finansavimo sąlygų aprašo nuostatoms ir</w:t>
      </w:r>
      <w:r w:rsidRPr="004524D5">
        <w:rPr>
          <w:rFonts w:ascii="Times New Roman" w:eastAsia="Times New Roman" w:hAnsi="Times New Roman" w:cs="Times New Roman"/>
          <w:b/>
          <w:caps/>
          <w:color w:val="000000"/>
          <w:sz w:val="24"/>
          <w:szCs w:val="24"/>
          <w:lang w:eastAsia="lt-LT"/>
        </w:rPr>
        <w:t xml:space="preserve"> projektų atrankos kriterijams įvertinti</w:t>
      </w:r>
    </w:p>
    <w:p w14:paraId="5B6E488B" w14:textId="77777777" w:rsidR="004524D5" w:rsidRPr="004524D5" w:rsidRDefault="004524D5" w:rsidP="004524D5">
      <w:pPr>
        <w:spacing w:after="0" w:line="240" w:lineRule="auto"/>
        <w:ind w:hanging="1298"/>
        <w:jc w:val="center"/>
        <w:rPr>
          <w:rFonts w:ascii="Times New Roman" w:eastAsia="Calibri" w:hAnsi="Times New Roman" w:cs="Times New Roman"/>
          <w:b/>
          <w:caps/>
          <w:sz w:val="24"/>
        </w:rPr>
      </w:pPr>
    </w:p>
    <w:p w14:paraId="30E1D357" w14:textId="77777777" w:rsidR="004524D5" w:rsidRDefault="004524D5" w:rsidP="004524D5">
      <w:pPr>
        <w:tabs>
          <w:tab w:val="left" w:pos="0"/>
          <w:tab w:val="left" w:pos="709"/>
        </w:tabs>
        <w:spacing w:after="0" w:line="240" w:lineRule="auto"/>
        <w:ind w:firstLine="709"/>
        <w:jc w:val="both"/>
        <w:rPr>
          <w:rFonts w:ascii="Times New Roman" w:eastAsia="Calibri" w:hAnsi="Times New Roman" w:cs="Times New Roman"/>
          <w:color w:val="000000"/>
          <w:sz w:val="24"/>
          <w:szCs w:val="24"/>
        </w:rPr>
      </w:pPr>
      <w:r w:rsidRPr="004524D5">
        <w:rPr>
          <w:rFonts w:ascii="Times New Roman" w:eastAsia="Calibri" w:hAnsi="Times New Roman" w:cs="Times New Roman"/>
          <w:b/>
          <w:sz w:val="24"/>
        </w:rPr>
        <w:t>1. Pareiškėjo (partnerio) vykdomų veiklų ir projekto veiklų priskyrimas Ekonominės veiklos rūšių klasifikatoriui (EVRK 2 red.), patvirtintam Statistikos departamento prie Lietuvos Respublikos Vyriausybės generalinio direktoriaus 2007 m. spalio 31 d. įsakymu Nr.</w:t>
      </w:r>
      <w:r w:rsidRPr="004524D5">
        <w:rPr>
          <w:rFonts w:ascii="Times New Roman" w:eastAsia="Calibri" w:hAnsi="Times New Roman" w:cs="Times New Roman"/>
          <w:sz w:val="24"/>
          <w:szCs w:val="24"/>
        </w:rPr>
        <w:t> </w:t>
      </w:r>
      <w:r w:rsidRPr="004524D5">
        <w:rPr>
          <w:rFonts w:ascii="Times New Roman" w:eastAsia="Calibri" w:hAnsi="Times New Roman" w:cs="Times New Roman"/>
          <w:b/>
          <w:sz w:val="24"/>
        </w:rPr>
        <w:t>DĮ-226 „Dėl Ekonominės veiklos rūšių klasifikatoriaus patvirtinimo“ (toliau – EVRK 2 red.)</w:t>
      </w:r>
      <w:r w:rsidRPr="004524D5">
        <w:rPr>
          <w:rFonts w:ascii="Times New Roman" w:eastAsia="Calibri" w:hAnsi="Times New Roman" w:cs="Times New Roman"/>
          <w:b/>
          <w:color w:val="000000"/>
          <w:sz w:val="24"/>
          <w:szCs w:val="24"/>
        </w:rPr>
        <w:t xml:space="preserve"> </w:t>
      </w:r>
      <w:r w:rsidRPr="004524D5">
        <w:rPr>
          <w:rFonts w:ascii="Times New Roman" w:eastAsia="Calibri" w:hAnsi="Times New Roman" w:cs="Times New Roman"/>
          <w:color w:val="000000"/>
          <w:sz w:val="24"/>
          <w:szCs w:val="24"/>
        </w:rPr>
        <w:t>(taikoma vertinant projekto atitiktį 2014–2020 metų Europos Sąjungos fondų investicijų veiksmų programos 1 prioriteto „Mokslinių tyrimų, eksperimentinės plėtros ir inovacijų skatinimas“ priemonės Nr. 01.2.1-MITA-T-845 „</w:t>
      </w:r>
      <w:proofErr w:type="spellStart"/>
      <w:r w:rsidRPr="004524D5">
        <w:rPr>
          <w:rFonts w:ascii="Times New Roman" w:eastAsia="Calibri" w:hAnsi="Times New Roman" w:cs="Times New Roman"/>
          <w:color w:val="000000"/>
          <w:sz w:val="24"/>
          <w:szCs w:val="24"/>
        </w:rPr>
        <w:t>Inopatentas</w:t>
      </w:r>
      <w:proofErr w:type="spellEnd"/>
      <w:r w:rsidRPr="004524D5">
        <w:rPr>
          <w:rFonts w:ascii="Times New Roman" w:eastAsia="Calibri" w:hAnsi="Times New Roman" w:cs="Times New Roman"/>
          <w:color w:val="000000"/>
          <w:sz w:val="24"/>
          <w:szCs w:val="24"/>
        </w:rPr>
        <w:t>“ projektų finansavimo sąlygų aprašo (toliau – Aprašas) 13, 14 punktų nuostatoms).</w:t>
      </w:r>
    </w:p>
    <w:p w14:paraId="62757816" w14:textId="77777777" w:rsidR="004524D5" w:rsidRPr="004524D5" w:rsidRDefault="004524D5" w:rsidP="004524D5">
      <w:pPr>
        <w:tabs>
          <w:tab w:val="left" w:pos="0"/>
          <w:tab w:val="left" w:pos="709"/>
        </w:tabs>
        <w:spacing w:after="0" w:line="240" w:lineRule="auto"/>
        <w:ind w:firstLine="709"/>
        <w:jc w:val="both"/>
        <w:rPr>
          <w:rFonts w:ascii="Times New Roman" w:eastAsia="Calibri"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9"/>
        <w:gridCol w:w="2897"/>
      </w:tblGrid>
      <w:tr w:rsidR="004524D5" w:rsidRPr="004524D5" w14:paraId="628F3E26" w14:textId="77777777" w:rsidTr="0083379D">
        <w:tc>
          <w:tcPr>
            <w:tcW w:w="6511" w:type="dxa"/>
            <w:shd w:val="pct10" w:color="auto" w:fill="auto"/>
          </w:tcPr>
          <w:p w14:paraId="4F8CC8C5"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r w:rsidRPr="004524D5">
              <w:rPr>
                <w:rFonts w:ascii="Times New Roman" w:eastAsia="Calibri" w:hAnsi="Times New Roman" w:cs="Times New Roman"/>
                <w:sz w:val="24"/>
                <w:szCs w:val="24"/>
              </w:rPr>
              <w:t>1.1. Vykdoma veikla (-</w:t>
            </w:r>
            <w:proofErr w:type="spellStart"/>
            <w:r w:rsidRPr="004524D5">
              <w:rPr>
                <w:rFonts w:ascii="Times New Roman" w:eastAsia="Calibri" w:hAnsi="Times New Roman" w:cs="Times New Roman"/>
                <w:sz w:val="24"/>
                <w:szCs w:val="24"/>
              </w:rPr>
              <w:t>os</w:t>
            </w:r>
            <w:proofErr w:type="spellEnd"/>
            <w:r w:rsidRPr="004524D5">
              <w:rPr>
                <w:rFonts w:ascii="Times New Roman" w:eastAsia="Calibri" w:hAnsi="Times New Roman" w:cs="Times New Roman"/>
                <w:sz w:val="24"/>
                <w:szCs w:val="24"/>
              </w:rPr>
              <w:t>) pagal EVRK 2 red.:</w:t>
            </w:r>
          </w:p>
        </w:tc>
        <w:tc>
          <w:tcPr>
            <w:tcW w:w="3117" w:type="dxa"/>
          </w:tcPr>
          <w:p w14:paraId="66FF132B"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44284789" w14:textId="77777777" w:rsidTr="0083379D">
        <w:tc>
          <w:tcPr>
            <w:tcW w:w="6511" w:type="dxa"/>
            <w:shd w:val="pct10" w:color="auto" w:fill="auto"/>
          </w:tcPr>
          <w:p w14:paraId="2C50165E" w14:textId="77777777" w:rsidR="004524D5" w:rsidRPr="004524D5" w:rsidRDefault="004524D5" w:rsidP="004524D5">
            <w:pPr>
              <w:tabs>
                <w:tab w:val="left" w:pos="426"/>
              </w:tabs>
              <w:spacing w:after="0" w:line="240" w:lineRule="auto"/>
              <w:rPr>
                <w:rFonts w:ascii="Times New Roman" w:eastAsia="Calibri" w:hAnsi="Times New Roman" w:cs="Times New Roman"/>
                <w:sz w:val="24"/>
                <w:szCs w:val="24"/>
              </w:rPr>
            </w:pPr>
            <w:r w:rsidRPr="004524D5">
              <w:rPr>
                <w:rFonts w:ascii="Times New Roman" w:eastAsia="Calibri" w:hAnsi="Times New Roman" w:cs="Times New Roman"/>
                <w:sz w:val="24"/>
                <w:szCs w:val="24"/>
              </w:rPr>
              <w:t>1.1.1. Pareiškėjo</w:t>
            </w:r>
          </w:p>
        </w:tc>
        <w:tc>
          <w:tcPr>
            <w:tcW w:w="3117" w:type="dxa"/>
          </w:tcPr>
          <w:p w14:paraId="1776D078"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64C1EDDD" w14:textId="77777777" w:rsidTr="0083379D">
        <w:trPr>
          <w:trHeight w:val="270"/>
        </w:trPr>
        <w:tc>
          <w:tcPr>
            <w:tcW w:w="6511" w:type="dxa"/>
            <w:shd w:val="pct10" w:color="auto" w:fill="auto"/>
          </w:tcPr>
          <w:p w14:paraId="584D3899" w14:textId="77777777" w:rsidR="004524D5" w:rsidRPr="004524D5" w:rsidRDefault="004524D5" w:rsidP="004524D5">
            <w:pPr>
              <w:tabs>
                <w:tab w:val="left" w:pos="426"/>
              </w:tabs>
              <w:spacing w:after="0" w:line="240" w:lineRule="auto"/>
              <w:jc w:val="both"/>
              <w:rPr>
                <w:rFonts w:ascii="Times New Roman" w:eastAsia="Calibri" w:hAnsi="Times New Roman" w:cs="Times New Roman"/>
                <w:sz w:val="24"/>
                <w:szCs w:val="24"/>
              </w:rPr>
            </w:pPr>
            <w:r w:rsidRPr="004524D5">
              <w:rPr>
                <w:rFonts w:ascii="Times New Roman" w:eastAsia="Calibri" w:hAnsi="Times New Roman" w:cs="Times New Roman"/>
                <w:sz w:val="24"/>
                <w:szCs w:val="24"/>
              </w:rPr>
              <w:t>1.1.2. Partnerio</w:t>
            </w:r>
          </w:p>
        </w:tc>
        <w:tc>
          <w:tcPr>
            <w:tcW w:w="3117" w:type="dxa"/>
          </w:tcPr>
          <w:p w14:paraId="258119A7"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7782A287" w14:textId="77777777" w:rsidTr="0083379D">
        <w:trPr>
          <w:trHeight w:val="1128"/>
        </w:trPr>
        <w:tc>
          <w:tcPr>
            <w:tcW w:w="6511" w:type="dxa"/>
            <w:shd w:val="pct10" w:color="auto" w:fill="auto"/>
          </w:tcPr>
          <w:p w14:paraId="7ECF1B16" w14:textId="77777777" w:rsidR="004524D5" w:rsidRPr="004524D5" w:rsidRDefault="004524D5" w:rsidP="004524D5">
            <w:pPr>
              <w:tabs>
                <w:tab w:val="left" w:pos="426"/>
              </w:tabs>
              <w:spacing w:after="0" w:line="240" w:lineRule="auto"/>
              <w:jc w:val="both"/>
              <w:rPr>
                <w:rFonts w:ascii="Times New Roman" w:eastAsia="Calibri" w:hAnsi="Times New Roman" w:cs="Times New Roman"/>
                <w:b/>
                <w:sz w:val="24"/>
                <w:szCs w:val="24"/>
              </w:rPr>
            </w:pPr>
            <w:r w:rsidRPr="004524D5">
              <w:rPr>
                <w:rFonts w:ascii="Times New Roman" w:eastAsia="Calibri" w:hAnsi="Times New Roman" w:cs="Times New Roman"/>
                <w:sz w:val="24"/>
                <w:szCs w:val="24"/>
              </w:rPr>
              <w:t>1.2. Veikla (-</w:t>
            </w:r>
            <w:proofErr w:type="spellStart"/>
            <w:r w:rsidRPr="004524D5">
              <w:rPr>
                <w:rFonts w:ascii="Times New Roman" w:eastAsia="Calibri" w:hAnsi="Times New Roman" w:cs="Times New Roman"/>
                <w:sz w:val="24"/>
                <w:szCs w:val="24"/>
              </w:rPr>
              <w:t>os</w:t>
            </w:r>
            <w:proofErr w:type="spellEnd"/>
            <w:r w:rsidRPr="004524D5">
              <w:rPr>
                <w:rFonts w:ascii="Times New Roman" w:eastAsia="Calibri" w:hAnsi="Times New Roman" w:cs="Times New Roman"/>
                <w:sz w:val="24"/>
                <w:szCs w:val="24"/>
              </w:rPr>
              <w:t>) pagal EVRK 2 red., kuriai (-</w:t>
            </w:r>
            <w:proofErr w:type="spellStart"/>
            <w:r w:rsidRPr="004524D5">
              <w:rPr>
                <w:rFonts w:ascii="Times New Roman" w:eastAsia="Calibri" w:hAnsi="Times New Roman" w:cs="Times New Roman"/>
                <w:sz w:val="24"/>
                <w:szCs w:val="24"/>
              </w:rPr>
              <w:t>ioms</w:t>
            </w:r>
            <w:proofErr w:type="spellEnd"/>
            <w:r w:rsidRPr="004524D5">
              <w:rPr>
                <w:rFonts w:ascii="Times New Roman" w:eastAsia="Calibri" w:hAnsi="Times New Roman" w:cs="Times New Roman"/>
                <w:sz w:val="24"/>
                <w:szCs w:val="24"/>
              </w:rPr>
              <w:t xml:space="preserve">) vykdyti bus naudojami projekto rezultatai (jei projekto rezultatai tenka kelioms veikloms, reikia nurodyti rezultatų padalijimą </w:t>
            </w:r>
            <w:r w:rsidRPr="004524D5">
              <w:rPr>
                <w:rFonts w:ascii="Times New Roman" w:eastAsia="Calibri" w:hAnsi="Times New Roman" w:cs="Times New Roman"/>
                <w:sz w:val="24"/>
                <w:szCs w:val="24"/>
              </w:rPr>
              <w:br/>
              <w:t>procentais):</w:t>
            </w:r>
          </w:p>
        </w:tc>
        <w:tc>
          <w:tcPr>
            <w:tcW w:w="3117" w:type="dxa"/>
          </w:tcPr>
          <w:p w14:paraId="6A4F1918"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37D52222" w14:textId="77777777" w:rsidTr="0083379D">
        <w:trPr>
          <w:trHeight w:val="261"/>
        </w:trPr>
        <w:tc>
          <w:tcPr>
            <w:tcW w:w="6511" w:type="dxa"/>
            <w:shd w:val="pct10" w:color="auto" w:fill="auto"/>
          </w:tcPr>
          <w:p w14:paraId="69A21C10" w14:textId="77777777" w:rsidR="004524D5" w:rsidRPr="004524D5" w:rsidRDefault="004524D5" w:rsidP="004524D5">
            <w:pPr>
              <w:tabs>
                <w:tab w:val="left" w:pos="426"/>
              </w:tabs>
              <w:spacing w:after="0" w:line="240" w:lineRule="auto"/>
              <w:jc w:val="both"/>
              <w:rPr>
                <w:rFonts w:ascii="Times New Roman" w:eastAsia="Calibri" w:hAnsi="Times New Roman" w:cs="Times New Roman"/>
                <w:sz w:val="24"/>
                <w:szCs w:val="24"/>
              </w:rPr>
            </w:pPr>
            <w:r w:rsidRPr="004524D5">
              <w:rPr>
                <w:rFonts w:ascii="Times New Roman" w:eastAsia="Calibri" w:hAnsi="Times New Roman" w:cs="Times New Roman"/>
                <w:sz w:val="24"/>
                <w:szCs w:val="24"/>
              </w:rPr>
              <w:t>1.2.1. Pareiškėjo</w:t>
            </w:r>
          </w:p>
        </w:tc>
        <w:tc>
          <w:tcPr>
            <w:tcW w:w="3117" w:type="dxa"/>
          </w:tcPr>
          <w:p w14:paraId="0B1B77F1"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69715B8D" w14:textId="77777777" w:rsidTr="0083379D">
        <w:trPr>
          <w:trHeight w:val="266"/>
        </w:trPr>
        <w:tc>
          <w:tcPr>
            <w:tcW w:w="6511" w:type="dxa"/>
            <w:shd w:val="pct10" w:color="auto" w:fill="auto"/>
          </w:tcPr>
          <w:p w14:paraId="068B3411" w14:textId="77777777" w:rsidR="004524D5" w:rsidRPr="004524D5" w:rsidRDefault="004524D5" w:rsidP="004524D5">
            <w:pPr>
              <w:tabs>
                <w:tab w:val="left" w:pos="426"/>
              </w:tabs>
              <w:spacing w:after="0" w:line="240" w:lineRule="auto"/>
              <w:jc w:val="both"/>
              <w:rPr>
                <w:rFonts w:ascii="Times New Roman" w:eastAsia="Calibri" w:hAnsi="Times New Roman" w:cs="Times New Roman"/>
                <w:sz w:val="24"/>
                <w:szCs w:val="24"/>
              </w:rPr>
            </w:pPr>
            <w:r w:rsidRPr="004524D5">
              <w:rPr>
                <w:rFonts w:ascii="Times New Roman" w:eastAsia="Calibri" w:hAnsi="Times New Roman" w:cs="Times New Roman"/>
                <w:sz w:val="24"/>
                <w:szCs w:val="24"/>
              </w:rPr>
              <w:t>1.2.2. Partnerio</w:t>
            </w:r>
          </w:p>
        </w:tc>
        <w:tc>
          <w:tcPr>
            <w:tcW w:w="3117" w:type="dxa"/>
          </w:tcPr>
          <w:p w14:paraId="25592F1E"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bl>
    <w:p w14:paraId="3CD21F44" w14:textId="77777777" w:rsidR="004524D5" w:rsidRPr="004524D5" w:rsidRDefault="004524D5" w:rsidP="004524D5">
      <w:pPr>
        <w:spacing w:after="0" w:line="240" w:lineRule="auto"/>
        <w:jc w:val="both"/>
        <w:rPr>
          <w:rFonts w:ascii="Times New Roman" w:eastAsia="Calibri" w:hAnsi="Times New Roman" w:cs="Times New Roman"/>
          <w:b/>
          <w:caps/>
          <w:sz w:val="24"/>
        </w:rPr>
      </w:pPr>
    </w:p>
    <w:p w14:paraId="640654E2" w14:textId="77777777" w:rsidR="004524D5" w:rsidRDefault="004524D5" w:rsidP="004524D5">
      <w:pPr>
        <w:widowControl w:val="0"/>
        <w:tabs>
          <w:tab w:val="left" w:pos="0"/>
          <w:tab w:val="left" w:pos="426"/>
          <w:tab w:val="left" w:pos="709"/>
        </w:tabs>
        <w:spacing w:after="0" w:line="240" w:lineRule="auto"/>
        <w:ind w:firstLine="709"/>
        <w:jc w:val="both"/>
        <w:textAlignment w:val="baseline"/>
        <w:rPr>
          <w:rFonts w:ascii="Times New Roman" w:eastAsia="Calibri" w:hAnsi="Times New Roman" w:cs="Times New Roman"/>
          <w:color w:val="000000"/>
          <w:sz w:val="24"/>
          <w:szCs w:val="24"/>
        </w:rPr>
      </w:pPr>
      <w:r w:rsidRPr="004524D5">
        <w:rPr>
          <w:rFonts w:ascii="Times New Roman" w:eastAsia="Calibri" w:hAnsi="Times New Roman" w:cs="Times New Roman"/>
          <w:b/>
          <w:caps/>
          <w:sz w:val="24"/>
        </w:rPr>
        <w:t xml:space="preserve">2. </w:t>
      </w:r>
      <w:r w:rsidRPr="004524D5">
        <w:rPr>
          <w:rFonts w:ascii="Times New Roman" w:eastAsia="Calibri" w:hAnsi="Times New Roman" w:cs="Times New Roman"/>
          <w:b/>
          <w:bCs/>
          <w:sz w:val="24"/>
          <w:szCs w:val="24"/>
          <w:lang w:eastAsia="lt-LT"/>
        </w:rPr>
        <w:t>Patentuojamo išradimo / registruojamo dizaino komercinis potencialas</w:t>
      </w:r>
      <w:r w:rsidRPr="004524D5">
        <w:rPr>
          <w:rFonts w:ascii="Times New Roman" w:eastAsia="Calibri" w:hAnsi="Times New Roman" w:cs="Times New Roman"/>
          <w:b/>
          <w:color w:val="000000"/>
          <w:sz w:val="24"/>
          <w:szCs w:val="24"/>
        </w:rPr>
        <w:t xml:space="preserve"> </w:t>
      </w:r>
      <w:r w:rsidRPr="004524D5">
        <w:rPr>
          <w:rFonts w:ascii="Times New Roman" w:eastAsia="Calibri" w:hAnsi="Times New Roman" w:cs="Times New Roman"/>
          <w:color w:val="000000"/>
          <w:sz w:val="24"/>
          <w:szCs w:val="24"/>
        </w:rPr>
        <w:t>(taikoma vertinant projekto atitiktį Aprašo 19.3 papunkčio nuostatoms).</w:t>
      </w:r>
    </w:p>
    <w:p w14:paraId="61F3527E" w14:textId="77777777" w:rsidR="004524D5" w:rsidRPr="004524D5" w:rsidRDefault="004524D5" w:rsidP="004524D5">
      <w:pPr>
        <w:widowControl w:val="0"/>
        <w:tabs>
          <w:tab w:val="left" w:pos="0"/>
          <w:tab w:val="left" w:pos="426"/>
          <w:tab w:val="left" w:pos="709"/>
        </w:tabs>
        <w:spacing w:after="0" w:line="240" w:lineRule="auto"/>
        <w:ind w:firstLine="709"/>
        <w:jc w:val="both"/>
        <w:textAlignment w:val="baseline"/>
        <w:rPr>
          <w:rFonts w:ascii="Times New Roman" w:eastAsia="Calibri" w:hAnsi="Times New Roman" w:cs="Times New Roman"/>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6"/>
        <w:gridCol w:w="2890"/>
      </w:tblGrid>
      <w:tr w:rsidR="004524D5" w:rsidRPr="004524D5" w14:paraId="5B1EFC57" w14:textId="77777777" w:rsidTr="0083379D">
        <w:trPr>
          <w:trHeight w:val="421"/>
        </w:trPr>
        <w:tc>
          <w:tcPr>
            <w:tcW w:w="6513" w:type="dxa"/>
            <w:shd w:val="pct10" w:color="auto" w:fill="auto"/>
          </w:tcPr>
          <w:p w14:paraId="4EB0974C" w14:textId="77777777" w:rsidR="004524D5" w:rsidRPr="004524D5" w:rsidRDefault="004524D5" w:rsidP="004524D5">
            <w:pPr>
              <w:widowControl w:val="0"/>
              <w:tabs>
                <w:tab w:val="left" w:pos="0"/>
                <w:tab w:val="left" w:pos="426"/>
              </w:tabs>
              <w:spacing w:after="0" w:line="240" w:lineRule="auto"/>
              <w:jc w:val="both"/>
              <w:textAlignment w:val="baseline"/>
              <w:rPr>
                <w:rFonts w:ascii="Times New Roman" w:eastAsia="Times New Roman" w:hAnsi="Times New Roman" w:cs="Times New Roman"/>
                <w:b/>
                <w:sz w:val="24"/>
                <w:szCs w:val="24"/>
                <w:lang w:eastAsia="lt-LT"/>
              </w:rPr>
            </w:pPr>
            <w:r w:rsidRPr="004524D5">
              <w:rPr>
                <w:rFonts w:ascii="Times New Roman" w:eastAsia="Calibri" w:hAnsi="Times New Roman" w:cs="Times New Roman"/>
                <w:sz w:val="24"/>
                <w:szCs w:val="24"/>
              </w:rPr>
              <w:t xml:space="preserve">2.1. </w:t>
            </w:r>
            <w:r w:rsidRPr="004524D5">
              <w:rPr>
                <w:rFonts w:ascii="Times New Roman" w:eastAsia="Calibri" w:hAnsi="Times New Roman" w:cs="Times New Roman"/>
                <w:bCs/>
                <w:sz w:val="24"/>
                <w:szCs w:val="24"/>
                <w:lang w:eastAsia="lt-LT"/>
              </w:rPr>
              <w:t>Patentuojamo išradimo / registruojamo dizaino pagrindu kuriamo produkto (toliau – produktas) pritaikymo / panaudojimo sritis (energetika, medicina, žemės ūkis ar pan.)</w:t>
            </w:r>
          </w:p>
        </w:tc>
        <w:tc>
          <w:tcPr>
            <w:tcW w:w="3115" w:type="dxa"/>
          </w:tcPr>
          <w:p w14:paraId="67A90B2F"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44E2A146" w14:textId="77777777" w:rsidTr="0083379D">
        <w:trPr>
          <w:trHeight w:val="309"/>
        </w:trPr>
        <w:tc>
          <w:tcPr>
            <w:tcW w:w="6513" w:type="dxa"/>
            <w:shd w:val="pct10" w:color="auto" w:fill="auto"/>
          </w:tcPr>
          <w:p w14:paraId="4EC36F85"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Calibri" w:hAnsi="Times New Roman" w:cs="Times New Roman"/>
                <w:sz w:val="24"/>
                <w:szCs w:val="24"/>
              </w:rPr>
              <w:t>2.2. Produkto konkurencinė aplinka, potencialus rinkos dydis</w:t>
            </w:r>
          </w:p>
        </w:tc>
        <w:tc>
          <w:tcPr>
            <w:tcW w:w="3115" w:type="dxa"/>
          </w:tcPr>
          <w:p w14:paraId="3A9A19F5"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48041C73" w14:textId="77777777" w:rsidTr="0083379D">
        <w:trPr>
          <w:trHeight w:val="272"/>
        </w:trPr>
        <w:tc>
          <w:tcPr>
            <w:tcW w:w="6513" w:type="dxa"/>
            <w:shd w:val="pct10" w:color="auto" w:fill="auto"/>
          </w:tcPr>
          <w:p w14:paraId="4551C908" w14:textId="77777777" w:rsidR="004524D5" w:rsidRPr="004524D5" w:rsidRDefault="004524D5" w:rsidP="004524D5">
            <w:pPr>
              <w:spacing w:after="0" w:line="240" w:lineRule="auto"/>
              <w:jc w:val="both"/>
              <w:rPr>
                <w:rFonts w:ascii="Times New Roman" w:eastAsia="Calibri" w:hAnsi="Times New Roman" w:cs="Times New Roman"/>
                <w:sz w:val="24"/>
                <w:szCs w:val="24"/>
              </w:rPr>
            </w:pPr>
            <w:r w:rsidRPr="004524D5">
              <w:rPr>
                <w:rFonts w:ascii="Times New Roman" w:eastAsia="Calibri" w:hAnsi="Times New Roman" w:cs="Times New Roman"/>
                <w:sz w:val="24"/>
                <w:szCs w:val="24"/>
              </w:rPr>
              <w:t>2.3. Potencialūs produkto vartotojai</w:t>
            </w:r>
          </w:p>
        </w:tc>
        <w:tc>
          <w:tcPr>
            <w:tcW w:w="3115" w:type="dxa"/>
          </w:tcPr>
          <w:p w14:paraId="6D9A0022"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70415ACE" w14:textId="77777777" w:rsidTr="0083379D">
        <w:trPr>
          <w:trHeight w:val="275"/>
        </w:trPr>
        <w:tc>
          <w:tcPr>
            <w:tcW w:w="6513" w:type="dxa"/>
            <w:tcBorders>
              <w:bottom w:val="single" w:sz="4" w:space="0" w:color="auto"/>
            </w:tcBorders>
            <w:shd w:val="pct10" w:color="auto" w:fill="auto"/>
          </w:tcPr>
          <w:p w14:paraId="60C44A9B" w14:textId="77777777" w:rsidR="004524D5" w:rsidRPr="004524D5" w:rsidRDefault="004524D5" w:rsidP="004524D5">
            <w:pPr>
              <w:spacing w:after="0" w:line="240" w:lineRule="auto"/>
              <w:jc w:val="both"/>
              <w:rPr>
                <w:rFonts w:ascii="Times New Roman" w:eastAsia="Calibri" w:hAnsi="Times New Roman" w:cs="Times New Roman"/>
                <w:sz w:val="24"/>
                <w:szCs w:val="24"/>
              </w:rPr>
            </w:pPr>
            <w:r w:rsidRPr="004524D5">
              <w:rPr>
                <w:rFonts w:ascii="Times New Roman" w:eastAsia="Times New Roman" w:hAnsi="Times New Roman" w:cs="Times New Roman"/>
                <w:sz w:val="24"/>
                <w:szCs w:val="24"/>
                <w:lang w:eastAsia="lt-LT"/>
              </w:rPr>
              <w:t>2.4. Produkto unikalumas ir patrauklumas</w:t>
            </w:r>
          </w:p>
        </w:tc>
        <w:tc>
          <w:tcPr>
            <w:tcW w:w="3115" w:type="dxa"/>
            <w:tcBorders>
              <w:bottom w:val="single" w:sz="4" w:space="0" w:color="auto"/>
            </w:tcBorders>
          </w:tcPr>
          <w:p w14:paraId="656F0C8D"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3A90190D" w14:textId="77777777" w:rsidTr="0083379D">
        <w:trPr>
          <w:trHeight w:val="280"/>
        </w:trPr>
        <w:tc>
          <w:tcPr>
            <w:tcW w:w="6513" w:type="dxa"/>
            <w:shd w:val="pct10" w:color="auto" w:fill="auto"/>
          </w:tcPr>
          <w:p w14:paraId="16458C05" w14:textId="77777777" w:rsidR="004524D5" w:rsidRPr="004524D5" w:rsidRDefault="004524D5" w:rsidP="004524D5">
            <w:pPr>
              <w:spacing w:after="0" w:line="240" w:lineRule="auto"/>
              <w:jc w:val="both"/>
              <w:rPr>
                <w:rFonts w:ascii="Times New Roman" w:eastAsia="Calibri" w:hAnsi="Times New Roman" w:cs="Times New Roman"/>
                <w:sz w:val="24"/>
                <w:szCs w:val="24"/>
              </w:rPr>
            </w:pPr>
            <w:r w:rsidRPr="004524D5">
              <w:rPr>
                <w:rFonts w:ascii="Times New Roman" w:eastAsia="Calibri" w:hAnsi="Times New Roman" w:cs="Times New Roman"/>
                <w:sz w:val="24"/>
                <w:szCs w:val="24"/>
              </w:rPr>
              <w:t xml:space="preserve">2.5. Produkto </w:t>
            </w:r>
            <w:proofErr w:type="spellStart"/>
            <w:r w:rsidRPr="004524D5">
              <w:rPr>
                <w:rFonts w:ascii="Times New Roman" w:eastAsia="Calibri" w:hAnsi="Times New Roman" w:cs="Times New Roman"/>
                <w:sz w:val="24"/>
                <w:szCs w:val="24"/>
              </w:rPr>
              <w:t>komercinimo</w:t>
            </w:r>
            <w:proofErr w:type="spellEnd"/>
            <w:r w:rsidRPr="004524D5">
              <w:rPr>
                <w:rFonts w:ascii="Times New Roman" w:eastAsia="Calibri" w:hAnsi="Times New Roman" w:cs="Times New Roman"/>
                <w:sz w:val="24"/>
                <w:szCs w:val="24"/>
              </w:rPr>
              <w:t xml:space="preserve"> planas</w:t>
            </w:r>
          </w:p>
        </w:tc>
        <w:tc>
          <w:tcPr>
            <w:tcW w:w="3115" w:type="dxa"/>
          </w:tcPr>
          <w:p w14:paraId="051966F9"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3E4F1088" w14:textId="77777777" w:rsidTr="0083379D">
        <w:trPr>
          <w:trHeight w:val="255"/>
        </w:trPr>
        <w:tc>
          <w:tcPr>
            <w:tcW w:w="6513" w:type="dxa"/>
            <w:shd w:val="pct10" w:color="auto" w:fill="auto"/>
          </w:tcPr>
          <w:p w14:paraId="451DE336"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Calibri" w:hAnsi="Times New Roman" w:cs="Times New Roman"/>
                <w:sz w:val="24"/>
                <w:szCs w:val="24"/>
              </w:rPr>
              <w:t xml:space="preserve">2.6. Planuojamas </w:t>
            </w:r>
            <w:r w:rsidRPr="004524D5">
              <w:rPr>
                <w:rFonts w:ascii="Times New Roman" w:eastAsia="Times New Roman" w:hAnsi="Times New Roman" w:cs="Times New Roman"/>
                <w:sz w:val="24"/>
                <w:szCs w:val="24"/>
                <w:lang w:eastAsia="lt-LT"/>
              </w:rPr>
              <w:t xml:space="preserve">pajamų padidėjimas dėl produkto </w:t>
            </w:r>
            <w:proofErr w:type="spellStart"/>
            <w:r w:rsidRPr="004524D5">
              <w:rPr>
                <w:rFonts w:ascii="Times New Roman" w:eastAsia="Times New Roman" w:hAnsi="Times New Roman" w:cs="Times New Roman"/>
                <w:sz w:val="24"/>
                <w:szCs w:val="24"/>
                <w:lang w:eastAsia="lt-LT"/>
              </w:rPr>
              <w:t>komercinimo</w:t>
            </w:r>
            <w:proofErr w:type="spellEnd"/>
          </w:p>
        </w:tc>
        <w:tc>
          <w:tcPr>
            <w:tcW w:w="3115" w:type="dxa"/>
          </w:tcPr>
          <w:p w14:paraId="26A26024"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64554755" w14:textId="77777777" w:rsidTr="0083379D">
        <w:trPr>
          <w:trHeight w:val="260"/>
        </w:trPr>
        <w:tc>
          <w:tcPr>
            <w:tcW w:w="6513" w:type="dxa"/>
            <w:shd w:val="pct10" w:color="auto" w:fill="auto"/>
          </w:tcPr>
          <w:p w14:paraId="7A3A07DF"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Calibri" w:hAnsi="Times New Roman" w:cs="Times New Roman"/>
                <w:sz w:val="24"/>
                <w:szCs w:val="24"/>
              </w:rPr>
              <w:t xml:space="preserve">2.7. </w:t>
            </w:r>
            <w:r w:rsidRPr="004524D5">
              <w:rPr>
                <w:rFonts w:ascii="Times New Roman" w:eastAsia="Times New Roman" w:hAnsi="Times New Roman" w:cs="Times New Roman"/>
                <w:sz w:val="24"/>
                <w:szCs w:val="24"/>
                <w:lang w:eastAsia="lt-LT"/>
              </w:rPr>
              <w:t xml:space="preserve">Pareiškėjo patirtis </w:t>
            </w:r>
            <w:proofErr w:type="spellStart"/>
            <w:r w:rsidRPr="004524D5">
              <w:rPr>
                <w:rFonts w:ascii="Times New Roman" w:eastAsia="Times New Roman" w:hAnsi="Times New Roman" w:cs="Times New Roman"/>
                <w:sz w:val="24"/>
                <w:szCs w:val="24"/>
                <w:lang w:eastAsia="lt-LT"/>
              </w:rPr>
              <w:t>komercinant</w:t>
            </w:r>
            <w:proofErr w:type="spellEnd"/>
            <w:r w:rsidRPr="004524D5">
              <w:rPr>
                <w:rFonts w:ascii="Times New Roman" w:eastAsia="Times New Roman" w:hAnsi="Times New Roman" w:cs="Times New Roman"/>
                <w:sz w:val="24"/>
                <w:szCs w:val="24"/>
                <w:lang w:eastAsia="lt-LT"/>
              </w:rPr>
              <w:t xml:space="preserve"> panašius produktus</w:t>
            </w:r>
          </w:p>
        </w:tc>
        <w:tc>
          <w:tcPr>
            <w:tcW w:w="3115" w:type="dxa"/>
          </w:tcPr>
          <w:p w14:paraId="1F4CE761"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r w:rsidR="004524D5" w:rsidRPr="004524D5" w14:paraId="127F2FBF" w14:textId="77777777" w:rsidTr="0083379D">
        <w:trPr>
          <w:trHeight w:val="249"/>
        </w:trPr>
        <w:tc>
          <w:tcPr>
            <w:tcW w:w="6513" w:type="dxa"/>
            <w:tcBorders>
              <w:bottom w:val="single" w:sz="4" w:space="0" w:color="auto"/>
            </w:tcBorders>
            <w:shd w:val="pct10" w:color="auto" w:fill="auto"/>
          </w:tcPr>
          <w:p w14:paraId="369E7294" w14:textId="77777777" w:rsidR="004524D5" w:rsidRPr="004524D5" w:rsidRDefault="004524D5" w:rsidP="004524D5">
            <w:pPr>
              <w:spacing w:after="0" w:line="240" w:lineRule="auto"/>
              <w:jc w:val="both"/>
              <w:rPr>
                <w:rFonts w:ascii="Times New Roman" w:eastAsia="Calibri" w:hAnsi="Times New Roman" w:cs="Times New Roman"/>
                <w:sz w:val="24"/>
                <w:szCs w:val="24"/>
              </w:rPr>
            </w:pPr>
            <w:r w:rsidRPr="004524D5">
              <w:rPr>
                <w:rFonts w:ascii="Times New Roman" w:eastAsia="Calibri" w:hAnsi="Times New Roman" w:cs="Times New Roman"/>
                <w:sz w:val="24"/>
                <w:szCs w:val="24"/>
              </w:rPr>
              <w:t>2.8. Kita aktuali informacija</w:t>
            </w:r>
          </w:p>
        </w:tc>
        <w:tc>
          <w:tcPr>
            <w:tcW w:w="3115" w:type="dxa"/>
            <w:tcBorders>
              <w:bottom w:val="single" w:sz="4" w:space="0" w:color="auto"/>
            </w:tcBorders>
          </w:tcPr>
          <w:p w14:paraId="779E646A" w14:textId="77777777" w:rsidR="004524D5" w:rsidRPr="004524D5" w:rsidRDefault="004524D5" w:rsidP="004524D5">
            <w:pPr>
              <w:tabs>
                <w:tab w:val="left" w:pos="426"/>
              </w:tabs>
              <w:spacing w:after="0" w:line="240" w:lineRule="auto"/>
              <w:rPr>
                <w:rFonts w:ascii="Times New Roman" w:eastAsia="Calibri" w:hAnsi="Times New Roman" w:cs="Times New Roman"/>
                <w:b/>
                <w:sz w:val="24"/>
                <w:szCs w:val="24"/>
              </w:rPr>
            </w:pPr>
          </w:p>
        </w:tc>
      </w:tr>
    </w:tbl>
    <w:p w14:paraId="345761F8"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p w14:paraId="175627AF" w14:textId="77777777" w:rsidR="004524D5" w:rsidRDefault="004524D5" w:rsidP="004524D5">
      <w:pPr>
        <w:spacing w:after="0" w:line="240" w:lineRule="auto"/>
        <w:ind w:firstLine="851"/>
        <w:jc w:val="both"/>
        <w:rPr>
          <w:rFonts w:ascii="Times New Roman" w:eastAsia="Calibri" w:hAnsi="Times New Roman" w:cs="Times New Roman"/>
          <w:b/>
          <w:color w:val="000000"/>
          <w:sz w:val="24"/>
          <w:szCs w:val="24"/>
        </w:rPr>
      </w:pPr>
      <w:r w:rsidRPr="004524D5">
        <w:rPr>
          <w:rFonts w:ascii="Times New Roman" w:eastAsia="Times New Roman" w:hAnsi="Times New Roman" w:cs="Times New Roman"/>
          <w:b/>
          <w:sz w:val="24"/>
          <w:szCs w:val="24"/>
          <w:lang w:eastAsia="lt-LT"/>
        </w:rPr>
        <w:t xml:space="preserve">3. Projektas priskiriamas </w:t>
      </w:r>
      <w:r w:rsidRPr="004524D5">
        <w:rPr>
          <w:rFonts w:ascii="Times New Roman" w:eastAsia="Calibri" w:hAnsi="Times New Roman" w:cs="Times New Roman"/>
          <w:b/>
          <w:sz w:val="24"/>
          <w:szCs w:val="24"/>
        </w:rPr>
        <w:t>Prioritetinių mokslinių tyrimų ir eksperimentinės plėtros ir inovacijų raidos (sumaniosios specializacijos) prioritetų įgyvendinimo programoje</w:t>
      </w:r>
      <w:r w:rsidRPr="004524D5">
        <w:rPr>
          <w:rFonts w:ascii="Times New Roman" w:eastAsia="Times New Roman" w:hAnsi="Times New Roman" w:cs="Times New Roman"/>
          <w:b/>
          <w:sz w:val="24"/>
          <w:szCs w:val="24"/>
          <w:lang w:eastAsia="lt-LT"/>
        </w:rPr>
        <w:t xml:space="preserve">, patvirtintoje </w:t>
      </w:r>
      <w:r w:rsidRPr="004524D5">
        <w:rPr>
          <w:rFonts w:ascii="Times New Roman" w:eastAsia="Calibri" w:hAnsi="Times New Roman" w:cs="Times New Roman"/>
          <w:b/>
          <w:sz w:val="24"/>
          <w:szCs w:val="24"/>
        </w:rPr>
        <w:t>Lietuvos Respublikos Vyriausybės 2014 m. balandžio 30 d. nutarimu Nr.</w:t>
      </w:r>
      <w:r w:rsidRPr="004524D5">
        <w:rPr>
          <w:rFonts w:ascii="Times New Roman" w:eastAsia="Times New Roman" w:hAnsi="Times New Roman" w:cs="Times New Roman"/>
          <w:sz w:val="24"/>
          <w:szCs w:val="24"/>
          <w:lang w:eastAsia="lt-LT"/>
        </w:rPr>
        <w:t> </w:t>
      </w:r>
      <w:r w:rsidRPr="004524D5">
        <w:rPr>
          <w:rFonts w:ascii="Times New Roman" w:eastAsia="Calibri" w:hAnsi="Times New Roman" w:cs="Times New Roman"/>
          <w:b/>
          <w:sz w:val="24"/>
          <w:szCs w:val="24"/>
        </w:rPr>
        <w:t>411 „Dėl Prioritetinių mokslinių tyrimų ir eksperimentinės plėtros ir inovacijų raidos (sumaniosios specializacijos) prioritetų įgyvendinimo programos patvirtinimo“, nurodytam prioritetui ir įgyvendinimo tematikai</w:t>
      </w:r>
      <w:r w:rsidRPr="004524D5">
        <w:rPr>
          <w:rFonts w:ascii="Times New Roman" w:eastAsia="Times New Roman" w:hAnsi="Times New Roman" w:cs="Times New Roman"/>
          <w:b/>
          <w:sz w:val="24"/>
          <w:szCs w:val="24"/>
          <w:lang w:eastAsia="lt-LT"/>
        </w:rPr>
        <w:t xml:space="preserve"> </w:t>
      </w:r>
      <w:r w:rsidRPr="004524D5">
        <w:rPr>
          <w:rFonts w:ascii="Times New Roman" w:eastAsia="Calibri" w:hAnsi="Times New Roman" w:cs="Times New Roman"/>
          <w:b/>
          <w:sz w:val="24"/>
          <w:szCs w:val="24"/>
        </w:rPr>
        <w:t>(</w:t>
      </w:r>
      <w:r w:rsidRPr="004524D5">
        <w:rPr>
          <w:rFonts w:ascii="Times New Roman" w:eastAsia="Calibri" w:hAnsi="Times New Roman" w:cs="Times New Roman"/>
          <w:b/>
          <w:color w:val="000000"/>
          <w:sz w:val="24"/>
          <w:szCs w:val="24"/>
        </w:rPr>
        <w:t>taikoma vertinant projekto atitiktį Aprašo 19.2 papunkčio nuostatoms):</w:t>
      </w:r>
    </w:p>
    <w:p w14:paraId="5F3D2E14" w14:textId="77777777" w:rsidR="004524D5" w:rsidRPr="004524D5" w:rsidRDefault="004524D5" w:rsidP="004524D5">
      <w:pPr>
        <w:spacing w:after="0" w:line="240" w:lineRule="auto"/>
        <w:ind w:firstLine="851"/>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645"/>
        <w:gridCol w:w="5427"/>
        <w:gridCol w:w="733"/>
      </w:tblGrid>
      <w:tr w:rsidR="004524D5" w:rsidRPr="004524D5" w14:paraId="52B982CC" w14:textId="77777777" w:rsidTr="004524D5">
        <w:tc>
          <w:tcPr>
            <w:tcW w:w="2856" w:type="dxa"/>
            <w:gridSpan w:val="2"/>
            <w:shd w:val="clear" w:color="auto" w:fill="E7E6E6"/>
            <w:vAlign w:val="center"/>
          </w:tcPr>
          <w:p w14:paraId="491D965F" w14:textId="77777777" w:rsidR="004524D5" w:rsidRPr="004524D5" w:rsidRDefault="004524D5" w:rsidP="004524D5">
            <w:pPr>
              <w:spacing w:after="0" w:line="240" w:lineRule="auto"/>
              <w:jc w:val="center"/>
              <w:rPr>
                <w:rFonts w:ascii="Times New Roman" w:eastAsia="Times New Roman" w:hAnsi="Times New Roman" w:cs="Times New Roman"/>
                <w:sz w:val="24"/>
                <w:szCs w:val="24"/>
                <w:lang w:eastAsia="lt-LT"/>
              </w:rPr>
            </w:pPr>
            <w:r w:rsidRPr="004524D5">
              <w:rPr>
                <w:rFonts w:ascii="Times New Roman" w:eastAsia="Calibri" w:hAnsi="Times New Roman" w:cs="Times New Roman"/>
                <w:b/>
                <w:sz w:val="24"/>
                <w:szCs w:val="24"/>
              </w:rPr>
              <w:t>Mokslinių tyrimų ir (ar) eksperimentinės plėtros ir inovacijų</w:t>
            </w:r>
            <w:r w:rsidRPr="004524D5">
              <w:rPr>
                <w:rFonts w:ascii="Times New Roman" w:eastAsia="Times New Roman" w:hAnsi="Times New Roman" w:cs="Times New Roman"/>
                <w:b/>
                <w:sz w:val="24"/>
                <w:szCs w:val="24"/>
                <w:lang w:eastAsia="lt-LT"/>
              </w:rPr>
              <w:t xml:space="preserve"> (toliau – MTEPI) prioritetas </w:t>
            </w:r>
            <w:r w:rsidRPr="004524D5">
              <w:rPr>
                <w:rFonts w:ascii="Times New Roman" w:eastAsia="Times New Roman" w:hAnsi="Times New Roman" w:cs="Times New Roman"/>
                <w:i/>
                <w:sz w:val="24"/>
                <w:szCs w:val="24"/>
                <w:lang w:eastAsia="lt-LT"/>
              </w:rPr>
              <w:t>(pasirenkamas vienas variantas)</w:t>
            </w:r>
          </w:p>
        </w:tc>
        <w:tc>
          <w:tcPr>
            <w:tcW w:w="6160" w:type="dxa"/>
            <w:gridSpan w:val="2"/>
            <w:shd w:val="clear" w:color="auto" w:fill="E7E6E6"/>
            <w:vAlign w:val="center"/>
          </w:tcPr>
          <w:p w14:paraId="0F1EA3F0"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b/>
                <w:sz w:val="24"/>
                <w:szCs w:val="24"/>
                <w:lang w:eastAsia="lt-LT"/>
              </w:rPr>
              <w:t xml:space="preserve">MTEPI prioriteto įgyvendinimo tematika </w:t>
            </w:r>
          </w:p>
          <w:p w14:paraId="2583F778"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i/>
                <w:sz w:val="24"/>
                <w:szCs w:val="24"/>
                <w:lang w:eastAsia="lt-LT"/>
              </w:rPr>
              <w:t>(pasirenkamas vienas variantas)</w:t>
            </w:r>
          </w:p>
        </w:tc>
      </w:tr>
      <w:tr w:rsidR="004524D5" w:rsidRPr="004524D5" w14:paraId="1AF69ECC" w14:textId="77777777" w:rsidTr="004524D5">
        <w:tc>
          <w:tcPr>
            <w:tcW w:w="2211" w:type="dxa"/>
            <w:vMerge w:val="restart"/>
            <w:vAlign w:val="center"/>
          </w:tcPr>
          <w:p w14:paraId="31DB9B89"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r w:rsidRPr="004524D5">
              <w:rPr>
                <w:rFonts w:ascii="Times New Roman" w:eastAsia="Calibri" w:hAnsi="Times New Roman" w:cs="Times New Roman"/>
                <w:b/>
                <w:sz w:val="24"/>
                <w:szCs w:val="24"/>
              </w:rPr>
              <w:t xml:space="preserve">3.1. Energetika ir tvari aplinka </w:t>
            </w:r>
          </w:p>
        </w:tc>
        <w:tc>
          <w:tcPr>
            <w:tcW w:w="645" w:type="dxa"/>
            <w:vMerge w:val="restart"/>
            <w:vAlign w:val="center"/>
          </w:tcPr>
          <w:p w14:paraId="50EA9EED" w14:textId="77777777" w:rsidR="004524D5" w:rsidRDefault="004524D5" w:rsidP="004524D5">
            <w:pPr>
              <w:jc w:val="center"/>
            </w:pPr>
            <w:r w:rsidRPr="000E6140">
              <w:rPr>
                <w:rFonts w:ascii="Times New Roman" w:eastAsia="Calibri" w:hAnsi="Times New Roman" w:cs="Times New Roman"/>
                <w:sz w:val="24"/>
                <w:szCs w:val="24"/>
              </w:rPr>
              <w:fldChar w:fldCharType="begin">
                <w:ffData>
                  <w:name w:val=""/>
                  <w:enabled/>
                  <w:calcOnExit w:val="0"/>
                  <w:checkBox>
                    <w:sizeAuto/>
                    <w:default w:val="0"/>
                  </w:checkBox>
                </w:ffData>
              </w:fldChar>
            </w:r>
            <w:r w:rsidRPr="000E6140">
              <w:rPr>
                <w:rFonts w:ascii="Times New Roman" w:eastAsia="Calibri" w:hAnsi="Times New Roman" w:cs="Times New Roman"/>
                <w:sz w:val="24"/>
                <w:szCs w:val="24"/>
              </w:rPr>
              <w:instrText xml:space="preserve"> FORMCHECKBOX </w:instrText>
            </w:r>
            <w:r w:rsidRPr="000E6140">
              <w:rPr>
                <w:rFonts w:ascii="Times New Roman" w:eastAsia="Calibri" w:hAnsi="Times New Roman" w:cs="Times New Roman"/>
                <w:sz w:val="24"/>
                <w:szCs w:val="24"/>
              </w:rPr>
            </w:r>
            <w:r w:rsidRPr="000E6140">
              <w:rPr>
                <w:rFonts w:ascii="Times New Roman" w:eastAsia="Calibri" w:hAnsi="Times New Roman" w:cs="Times New Roman"/>
                <w:sz w:val="24"/>
                <w:szCs w:val="24"/>
              </w:rPr>
              <w:fldChar w:fldCharType="separate"/>
            </w:r>
            <w:r w:rsidRPr="000E6140">
              <w:rPr>
                <w:rFonts w:ascii="Times New Roman" w:eastAsia="Calibri" w:hAnsi="Times New Roman" w:cs="Times New Roman"/>
                <w:sz w:val="24"/>
                <w:szCs w:val="24"/>
              </w:rPr>
              <w:fldChar w:fldCharType="end"/>
            </w:r>
          </w:p>
        </w:tc>
        <w:tc>
          <w:tcPr>
            <w:tcW w:w="5427" w:type="dxa"/>
          </w:tcPr>
          <w:p w14:paraId="53DFC0DD"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r w:rsidRPr="004524D5">
              <w:rPr>
                <w:rFonts w:ascii="Times New Roman" w:eastAsia="Calibri" w:hAnsi="Times New Roman" w:cs="Times New Roman"/>
                <w:sz w:val="24"/>
                <w:szCs w:val="24"/>
              </w:rPr>
              <w:t>3.1.1. P</w:t>
            </w:r>
            <w:r w:rsidRPr="004524D5">
              <w:rPr>
                <w:rFonts w:ascii="Times New Roman" w:eastAsia="Times New Roman" w:hAnsi="Times New Roman" w:cs="Times New Roman"/>
                <w:sz w:val="24"/>
                <w:szCs w:val="24"/>
              </w:rPr>
              <w:t>askirstytojo ir centralizuoto generavimo, tinklų ir efektyvaus energijos vartojimo sistemos sąveikumo stiprinimas.</w:t>
            </w:r>
          </w:p>
        </w:tc>
        <w:tc>
          <w:tcPr>
            <w:tcW w:w="733" w:type="dxa"/>
            <w:vAlign w:val="center"/>
          </w:tcPr>
          <w:p w14:paraId="49F6C529"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2EB1BA88" w14:textId="77777777" w:rsidTr="004524D5">
        <w:tc>
          <w:tcPr>
            <w:tcW w:w="2211" w:type="dxa"/>
            <w:vMerge/>
          </w:tcPr>
          <w:p w14:paraId="0236B6FA"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tc>
        <w:tc>
          <w:tcPr>
            <w:tcW w:w="645" w:type="dxa"/>
            <w:vMerge/>
            <w:vAlign w:val="center"/>
          </w:tcPr>
          <w:p w14:paraId="08165783"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p>
        </w:tc>
        <w:tc>
          <w:tcPr>
            <w:tcW w:w="5427" w:type="dxa"/>
          </w:tcPr>
          <w:p w14:paraId="5C27E307"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r w:rsidRPr="004524D5">
              <w:rPr>
                <w:rFonts w:ascii="Times New Roman" w:eastAsia="Calibri" w:hAnsi="Times New Roman" w:cs="Times New Roman"/>
                <w:sz w:val="24"/>
                <w:szCs w:val="24"/>
              </w:rPr>
              <w:t xml:space="preserve">3.1.2. </w:t>
            </w:r>
            <w:r w:rsidRPr="004524D5">
              <w:rPr>
                <w:rFonts w:ascii="Times New Roman" w:eastAsia="Times New Roman" w:hAnsi="Times New Roman" w:cs="Times New Roman"/>
                <w:sz w:val="24"/>
                <w:szCs w:val="24"/>
              </w:rPr>
              <w:t xml:space="preserve">Esamų ir naujų galutinių vartotojų poreikių tenkinimas, energijos vartojimo efektyvumo, išmanumo stiprinimas. </w:t>
            </w:r>
          </w:p>
        </w:tc>
        <w:tc>
          <w:tcPr>
            <w:tcW w:w="733" w:type="dxa"/>
            <w:vAlign w:val="center"/>
          </w:tcPr>
          <w:p w14:paraId="013D7B59"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39E35FB6" w14:textId="77777777" w:rsidTr="004524D5">
        <w:tc>
          <w:tcPr>
            <w:tcW w:w="2211" w:type="dxa"/>
            <w:vMerge/>
          </w:tcPr>
          <w:p w14:paraId="734DCBE5"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tc>
        <w:tc>
          <w:tcPr>
            <w:tcW w:w="645" w:type="dxa"/>
            <w:vMerge/>
            <w:vAlign w:val="center"/>
          </w:tcPr>
          <w:p w14:paraId="0A940964"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p>
        </w:tc>
        <w:tc>
          <w:tcPr>
            <w:tcW w:w="5427" w:type="dxa"/>
          </w:tcPr>
          <w:p w14:paraId="6C39007E"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r w:rsidRPr="004524D5">
              <w:rPr>
                <w:rFonts w:ascii="Times New Roman" w:eastAsia="Calibri" w:hAnsi="Times New Roman" w:cs="Times New Roman"/>
                <w:sz w:val="24"/>
                <w:szCs w:val="24"/>
              </w:rPr>
              <w:t>3.1.3. A</w:t>
            </w:r>
            <w:r w:rsidRPr="004524D5">
              <w:rPr>
                <w:rFonts w:ascii="Times New Roman" w:eastAsia="Times New Roman" w:hAnsi="Times New Roman" w:cs="Times New Roman"/>
                <w:sz w:val="24"/>
                <w:szCs w:val="24"/>
              </w:rPr>
              <w:t>tsinaujinančiųjų biomasės ir saulės energijos išteklių panaudojimo ir atliekų perdirbimo energijai gauti plėtra.</w:t>
            </w:r>
          </w:p>
        </w:tc>
        <w:tc>
          <w:tcPr>
            <w:tcW w:w="733" w:type="dxa"/>
            <w:vAlign w:val="center"/>
          </w:tcPr>
          <w:p w14:paraId="61D4C055"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0181BA20" w14:textId="77777777" w:rsidTr="004524D5">
        <w:tc>
          <w:tcPr>
            <w:tcW w:w="2211" w:type="dxa"/>
            <w:vMerge w:val="restart"/>
            <w:vAlign w:val="center"/>
          </w:tcPr>
          <w:p w14:paraId="62DB92FF"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b/>
                <w:sz w:val="24"/>
                <w:szCs w:val="24"/>
                <w:lang w:eastAsia="lt-LT"/>
              </w:rPr>
              <w:t xml:space="preserve">3.2. </w:t>
            </w:r>
            <w:r w:rsidRPr="004524D5">
              <w:rPr>
                <w:rFonts w:ascii="Times New Roman" w:eastAsia="Calibri" w:hAnsi="Times New Roman" w:cs="Times New Roman"/>
                <w:b/>
                <w:sz w:val="24"/>
                <w:szCs w:val="24"/>
              </w:rPr>
              <w:t xml:space="preserve">Sveikatos technologijos ir biotechnologijos </w:t>
            </w:r>
          </w:p>
        </w:tc>
        <w:tc>
          <w:tcPr>
            <w:tcW w:w="645" w:type="dxa"/>
            <w:vMerge w:val="restart"/>
            <w:vAlign w:val="center"/>
          </w:tcPr>
          <w:p w14:paraId="1CA31E3A" w14:textId="77777777" w:rsidR="004524D5" w:rsidRDefault="004524D5" w:rsidP="004524D5">
            <w:pPr>
              <w:jc w:val="center"/>
            </w:pPr>
            <w:r w:rsidRPr="000E6140">
              <w:rPr>
                <w:rFonts w:ascii="Times New Roman" w:eastAsia="Calibri" w:hAnsi="Times New Roman" w:cs="Times New Roman"/>
                <w:sz w:val="24"/>
                <w:szCs w:val="24"/>
              </w:rPr>
              <w:fldChar w:fldCharType="begin">
                <w:ffData>
                  <w:name w:val=""/>
                  <w:enabled/>
                  <w:calcOnExit w:val="0"/>
                  <w:checkBox>
                    <w:sizeAuto/>
                    <w:default w:val="0"/>
                  </w:checkBox>
                </w:ffData>
              </w:fldChar>
            </w:r>
            <w:r w:rsidRPr="000E6140">
              <w:rPr>
                <w:rFonts w:ascii="Times New Roman" w:eastAsia="Calibri" w:hAnsi="Times New Roman" w:cs="Times New Roman"/>
                <w:sz w:val="24"/>
                <w:szCs w:val="24"/>
              </w:rPr>
              <w:instrText xml:space="preserve"> FORMCHECKBOX </w:instrText>
            </w:r>
            <w:r w:rsidRPr="000E6140">
              <w:rPr>
                <w:rFonts w:ascii="Times New Roman" w:eastAsia="Calibri" w:hAnsi="Times New Roman" w:cs="Times New Roman"/>
                <w:sz w:val="24"/>
                <w:szCs w:val="24"/>
              </w:rPr>
            </w:r>
            <w:r w:rsidRPr="000E6140">
              <w:rPr>
                <w:rFonts w:ascii="Times New Roman" w:eastAsia="Calibri" w:hAnsi="Times New Roman" w:cs="Times New Roman"/>
                <w:sz w:val="24"/>
                <w:szCs w:val="24"/>
              </w:rPr>
              <w:fldChar w:fldCharType="separate"/>
            </w:r>
            <w:r w:rsidRPr="000E6140">
              <w:rPr>
                <w:rFonts w:ascii="Times New Roman" w:eastAsia="Calibri" w:hAnsi="Times New Roman" w:cs="Times New Roman"/>
                <w:sz w:val="24"/>
                <w:szCs w:val="24"/>
              </w:rPr>
              <w:fldChar w:fldCharType="end"/>
            </w:r>
          </w:p>
        </w:tc>
        <w:tc>
          <w:tcPr>
            <w:tcW w:w="5427" w:type="dxa"/>
          </w:tcPr>
          <w:p w14:paraId="38CB4587"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3.2.1. M</w:t>
            </w:r>
            <w:r w:rsidRPr="004524D5">
              <w:rPr>
                <w:rFonts w:ascii="Times New Roman" w:eastAsia="Calibri" w:hAnsi="Times New Roman" w:cs="Times New Roman"/>
                <w:sz w:val="24"/>
                <w:szCs w:val="24"/>
              </w:rPr>
              <w:t xml:space="preserve">olekulinės technologijos medicinai ir </w:t>
            </w:r>
            <w:proofErr w:type="spellStart"/>
            <w:r w:rsidRPr="004524D5">
              <w:rPr>
                <w:rFonts w:ascii="Times New Roman" w:eastAsia="Calibri" w:hAnsi="Times New Roman" w:cs="Times New Roman"/>
                <w:sz w:val="24"/>
                <w:szCs w:val="24"/>
              </w:rPr>
              <w:t>biofarmacijai</w:t>
            </w:r>
            <w:proofErr w:type="spellEnd"/>
            <w:r w:rsidRPr="004524D5">
              <w:rPr>
                <w:rFonts w:ascii="Times New Roman" w:eastAsia="Calibri" w:hAnsi="Times New Roman" w:cs="Times New Roman"/>
                <w:sz w:val="24"/>
                <w:szCs w:val="24"/>
              </w:rPr>
              <w:t>.</w:t>
            </w:r>
          </w:p>
        </w:tc>
        <w:tc>
          <w:tcPr>
            <w:tcW w:w="733" w:type="dxa"/>
            <w:vAlign w:val="center"/>
          </w:tcPr>
          <w:p w14:paraId="69371732"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33998651" w14:textId="77777777" w:rsidTr="004524D5">
        <w:tc>
          <w:tcPr>
            <w:tcW w:w="2211" w:type="dxa"/>
            <w:vMerge/>
          </w:tcPr>
          <w:p w14:paraId="68CE12BF" w14:textId="77777777" w:rsidR="004524D5" w:rsidRPr="004524D5" w:rsidRDefault="004524D5" w:rsidP="004524D5">
            <w:pPr>
              <w:spacing w:after="0" w:line="240" w:lineRule="auto"/>
              <w:rPr>
                <w:rFonts w:ascii="Times New Roman" w:eastAsia="Times New Roman" w:hAnsi="Times New Roman" w:cs="Times New Roman"/>
                <w:sz w:val="24"/>
                <w:szCs w:val="24"/>
                <w:lang w:eastAsia="lt-LT"/>
              </w:rPr>
            </w:pPr>
          </w:p>
        </w:tc>
        <w:tc>
          <w:tcPr>
            <w:tcW w:w="645" w:type="dxa"/>
            <w:vMerge/>
            <w:vAlign w:val="center"/>
          </w:tcPr>
          <w:p w14:paraId="44B22146"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p>
        </w:tc>
        <w:tc>
          <w:tcPr>
            <w:tcW w:w="5427" w:type="dxa"/>
          </w:tcPr>
          <w:p w14:paraId="00B3515A"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 xml:space="preserve">3.2.2. </w:t>
            </w:r>
            <w:r w:rsidRPr="004524D5">
              <w:rPr>
                <w:rFonts w:ascii="Times New Roman" w:eastAsia="Calibri" w:hAnsi="Times New Roman" w:cs="Times New Roman"/>
                <w:sz w:val="24"/>
                <w:szCs w:val="24"/>
              </w:rPr>
              <w:t>Pažangios taikomosios technologijos asmens ir visuomenės sveikatai.</w:t>
            </w:r>
          </w:p>
        </w:tc>
        <w:tc>
          <w:tcPr>
            <w:tcW w:w="733" w:type="dxa"/>
            <w:vAlign w:val="center"/>
          </w:tcPr>
          <w:p w14:paraId="7A4491C7"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7C8878C2" w14:textId="77777777" w:rsidTr="004524D5">
        <w:tc>
          <w:tcPr>
            <w:tcW w:w="2211" w:type="dxa"/>
            <w:vMerge/>
          </w:tcPr>
          <w:p w14:paraId="23C29C95" w14:textId="77777777" w:rsidR="004524D5" w:rsidRPr="004524D5" w:rsidRDefault="004524D5" w:rsidP="004524D5">
            <w:pPr>
              <w:spacing w:after="0" w:line="240" w:lineRule="auto"/>
              <w:rPr>
                <w:rFonts w:ascii="Times New Roman" w:eastAsia="Times New Roman" w:hAnsi="Times New Roman" w:cs="Times New Roman"/>
                <w:sz w:val="24"/>
                <w:szCs w:val="24"/>
                <w:lang w:eastAsia="lt-LT"/>
              </w:rPr>
            </w:pPr>
          </w:p>
        </w:tc>
        <w:tc>
          <w:tcPr>
            <w:tcW w:w="645" w:type="dxa"/>
            <w:vMerge/>
            <w:vAlign w:val="center"/>
          </w:tcPr>
          <w:p w14:paraId="7BFDBAB8"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p>
        </w:tc>
        <w:tc>
          <w:tcPr>
            <w:tcW w:w="5427" w:type="dxa"/>
          </w:tcPr>
          <w:p w14:paraId="4FF126B2"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3.2.3. P</w:t>
            </w:r>
            <w:r w:rsidRPr="004524D5">
              <w:rPr>
                <w:rFonts w:ascii="Times New Roman" w:eastAsia="Calibri" w:hAnsi="Times New Roman" w:cs="Times New Roman"/>
                <w:sz w:val="24"/>
                <w:szCs w:val="24"/>
              </w:rPr>
              <w:t>ažangi medicinos inžinerija ankstyvai diagnostikai ir gydymui.</w:t>
            </w:r>
          </w:p>
        </w:tc>
        <w:tc>
          <w:tcPr>
            <w:tcW w:w="733" w:type="dxa"/>
            <w:vAlign w:val="center"/>
          </w:tcPr>
          <w:p w14:paraId="71664C42"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36E0D822" w14:textId="77777777" w:rsidTr="004524D5">
        <w:tc>
          <w:tcPr>
            <w:tcW w:w="2211" w:type="dxa"/>
            <w:vMerge w:val="restart"/>
            <w:vAlign w:val="center"/>
          </w:tcPr>
          <w:p w14:paraId="1A8DA330"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b/>
                <w:sz w:val="24"/>
                <w:szCs w:val="24"/>
                <w:lang w:eastAsia="lt-LT"/>
              </w:rPr>
              <w:t xml:space="preserve">3.3. </w:t>
            </w:r>
            <w:proofErr w:type="spellStart"/>
            <w:r w:rsidRPr="004524D5">
              <w:rPr>
                <w:rFonts w:ascii="Times New Roman" w:eastAsia="Calibri" w:hAnsi="Times New Roman" w:cs="Times New Roman"/>
                <w:b/>
                <w:sz w:val="24"/>
                <w:szCs w:val="24"/>
              </w:rPr>
              <w:t>Agroinovacijos</w:t>
            </w:r>
            <w:proofErr w:type="spellEnd"/>
            <w:r w:rsidRPr="004524D5">
              <w:rPr>
                <w:rFonts w:ascii="Times New Roman" w:eastAsia="Calibri" w:hAnsi="Times New Roman" w:cs="Times New Roman"/>
                <w:b/>
                <w:sz w:val="24"/>
                <w:szCs w:val="24"/>
              </w:rPr>
              <w:t xml:space="preserve"> ir maisto technologijos </w:t>
            </w:r>
          </w:p>
        </w:tc>
        <w:tc>
          <w:tcPr>
            <w:tcW w:w="645" w:type="dxa"/>
            <w:vMerge w:val="restart"/>
            <w:vAlign w:val="center"/>
          </w:tcPr>
          <w:p w14:paraId="46BA33E4" w14:textId="77777777" w:rsidR="004524D5" w:rsidRDefault="004524D5" w:rsidP="004524D5">
            <w:pPr>
              <w:jc w:val="center"/>
            </w:pPr>
            <w:r w:rsidRPr="000E6140">
              <w:rPr>
                <w:rFonts w:ascii="Times New Roman" w:eastAsia="Calibri" w:hAnsi="Times New Roman" w:cs="Times New Roman"/>
                <w:sz w:val="24"/>
                <w:szCs w:val="24"/>
              </w:rPr>
              <w:fldChar w:fldCharType="begin">
                <w:ffData>
                  <w:name w:val=""/>
                  <w:enabled/>
                  <w:calcOnExit w:val="0"/>
                  <w:checkBox>
                    <w:sizeAuto/>
                    <w:default w:val="0"/>
                  </w:checkBox>
                </w:ffData>
              </w:fldChar>
            </w:r>
            <w:r w:rsidRPr="000E6140">
              <w:rPr>
                <w:rFonts w:ascii="Times New Roman" w:eastAsia="Calibri" w:hAnsi="Times New Roman" w:cs="Times New Roman"/>
                <w:sz w:val="24"/>
                <w:szCs w:val="24"/>
              </w:rPr>
              <w:instrText xml:space="preserve"> FORMCHECKBOX </w:instrText>
            </w:r>
            <w:r w:rsidRPr="000E6140">
              <w:rPr>
                <w:rFonts w:ascii="Times New Roman" w:eastAsia="Calibri" w:hAnsi="Times New Roman" w:cs="Times New Roman"/>
                <w:sz w:val="24"/>
                <w:szCs w:val="24"/>
              </w:rPr>
            </w:r>
            <w:r w:rsidRPr="000E6140">
              <w:rPr>
                <w:rFonts w:ascii="Times New Roman" w:eastAsia="Calibri" w:hAnsi="Times New Roman" w:cs="Times New Roman"/>
                <w:sz w:val="24"/>
                <w:szCs w:val="24"/>
              </w:rPr>
              <w:fldChar w:fldCharType="separate"/>
            </w:r>
            <w:r w:rsidRPr="000E6140">
              <w:rPr>
                <w:rFonts w:ascii="Times New Roman" w:eastAsia="Calibri" w:hAnsi="Times New Roman" w:cs="Times New Roman"/>
                <w:sz w:val="24"/>
                <w:szCs w:val="24"/>
              </w:rPr>
              <w:fldChar w:fldCharType="end"/>
            </w:r>
          </w:p>
        </w:tc>
        <w:tc>
          <w:tcPr>
            <w:tcW w:w="5427" w:type="dxa"/>
          </w:tcPr>
          <w:p w14:paraId="7065884B"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3.3.1. T</w:t>
            </w:r>
            <w:r w:rsidRPr="004524D5">
              <w:rPr>
                <w:rFonts w:ascii="Times New Roman" w:eastAsia="Calibri" w:hAnsi="Times New Roman" w:cs="Times New Roman"/>
                <w:sz w:val="24"/>
                <w:szCs w:val="24"/>
              </w:rPr>
              <w:t xml:space="preserve">varūs </w:t>
            </w:r>
            <w:proofErr w:type="spellStart"/>
            <w:r w:rsidRPr="004524D5">
              <w:rPr>
                <w:rFonts w:ascii="Times New Roman" w:eastAsia="Calibri" w:hAnsi="Times New Roman" w:cs="Times New Roman"/>
                <w:sz w:val="24"/>
                <w:szCs w:val="24"/>
              </w:rPr>
              <w:t>agrobiologiniai</w:t>
            </w:r>
            <w:proofErr w:type="spellEnd"/>
            <w:r w:rsidRPr="004524D5">
              <w:rPr>
                <w:rFonts w:ascii="Times New Roman" w:eastAsia="Calibri" w:hAnsi="Times New Roman" w:cs="Times New Roman"/>
                <w:sz w:val="24"/>
                <w:szCs w:val="24"/>
              </w:rPr>
              <w:t xml:space="preserve"> ištekliai ir saugus maistas.</w:t>
            </w:r>
          </w:p>
        </w:tc>
        <w:tc>
          <w:tcPr>
            <w:tcW w:w="733" w:type="dxa"/>
            <w:vAlign w:val="center"/>
          </w:tcPr>
          <w:p w14:paraId="022A969E"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089446D6" w14:textId="77777777" w:rsidTr="004524D5">
        <w:tc>
          <w:tcPr>
            <w:tcW w:w="2211" w:type="dxa"/>
            <w:vMerge/>
          </w:tcPr>
          <w:p w14:paraId="6AD054B0"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p>
        </w:tc>
        <w:tc>
          <w:tcPr>
            <w:tcW w:w="645" w:type="dxa"/>
            <w:vMerge/>
            <w:vAlign w:val="center"/>
          </w:tcPr>
          <w:p w14:paraId="554DC797"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p>
        </w:tc>
        <w:tc>
          <w:tcPr>
            <w:tcW w:w="5427" w:type="dxa"/>
          </w:tcPr>
          <w:p w14:paraId="23EEDC2D"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3.3.2. B</w:t>
            </w:r>
            <w:r w:rsidRPr="004524D5">
              <w:rPr>
                <w:rFonts w:ascii="Times New Roman" w:eastAsia="Times New Roman" w:hAnsi="Times New Roman" w:cs="Times New Roman"/>
                <w:sz w:val="24"/>
                <w:szCs w:val="24"/>
              </w:rPr>
              <w:t xml:space="preserve">eatliekis </w:t>
            </w:r>
            <w:proofErr w:type="spellStart"/>
            <w:r w:rsidRPr="004524D5">
              <w:rPr>
                <w:rFonts w:ascii="Times New Roman" w:eastAsia="Times New Roman" w:hAnsi="Times New Roman" w:cs="Times New Roman"/>
                <w:sz w:val="24"/>
                <w:szCs w:val="24"/>
              </w:rPr>
              <w:t>biožaliavų</w:t>
            </w:r>
            <w:proofErr w:type="spellEnd"/>
            <w:r w:rsidRPr="004524D5">
              <w:rPr>
                <w:rFonts w:ascii="Times New Roman" w:eastAsia="Times New Roman" w:hAnsi="Times New Roman" w:cs="Times New Roman"/>
                <w:sz w:val="24"/>
                <w:szCs w:val="24"/>
              </w:rPr>
              <w:t xml:space="preserve"> perdirbimas į vertingus komponentus.</w:t>
            </w:r>
          </w:p>
        </w:tc>
        <w:tc>
          <w:tcPr>
            <w:tcW w:w="733" w:type="dxa"/>
            <w:vAlign w:val="center"/>
          </w:tcPr>
          <w:p w14:paraId="1D81688A"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4CE6F7F0" w14:textId="77777777" w:rsidTr="004524D5">
        <w:tc>
          <w:tcPr>
            <w:tcW w:w="2211" w:type="dxa"/>
            <w:vMerge w:val="restart"/>
            <w:vAlign w:val="center"/>
          </w:tcPr>
          <w:p w14:paraId="3B6E24E8"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b/>
                <w:sz w:val="24"/>
                <w:szCs w:val="24"/>
                <w:lang w:eastAsia="lt-LT"/>
              </w:rPr>
              <w:t xml:space="preserve">3.4. </w:t>
            </w:r>
            <w:r w:rsidRPr="004524D5">
              <w:rPr>
                <w:rFonts w:ascii="Times New Roman" w:eastAsia="Calibri" w:hAnsi="Times New Roman" w:cs="Times New Roman"/>
                <w:b/>
                <w:sz w:val="24"/>
                <w:szCs w:val="24"/>
              </w:rPr>
              <w:t xml:space="preserve">Nauji gamybos procesai, medžiagos ir technologijos </w:t>
            </w:r>
          </w:p>
        </w:tc>
        <w:tc>
          <w:tcPr>
            <w:tcW w:w="645" w:type="dxa"/>
            <w:vMerge w:val="restart"/>
            <w:vAlign w:val="center"/>
          </w:tcPr>
          <w:p w14:paraId="0B8AB5B8" w14:textId="77777777" w:rsidR="004524D5" w:rsidRDefault="004524D5" w:rsidP="004524D5">
            <w:pPr>
              <w:jc w:val="center"/>
            </w:pPr>
            <w:r w:rsidRPr="000E6140">
              <w:rPr>
                <w:rFonts w:ascii="Times New Roman" w:eastAsia="Calibri" w:hAnsi="Times New Roman" w:cs="Times New Roman"/>
                <w:sz w:val="24"/>
                <w:szCs w:val="24"/>
              </w:rPr>
              <w:fldChar w:fldCharType="begin">
                <w:ffData>
                  <w:name w:val=""/>
                  <w:enabled/>
                  <w:calcOnExit w:val="0"/>
                  <w:checkBox>
                    <w:sizeAuto/>
                    <w:default w:val="0"/>
                  </w:checkBox>
                </w:ffData>
              </w:fldChar>
            </w:r>
            <w:r w:rsidRPr="000E6140">
              <w:rPr>
                <w:rFonts w:ascii="Times New Roman" w:eastAsia="Calibri" w:hAnsi="Times New Roman" w:cs="Times New Roman"/>
                <w:sz w:val="24"/>
                <w:szCs w:val="24"/>
              </w:rPr>
              <w:instrText xml:space="preserve"> FORMCHECKBOX </w:instrText>
            </w:r>
            <w:r w:rsidRPr="000E6140">
              <w:rPr>
                <w:rFonts w:ascii="Times New Roman" w:eastAsia="Calibri" w:hAnsi="Times New Roman" w:cs="Times New Roman"/>
                <w:sz w:val="24"/>
                <w:szCs w:val="24"/>
              </w:rPr>
            </w:r>
            <w:r w:rsidRPr="000E6140">
              <w:rPr>
                <w:rFonts w:ascii="Times New Roman" w:eastAsia="Calibri" w:hAnsi="Times New Roman" w:cs="Times New Roman"/>
                <w:sz w:val="24"/>
                <w:szCs w:val="24"/>
              </w:rPr>
              <w:fldChar w:fldCharType="separate"/>
            </w:r>
            <w:r w:rsidRPr="000E6140">
              <w:rPr>
                <w:rFonts w:ascii="Times New Roman" w:eastAsia="Calibri" w:hAnsi="Times New Roman" w:cs="Times New Roman"/>
                <w:sz w:val="24"/>
                <w:szCs w:val="24"/>
              </w:rPr>
              <w:fldChar w:fldCharType="end"/>
            </w:r>
          </w:p>
        </w:tc>
        <w:tc>
          <w:tcPr>
            <w:tcW w:w="5427" w:type="dxa"/>
          </w:tcPr>
          <w:p w14:paraId="636A1AB9"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 xml:space="preserve">3.4.1. </w:t>
            </w:r>
            <w:proofErr w:type="spellStart"/>
            <w:r w:rsidRPr="004524D5">
              <w:rPr>
                <w:rFonts w:ascii="Times New Roman" w:eastAsia="Times New Roman" w:hAnsi="Times New Roman" w:cs="Times New Roman"/>
                <w:sz w:val="24"/>
                <w:szCs w:val="24"/>
                <w:lang w:eastAsia="lt-LT"/>
              </w:rPr>
              <w:t>F</w:t>
            </w:r>
            <w:r w:rsidRPr="004524D5">
              <w:rPr>
                <w:rFonts w:ascii="Times New Roman" w:eastAsia="Calibri" w:hAnsi="Times New Roman" w:cs="Times New Roman"/>
                <w:sz w:val="24"/>
                <w:szCs w:val="24"/>
              </w:rPr>
              <w:t>otoninės</w:t>
            </w:r>
            <w:proofErr w:type="spellEnd"/>
            <w:r w:rsidRPr="004524D5">
              <w:rPr>
                <w:rFonts w:ascii="Times New Roman" w:eastAsia="Calibri" w:hAnsi="Times New Roman" w:cs="Times New Roman"/>
                <w:sz w:val="24"/>
                <w:szCs w:val="24"/>
              </w:rPr>
              <w:t xml:space="preserve"> ir lazerinės technologijos.</w:t>
            </w:r>
          </w:p>
        </w:tc>
        <w:tc>
          <w:tcPr>
            <w:tcW w:w="733" w:type="dxa"/>
            <w:vAlign w:val="center"/>
          </w:tcPr>
          <w:p w14:paraId="789024F6"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75C3E815" w14:textId="77777777" w:rsidTr="004524D5">
        <w:tc>
          <w:tcPr>
            <w:tcW w:w="2211" w:type="dxa"/>
            <w:vMerge/>
          </w:tcPr>
          <w:p w14:paraId="53C294B8"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tc>
        <w:tc>
          <w:tcPr>
            <w:tcW w:w="645" w:type="dxa"/>
            <w:vMerge/>
            <w:vAlign w:val="center"/>
          </w:tcPr>
          <w:p w14:paraId="6AD02B36"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p>
        </w:tc>
        <w:tc>
          <w:tcPr>
            <w:tcW w:w="5427" w:type="dxa"/>
          </w:tcPr>
          <w:p w14:paraId="4F16A4B0"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sz w:val="24"/>
                <w:szCs w:val="24"/>
                <w:lang w:eastAsia="lt-LT"/>
              </w:rPr>
              <w:t>3.4.2. P</w:t>
            </w:r>
            <w:r w:rsidRPr="004524D5">
              <w:rPr>
                <w:rFonts w:ascii="Times New Roman" w:eastAsia="Times New Roman" w:hAnsi="Times New Roman" w:cs="Times New Roman"/>
                <w:sz w:val="24"/>
                <w:szCs w:val="24"/>
              </w:rPr>
              <w:t xml:space="preserve">ažangiosios medžiagos ir konstrukcijos. </w:t>
            </w:r>
          </w:p>
        </w:tc>
        <w:tc>
          <w:tcPr>
            <w:tcW w:w="733" w:type="dxa"/>
            <w:vAlign w:val="center"/>
          </w:tcPr>
          <w:p w14:paraId="32B8C755"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5C0DFDA3" w14:textId="77777777" w:rsidTr="004524D5">
        <w:tc>
          <w:tcPr>
            <w:tcW w:w="2211" w:type="dxa"/>
            <w:vMerge/>
          </w:tcPr>
          <w:p w14:paraId="77AB7685"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tc>
        <w:tc>
          <w:tcPr>
            <w:tcW w:w="645" w:type="dxa"/>
            <w:vMerge/>
            <w:vAlign w:val="center"/>
          </w:tcPr>
          <w:p w14:paraId="07EEC721"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p>
        </w:tc>
        <w:tc>
          <w:tcPr>
            <w:tcW w:w="5427" w:type="dxa"/>
          </w:tcPr>
          <w:p w14:paraId="6E59E55F"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 xml:space="preserve">3.4.3. </w:t>
            </w:r>
            <w:r w:rsidRPr="004524D5">
              <w:rPr>
                <w:rFonts w:ascii="Times New Roman" w:eastAsia="Times New Roman" w:hAnsi="Times New Roman" w:cs="Times New Roman"/>
                <w:sz w:val="24"/>
                <w:szCs w:val="24"/>
              </w:rPr>
              <w:t xml:space="preserve">Lanksčios produktų kūrimo ir gamybos technologijos. </w:t>
            </w:r>
          </w:p>
        </w:tc>
        <w:tc>
          <w:tcPr>
            <w:tcW w:w="733" w:type="dxa"/>
            <w:vAlign w:val="center"/>
          </w:tcPr>
          <w:p w14:paraId="09C16A0C"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1EC22D5D" w14:textId="77777777" w:rsidTr="004524D5">
        <w:tc>
          <w:tcPr>
            <w:tcW w:w="2211" w:type="dxa"/>
            <w:vMerge w:val="restart"/>
            <w:vAlign w:val="center"/>
          </w:tcPr>
          <w:p w14:paraId="1FC847A9"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b/>
                <w:sz w:val="24"/>
                <w:szCs w:val="24"/>
                <w:lang w:eastAsia="lt-LT"/>
              </w:rPr>
              <w:t xml:space="preserve">3.5. </w:t>
            </w:r>
            <w:r w:rsidRPr="004524D5">
              <w:rPr>
                <w:rFonts w:ascii="Times New Roman" w:eastAsia="Times New Roman" w:hAnsi="Times New Roman" w:cs="Times New Roman"/>
                <w:b/>
                <w:sz w:val="24"/>
                <w:szCs w:val="24"/>
              </w:rPr>
              <w:t>Išmanusis, netaršus, susietas transportas</w:t>
            </w:r>
            <w:r w:rsidRPr="004524D5">
              <w:rPr>
                <w:rFonts w:ascii="Times New Roman" w:eastAsia="Times New Roman" w:hAnsi="Times New Roman" w:cs="Times New Roman"/>
                <w:sz w:val="24"/>
                <w:szCs w:val="24"/>
              </w:rPr>
              <w:t xml:space="preserve"> </w:t>
            </w:r>
          </w:p>
        </w:tc>
        <w:tc>
          <w:tcPr>
            <w:tcW w:w="645" w:type="dxa"/>
            <w:vMerge w:val="restart"/>
            <w:vAlign w:val="center"/>
          </w:tcPr>
          <w:p w14:paraId="6171D205" w14:textId="77777777" w:rsidR="004524D5" w:rsidRDefault="004524D5" w:rsidP="004524D5">
            <w:pPr>
              <w:jc w:val="center"/>
            </w:pPr>
            <w:r w:rsidRPr="000E6140">
              <w:rPr>
                <w:rFonts w:ascii="Times New Roman" w:eastAsia="Calibri" w:hAnsi="Times New Roman" w:cs="Times New Roman"/>
                <w:sz w:val="24"/>
                <w:szCs w:val="24"/>
              </w:rPr>
              <w:fldChar w:fldCharType="begin">
                <w:ffData>
                  <w:name w:val=""/>
                  <w:enabled/>
                  <w:calcOnExit w:val="0"/>
                  <w:checkBox>
                    <w:sizeAuto/>
                    <w:default w:val="0"/>
                  </w:checkBox>
                </w:ffData>
              </w:fldChar>
            </w:r>
            <w:r w:rsidRPr="000E6140">
              <w:rPr>
                <w:rFonts w:ascii="Times New Roman" w:eastAsia="Calibri" w:hAnsi="Times New Roman" w:cs="Times New Roman"/>
                <w:sz w:val="24"/>
                <w:szCs w:val="24"/>
              </w:rPr>
              <w:instrText xml:space="preserve"> FORMCHECKBOX </w:instrText>
            </w:r>
            <w:r w:rsidRPr="000E6140">
              <w:rPr>
                <w:rFonts w:ascii="Times New Roman" w:eastAsia="Calibri" w:hAnsi="Times New Roman" w:cs="Times New Roman"/>
                <w:sz w:val="24"/>
                <w:szCs w:val="24"/>
              </w:rPr>
            </w:r>
            <w:r w:rsidRPr="000E6140">
              <w:rPr>
                <w:rFonts w:ascii="Times New Roman" w:eastAsia="Calibri" w:hAnsi="Times New Roman" w:cs="Times New Roman"/>
                <w:sz w:val="24"/>
                <w:szCs w:val="24"/>
              </w:rPr>
              <w:fldChar w:fldCharType="separate"/>
            </w:r>
            <w:r w:rsidRPr="000E6140">
              <w:rPr>
                <w:rFonts w:ascii="Times New Roman" w:eastAsia="Calibri" w:hAnsi="Times New Roman" w:cs="Times New Roman"/>
                <w:sz w:val="24"/>
                <w:szCs w:val="24"/>
              </w:rPr>
              <w:fldChar w:fldCharType="end"/>
            </w:r>
          </w:p>
        </w:tc>
        <w:tc>
          <w:tcPr>
            <w:tcW w:w="5427" w:type="dxa"/>
          </w:tcPr>
          <w:p w14:paraId="6692E96C"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3.5.1. I</w:t>
            </w:r>
            <w:r w:rsidRPr="004524D5">
              <w:rPr>
                <w:rFonts w:ascii="Times New Roman" w:eastAsia="Times New Roman" w:hAnsi="Times New Roman" w:cs="Times New Roman"/>
                <w:sz w:val="24"/>
                <w:szCs w:val="24"/>
              </w:rPr>
              <w:t xml:space="preserve">šmaniosios transporto sistemos. </w:t>
            </w:r>
          </w:p>
        </w:tc>
        <w:tc>
          <w:tcPr>
            <w:tcW w:w="733" w:type="dxa"/>
            <w:vAlign w:val="center"/>
          </w:tcPr>
          <w:p w14:paraId="2D11CBBF"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67F79522" w14:textId="77777777" w:rsidTr="004524D5">
        <w:tc>
          <w:tcPr>
            <w:tcW w:w="2211" w:type="dxa"/>
            <w:vMerge/>
          </w:tcPr>
          <w:p w14:paraId="1A530D7F"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tc>
        <w:tc>
          <w:tcPr>
            <w:tcW w:w="645" w:type="dxa"/>
            <w:vMerge/>
            <w:vAlign w:val="center"/>
          </w:tcPr>
          <w:p w14:paraId="7F398A43" w14:textId="77777777" w:rsidR="004524D5" w:rsidRPr="004524D5" w:rsidRDefault="004524D5" w:rsidP="004524D5">
            <w:pPr>
              <w:spacing w:after="0" w:line="240" w:lineRule="auto"/>
              <w:jc w:val="center"/>
              <w:rPr>
                <w:rFonts w:ascii="Times New Roman" w:eastAsia="Times New Roman" w:hAnsi="Times New Roman" w:cs="Times New Roman"/>
                <w:b/>
                <w:sz w:val="24"/>
                <w:szCs w:val="24"/>
                <w:lang w:eastAsia="lt-LT"/>
              </w:rPr>
            </w:pPr>
          </w:p>
        </w:tc>
        <w:tc>
          <w:tcPr>
            <w:tcW w:w="5427" w:type="dxa"/>
          </w:tcPr>
          <w:p w14:paraId="5D7A3755"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 xml:space="preserve">3.5.2. </w:t>
            </w:r>
            <w:r w:rsidRPr="004524D5">
              <w:rPr>
                <w:rFonts w:ascii="Times New Roman" w:eastAsia="Calibri" w:hAnsi="Times New Roman" w:cs="Times New Roman"/>
                <w:sz w:val="24"/>
                <w:szCs w:val="24"/>
              </w:rPr>
              <w:t>Tarptautinių transporto koridorių valdymo ir transporto rūšių integracijos technologijos (modeliai).</w:t>
            </w:r>
          </w:p>
        </w:tc>
        <w:tc>
          <w:tcPr>
            <w:tcW w:w="733" w:type="dxa"/>
            <w:vAlign w:val="center"/>
          </w:tcPr>
          <w:p w14:paraId="34A98F9F"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751ABF09" w14:textId="77777777" w:rsidTr="004524D5">
        <w:tc>
          <w:tcPr>
            <w:tcW w:w="2211" w:type="dxa"/>
            <w:vMerge w:val="restart"/>
            <w:vAlign w:val="center"/>
          </w:tcPr>
          <w:p w14:paraId="20213968"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b/>
                <w:sz w:val="24"/>
                <w:szCs w:val="24"/>
                <w:lang w:eastAsia="lt-LT"/>
              </w:rPr>
              <w:t xml:space="preserve">3.6. </w:t>
            </w:r>
            <w:r w:rsidRPr="004524D5">
              <w:rPr>
                <w:rFonts w:ascii="Times New Roman" w:eastAsia="Times New Roman" w:hAnsi="Times New Roman" w:cs="Times New Roman"/>
                <w:b/>
                <w:sz w:val="24"/>
                <w:szCs w:val="24"/>
              </w:rPr>
              <w:t xml:space="preserve">Informacinės ir ryšių technologijos </w:t>
            </w:r>
          </w:p>
        </w:tc>
        <w:tc>
          <w:tcPr>
            <w:tcW w:w="645" w:type="dxa"/>
            <w:vMerge w:val="restart"/>
            <w:vAlign w:val="center"/>
          </w:tcPr>
          <w:p w14:paraId="35A40E84" w14:textId="77777777" w:rsidR="004524D5" w:rsidRDefault="004524D5" w:rsidP="004524D5">
            <w:pPr>
              <w:jc w:val="center"/>
            </w:pPr>
            <w:r w:rsidRPr="000E6140">
              <w:rPr>
                <w:rFonts w:ascii="Times New Roman" w:eastAsia="Calibri" w:hAnsi="Times New Roman" w:cs="Times New Roman"/>
                <w:sz w:val="24"/>
                <w:szCs w:val="24"/>
              </w:rPr>
              <w:fldChar w:fldCharType="begin">
                <w:ffData>
                  <w:name w:val=""/>
                  <w:enabled/>
                  <w:calcOnExit w:val="0"/>
                  <w:checkBox>
                    <w:sizeAuto/>
                    <w:default w:val="0"/>
                  </w:checkBox>
                </w:ffData>
              </w:fldChar>
            </w:r>
            <w:r w:rsidRPr="000E6140">
              <w:rPr>
                <w:rFonts w:ascii="Times New Roman" w:eastAsia="Calibri" w:hAnsi="Times New Roman" w:cs="Times New Roman"/>
                <w:sz w:val="24"/>
                <w:szCs w:val="24"/>
              </w:rPr>
              <w:instrText xml:space="preserve"> FORMCHECKBOX </w:instrText>
            </w:r>
            <w:r w:rsidRPr="000E6140">
              <w:rPr>
                <w:rFonts w:ascii="Times New Roman" w:eastAsia="Calibri" w:hAnsi="Times New Roman" w:cs="Times New Roman"/>
                <w:sz w:val="24"/>
                <w:szCs w:val="24"/>
              </w:rPr>
            </w:r>
            <w:r w:rsidRPr="000E6140">
              <w:rPr>
                <w:rFonts w:ascii="Times New Roman" w:eastAsia="Calibri" w:hAnsi="Times New Roman" w:cs="Times New Roman"/>
                <w:sz w:val="24"/>
                <w:szCs w:val="24"/>
              </w:rPr>
              <w:fldChar w:fldCharType="separate"/>
            </w:r>
            <w:r w:rsidRPr="000E6140">
              <w:rPr>
                <w:rFonts w:ascii="Times New Roman" w:eastAsia="Calibri" w:hAnsi="Times New Roman" w:cs="Times New Roman"/>
                <w:sz w:val="24"/>
                <w:szCs w:val="24"/>
              </w:rPr>
              <w:fldChar w:fldCharType="end"/>
            </w:r>
          </w:p>
        </w:tc>
        <w:tc>
          <w:tcPr>
            <w:tcW w:w="5427" w:type="dxa"/>
          </w:tcPr>
          <w:p w14:paraId="71CDBF95"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3.6.1. D</w:t>
            </w:r>
            <w:r w:rsidRPr="004524D5">
              <w:rPr>
                <w:rFonts w:ascii="Times New Roman" w:eastAsia="Times New Roman" w:hAnsi="Times New Roman" w:cs="Times New Roman"/>
                <w:sz w:val="24"/>
                <w:szCs w:val="24"/>
              </w:rPr>
              <w:t>irbtinis intelektas, didieji ir paskirstytieji duomenys.</w:t>
            </w:r>
          </w:p>
        </w:tc>
        <w:tc>
          <w:tcPr>
            <w:tcW w:w="733" w:type="dxa"/>
            <w:vAlign w:val="center"/>
          </w:tcPr>
          <w:p w14:paraId="7D3BAAF7"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2D1FD372" w14:textId="77777777" w:rsidTr="004524D5">
        <w:tc>
          <w:tcPr>
            <w:tcW w:w="2211" w:type="dxa"/>
            <w:vMerge/>
            <w:vAlign w:val="center"/>
          </w:tcPr>
          <w:p w14:paraId="1E1FBF79"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p>
        </w:tc>
        <w:tc>
          <w:tcPr>
            <w:tcW w:w="645" w:type="dxa"/>
            <w:vMerge/>
            <w:vAlign w:val="center"/>
          </w:tcPr>
          <w:p w14:paraId="43013A88" w14:textId="77777777" w:rsidR="004524D5" w:rsidRPr="004524D5" w:rsidRDefault="004524D5" w:rsidP="004524D5">
            <w:pPr>
              <w:spacing w:after="0" w:line="240" w:lineRule="auto"/>
              <w:jc w:val="center"/>
              <w:rPr>
                <w:rFonts w:ascii="Times New Roman" w:eastAsia="Times New Roman" w:hAnsi="Times New Roman" w:cs="Times New Roman"/>
                <w:sz w:val="24"/>
                <w:szCs w:val="24"/>
              </w:rPr>
            </w:pPr>
          </w:p>
        </w:tc>
        <w:tc>
          <w:tcPr>
            <w:tcW w:w="5427" w:type="dxa"/>
          </w:tcPr>
          <w:p w14:paraId="212F4861"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3.6.2. D</w:t>
            </w:r>
            <w:r w:rsidRPr="004524D5">
              <w:rPr>
                <w:rFonts w:ascii="Times New Roman" w:eastAsia="Times New Roman" w:hAnsi="Times New Roman" w:cs="Times New Roman"/>
                <w:sz w:val="24"/>
                <w:szCs w:val="24"/>
              </w:rPr>
              <w:t>aiktų internetas.</w:t>
            </w:r>
          </w:p>
        </w:tc>
        <w:tc>
          <w:tcPr>
            <w:tcW w:w="733" w:type="dxa"/>
            <w:vAlign w:val="center"/>
          </w:tcPr>
          <w:p w14:paraId="2DF863F7"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532D0C92" w14:textId="77777777" w:rsidTr="004524D5">
        <w:tc>
          <w:tcPr>
            <w:tcW w:w="2211" w:type="dxa"/>
            <w:vMerge/>
            <w:vAlign w:val="center"/>
          </w:tcPr>
          <w:p w14:paraId="38FF98A7"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p>
        </w:tc>
        <w:tc>
          <w:tcPr>
            <w:tcW w:w="645" w:type="dxa"/>
            <w:vMerge/>
            <w:vAlign w:val="center"/>
          </w:tcPr>
          <w:p w14:paraId="40900926" w14:textId="77777777" w:rsidR="004524D5" w:rsidRPr="004524D5" w:rsidRDefault="004524D5" w:rsidP="004524D5">
            <w:pPr>
              <w:spacing w:after="0" w:line="240" w:lineRule="auto"/>
              <w:jc w:val="center"/>
              <w:rPr>
                <w:rFonts w:ascii="Times New Roman" w:eastAsia="Times New Roman" w:hAnsi="Times New Roman" w:cs="Times New Roman"/>
                <w:sz w:val="24"/>
                <w:szCs w:val="24"/>
              </w:rPr>
            </w:pPr>
          </w:p>
        </w:tc>
        <w:tc>
          <w:tcPr>
            <w:tcW w:w="5427" w:type="dxa"/>
          </w:tcPr>
          <w:p w14:paraId="70BBBF68"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 xml:space="preserve">3.6.3. </w:t>
            </w:r>
            <w:r w:rsidRPr="004524D5">
              <w:rPr>
                <w:rFonts w:ascii="Times New Roman" w:eastAsia="Times New Roman" w:hAnsi="Times New Roman" w:cs="Times New Roman"/>
                <w:sz w:val="24"/>
                <w:szCs w:val="24"/>
              </w:rPr>
              <w:t>Įvairiarūšė analizė, apdorojimas ir diegimas.</w:t>
            </w:r>
          </w:p>
        </w:tc>
        <w:tc>
          <w:tcPr>
            <w:tcW w:w="733" w:type="dxa"/>
            <w:vAlign w:val="center"/>
          </w:tcPr>
          <w:p w14:paraId="6DAAF95B"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6839294B" w14:textId="77777777" w:rsidTr="004524D5">
        <w:tc>
          <w:tcPr>
            <w:tcW w:w="2211" w:type="dxa"/>
            <w:vMerge/>
            <w:vAlign w:val="center"/>
          </w:tcPr>
          <w:p w14:paraId="02482844"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p>
        </w:tc>
        <w:tc>
          <w:tcPr>
            <w:tcW w:w="645" w:type="dxa"/>
            <w:vMerge/>
            <w:vAlign w:val="center"/>
          </w:tcPr>
          <w:p w14:paraId="253D6969" w14:textId="77777777" w:rsidR="004524D5" w:rsidRPr="004524D5" w:rsidRDefault="004524D5" w:rsidP="004524D5">
            <w:pPr>
              <w:spacing w:after="0" w:line="240" w:lineRule="auto"/>
              <w:jc w:val="center"/>
              <w:rPr>
                <w:rFonts w:ascii="Times New Roman" w:eastAsia="Times New Roman" w:hAnsi="Times New Roman" w:cs="Times New Roman"/>
                <w:sz w:val="24"/>
                <w:szCs w:val="24"/>
              </w:rPr>
            </w:pPr>
          </w:p>
        </w:tc>
        <w:tc>
          <w:tcPr>
            <w:tcW w:w="5427" w:type="dxa"/>
          </w:tcPr>
          <w:p w14:paraId="4001972C"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3.6.4. K</w:t>
            </w:r>
            <w:r w:rsidRPr="004524D5">
              <w:rPr>
                <w:rFonts w:ascii="Times New Roman" w:eastAsia="Times New Roman" w:hAnsi="Times New Roman" w:cs="Times New Roman"/>
                <w:sz w:val="24"/>
                <w:szCs w:val="24"/>
              </w:rPr>
              <w:t>ibernetinis saugumas.</w:t>
            </w:r>
          </w:p>
        </w:tc>
        <w:tc>
          <w:tcPr>
            <w:tcW w:w="733" w:type="dxa"/>
            <w:vAlign w:val="center"/>
          </w:tcPr>
          <w:p w14:paraId="18113C0B"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6F65D640" w14:textId="77777777" w:rsidTr="004524D5">
        <w:tc>
          <w:tcPr>
            <w:tcW w:w="2211" w:type="dxa"/>
            <w:vMerge/>
            <w:vAlign w:val="center"/>
          </w:tcPr>
          <w:p w14:paraId="73F1FE08"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p>
        </w:tc>
        <w:tc>
          <w:tcPr>
            <w:tcW w:w="645" w:type="dxa"/>
            <w:vMerge/>
            <w:vAlign w:val="center"/>
          </w:tcPr>
          <w:p w14:paraId="25AB664E" w14:textId="77777777" w:rsidR="004524D5" w:rsidRPr="004524D5" w:rsidRDefault="004524D5" w:rsidP="004524D5">
            <w:pPr>
              <w:spacing w:after="0" w:line="240" w:lineRule="auto"/>
              <w:jc w:val="center"/>
              <w:rPr>
                <w:rFonts w:ascii="Times New Roman" w:eastAsia="Times New Roman" w:hAnsi="Times New Roman" w:cs="Times New Roman"/>
                <w:sz w:val="24"/>
                <w:szCs w:val="24"/>
              </w:rPr>
            </w:pPr>
          </w:p>
        </w:tc>
        <w:tc>
          <w:tcPr>
            <w:tcW w:w="5427" w:type="dxa"/>
          </w:tcPr>
          <w:p w14:paraId="3B80794E"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 xml:space="preserve">3.6.5. </w:t>
            </w:r>
            <w:r w:rsidRPr="004524D5">
              <w:rPr>
                <w:rFonts w:ascii="Times New Roman" w:eastAsia="Times New Roman" w:hAnsi="Times New Roman" w:cs="Times New Roman"/>
                <w:sz w:val="24"/>
                <w:szCs w:val="24"/>
              </w:rPr>
              <w:t>Finansinės technologijos ir blokų grandinės.</w:t>
            </w:r>
          </w:p>
        </w:tc>
        <w:tc>
          <w:tcPr>
            <w:tcW w:w="733" w:type="dxa"/>
            <w:vAlign w:val="center"/>
          </w:tcPr>
          <w:p w14:paraId="4ABA7D4D"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68B83FC7" w14:textId="77777777" w:rsidTr="004524D5">
        <w:tc>
          <w:tcPr>
            <w:tcW w:w="2211" w:type="dxa"/>
            <w:vMerge w:val="restart"/>
            <w:vAlign w:val="center"/>
          </w:tcPr>
          <w:p w14:paraId="30D948F1" w14:textId="77777777" w:rsidR="004524D5" w:rsidRPr="004524D5" w:rsidRDefault="004524D5" w:rsidP="004524D5">
            <w:pPr>
              <w:spacing w:after="0" w:line="240" w:lineRule="auto"/>
              <w:rPr>
                <w:rFonts w:ascii="Times New Roman" w:eastAsia="Calibri" w:hAnsi="Times New Roman" w:cs="Times New Roman"/>
                <w:b/>
                <w:sz w:val="24"/>
                <w:szCs w:val="24"/>
              </w:rPr>
            </w:pPr>
            <w:r w:rsidRPr="004524D5">
              <w:rPr>
                <w:rFonts w:ascii="Times New Roman" w:eastAsia="Times New Roman" w:hAnsi="Times New Roman" w:cs="Times New Roman"/>
                <w:b/>
                <w:sz w:val="24"/>
                <w:szCs w:val="24"/>
                <w:lang w:eastAsia="lt-LT"/>
              </w:rPr>
              <w:t xml:space="preserve">3.7. </w:t>
            </w:r>
            <w:r w:rsidRPr="004524D5">
              <w:rPr>
                <w:rFonts w:ascii="Times New Roman" w:eastAsia="Calibri" w:hAnsi="Times New Roman" w:cs="Times New Roman"/>
                <w:b/>
                <w:sz w:val="24"/>
                <w:szCs w:val="24"/>
              </w:rPr>
              <w:t xml:space="preserve">Įtrauki ir kūrybinga visuomenė </w:t>
            </w:r>
          </w:p>
        </w:tc>
        <w:tc>
          <w:tcPr>
            <w:tcW w:w="645" w:type="dxa"/>
            <w:vMerge w:val="restart"/>
            <w:vAlign w:val="center"/>
          </w:tcPr>
          <w:p w14:paraId="1AD00A6A" w14:textId="77777777" w:rsidR="004524D5" w:rsidRDefault="004524D5" w:rsidP="004524D5">
            <w:pPr>
              <w:jc w:val="center"/>
            </w:pPr>
            <w:r w:rsidRPr="000E6140">
              <w:rPr>
                <w:rFonts w:ascii="Times New Roman" w:eastAsia="Calibri" w:hAnsi="Times New Roman" w:cs="Times New Roman"/>
                <w:sz w:val="24"/>
                <w:szCs w:val="24"/>
              </w:rPr>
              <w:fldChar w:fldCharType="begin">
                <w:ffData>
                  <w:name w:val=""/>
                  <w:enabled/>
                  <w:calcOnExit w:val="0"/>
                  <w:checkBox>
                    <w:sizeAuto/>
                    <w:default w:val="0"/>
                  </w:checkBox>
                </w:ffData>
              </w:fldChar>
            </w:r>
            <w:r w:rsidRPr="000E6140">
              <w:rPr>
                <w:rFonts w:ascii="Times New Roman" w:eastAsia="Calibri" w:hAnsi="Times New Roman" w:cs="Times New Roman"/>
                <w:sz w:val="24"/>
                <w:szCs w:val="24"/>
              </w:rPr>
              <w:instrText xml:space="preserve"> FORMCHECKBOX </w:instrText>
            </w:r>
            <w:r w:rsidRPr="000E6140">
              <w:rPr>
                <w:rFonts w:ascii="Times New Roman" w:eastAsia="Calibri" w:hAnsi="Times New Roman" w:cs="Times New Roman"/>
                <w:sz w:val="24"/>
                <w:szCs w:val="24"/>
              </w:rPr>
            </w:r>
            <w:r w:rsidRPr="000E6140">
              <w:rPr>
                <w:rFonts w:ascii="Times New Roman" w:eastAsia="Calibri" w:hAnsi="Times New Roman" w:cs="Times New Roman"/>
                <w:sz w:val="24"/>
                <w:szCs w:val="24"/>
              </w:rPr>
              <w:fldChar w:fldCharType="separate"/>
            </w:r>
            <w:r w:rsidRPr="000E6140">
              <w:rPr>
                <w:rFonts w:ascii="Times New Roman" w:eastAsia="Calibri" w:hAnsi="Times New Roman" w:cs="Times New Roman"/>
                <w:sz w:val="24"/>
                <w:szCs w:val="24"/>
              </w:rPr>
              <w:fldChar w:fldCharType="end"/>
            </w:r>
          </w:p>
        </w:tc>
        <w:tc>
          <w:tcPr>
            <w:tcW w:w="5427" w:type="dxa"/>
          </w:tcPr>
          <w:p w14:paraId="3A2C3536"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3.7.1. M</w:t>
            </w:r>
            <w:r w:rsidRPr="004524D5">
              <w:rPr>
                <w:rFonts w:ascii="Times New Roman" w:eastAsia="Calibri" w:hAnsi="Times New Roman" w:cs="Times New Roman"/>
                <w:sz w:val="24"/>
                <w:szCs w:val="24"/>
              </w:rPr>
              <w:t>odernios ugdymosi technologijos ir procesai.</w:t>
            </w:r>
          </w:p>
        </w:tc>
        <w:tc>
          <w:tcPr>
            <w:tcW w:w="733" w:type="dxa"/>
            <w:vAlign w:val="center"/>
          </w:tcPr>
          <w:p w14:paraId="4D023501"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22205EB5" w14:textId="77777777" w:rsidTr="004524D5">
        <w:tc>
          <w:tcPr>
            <w:tcW w:w="2211" w:type="dxa"/>
            <w:vMerge/>
            <w:vAlign w:val="center"/>
          </w:tcPr>
          <w:p w14:paraId="7F739C04"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p>
        </w:tc>
        <w:tc>
          <w:tcPr>
            <w:tcW w:w="645" w:type="dxa"/>
            <w:vMerge/>
            <w:vAlign w:val="center"/>
          </w:tcPr>
          <w:p w14:paraId="113546C8" w14:textId="77777777" w:rsidR="004524D5" w:rsidRPr="004524D5" w:rsidRDefault="004524D5" w:rsidP="004524D5">
            <w:pPr>
              <w:spacing w:after="0" w:line="240" w:lineRule="auto"/>
              <w:jc w:val="center"/>
              <w:rPr>
                <w:rFonts w:ascii="Times New Roman" w:eastAsia="Times New Roman" w:hAnsi="Times New Roman" w:cs="Times New Roman"/>
                <w:sz w:val="24"/>
                <w:szCs w:val="24"/>
              </w:rPr>
            </w:pPr>
          </w:p>
        </w:tc>
        <w:tc>
          <w:tcPr>
            <w:tcW w:w="5427" w:type="dxa"/>
          </w:tcPr>
          <w:p w14:paraId="43E92DEA"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 xml:space="preserve">3.7.2. </w:t>
            </w:r>
            <w:r w:rsidRPr="004524D5">
              <w:rPr>
                <w:rFonts w:ascii="Times New Roman" w:eastAsia="Times New Roman" w:hAnsi="Times New Roman" w:cs="Times New Roman"/>
                <w:sz w:val="24"/>
                <w:szCs w:val="24"/>
              </w:rPr>
              <w:t>Dizaino ir audiovizualinių medijų technologijos ir produktai.</w:t>
            </w:r>
          </w:p>
        </w:tc>
        <w:tc>
          <w:tcPr>
            <w:tcW w:w="733" w:type="dxa"/>
            <w:vAlign w:val="center"/>
          </w:tcPr>
          <w:p w14:paraId="639339E1"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464A23F8" w14:textId="77777777" w:rsidTr="004524D5">
        <w:tc>
          <w:tcPr>
            <w:tcW w:w="2211" w:type="dxa"/>
            <w:vMerge/>
            <w:vAlign w:val="center"/>
          </w:tcPr>
          <w:p w14:paraId="4EDE03CB" w14:textId="77777777" w:rsidR="004524D5" w:rsidRPr="004524D5" w:rsidRDefault="004524D5" w:rsidP="004524D5">
            <w:pPr>
              <w:spacing w:after="0" w:line="240" w:lineRule="auto"/>
              <w:rPr>
                <w:rFonts w:ascii="Times New Roman" w:eastAsia="Times New Roman" w:hAnsi="Times New Roman" w:cs="Times New Roman"/>
                <w:b/>
                <w:sz w:val="24"/>
                <w:szCs w:val="24"/>
                <w:lang w:eastAsia="lt-LT"/>
              </w:rPr>
            </w:pPr>
          </w:p>
        </w:tc>
        <w:tc>
          <w:tcPr>
            <w:tcW w:w="645" w:type="dxa"/>
            <w:vMerge/>
            <w:vAlign w:val="center"/>
          </w:tcPr>
          <w:p w14:paraId="36446BDF" w14:textId="77777777" w:rsidR="004524D5" w:rsidRPr="004524D5" w:rsidRDefault="004524D5" w:rsidP="004524D5">
            <w:pPr>
              <w:spacing w:after="0" w:line="240" w:lineRule="auto"/>
              <w:jc w:val="center"/>
              <w:rPr>
                <w:rFonts w:ascii="Times New Roman" w:eastAsia="Times New Roman" w:hAnsi="Times New Roman" w:cs="Times New Roman"/>
                <w:sz w:val="24"/>
                <w:szCs w:val="24"/>
              </w:rPr>
            </w:pPr>
          </w:p>
        </w:tc>
        <w:tc>
          <w:tcPr>
            <w:tcW w:w="5427" w:type="dxa"/>
          </w:tcPr>
          <w:p w14:paraId="79EB1DC7"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3.7.3. S</w:t>
            </w:r>
            <w:r w:rsidRPr="004524D5">
              <w:rPr>
                <w:rFonts w:ascii="Times New Roman" w:eastAsia="Times New Roman" w:hAnsi="Times New Roman" w:cs="Times New Roman"/>
                <w:sz w:val="24"/>
                <w:szCs w:val="24"/>
              </w:rPr>
              <w:t xml:space="preserve">ocialinės ir kultūrinės inovacijos visuomenės vystymo produktams ir paslaugoms kurti,  novatoriški verslo modeliai. </w:t>
            </w:r>
          </w:p>
        </w:tc>
        <w:tc>
          <w:tcPr>
            <w:tcW w:w="733" w:type="dxa"/>
            <w:vAlign w:val="center"/>
          </w:tcPr>
          <w:p w14:paraId="4BE25E58"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r w:rsidR="004524D5" w:rsidRPr="004524D5" w14:paraId="49C0B02A" w14:textId="77777777" w:rsidTr="004524D5">
        <w:trPr>
          <w:trHeight w:val="624"/>
        </w:trPr>
        <w:tc>
          <w:tcPr>
            <w:tcW w:w="2211" w:type="dxa"/>
            <w:vMerge/>
          </w:tcPr>
          <w:p w14:paraId="2552BE4E"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tc>
        <w:tc>
          <w:tcPr>
            <w:tcW w:w="645" w:type="dxa"/>
            <w:vMerge/>
          </w:tcPr>
          <w:p w14:paraId="725B8EAC"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tc>
        <w:tc>
          <w:tcPr>
            <w:tcW w:w="5427" w:type="dxa"/>
          </w:tcPr>
          <w:p w14:paraId="3D7D629B" w14:textId="77777777" w:rsidR="004524D5" w:rsidRPr="004524D5" w:rsidRDefault="004524D5" w:rsidP="004524D5">
            <w:pPr>
              <w:spacing w:after="0" w:line="240" w:lineRule="auto"/>
              <w:jc w:val="both"/>
              <w:rPr>
                <w:rFonts w:ascii="Times New Roman" w:eastAsia="Times New Roman" w:hAnsi="Times New Roman" w:cs="Times New Roman"/>
                <w:sz w:val="24"/>
                <w:szCs w:val="24"/>
                <w:lang w:eastAsia="lt-LT"/>
              </w:rPr>
            </w:pPr>
            <w:r w:rsidRPr="004524D5">
              <w:rPr>
                <w:rFonts w:ascii="Times New Roman" w:eastAsia="Times New Roman" w:hAnsi="Times New Roman" w:cs="Times New Roman"/>
                <w:sz w:val="24"/>
                <w:szCs w:val="24"/>
                <w:lang w:eastAsia="lt-LT"/>
              </w:rPr>
              <w:t>3.7.4. L</w:t>
            </w:r>
            <w:r w:rsidRPr="004524D5">
              <w:rPr>
                <w:rFonts w:ascii="Times New Roman" w:eastAsia="Times New Roman" w:hAnsi="Times New Roman" w:cs="Times New Roman"/>
                <w:sz w:val="24"/>
                <w:szCs w:val="24"/>
              </w:rPr>
              <w:t>anksčiosios ir taikomosios procesų valdymo technologijos.</w:t>
            </w:r>
            <w:r w:rsidRPr="004524D5">
              <w:rPr>
                <w:rFonts w:ascii="Times New Roman" w:eastAsia="Calibri" w:hAnsi="Times New Roman" w:cs="Times New Roman"/>
                <w:sz w:val="24"/>
                <w:szCs w:val="24"/>
              </w:rPr>
              <w:t xml:space="preserve"> </w:t>
            </w:r>
          </w:p>
        </w:tc>
        <w:tc>
          <w:tcPr>
            <w:tcW w:w="733" w:type="dxa"/>
            <w:vAlign w:val="center"/>
          </w:tcPr>
          <w:p w14:paraId="0E3CB38C" w14:textId="77777777" w:rsidR="004524D5" w:rsidRDefault="004524D5" w:rsidP="004524D5">
            <w:pPr>
              <w:jc w:val="center"/>
            </w:pPr>
            <w:r w:rsidRPr="00C62FFD">
              <w:rPr>
                <w:rFonts w:ascii="Times New Roman" w:eastAsia="Calibri" w:hAnsi="Times New Roman" w:cs="Times New Roman"/>
                <w:sz w:val="24"/>
                <w:szCs w:val="24"/>
              </w:rPr>
              <w:fldChar w:fldCharType="begin">
                <w:ffData>
                  <w:name w:val=""/>
                  <w:enabled/>
                  <w:calcOnExit w:val="0"/>
                  <w:checkBox>
                    <w:sizeAuto/>
                    <w:default w:val="0"/>
                  </w:checkBox>
                </w:ffData>
              </w:fldChar>
            </w:r>
            <w:r w:rsidRPr="00C62FFD">
              <w:rPr>
                <w:rFonts w:ascii="Times New Roman" w:eastAsia="Calibri" w:hAnsi="Times New Roman" w:cs="Times New Roman"/>
                <w:sz w:val="24"/>
                <w:szCs w:val="24"/>
              </w:rPr>
              <w:instrText xml:space="preserve"> FORMCHECKBOX </w:instrText>
            </w:r>
            <w:r w:rsidRPr="00C62FFD">
              <w:rPr>
                <w:rFonts w:ascii="Times New Roman" w:eastAsia="Calibri" w:hAnsi="Times New Roman" w:cs="Times New Roman"/>
                <w:sz w:val="24"/>
                <w:szCs w:val="24"/>
              </w:rPr>
            </w:r>
            <w:r w:rsidRPr="00C62FFD">
              <w:rPr>
                <w:rFonts w:ascii="Times New Roman" w:eastAsia="Calibri" w:hAnsi="Times New Roman" w:cs="Times New Roman"/>
                <w:sz w:val="24"/>
                <w:szCs w:val="24"/>
              </w:rPr>
              <w:fldChar w:fldCharType="separate"/>
            </w:r>
            <w:r w:rsidRPr="00C62FFD">
              <w:rPr>
                <w:rFonts w:ascii="Times New Roman" w:eastAsia="Calibri" w:hAnsi="Times New Roman" w:cs="Times New Roman"/>
                <w:sz w:val="24"/>
                <w:szCs w:val="24"/>
              </w:rPr>
              <w:fldChar w:fldCharType="end"/>
            </w:r>
          </w:p>
        </w:tc>
      </w:tr>
    </w:tbl>
    <w:p w14:paraId="00331ED7" w14:textId="77777777" w:rsidR="004524D5" w:rsidRPr="004524D5" w:rsidRDefault="004524D5" w:rsidP="004524D5">
      <w:pPr>
        <w:spacing w:after="0" w:line="240" w:lineRule="auto"/>
        <w:rPr>
          <w:rFonts w:ascii="Times New Roman" w:eastAsia="Calibri" w:hAnsi="Times New Roman" w:cs="Times New Roman"/>
          <w:sz w:val="24"/>
          <w:szCs w:val="24"/>
        </w:rPr>
      </w:pPr>
    </w:p>
    <w:p w14:paraId="4432E0F1" w14:textId="77777777" w:rsidR="004524D5" w:rsidRPr="004524D5" w:rsidRDefault="004524D5" w:rsidP="004524D5">
      <w:pPr>
        <w:spacing w:after="0" w:line="240" w:lineRule="auto"/>
        <w:rPr>
          <w:rFonts w:ascii="Times New Roman" w:eastAsia="MS Mincho" w:hAnsi="Times New Roman" w:cs="Times New Roman"/>
          <w:i/>
          <w:iCs/>
          <w:sz w:val="20"/>
          <w:szCs w:val="20"/>
        </w:rPr>
      </w:pPr>
      <w:r w:rsidRPr="004524D5">
        <w:rPr>
          <w:rFonts w:ascii="Times New Roman" w:eastAsia="MS Mincho" w:hAnsi="Times New Roman" w:cs="Times New Roman"/>
          <w:i/>
          <w:iCs/>
          <w:sz w:val="20"/>
          <w:szCs w:val="20"/>
        </w:rPr>
        <w:t>Punkto pakeitimai:</w:t>
      </w:r>
    </w:p>
    <w:p w14:paraId="6EEC584A" w14:textId="77777777" w:rsidR="004524D5" w:rsidRPr="004524D5" w:rsidRDefault="004524D5" w:rsidP="004524D5">
      <w:pPr>
        <w:spacing w:after="0" w:line="240" w:lineRule="auto"/>
        <w:jc w:val="both"/>
        <w:rPr>
          <w:rFonts w:ascii="Times New Roman" w:eastAsia="MS Mincho" w:hAnsi="Times New Roman" w:cs="Times New Roman"/>
          <w:i/>
          <w:iCs/>
          <w:sz w:val="20"/>
          <w:szCs w:val="20"/>
        </w:rPr>
      </w:pPr>
      <w:r w:rsidRPr="004524D5">
        <w:rPr>
          <w:rFonts w:ascii="Times New Roman" w:eastAsia="MS Mincho" w:hAnsi="Times New Roman" w:cs="Times New Roman"/>
          <w:i/>
          <w:iCs/>
          <w:sz w:val="20"/>
          <w:szCs w:val="20"/>
        </w:rPr>
        <w:t xml:space="preserve">Nr. </w:t>
      </w:r>
      <w:hyperlink r:id="rId7" w:history="1">
        <w:r w:rsidRPr="004524D5">
          <w:rPr>
            <w:rFonts w:ascii="Times New Roman" w:eastAsia="MS Mincho" w:hAnsi="Times New Roman" w:cs="Times New Roman"/>
            <w:i/>
            <w:iCs/>
            <w:color w:val="0563C1"/>
            <w:sz w:val="20"/>
            <w:szCs w:val="20"/>
            <w:u w:val="single"/>
          </w:rPr>
          <w:t>4-550</w:t>
        </w:r>
      </w:hyperlink>
      <w:r w:rsidRPr="004524D5">
        <w:rPr>
          <w:rFonts w:ascii="Times New Roman" w:eastAsia="MS Mincho" w:hAnsi="Times New Roman" w:cs="Times New Roman"/>
          <w:i/>
          <w:iCs/>
          <w:sz w:val="20"/>
          <w:szCs w:val="20"/>
        </w:rPr>
        <w:t>, 2019-09-26, paskelbta TAR 2019-09-27, i. k. 2019-15272</w:t>
      </w:r>
    </w:p>
    <w:p w14:paraId="7C03F5D5" w14:textId="77777777" w:rsidR="004524D5" w:rsidRPr="004524D5" w:rsidRDefault="004524D5" w:rsidP="004524D5">
      <w:pPr>
        <w:spacing w:after="0" w:line="240" w:lineRule="auto"/>
        <w:rPr>
          <w:rFonts w:ascii="Times New Roman" w:eastAsia="Times New Roman" w:hAnsi="Times New Roman" w:cs="Times New Roman"/>
          <w:sz w:val="24"/>
          <w:szCs w:val="20"/>
        </w:rPr>
      </w:pPr>
    </w:p>
    <w:p w14:paraId="3EFADC66" w14:textId="77777777" w:rsidR="004524D5" w:rsidRPr="004524D5" w:rsidRDefault="004524D5" w:rsidP="004524D5">
      <w:pPr>
        <w:tabs>
          <w:tab w:val="left" w:pos="709"/>
        </w:tabs>
        <w:spacing w:after="0" w:line="240" w:lineRule="auto"/>
        <w:ind w:firstLine="709"/>
        <w:jc w:val="both"/>
        <w:rPr>
          <w:rFonts w:ascii="Times New Roman" w:eastAsia="Times New Roman" w:hAnsi="Times New Roman" w:cs="Times New Roman"/>
          <w:b/>
          <w:sz w:val="24"/>
          <w:szCs w:val="24"/>
          <w:lang w:eastAsia="lt-LT"/>
        </w:rPr>
      </w:pPr>
      <w:r w:rsidRPr="004524D5">
        <w:rPr>
          <w:rFonts w:ascii="Times New Roman" w:eastAsia="Times New Roman" w:hAnsi="Times New Roman" w:cs="Times New Roman"/>
          <w:b/>
          <w:sz w:val="24"/>
          <w:szCs w:val="24"/>
          <w:lang w:eastAsia="lt-LT"/>
        </w:rPr>
        <w:t xml:space="preserve">4. Projekto parengtumo ir išlaidų atitikimas Aprašo reikalavimams </w:t>
      </w:r>
      <w:r w:rsidRPr="004524D5">
        <w:rPr>
          <w:rFonts w:ascii="Times New Roman" w:eastAsia="Calibri" w:hAnsi="Times New Roman" w:cs="Times New Roman"/>
          <w:sz w:val="24"/>
          <w:szCs w:val="24"/>
        </w:rPr>
        <w:t>(</w:t>
      </w:r>
      <w:r w:rsidRPr="004524D5">
        <w:rPr>
          <w:rFonts w:ascii="Times New Roman" w:eastAsia="Calibri" w:hAnsi="Times New Roman" w:cs="Times New Roman"/>
          <w:color w:val="000000"/>
          <w:sz w:val="24"/>
          <w:szCs w:val="24"/>
        </w:rPr>
        <w:t>taikoma vertinant projekto atitiktį Aprašo 31 ir 41 punktų nuostatoms).</w:t>
      </w:r>
    </w:p>
    <w:p w14:paraId="38E5FDD0" w14:textId="77777777" w:rsidR="004524D5" w:rsidRPr="004524D5" w:rsidRDefault="004524D5" w:rsidP="004524D5">
      <w:pPr>
        <w:spacing w:after="0" w:line="240" w:lineRule="auto"/>
        <w:jc w:val="both"/>
        <w:rPr>
          <w:rFonts w:ascii="Times New Roman" w:eastAsia="Times New Roman" w:hAnsi="Times New Roman" w:cs="Times New Roman"/>
          <w:b/>
          <w:sz w:val="24"/>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4524D5" w:rsidRPr="004524D5" w14:paraId="3A9A009B" w14:textId="77777777" w:rsidTr="0083379D">
        <w:trPr>
          <w:trHeight w:val="228"/>
        </w:trPr>
        <w:tc>
          <w:tcPr>
            <w:tcW w:w="9747" w:type="dxa"/>
          </w:tcPr>
          <w:p w14:paraId="6A46D659" w14:textId="77777777" w:rsidR="004524D5" w:rsidRPr="004524D5" w:rsidRDefault="004524D5" w:rsidP="004524D5">
            <w:pPr>
              <w:spacing w:after="0" w:line="240" w:lineRule="auto"/>
              <w:jc w:val="both"/>
              <w:rPr>
                <w:rFonts w:ascii="Times New Roman" w:eastAsia="Calibri" w:hAnsi="Times New Roman" w:cs="Times New Roman"/>
                <w:i/>
                <w:sz w:val="24"/>
                <w:szCs w:val="24"/>
              </w:rPr>
            </w:pPr>
            <w:r w:rsidRPr="004524D5">
              <w:rPr>
                <w:rFonts w:ascii="Times New Roman" w:eastAsia="Calibri" w:hAnsi="Times New Roman" w:cs="Times New Roman"/>
                <w:i/>
                <w:sz w:val="24"/>
                <w:szCs w:val="24"/>
              </w:rPr>
              <w:t>Nurodomas projekto parengtumas pagal Aprašo 31 punktą. Išvardijamos visos projekto biudžete numatytos išlaidų rūšys (išvardijami mokesčiai už išradimų patentavimą ar dizaino registravimą (nurodant jų kiekį), patentinių patikėtinių teikiamų paslaugų valandų skaičius).</w:t>
            </w:r>
          </w:p>
        </w:tc>
      </w:tr>
    </w:tbl>
    <w:p w14:paraId="4115FFD8" w14:textId="77777777" w:rsidR="004524D5" w:rsidRDefault="004524D5" w:rsidP="004524D5">
      <w:pPr>
        <w:spacing w:after="0" w:line="240" w:lineRule="auto"/>
        <w:rPr>
          <w:rFonts w:ascii="Times New Roman" w:eastAsia="Times New Roman" w:hAnsi="Times New Roman" w:cs="Times New Roman"/>
          <w:sz w:val="24"/>
          <w:szCs w:val="20"/>
        </w:rPr>
      </w:pPr>
    </w:p>
    <w:p w14:paraId="0404CA87" w14:textId="77777777" w:rsidR="004524D5" w:rsidRDefault="004524D5" w:rsidP="004524D5">
      <w:pPr>
        <w:spacing w:after="0" w:line="240" w:lineRule="auto"/>
        <w:rPr>
          <w:rFonts w:ascii="Times New Roman" w:eastAsia="Times New Roman" w:hAnsi="Times New Roman" w:cs="Times New Roman"/>
          <w:sz w:val="24"/>
          <w:szCs w:val="20"/>
        </w:rPr>
      </w:pPr>
    </w:p>
    <w:tbl>
      <w:tblPr>
        <w:tblW w:w="11512" w:type="dxa"/>
        <w:tblLayout w:type="fixed"/>
        <w:tblLook w:val="04A0" w:firstRow="1" w:lastRow="0" w:firstColumn="1" w:lastColumn="0" w:noHBand="0" w:noVBand="1"/>
      </w:tblPr>
      <w:tblGrid>
        <w:gridCol w:w="4960"/>
        <w:gridCol w:w="2978"/>
        <w:gridCol w:w="3574"/>
      </w:tblGrid>
      <w:tr w:rsidR="004524D5" w:rsidRPr="00597AA4" w14:paraId="0513AA12" w14:textId="77777777" w:rsidTr="0083379D">
        <w:trPr>
          <w:trHeight w:val="326"/>
        </w:trPr>
        <w:tc>
          <w:tcPr>
            <w:tcW w:w="4960" w:type="dxa"/>
            <w:tcBorders>
              <w:top w:val="nil"/>
              <w:left w:val="nil"/>
              <w:bottom w:val="nil"/>
              <w:right w:val="nil"/>
            </w:tcBorders>
            <w:hideMark/>
          </w:tcPr>
          <w:p w14:paraId="46DA5457"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iCs/>
                <w:color w:val="000000"/>
                <w:sz w:val="24"/>
                <w:szCs w:val="24"/>
              </w:rPr>
            </w:pPr>
          </w:p>
          <w:p w14:paraId="40E26965"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____________________________________ </w:t>
            </w:r>
          </w:p>
          <w:p w14:paraId="48F20EB9"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(pareiškėjo / pareiškėjo vadovo arba jo įgalioto asmens pareigų pavadinimas, jei galima nurodyti) </w:t>
            </w:r>
          </w:p>
        </w:tc>
        <w:tc>
          <w:tcPr>
            <w:tcW w:w="2978" w:type="dxa"/>
            <w:tcBorders>
              <w:top w:val="nil"/>
              <w:left w:val="nil"/>
              <w:bottom w:val="nil"/>
              <w:right w:val="nil"/>
            </w:tcBorders>
            <w:hideMark/>
          </w:tcPr>
          <w:p w14:paraId="092BB08B"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iCs/>
                <w:color w:val="000000"/>
                <w:sz w:val="24"/>
                <w:szCs w:val="24"/>
              </w:rPr>
            </w:pPr>
          </w:p>
          <w:p w14:paraId="6C207619"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___________ </w:t>
            </w:r>
          </w:p>
          <w:p w14:paraId="345F805D"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    (parašas) </w:t>
            </w:r>
          </w:p>
        </w:tc>
        <w:tc>
          <w:tcPr>
            <w:tcW w:w="3574" w:type="dxa"/>
            <w:tcBorders>
              <w:top w:val="nil"/>
              <w:left w:val="nil"/>
              <w:bottom w:val="nil"/>
              <w:right w:val="nil"/>
            </w:tcBorders>
            <w:hideMark/>
          </w:tcPr>
          <w:p w14:paraId="4ECC3D2F"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iCs/>
                <w:color w:val="000000"/>
                <w:sz w:val="24"/>
                <w:szCs w:val="24"/>
              </w:rPr>
            </w:pPr>
          </w:p>
          <w:p w14:paraId="0C542645"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 </w:t>
            </w:r>
          </w:p>
          <w:p w14:paraId="134CD1A7" w14:textId="77777777" w:rsidR="004524D5" w:rsidRPr="00597AA4" w:rsidRDefault="004524D5" w:rsidP="0083379D">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color w:val="000000"/>
                <w:sz w:val="24"/>
                <w:szCs w:val="24"/>
              </w:rPr>
              <w:t xml:space="preserve">   (data) </w:t>
            </w:r>
          </w:p>
        </w:tc>
      </w:tr>
    </w:tbl>
    <w:p w14:paraId="5E702311" w14:textId="77777777" w:rsidR="004524D5" w:rsidRPr="004524D5" w:rsidRDefault="004524D5" w:rsidP="004524D5">
      <w:pPr>
        <w:spacing w:after="0" w:line="240" w:lineRule="auto"/>
        <w:rPr>
          <w:rFonts w:ascii="Times New Roman" w:eastAsia="Times New Roman" w:hAnsi="Times New Roman" w:cs="Times New Roman"/>
          <w:sz w:val="24"/>
          <w:szCs w:val="20"/>
        </w:rPr>
      </w:pPr>
      <w:bookmarkStart w:id="0" w:name="_GoBack"/>
      <w:bookmarkEnd w:id="0"/>
    </w:p>
    <w:p w14:paraId="0EFE3BAA" w14:textId="77777777" w:rsidR="004524D5" w:rsidRPr="004524D5" w:rsidRDefault="004524D5" w:rsidP="004524D5">
      <w:pPr>
        <w:spacing w:after="0" w:line="240" w:lineRule="auto"/>
        <w:jc w:val="center"/>
        <w:rPr>
          <w:rFonts w:ascii="Times New Roman" w:eastAsia="Calibri" w:hAnsi="Times New Roman" w:cs="Times New Roman"/>
          <w:sz w:val="24"/>
          <w:szCs w:val="24"/>
        </w:rPr>
      </w:pPr>
      <w:r w:rsidRPr="004524D5">
        <w:rPr>
          <w:rFonts w:ascii="Times New Roman" w:eastAsia="Calibri" w:hAnsi="Times New Roman" w:cs="Times New Roman"/>
          <w:sz w:val="24"/>
          <w:szCs w:val="24"/>
        </w:rPr>
        <w:t>___________________</w:t>
      </w:r>
    </w:p>
    <w:p w14:paraId="4A439F3B" w14:textId="77777777" w:rsidR="00497F55" w:rsidRDefault="00497F55"/>
    <w:sectPr w:rsidR="00497F5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D5"/>
    <w:rsid w:val="004524D5"/>
    <w:rsid w:val="00497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50DA2"/>
  <w15:chartTrackingRefBased/>
  <w15:docId w15:val="{2F41D7CE-F0A9-4A16-A012-3BD1E5D8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4D5"/>
    <w:rPr>
      <w:color w:val="0563C1" w:themeColor="hyperlink"/>
      <w:u w:val="single"/>
    </w:rPr>
  </w:style>
  <w:style w:type="character" w:styleId="UnresolvedMention">
    <w:name w:val="Unresolved Mention"/>
    <w:basedOn w:val="DefaultParagraphFont"/>
    <w:uiPriority w:val="99"/>
    <w:semiHidden/>
    <w:unhideWhenUsed/>
    <w:rsid w:val="00452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tar.lt/portal/legalAct.html?documentId=bff46df0e03011e99681cd81dcdca52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73CB27-135A-44BE-90AD-4E3B6BFD5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A5167-40F8-4593-A806-CF4ED613AC48}">
  <ds:schemaRefs>
    <ds:schemaRef ds:uri="http://schemas.microsoft.com/sharepoint/v3/contenttype/forms"/>
  </ds:schemaRefs>
</ds:datastoreItem>
</file>

<file path=customXml/itemProps3.xml><?xml version="1.0" encoding="utf-8"?>
<ds:datastoreItem xmlns:ds="http://schemas.openxmlformats.org/officeDocument/2006/customXml" ds:itemID="{7B86175D-0267-404E-ABBF-9DDD4E8C9CA9}">
  <ds:schemaRefs>
    <ds:schemaRef ds:uri="http://schemas.openxmlformats.org/package/2006/metadata/core-properties"/>
    <ds:schemaRef ds:uri="http://schemas.microsoft.com/office/2006/documentManagement/types"/>
    <ds:schemaRef ds:uri="http://schemas.microsoft.com/office/infopath/2007/PartnerControls"/>
    <ds:schemaRef ds:uri="15113e95-a704-4425-af81-9f308b0f9a26"/>
    <ds:schemaRef ds:uri="http://purl.org/dc/elements/1.1/"/>
    <ds:schemaRef ds:uri="http://schemas.microsoft.com/office/2006/metadata/properties"/>
    <ds:schemaRef ds:uri="http://purl.org/dc/terms/"/>
    <ds:schemaRef ds:uri="e1234665-3139-4941-b454-48451431e5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3956</Words>
  <Characters>2255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1</cp:revision>
  <dcterms:created xsi:type="dcterms:W3CDTF">2019-10-02T10:32:00Z</dcterms:created>
  <dcterms:modified xsi:type="dcterms:W3CDTF">2019-10-02T10:36:00Z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