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1AAF8" w14:textId="1C3D6F02" w:rsidR="0036662A" w:rsidRDefault="0036662A" w:rsidP="0036662A">
      <w:pPr>
        <w:jc w:val="center"/>
        <w:rPr>
          <w:b/>
          <w:bCs/>
        </w:rPr>
      </w:pPr>
      <w:r>
        <w:rPr>
          <w:b/>
          <w:bCs/>
        </w:rPr>
        <w:t xml:space="preserve">LIETUVOS RESPUBLIKOS </w:t>
      </w:r>
      <w:r w:rsidR="006C7134">
        <w:rPr>
          <w:b/>
          <w:bCs/>
        </w:rPr>
        <w:t>EKONOMIKOS IR INOVACIJŲ</w:t>
      </w:r>
      <w:r>
        <w:rPr>
          <w:b/>
          <w:bCs/>
        </w:rPr>
        <w:t xml:space="preserve"> MINISTERIJA</w:t>
      </w:r>
    </w:p>
    <w:p w14:paraId="7A91AAF9" w14:textId="77777777" w:rsidR="0036662A" w:rsidRDefault="0036662A" w:rsidP="0036662A">
      <w:pPr>
        <w:jc w:val="center"/>
        <w:rPr>
          <w:b/>
          <w:bCs/>
        </w:rPr>
      </w:pPr>
    </w:p>
    <w:p w14:paraId="7A91AAFA" w14:textId="0EC9E951" w:rsidR="0036662A" w:rsidRPr="00A135D5" w:rsidRDefault="00A135D5" w:rsidP="0036662A">
      <w:pPr>
        <w:jc w:val="center"/>
        <w:rPr>
          <w:b/>
          <w:bCs/>
        </w:rPr>
      </w:pPr>
      <w:r w:rsidRPr="00A135D5">
        <w:rPr>
          <w:b/>
          <w:bCs/>
        </w:rPr>
        <w:t>SOCIALINIŲ IR EKONOMINIŲ PARTNERIŲ PATEIKTŲ PASTABŲ IR PASIŪLYMŲ DĖL 2014–2020 METŲ EUROPOS SĄJUNGOS FONDŲ INVESTICIJŲ VEIKSMŲ PROGRAMOS 1 PRIORITETO „</w:t>
      </w:r>
      <w:r w:rsidRPr="00A135D5">
        <w:rPr>
          <w:b/>
        </w:rPr>
        <w:t xml:space="preserve">MOKSLINIŲ TYRIMŲ, EKSPERIMENTINĖS PLĖTROS IR INOVACIJŲ SKATINIMAS“ </w:t>
      </w:r>
      <w:r w:rsidRPr="00A135D5">
        <w:rPr>
          <w:b/>
          <w:bCs/>
        </w:rPr>
        <w:t xml:space="preserve">PRIEMONĖS NR. </w:t>
      </w:r>
      <w:r w:rsidRPr="00A135D5">
        <w:rPr>
          <w:b/>
        </w:rPr>
        <w:t xml:space="preserve">01.2.1-LVPA-K-857 </w:t>
      </w:r>
      <w:r w:rsidRPr="00A135D5">
        <w:rPr>
          <w:b/>
          <w:bCs/>
        </w:rPr>
        <w:t>„</w:t>
      </w:r>
      <w:r w:rsidRPr="00A135D5">
        <w:rPr>
          <w:b/>
        </w:rPr>
        <w:t>SKAITMENINIŲ INOVACIJŲ CENTRAI</w:t>
      </w:r>
      <w:r w:rsidRPr="00A135D5">
        <w:rPr>
          <w:b/>
          <w:bCs/>
        </w:rPr>
        <w:t>“ PRIEMONIŲ ĮGYVENDINIMO PLANO/PROJEKTŲ ATRANKOS KRITERIJŲ/PROJEKTŲ FINANSAVIMO SĄLYGŲ APRAŠO DERINIMAS</w:t>
      </w:r>
    </w:p>
    <w:p w14:paraId="7A91AAFB"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7A91AAFE" w14:textId="77777777" w:rsidTr="00335D39">
        <w:tc>
          <w:tcPr>
            <w:tcW w:w="6804" w:type="dxa"/>
          </w:tcPr>
          <w:p w14:paraId="7A91AAFC"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7A91AAFD" w14:textId="5F14CFA6" w:rsidR="0036662A" w:rsidRDefault="00513554" w:rsidP="00335D39">
            <w:pPr>
              <w:rPr>
                <w:szCs w:val="24"/>
              </w:rPr>
            </w:pPr>
            <w:r>
              <w:rPr>
                <w:szCs w:val="24"/>
              </w:rPr>
              <w:t>2019-10-04</w:t>
            </w:r>
          </w:p>
        </w:tc>
      </w:tr>
      <w:tr w:rsidR="0036662A" w14:paraId="7A91AB02" w14:textId="77777777" w:rsidTr="00335D39">
        <w:tc>
          <w:tcPr>
            <w:tcW w:w="6804" w:type="dxa"/>
          </w:tcPr>
          <w:p w14:paraId="7A91AAFF"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7A91AB00"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7A91AB01" w14:textId="1D66AA0E" w:rsidR="0036662A" w:rsidRPr="007070FE" w:rsidRDefault="001915EC" w:rsidP="00513554">
            <w:sdt>
              <w:sdtPr>
                <w:id w:val="1312749902"/>
              </w:sdtPr>
              <w:sdtEndPr/>
              <w:sdtContent>
                <w:bookmarkStart w:id="0" w:name="Check1"/>
                <w:r w:rsidR="00513554">
                  <w:fldChar w:fldCharType="begin">
                    <w:ffData>
                      <w:name w:val="Check1"/>
                      <w:enabled/>
                      <w:calcOnExit w:val="0"/>
                      <w:checkBox>
                        <w:sizeAuto/>
                        <w:default w:val="1"/>
                      </w:checkBox>
                    </w:ffData>
                  </w:fldChar>
                </w:r>
                <w:r w:rsidR="00513554">
                  <w:instrText xml:space="preserve"> FORMCHECKBOX </w:instrText>
                </w:r>
                <w:r>
                  <w:fldChar w:fldCharType="separate"/>
                </w:r>
                <w:r w:rsidR="00513554">
                  <w:fldChar w:fldCharType="end"/>
                </w:r>
                <w:bookmarkEnd w:id="0"/>
                <w:r w:rsidR="0036662A">
                  <w:t xml:space="preserve"> </w:t>
                </w:r>
              </w:sdtContent>
            </w:sdt>
            <w:r w:rsidR="0036662A">
              <w:rPr>
                <w:szCs w:val="24"/>
              </w:rPr>
              <w:t xml:space="preserve">Taip </w:t>
            </w:r>
            <w:sdt>
              <w:sdtPr>
                <w:rPr>
                  <w:szCs w:val="24"/>
                </w:rPr>
                <w:id w:val="164368749"/>
              </w:sdtPr>
              <w:sdtEndPr/>
              <w:sdtContent>
                <w:r w:rsidR="0036662A" w:rsidRPr="0036662A">
                  <w:rPr>
                    <w:szCs w:val="24"/>
                  </w:rPr>
                  <w:fldChar w:fldCharType="begin">
                    <w:ffData>
                      <w:name w:val="Check1"/>
                      <w:enabled/>
                      <w:calcOnExit w:val="0"/>
                      <w:checkBox>
                        <w:sizeAuto/>
                        <w:default w:val="0"/>
                      </w:checkBox>
                    </w:ffData>
                  </w:fldChar>
                </w:r>
                <w:r w:rsidR="0036662A" w:rsidRPr="0036662A">
                  <w:rPr>
                    <w:szCs w:val="24"/>
                  </w:rPr>
                  <w:instrText xml:space="preserve"> FORMCHECKBOX </w:instrText>
                </w:r>
                <w:r>
                  <w:rPr>
                    <w:szCs w:val="24"/>
                  </w:rPr>
                </w:r>
                <w:r>
                  <w:rPr>
                    <w:szCs w:val="24"/>
                  </w:rPr>
                  <w:fldChar w:fldCharType="separate"/>
                </w:r>
                <w:r w:rsidR="0036662A" w:rsidRPr="0036662A">
                  <w:rPr>
                    <w:szCs w:val="24"/>
                  </w:rPr>
                  <w:fldChar w:fldCharType="end"/>
                </w:r>
                <w:r w:rsidR="0036662A" w:rsidRPr="0036662A">
                  <w:rPr>
                    <w:szCs w:val="24"/>
                  </w:rPr>
                  <w:t xml:space="preserve"> </w:t>
                </w:r>
              </w:sdtContent>
            </w:sdt>
            <w:r w:rsidR="0036662A">
              <w:rPr>
                <w:szCs w:val="24"/>
              </w:rPr>
              <w:t xml:space="preserve"> Ne</w:t>
            </w:r>
            <w:bookmarkStart w:id="1" w:name="_GoBack"/>
            <w:bookmarkEnd w:id="1"/>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7A91AB06" w14:textId="77777777" w:rsidTr="00335D39">
        <w:tc>
          <w:tcPr>
            <w:tcW w:w="6804" w:type="dxa"/>
          </w:tcPr>
          <w:p w14:paraId="7A91AB03"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7A91AB04"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7A91AB05" w14:textId="2CAFF44B" w:rsidR="0036662A" w:rsidRDefault="001915EC" w:rsidP="001915EC">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fldChar w:fldCharType="begin">
                    <w:ffData>
                      <w:name w:val=""/>
                      <w:enabled/>
                      <w:calcOnExit w:val="0"/>
                      <w:checkBox>
                        <w:sizeAuto/>
                        <w:default w:val="1"/>
                      </w:checkBox>
                    </w:ffData>
                  </w:fldChar>
                </w:r>
                <w:r>
                  <w:instrText xml:space="preserve"> FORMCHECKBOX </w:instrText>
                </w:r>
                <w:r>
                  <w:fldChar w:fldCharType="end"/>
                </w:r>
              </w:sdtContent>
            </w:sdt>
            <w:r w:rsidR="0036662A">
              <w:rPr>
                <w:szCs w:val="24"/>
              </w:rPr>
              <w:t xml:space="preserve"> Ne </w:t>
            </w:r>
          </w:p>
        </w:tc>
      </w:tr>
    </w:tbl>
    <w:p w14:paraId="7A91AB07" w14:textId="77777777" w:rsidR="0036662A" w:rsidRPr="00781CA4" w:rsidRDefault="0036662A" w:rsidP="0036662A">
      <w:pPr>
        <w:rPr>
          <w:szCs w:val="24"/>
        </w:rPr>
      </w:pPr>
    </w:p>
    <w:tbl>
      <w:tblPr>
        <w:tblStyle w:val="TableGrid"/>
        <w:tblW w:w="14742" w:type="dxa"/>
        <w:tblLayout w:type="fixed"/>
        <w:tblLook w:val="04A0" w:firstRow="1" w:lastRow="0" w:firstColumn="1" w:lastColumn="0" w:noHBand="0" w:noVBand="1"/>
      </w:tblPr>
      <w:tblGrid>
        <w:gridCol w:w="567"/>
        <w:gridCol w:w="1985"/>
        <w:gridCol w:w="9350"/>
        <w:gridCol w:w="2840"/>
      </w:tblGrid>
      <w:tr w:rsidR="00E27DA2" w:rsidRPr="00113358" w14:paraId="7A91AB0C" w14:textId="77777777" w:rsidTr="00113358">
        <w:tc>
          <w:tcPr>
            <w:tcW w:w="567" w:type="dxa"/>
          </w:tcPr>
          <w:p w14:paraId="7A91AB08" w14:textId="77777777" w:rsidR="0036662A" w:rsidRPr="00113358" w:rsidRDefault="0036662A" w:rsidP="00335D39">
            <w:pPr>
              <w:jc w:val="center"/>
              <w:rPr>
                <w:b/>
                <w:sz w:val="20"/>
              </w:rPr>
            </w:pPr>
            <w:r w:rsidRPr="00113358">
              <w:rPr>
                <w:b/>
                <w:sz w:val="20"/>
              </w:rPr>
              <w:t>Nr.</w:t>
            </w:r>
          </w:p>
        </w:tc>
        <w:tc>
          <w:tcPr>
            <w:tcW w:w="1985" w:type="dxa"/>
          </w:tcPr>
          <w:p w14:paraId="7A91AB09" w14:textId="77777777" w:rsidR="0036662A" w:rsidRPr="00113358" w:rsidRDefault="0036662A" w:rsidP="00335D39">
            <w:pPr>
              <w:jc w:val="center"/>
              <w:rPr>
                <w:b/>
                <w:sz w:val="20"/>
              </w:rPr>
            </w:pPr>
            <w:r w:rsidRPr="00113358">
              <w:rPr>
                <w:b/>
                <w:sz w:val="20"/>
              </w:rPr>
              <w:t>Institucija</w:t>
            </w:r>
          </w:p>
        </w:tc>
        <w:tc>
          <w:tcPr>
            <w:tcW w:w="9350" w:type="dxa"/>
          </w:tcPr>
          <w:p w14:paraId="7A91AB0A" w14:textId="77777777" w:rsidR="0036662A" w:rsidRPr="00113358" w:rsidRDefault="0036662A" w:rsidP="00335D39">
            <w:pPr>
              <w:jc w:val="center"/>
              <w:rPr>
                <w:b/>
                <w:sz w:val="20"/>
              </w:rPr>
            </w:pPr>
            <w:r w:rsidRPr="00113358">
              <w:rPr>
                <w:b/>
                <w:bCs/>
                <w:sz w:val="20"/>
              </w:rPr>
              <w:t>Pastabos ir pasiūlymai</w:t>
            </w:r>
          </w:p>
        </w:tc>
        <w:tc>
          <w:tcPr>
            <w:tcW w:w="2840" w:type="dxa"/>
          </w:tcPr>
          <w:p w14:paraId="7A91AB0B" w14:textId="77777777" w:rsidR="0036662A" w:rsidRPr="00113358" w:rsidRDefault="0036662A" w:rsidP="00D53195">
            <w:pPr>
              <w:jc w:val="both"/>
              <w:rPr>
                <w:b/>
                <w:sz w:val="20"/>
              </w:rPr>
            </w:pPr>
            <w:r w:rsidRPr="00113358">
              <w:rPr>
                <w:b/>
                <w:bCs/>
                <w:sz w:val="20"/>
              </w:rPr>
              <w:t>Pastabų ir pasiūlymų vertinimas ir (jei taikoma) argumentai, kodėl neatsižvelgta į pastabas ar pasiūlymus</w:t>
            </w:r>
          </w:p>
        </w:tc>
      </w:tr>
      <w:tr w:rsidR="005A464A" w:rsidRPr="00113358" w14:paraId="7A91AB11" w14:textId="77777777" w:rsidTr="00113358">
        <w:tc>
          <w:tcPr>
            <w:tcW w:w="567" w:type="dxa"/>
          </w:tcPr>
          <w:p w14:paraId="7A91AB0D" w14:textId="77777777" w:rsidR="005A464A" w:rsidRPr="00113358" w:rsidRDefault="005A464A" w:rsidP="0036662A">
            <w:pPr>
              <w:pStyle w:val="ListParagraph"/>
              <w:numPr>
                <w:ilvl w:val="0"/>
                <w:numId w:val="1"/>
              </w:numPr>
              <w:jc w:val="both"/>
              <w:rPr>
                <w:sz w:val="20"/>
              </w:rPr>
            </w:pPr>
          </w:p>
        </w:tc>
        <w:tc>
          <w:tcPr>
            <w:tcW w:w="1985" w:type="dxa"/>
            <w:vMerge w:val="restart"/>
          </w:tcPr>
          <w:p w14:paraId="7A91AB0E" w14:textId="66136DB2" w:rsidR="005A464A" w:rsidRPr="00113358" w:rsidRDefault="005A464A" w:rsidP="00335D39">
            <w:pPr>
              <w:rPr>
                <w:sz w:val="20"/>
              </w:rPr>
            </w:pPr>
            <w:r w:rsidRPr="00113358">
              <w:rPr>
                <w:sz w:val="20"/>
              </w:rPr>
              <w:t xml:space="preserve">Lietuvos inovacijų  centro, Lietuvos inžinerinės pramonės asociacijos, asociacijos „Žinių ekonomikos forumas“, Lietuvos </w:t>
            </w:r>
            <w:proofErr w:type="spellStart"/>
            <w:r w:rsidRPr="00113358">
              <w:rPr>
                <w:sz w:val="20"/>
              </w:rPr>
              <w:t>robotikos</w:t>
            </w:r>
            <w:proofErr w:type="spellEnd"/>
            <w:r w:rsidRPr="00113358">
              <w:rPr>
                <w:sz w:val="20"/>
              </w:rPr>
              <w:t xml:space="preserve"> asociacijos, Lietuvos lazerių asociacijos, Lietuvos maisto eksportuotojų asociacijos, Lietuvos spaustuvininkų asociacijos, Technologijų ir inovacijų paramos verslui asociacijos, </w:t>
            </w:r>
            <w:r w:rsidRPr="00113358">
              <w:rPr>
                <w:sz w:val="20"/>
              </w:rPr>
              <w:lastRenderedPageBreak/>
              <w:t xml:space="preserve">Vilniaus pramonės ir verslo asociacijos </w:t>
            </w:r>
            <w:r w:rsidRPr="00113358">
              <w:rPr>
                <w:b/>
                <w:bCs/>
                <w:sz w:val="20"/>
              </w:rPr>
              <w:t>jungtines pastabas ir pasiūlymus</w:t>
            </w:r>
          </w:p>
        </w:tc>
        <w:tc>
          <w:tcPr>
            <w:tcW w:w="9350" w:type="dxa"/>
          </w:tcPr>
          <w:p w14:paraId="1639914D" w14:textId="4BFCE6DD" w:rsidR="005A464A" w:rsidRPr="00113358" w:rsidRDefault="005A464A" w:rsidP="009F6F18">
            <w:pPr>
              <w:pStyle w:val="CommentText"/>
              <w:ind w:firstLine="0"/>
            </w:pPr>
            <w:r w:rsidRPr="00113358">
              <w:lastRenderedPageBreak/>
              <w:t>29.</w:t>
            </w:r>
            <w:r w:rsidRPr="00113358">
              <w:rPr>
                <w:i/>
              </w:rPr>
              <w:t xml:space="preserve"> </w:t>
            </w:r>
            <w:r w:rsidRPr="00113358">
              <w:t>Projekto veiklos turi būti vykdomos Lietuvos Respublikoje</w:t>
            </w:r>
          </w:p>
          <w:p w14:paraId="31C66695" w14:textId="77777777" w:rsidR="005A464A" w:rsidRPr="00113358" w:rsidRDefault="005A464A" w:rsidP="009F6F18">
            <w:pPr>
              <w:pStyle w:val="CommentText"/>
              <w:ind w:firstLine="0"/>
            </w:pPr>
          </w:p>
          <w:p w14:paraId="5517266F" w14:textId="39880220" w:rsidR="005A464A" w:rsidRPr="00113358" w:rsidRDefault="005A464A" w:rsidP="009F6F18">
            <w:pPr>
              <w:pStyle w:val="CommentText"/>
              <w:ind w:firstLine="0"/>
            </w:pPr>
            <w:r w:rsidRPr="00113358">
              <w:t xml:space="preserve">Sėkmingam projekto veiklų, įvardintų PFSA 10.2 ir 10.3 punktuose, vykdymui praktiškai visais atvejais bus būtinos projekto darbuotojų komandiruotės užsienyje. Projektą vykdančio personalo komandiruočių išlaidos yra numatytos tinkamomis išlaidomis. </w:t>
            </w:r>
          </w:p>
          <w:p w14:paraId="742A5360" w14:textId="77777777" w:rsidR="005A464A" w:rsidRPr="00113358" w:rsidRDefault="005A464A" w:rsidP="009F6F18">
            <w:pPr>
              <w:pStyle w:val="CommentText"/>
              <w:ind w:firstLine="0"/>
            </w:pPr>
            <w:r w:rsidRPr="00113358">
              <w:t>Projektą vykdančio personalo komandiruočių ribojimas užsienyje būtų laikytinas veiksniu, neigiamai įtakojančiu kokybinius ir kokybinius projekto rezultatus, bei pažeidžianti teisėtus pareiškėjo lūkesčius siekiant iškeltų tikslų.</w:t>
            </w:r>
          </w:p>
          <w:p w14:paraId="16CD8F07" w14:textId="77777777" w:rsidR="005A464A" w:rsidRPr="00113358" w:rsidRDefault="005A464A" w:rsidP="009F6F18">
            <w:pPr>
              <w:pStyle w:val="CommentText"/>
              <w:ind w:firstLine="0"/>
              <w:rPr>
                <w:b/>
                <w:bCs/>
                <w:i/>
                <w:iCs/>
              </w:rPr>
            </w:pPr>
          </w:p>
          <w:p w14:paraId="66F4AA7A" w14:textId="77777777" w:rsidR="005A464A" w:rsidRPr="00113358" w:rsidRDefault="005A464A" w:rsidP="009F6F18">
            <w:pPr>
              <w:pStyle w:val="CommentText"/>
              <w:ind w:firstLine="0"/>
              <w:rPr>
                <w:b/>
                <w:bCs/>
                <w:i/>
                <w:iCs/>
              </w:rPr>
            </w:pPr>
            <w:r w:rsidRPr="00113358">
              <w:rPr>
                <w:b/>
                <w:bCs/>
                <w:i/>
                <w:iCs/>
              </w:rPr>
              <w:t>Siūlome:</w:t>
            </w:r>
          </w:p>
          <w:p w14:paraId="533CE73B" w14:textId="67F7F86F" w:rsidR="005A464A" w:rsidRPr="00113358" w:rsidRDefault="00227AD0" w:rsidP="00227AD0">
            <w:pPr>
              <w:pStyle w:val="CommentText"/>
              <w:ind w:firstLine="0"/>
              <w:rPr>
                <w:i/>
                <w:iCs/>
              </w:rPr>
            </w:pPr>
            <w:r w:rsidRPr="00113358">
              <w:rPr>
                <w:i/>
                <w:iCs/>
              </w:rPr>
              <w:t xml:space="preserve">A. </w:t>
            </w:r>
            <w:r w:rsidR="005A464A" w:rsidRPr="00113358">
              <w:rPr>
                <w:i/>
                <w:iCs/>
              </w:rPr>
              <w:t>Prie šio PFSA punkto pateikti patikslinimą, kad projektą vykdančio personalo trumpalaikės komandiruotės užsienyje nėra laikytinos projekto veiklų vykdymu užsienyje.</w:t>
            </w:r>
          </w:p>
          <w:p w14:paraId="627FA543" w14:textId="77777777" w:rsidR="005A464A" w:rsidRPr="00113358" w:rsidRDefault="005A464A" w:rsidP="009F6F18">
            <w:pPr>
              <w:pStyle w:val="CommentText"/>
              <w:ind w:left="360" w:firstLine="0"/>
              <w:rPr>
                <w:i/>
                <w:iCs/>
              </w:rPr>
            </w:pPr>
            <w:r w:rsidRPr="00113358">
              <w:rPr>
                <w:i/>
                <w:iCs/>
              </w:rPr>
              <w:t>arba</w:t>
            </w:r>
          </w:p>
          <w:p w14:paraId="7A91AB0F" w14:textId="3C268B6F" w:rsidR="005A464A" w:rsidRPr="00113358" w:rsidRDefault="00227AD0" w:rsidP="009F6F18">
            <w:pPr>
              <w:rPr>
                <w:sz w:val="20"/>
              </w:rPr>
            </w:pPr>
            <w:r w:rsidRPr="00113358">
              <w:rPr>
                <w:i/>
                <w:iCs/>
                <w:sz w:val="20"/>
              </w:rPr>
              <w:t xml:space="preserve">B. </w:t>
            </w:r>
            <w:r w:rsidR="005A464A" w:rsidRPr="00113358">
              <w:rPr>
                <w:i/>
                <w:iCs/>
                <w:sz w:val="20"/>
              </w:rPr>
              <w:t>Šį PFSA punkto pakeisti į: „</w:t>
            </w:r>
            <w:r w:rsidR="005A464A" w:rsidRPr="00113358">
              <w:rPr>
                <w:rFonts w:eastAsia="Calibri"/>
                <w:i/>
                <w:iCs/>
                <w:sz w:val="20"/>
              </w:rPr>
              <w:t xml:space="preserve">Projekto veiklos turi būti vykdomos Lietuvos Respublikoje arba kitose ES valstybėse narėse, jei jas vykdant sukurti produktai, rezultatai ir nauda (ar jų dalis, proporcinga Lietuvos Respublikos finansiniam įnašui) atitenka Lietuvos Respublikai. Jeigu projekto veiklos vykdomos ne Lietuvos Respublikoje, tokių veiklų išlaidos neturi viršyti 15 proc. projekto tinkamų finansuoti išlaidų sumos. Projekto veiklų vykdymo vieta yra laikoma vieta, kurioje projekto veiklą vykdo projektą vykdantis personalas, kaip jis </w:t>
            </w:r>
            <w:r w:rsidR="005A464A" w:rsidRPr="00113358">
              <w:rPr>
                <w:rFonts w:eastAsia="Calibri"/>
                <w:i/>
                <w:iCs/>
                <w:sz w:val="20"/>
              </w:rPr>
              <w:lastRenderedPageBreak/>
              <w:t xml:space="preserve">apibrėžtas </w:t>
            </w:r>
            <w:r w:rsidR="005A464A" w:rsidRPr="00113358">
              <w:rPr>
                <w:i/>
                <w:iCs/>
                <w:sz w:val="20"/>
              </w:rPr>
              <w:t>Rekomendacijose dėl projektų išlaidų atitikties Europos Sąjungos struktūrinių fondų reikalavimams (toliau – projektą vykdantis personalas)“.</w:t>
            </w:r>
          </w:p>
        </w:tc>
        <w:tc>
          <w:tcPr>
            <w:tcW w:w="2840" w:type="dxa"/>
          </w:tcPr>
          <w:p w14:paraId="7A91AB10" w14:textId="56AF00AA" w:rsidR="00113358" w:rsidRDefault="003C3369" w:rsidP="00D53195">
            <w:pPr>
              <w:jc w:val="both"/>
              <w:rPr>
                <w:sz w:val="20"/>
              </w:rPr>
            </w:pPr>
            <w:r>
              <w:rPr>
                <w:sz w:val="20"/>
              </w:rPr>
              <w:lastRenderedPageBreak/>
              <w:t>Atsižvelgta, bus papildyta patikslinimu (variantas A).</w:t>
            </w:r>
          </w:p>
          <w:p w14:paraId="7BE0FD12" w14:textId="77777777" w:rsidR="00113358" w:rsidRPr="00113358" w:rsidRDefault="00113358" w:rsidP="00D53195">
            <w:pPr>
              <w:jc w:val="both"/>
              <w:rPr>
                <w:sz w:val="20"/>
              </w:rPr>
            </w:pPr>
          </w:p>
          <w:p w14:paraId="632C170D" w14:textId="77777777" w:rsidR="00113358" w:rsidRPr="00113358" w:rsidRDefault="00113358" w:rsidP="00D53195">
            <w:pPr>
              <w:jc w:val="both"/>
              <w:rPr>
                <w:sz w:val="20"/>
              </w:rPr>
            </w:pPr>
          </w:p>
          <w:p w14:paraId="3788A3BF" w14:textId="77777777" w:rsidR="00113358" w:rsidRPr="00113358" w:rsidRDefault="00113358" w:rsidP="00D53195">
            <w:pPr>
              <w:jc w:val="both"/>
              <w:rPr>
                <w:sz w:val="20"/>
              </w:rPr>
            </w:pPr>
          </w:p>
          <w:p w14:paraId="3A3CA16A" w14:textId="77777777" w:rsidR="00113358" w:rsidRPr="00113358" w:rsidRDefault="00113358" w:rsidP="00D53195">
            <w:pPr>
              <w:jc w:val="both"/>
              <w:rPr>
                <w:sz w:val="20"/>
              </w:rPr>
            </w:pPr>
          </w:p>
          <w:p w14:paraId="217E42DA" w14:textId="430929C3" w:rsidR="00113358" w:rsidRDefault="00113358" w:rsidP="00D53195">
            <w:pPr>
              <w:jc w:val="both"/>
              <w:rPr>
                <w:sz w:val="20"/>
              </w:rPr>
            </w:pPr>
          </w:p>
          <w:p w14:paraId="5193F7E7" w14:textId="77777777" w:rsidR="005A464A" w:rsidRPr="00113358" w:rsidRDefault="005A464A" w:rsidP="00D53195">
            <w:pPr>
              <w:jc w:val="both"/>
              <w:rPr>
                <w:sz w:val="20"/>
              </w:rPr>
            </w:pPr>
          </w:p>
        </w:tc>
      </w:tr>
      <w:tr w:rsidR="005A464A" w:rsidRPr="00113358" w14:paraId="7A91AB16" w14:textId="77777777" w:rsidTr="00113358">
        <w:tc>
          <w:tcPr>
            <w:tcW w:w="567" w:type="dxa"/>
          </w:tcPr>
          <w:p w14:paraId="7A91AB12" w14:textId="77777777" w:rsidR="005A464A" w:rsidRPr="00113358" w:rsidRDefault="005A464A" w:rsidP="0036662A">
            <w:pPr>
              <w:pStyle w:val="ListParagraph"/>
              <w:numPr>
                <w:ilvl w:val="0"/>
                <w:numId w:val="1"/>
              </w:numPr>
              <w:jc w:val="both"/>
              <w:rPr>
                <w:sz w:val="20"/>
              </w:rPr>
            </w:pPr>
          </w:p>
        </w:tc>
        <w:tc>
          <w:tcPr>
            <w:tcW w:w="1985" w:type="dxa"/>
            <w:vMerge/>
          </w:tcPr>
          <w:p w14:paraId="7A91AB13" w14:textId="77777777" w:rsidR="005A464A" w:rsidRPr="00113358" w:rsidRDefault="005A464A" w:rsidP="00335D39">
            <w:pPr>
              <w:rPr>
                <w:sz w:val="20"/>
              </w:rPr>
            </w:pPr>
          </w:p>
        </w:tc>
        <w:tc>
          <w:tcPr>
            <w:tcW w:w="9350" w:type="dxa"/>
          </w:tcPr>
          <w:p w14:paraId="1BFB5256" w14:textId="77777777" w:rsidR="005A464A" w:rsidRPr="00113358" w:rsidRDefault="005A464A" w:rsidP="009F6F18">
            <w:pPr>
              <w:jc w:val="both"/>
              <w:rPr>
                <w:b/>
                <w:bCs/>
                <w:sz w:val="20"/>
              </w:rPr>
            </w:pPr>
            <w:r w:rsidRPr="00113358">
              <w:rPr>
                <w:b/>
                <w:bCs/>
                <w:sz w:val="20"/>
              </w:rPr>
              <w:t>2 lentelė. 4 kategorija.</w:t>
            </w:r>
          </w:p>
          <w:p w14:paraId="2EFE9C38" w14:textId="77777777" w:rsidR="005A464A" w:rsidRPr="00113358" w:rsidRDefault="005A464A" w:rsidP="009F6F18">
            <w:pPr>
              <w:rPr>
                <w:sz w:val="20"/>
              </w:rPr>
            </w:pPr>
            <w:r w:rsidRPr="00113358">
              <w:rPr>
                <w:sz w:val="20"/>
              </w:rPr>
              <w:t>Šios kategorijos išlaidos kartu su 3 kategorijos išlaidomis negali sudaryti daugiau kaip 30 proc. visų tinkamų išlaidų</w:t>
            </w:r>
          </w:p>
          <w:p w14:paraId="5B89E4F4" w14:textId="77777777" w:rsidR="005A464A" w:rsidRPr="00113358" w:rsidRDefault="005A464A" w:rsidP="009F6F18">
            <w:pPr>
              <w:rPr>
                <w:sz w:val="20"/>
              </w:rPr>
            </w:pPr>
          </w:p>
          <w:p w14:paraId="6A732171" w14:textId="77777777" w:rsidR="005A464A" w:rsidRPr="00113358" w:rsidRDefault="005A464A" w:rsidP="009F6F18">
            <w:pPr>
              <w:rPr>
                <w:sz w:val="20"/>
              </w:rPr>
            </w:pPr>
            <w:r w:rsidRPr="00113358">
              <w:rPr>
                <w:sz w:val="20"/>
              </w:rPr>
              <w:t>Viena iš priemonės tikslo pagrindinių dedamųjų – „</w:t>
            </w:r>
            <w:r w:rsidRPr="00113358">
              <w:rPr>
                <w:bCs/>
                <w:sz w:val="20"/>
              </w:rPr>
              <w:t xml:space="preserve">skatinti įmones investuoti į skaitmenines inovacijas, suteikiant galimybę pramonės įmonėms &lt;...&gt; naudotis infrastruktūra ir technologijomis skaitmeninių inovacijų bandymams su įmonės produktais, procesais ar verslo modeliais atlikti, taip sudarant </w:t>
            </w:r>
            <w:r w:rsidRPr="00113358">
              <w:rPr>
                <w:sz w:val="20"/>
              </w:rPr>
              <w:t xml:space="preserve">didesnes galimybes įmonėms vykdyti mokslinių tyrimų ir (arba) eksperimentinės plėtros ir inovacijų (toliau – MTEPI) veiklas, didesnes galimybes naudotis technologijomis ir įranga. </w:t>
            </w:r>
          </w:p>
          <w:p w14:paraId="5DD6D360" w14:textId="77777777" w:rsidR="005A464A" w:rsidRPr="00113358" w:rsidRDefault="005A464A" w:rsidP="009F6F18">
            <w:pPr>
              <w:rPr>
                <w:bCs/>
                <w:sz w:val="20"/>
              </w:rPr>
            </w:pPr>
            <w:r w:rsidRPr="00113358">
              <w:rPr>
                <w:sz w:val="20"/>
              </w:rPr>
              <w:t>Investicijų į infrastuktūrą dydžio apribojimas tik iki 30 proc. visų tinkamų išlaidų, turės tiesioginę neigiamą įtaką priemonės tikslų pasiekimui, nes nebus galima suteikti adekvačių ir poreikius atitinkančių galimybių įmonėms „</w:t>
            </w:r>
            <w:r w:rsidRPr="00113358">
              <w:rPr>
                <w:bCs/>
                <w:sz w:val="20"/>
              </w:rPr>
              <w:t>naudotis infrastruktūra ir technologijomis skaitmeninių inovacijų bandymams su įmonės produktais, procesais ar verslo modeliais atlikti &lt;...&gt;, jau nekalbant apie tai, kad infrastruktūra reikalinga ir teikiant inovacijų konsultavimo paslaugas, kai reikia suteikti naujausią informaciją ir ekspertinę pagalbą, grįstą naujomis žiniomis bei praktiniu pademonstravimu. Be to, skaitmeninių inovacijų centrų specializacija yra skirtinga, vertinant pagal infrastruktūros sukuriamą pridėtinę vertę teikiant inovacijų konsultavimo ir inovacijų paramos paslaugas, skatinant įmonės diegti skaitmenines inovacijas, todėl investicijų į infrastruktūrą dirbtinis ribojimas kurs diskriminacines konkurencines sąlygas.</w:t>
            </w:r>
          </w:p>
          <w:p w14:paraId="1577F639" w14:textId="77777777" w:rsidR="005A464A" w:rsidRPr="00113358" w:rsidRDefault="005A464A" w:rsidP="009F6F18">
            <w:pPr>
              <w:rPr>
                <w:sz w:val="20"/>
              </w:rPr>
            </w:pPr>
            <w:r w:rsidRPr="00113358">
              <w:rPr>
                <w:sz w:val="20"/>
              </w:rPr>
              <w:t>Galimai tikėtinas neefektyvias pareiškėjų investicijas į infrastruktūrą riboja kitos PFSA nuostatos, pavyzdžiui, numatančios, kad investicijos turi būti pagrįstos (</w:t>
            </w:r>
            <w:proofErr w:type="spellStart"/>
            <w:r w:rsidRPr="00113358">
              <w:rPr>
                <w:sz w:val="20"/>
              </w:rPr>
              <w:t>įrodymus</w:t>
            </w:r>
            <w:proofErr w:type="spellEnd"/>
            <w:r w:rsidRPr="00113358">
              <w:rPr>
                <w:sz w:val="20"/>
              </w:rPr>
              <w:t xml:space="preserve"> reikia pateikti verslo plane, pateikiamame kartu su paraiška), ir kad projekto atrankos kriterijai - „Skaitmeninių inovacijų centro pajamų už suteiktas paslaugas projekto įgyvendinimo metu ir 3 metai po projekto veiklų įgyvendinimo pabaigos santykis su gautomis investicijomis“ ir „Įmonių, besinaudojančių skaitmeninių inovacijų centro paslaugomis, sukurtų gaminių, paslaugų ar procesų prototipai (koncepcijos) projekto metu (vnt.)“ – išimtinai vertina investicijų efektyvumą. Tai yra, projektai, kuriuose bus nepagrįstai didelės ir neefektyvios investicijos į infrastruktūrą, negalės tikėtis gauti viešųjų investicijų.</w:t>
            </w:r>
          </w:p>
          <w:p w14:paraId="362DB536" w14:textId="77777777" w:rsidR="005A464A" w:rsidRPr="00113358" w:rsidRDefault="005A464A" w:rsidP="009F6F18">
            <w:pPr>
              <w:pStyle w:val="CommentText"/>
              <w:ind w:firstLine="0"/>
              <w:jc w:val="left"/>
              <w:rPr>
                <w:b/>
                <w:bCs/>
                <w:i/>
                <w:iCs/>
                <w:lang w:eastAsia="en-US"/>
              </w:rPr>
            </w:pPr>
          </w:p>
          <w:p w14:paraId="128D9D8E" w14:textId="77777777" w:rsidR="005A464A" w:rsidRPr="00113358" w:rsidRDefault="005A464A" w:rsidP="009F6F18">
            <w:pPr>
              <w:pStyle w:val="CommentText"/>
              <w:ind w:firstLine="0"/>
              <w:jc w:val="left"/>
              <w:rPr>
                <w:b/>
                <w:bCs/>
                <w:i/>
                <w:iCs/>
                <w:lang w:eastAsia="en-US"/>
              </w:rPr>
            </w:pPr>
            <w:r w:rsidRPr="00113358">
              <w:rPr>
                <w:b/>
                <w:bCs/>
                <w:i/>
                <w:iCs/>
                <w:lang w:eastAsia="en-US"/>
              </w:rPr>
              <w:t>Siūlome:</w:t>
            </w:r>
          </w:p>
          <w:p w14:paraId="5DE20842" w14:textId="77777777" w:rsidR="005A464A" w:rsidRPr="00113358" w:rsidRDefault="005A464A" w:rsidP="009F6F18">
            <w:pPr>
              <w:pStyle w:val="CommentText"/>
              <w:numPr>
                <w:ilvl w:val="0"/>
                <w:numId w:val="3"/>
              </w:numPr>
              <w:jc w:val="left"/>
              <w:rPr>
                <w:i/>
                <w:iCs/>
                <w:lang w:eastAsia="en-US"/>
              </w:rPr>
            </w:pPr>
            <w:r w:rsidRPr="00113358">
              <w:rPr>
                <w:i/>
                <w:iCs/>
                <w:lang w:eastAsia="en-US"/>
              </w:rPr>
              <w:t>Visiškai atsisakyti  nuostatos, kad „Šios kategorijos išlaidos kartu su 3 kategorijos išlaidomis negali sudaryti daugiau kaip 30 proc. visų tinkamų išlaidų“</w:t>
            </w:r>
          </w:p>
          <w:p w14:paraId="4363A43E" w14:textId="77777777" w:rsidR="005A464A" w:rsidRPr="00113358" w:rsidRDefault="005A464A" w:rsidP="009F6F18">
            <w:pPr>
              <w:pStyle w:val="CommentText"/>
              <w:ind w:left="360" w:firstLine="0"/>
              <w:jc w:val="left"/>
              <w:rPr>
                <w:i/>
                <w:iCs/>
                <w:lang w:eastAsia="en-US"/>
              </w:rPr>
            </w:pPr>
            <w:r w:rsidRPr="00113358">
              <w:rPr>
                <w:i/>
                <w:iCs/>
                <w:lang w:eastAsia="en-US"/>
              </w:rPr>
              <w:t>arba</w:t>
            </w:r>
          </w:p>
          <w:p w14:paraId="60A0B750" w14:textId="77777777" w:rsidR="005A464A" w:rsidRPr="00113358" w:rsidRDefault="005A464A" w:rsidP="009F6F18">
            <w:pPr>
              <w:pStyle w:val="CommentText"/>
              <w:numPr>
                <w:ilvl w:val="0"/>
                <w:numId w:val="3"/>
              </w:numPr>
              <w:ind w:left="360"/>
              <w:jc w:val="left"/>
              <w:rPr>
                <w:lang w:eastAsia="en-US"/>
              </w:rPr>
            </w:pPr>
            <w:r w:rsidRPr="00113358">
              <w:rPr>
                <w:i/>
                <w:iCs/>
                <w:lang w:eastAsia="en-US"/>
              </w:rPr>
              <w:t xml:space="preserve">Numatyti didesnį ir </w:t>
            </w:r>
            <w:proofErr w:type="spellStart"/>
            <w:r w:rsidRPr="00113358">
              <w:rPr>
                <w:i/>
                <w:iCs/>
                <w:lang w:eastAsia="en-US"/>
              </w:rPr>
              <w:t>ekspertiškai</w:t>
            </w:r>
            <w:proofErr w:type="spellEnd"/>
            <w:r w:rsidRPr="00113358">
              <w:rPr>
                <w:i/>
                <w:iCs/>
                <w:lang w:eastAsia="en-US"/>
              </w:rPr>
              <w:t xml:space="preserve"> pagrįstą investicijų ribojimą – „Šios kategorijos išlaidos kartu su 3 kategorijos išlaidomis negali sudaryti daugiau kaip 60 proc. visų tinkamų išlaidų“  </w:t>
            </w:r>
          </w:p>
          <w:p w14:paraId="7A91AB14" w14:textId="78BBE695" w:rsidR="005A464A" w:rsidRPr="00113358" w:rsidRDefault="005A464A" w:rsidP="009F6F18">
            <w:pPr>
              <w:rPr>
                <w:sz w:val="20"/>
              </w:rPr>
            </w:pPr>
          </w:p>
        </w:tc>
        <w:tc>
          <w:tcPr>
            <w:tcW w:w="2840" w:type="dxa"/>
          </w:tcPr>
          <w:p w14:paraId="7A91AB15" w14:textId="572B2FAB" w:rsidR="005A464A" w:rsidRPr="00113358" w:rsidRDefault="006F4EDF" w:rsidP="00D53195">
            <w:pPr>
              <w:jc w:val="both"/>
              <w:rPr>
                <w:sz w:val="20"/>
              </w:rPr>
            </w:pPr>
            <w:r>
              <w:rPr>
                <w:sz w:val="20"/>
              </w:rPr>
              <w:t>Iš dalies atsižvelgta. Punktas bus koreguojamas, bus patikslinta formuluotė, nes siekiama riboti ne išlaidas infrastruktūrai, bet statybų išlaidas. Priemonės finansavimo sąlygų apraše turima omenyje ne visa 4 kategorija, bet 4.4. papunktyje nurodytos išlaidos ir 3 kategorijos išlaidos</w:t>
            </w:r>
            <w:r w:rsidR="0078318E">
              <w:rPr>
                <w:sz w:val="20"/>
              </w:rPr>
              <w:t>.</w:t>
            </w:r>
          </w:p>
        </w:tc>
      </w:tr>
      <w:tr w:rsidR="005A464A" w:rsidRPr="00113358" w14:paraId="7A91AB1B" w14:textId="77777777" w:rsidTr="00113358">
        <w:tc>
          <w:tcPr>
            <w:tcW w:w="567" w:type="dxa"/>
          </w:tcPr>
          <w:p w14:paraId="7A91AB17" w14:textId="77777777" w:rsidR="005A464A" w:rsidRPr="00113358" w:rsidRDefault="005A464A" w:rsidP="0036662A">
            <w:pPr>
              <w:pStyle w:val="ListParagraph"/>
              <w:numPr>
                <w:ilvl w:val="0"/>
                <w:numId w:val="1"/>
              </w:numPr>
              <w:jc w:val="both"/>
              <w:rPr>
                <w:sz w:val="20"/>
              </w:rPr>
            </w:pPr>
          </w:p>
        </w:tc>
        <w:tc>
          <w:tcPr>
            <w:tcW w:w="1985" w:type="dxa"/>
            <w:vMerge/>
          </w:tcPr>
          <w:p w14:paraId="7A91AB18" w14:textId="77777777" w:rsidR="005A464A" w:rsidRPr="00113358" w:rsidRDefault="005A464A" w:rsidP="00335D39">
            <w:pPr>
              <w:rPr>
                <w:sz w:val="20"/>
              </w:rPr>
            </w:pPr>
          </w:p>
        </w:tc>
        <w:tc>
          <w:tcPr>
            <w:tcW w:w="9350" w:type="dxa"/>
          </w:tcPr>
          <w:p w14:paraId="46EEF500" w14:textId="77777777" w:rsidR="005A464A" w:rsidRPr="00113358" w:rsidRDefault="005A464A" w:rsidP="009F6F18">
            <w:pPr>
              <w:jc w:val="both"/>
              <w:rPr>
                <w:b/>
                <w:bCs/>
                <w:sz w:val="20"/>
              </w:rPr>
            </w:pPr>
            <w:r w:rsidRPr="00113358">
              <w:rPr>
                <w:b/>
                <w:bCs/>
                <w:sz w:val="20"/>
              </w:rPr>
              <w:t>5 lentelė. 5 kategorija.</w:t>
            </w:r>
          </w:p>
          <w:p w14:paraId="235E94CE" w14:textId="77777777" w:rsidR="005A464A" w:rsidRPr="00113358" w:rsidRDefault="005A464A" w:rsidP="009F6F18">
            <w:pPr>
              <w:rPr>
                <w:sz w:val="20"/>
              </w:rPr>
            </w:pPr>
            <w:r w:rsidRPr="00113358">
              <w:rPr>
                <w:bCs/>
                <w:sz w:val="20"/>
              </w:rPr>
              <w:t>Projekto vykdymas</w:t>
            </w:r>
            <w:r w:rsidRPr="00113358">
              <w:rPr>
                <w:sz w:val="20"/>
              </w:rPr>
              <w:t>.</w:t>
            </w:r>
          </w:p>
          <w:p w14:paraId="77330051" w14:textId="77777777" w:rsidR="005A464A" w:rsidRPr="00113358" w:rsidRDefault="005A464A" w:rsidP="009F6F18">
            <w:pPr>
              <w:rPr>
                <w:sz w:val="20"/>
              </w:rPr>
            </w:pPr>
          </w:p>
          <w:p w14:paraId="0C3ED971" w14:textId="77777777" w:rsidR="005A464A" w:rsidRPr="00113358" w:rsidRDefault="005A464A" w:rsidP="009F6F18">
            <w:pPr>
              <w:jc w:val="both"/>
              <w:rPr>
                <w:sz w:val="20"/>
              </w:rPr>
            </w:pPr>
            <w:r w:rsidRPr="00113358">
              <w:rPr>
                <w:sz w:val="20"/>
              </w:rPr>
              <w:t xml:space="preserve">Pagal PFSA leistinos 10.3 veiklos spektras yra labai platus – „tinkamos finansuoti išlaidos, susijusios su konsultavimu, pagalba ir mokymu žinių perdavimo, nematerialiojo turto, nuosavybės teisių įsigijimo, apsaugos bei </w:t>
            </w:r>
            <w:r w:rsidRPr="00113358">
              <w:rPr>
                <w:sz w:val="20"/>
              </w:rPr>
              <w:lastRenderedPageBreak/>
              <w:t>naudojimo, licencijų sutarčių ir standartų naudojimo klausimais, su kokybės ženklinimu, bandymais ir sertifikavimu, siekiant plėtoti veiksmingesnius produktus, procesus arba paslaugas“. Galimų skaitmeninių technologijų, kurias skatins įmones diegti skaitmeniniai inovacijų centrai teikdami paslaugas, spektras yra labai didelis ir įvairialypis.</w:t>
            </w:r>
          </w:p>
          <w:p w14:paraId="62287281" w14:textId="77777777" w:rsidR="005A464A" w:rsidRPr="00113358" w:rsidRDefault="005A464A" w:rsidP="009F6F18">
            <w:pPr>
              <w:jc w:val="both"/>
              <w:rPr>
                <w:sz w:val="20"/>
              </w:rPr>
            </w:pPr>
            <w:r w:rsidRPr="00113358">
              <w:rPr>
                <w:sz w:val="20"/>
              </w:rPr>
              <w:t>Tai yra, kvalifikuotoms ir efektyvioms inovacijų konsultavimo ir inovacijų paramos paslaugoms teikti yra reikalingas platus spektras kompetencijų, kurių poreikis konkrečiu laiko momentu gali skirtis ir dėl fragmentuoto tokių kompetencijų poreikio nėra būtina ir nėra efektyvu tokias kompetencijas pastoviai turėti skaitmeniniame inovacijų centre, o yra efektyviau jas įsigyti rinkoje tada, kai yra reikalinga. 10.3 veikloje nenumatymas pareiškėjams galimybės patirti tinkamas išlaidas, susijusias su išorinių paslaugų, reikalingų skaitmeninių inovacijų centro paslaugų teikimui, įsigijimu laikytinas nepagrįstu ir mažinančių  skaitmeninių inovacijų centro paslaugų efektyvumą. Manome, kad būtų tikslinga riboti tik tokių įsigyjamų paslaugų apimtis, kad skaitmeniniai inovacijų centrai būtų skatinami stiprinti vidinį potencialą teikti efektyvias paslaugas.</w:t>
            </w:r>
          </w:p>
          <w:p w14:paraId="44BDB061" w14:textId="77777777" w:rsidR="005A464A" w:rsidRPr="00113358" w:rsidRDefault="005A464A" w:rsidP="009F6F18">
            <w:pPr>
              <w:jc w:val="both"/>
              <w:rPr>
                <w:b/>
                <w:bCs/>
                <w:iCs/>
                <w:sz w:val="20"/>
              </w:rPr>
            </w:pPr>
          </w:p>
          <w:p w14:paraId="3C245A32" w14:textId="77777777" w:rsidR="005A464A" w:rsidRPr="00113358" w:rsidRDefault="005A464A" w:rsidP="009F6F18">
            <w:pPr>
              <w:jc w:val="both"/>
              <w:rPr>
                <w:iCs/>
                <w:sz w:val="20"/>
              </w:rPr>
            </w:pPr>
            <w:r w:rsidRPr="00113358">
              <w:rPr>
                <w:b/>
                <w:bCs/>
                <w:iCs/>
                <w:sz w:val="20"/>
              </w:rPr>
              <w:t xml:space="preserve">Siūlome  </w:t>
            </w:r>
            <w:r w:rsidRPr="00113358">
              <w:rPr>
                <w:b/>
                <w:bCs/>
                <w:sz w:val="20"/>
              </w:rPr>
              <w:t>5 lentelėje, 5 kategorijoje numatyti tinkamas išlaidas:</w:t>
            </w:r>
          </w:p>
          <w:p w14:paraId="7A91AB19" w14:textId="59A50BA6" w:rsidR="005A464A" w:rsidRPr="00113358" w:rsidRDefault="005A464A" w:rsidP="009F6F18">
            <w:pPr>
              <w:rPr>
                <w:sz w:val="20"/>
              </w:rPr>
            </w:pPr>
            <w:r w:rsidRPr="00113358">
              <w:rPr>
                <w:i/>
                <w:sz w:val="20"/>
              </w:rPr>
              <w:t>5.5 paslaugų, reikalingų teikiant inovacijų konsultavimo ir inovacijų paramos paslaugas, įsigijimo išlaidos (šios išlaidos negali viršyti 50 proc. 10.3 veiklos visų tinkamų finansuoti išlaidų)</w:t>
            </w:r>
          </w:p>
        </w:tc>
        <w:tc>
          <w:tcPr>
            <w:tcW w:w="2840" w:type="dxa"/>
          </w:tcPr>
          <w:p w14:paraId="7A91AB1A" w14:textId="1BBC7F75" w:rsidR="005A464A" w:rsidRPr="00113358" w:rsidRDefault="0078318E" w:rsidP="00D53195">
            <w:pPr>
              <w:jc w:val="both"/>
              <w:rPr>
                <w:sz w:val="20"/>
              </w:rPr>
            </w:pPr>
            <w:r>
              <w:rPr>
                <w:sz w:val="20"/>
              </w:rPr>
              <w:lastRenderedPageBreak/>
              <w:t xml:space="preserve">Atsižvelgta iš dalies. </w:t>
            </w:r>
            <w:r w:rsidR="00D53195">
              <w:rPr>
                <w:sz w:val="20"/>
              </w:rPr>
              <w:t xml:space="preserve">Bus numatytos tinkamos išlaidos, tačiau tai galės sudaryti ne daugiau kaip 30 proc. 10.3 veiklos visų tinkamų finansuoti </w:t>
            </w:r>
            <w:r w:rsidR="00D53195">
              <w:rPr>
                <w:sz w:val="20"/>
              </w:rPr>
              <w:lastRenderedPageBreak/>
              <w:t>išlaidų. Tokiu būdu siekiama, kad pats skaitmeninių inovacijų centras būtų pajėgus teikti didžiąją dalį paslaugų.</w:t>
            </w:r>
            <w:r w:rsidR="006D0059">
              <w:rPr>
                <w:sz w:val="20"/>
              </w:rPr>
              <w:t xml:space="preserve"> Bus siūloma tokia formuluotė: „</w:t>
            </w:r>
            <w:r w:rsidR="006D0059" w:rsidRPr="006D0059">
              <w:rPr>
                <w:i/>
                <w:sz w:val="20"/>
              </w:rPr>
              <w:t>išorinių paslaugų įsigijimo išlaidos, kai jos skirtos inovacijų paramos paslaugų kompleksiniam teikimui. Šios išlaidos negali sudaryti daugiau negu 30 proc. 10.3 veiklai sk</w:t>
            </w:r>
            <w:r w:rsidR="006D0059">
              <w:rPr>
                <w:i/>
                <w:sz w:val="20"/>
              </w:rPr>
              <w:t>irtų tinkamų finansuoti išlaidų“.</w:t>
            </w:r>
            <w:r w:rsidR="006D0059">
              <w:rPr>
                <w:sz w:val="20"/>
              </w:rPr>
              <w:t xml:space="preserve"> </w:t>
            </w:r>
          </w:p>
        </w:tc>
      </w:tr>
      <w:tr w:rsidR="00D16597" w:rsidRPr="00113358" w14:paraId="013F1C1D" w14:textId="77777777" w:rsidTr="00113358">
        <w:tc>
          <w:tcPr>
            <w:tcW w:w="567" w:type="dxa"/>
          </w:tcPr>
          <w:p w14:paraId="48F4F040" w14:textId="77777777" w:rsidR="00D16597" w:rsidRPr="00113358" w:rsidRDefault="00D16597" w:rsidP="0036662A">
            <w:pPr>
              <w:pStyle w:val="ListParagraph"/>
              <w:numPr>
                <w:ilvl w:val="0"/>
                <w:numId w:val="1"/>
              </w:numPr>
              <w:jc w:val="both"/>
              <w:rPr>
                <w:sz w:val="20"/>
              </w:rPr>
            </w:pPr>
          </w:p>
        </w:tc>
        <w:tc>
          <w:tcPr>
            <w:tcW w:w="1985" w:type="dxa"/>
            <w:vMerge w:val="restart"/>
          </w:tcPr>
          <w:p w14:paraId="77B1A249" w14:textId="61C38326" w:rsidR="00D16597" w:rsidRPr="00113358" w:rsidRDefault="00D16597" w:rsidP="00335D39">
            <w:pPr>
              <w:rPr>
                <w:sz w:val="20"/>
              </w:rPr>
            </w:pPr>
            <w:r w:rsidRPr="00113358">
              <w:rPr>
                <w:sz w:val="20"/>
              </w:rPr>
              <w:t>Lietuvos verslo konfederacija</w:t>
            </w:r>
          </w:p>
        </w:tc>
        <w:tc>
          <w:tcPr>
            <w:tcW w:w="9350" w:type="dxa"/>
          </w:tcPr>
          <w:p w14:paraId="1023AF3B" w14:textId="4AB41765" w:rsidR="00D16597" w:rsidRPr="00113358" w:rsidRDefault="00DF736A" w:rsidP="006F5338">
            <w:pPr>
              <w:jc w:val="both"/>
              <w:rPr>
                <w:b/>
                <w:bCs/>
                <w:sz w:val="20"/>
              </w:rPr>
            </w:pPr>
            <w:r>
              <w:rPr>
                <w:b/>
                <w:bCs/>
                <w:sz w:val="20"/>
              </w:rPr>
              <w:t xml:space="preserve">29 </w:t>
            </w:r>
            <w:r w:rsidR="00D16597" w:rsidRPr="00113358">
              <w:rPr>
                <w:b/>
                <w:bCs/>
                <w:sz w:val="20"/>
              </w:rPr>
              <w:t xml:space="preserve">Punktas </w:t>
            </w:r>
          </w:p>
          <w:p w14:paraId="5B0F3563" w14:textId="77777777" w:rsidR="00D16597" w:rsidRPr="00113358" w:rsidRDefault="00D16597" w:rsidP="00B8509B">
            <w:pPr>
              <w:pStyle w:val="CommentText"/>
              <w:ind w:firstLine="0"/>
            </w:pPr>
            <w:r w:rsidRPr="00113358">
              <w:t xml:space="preserve">Sėkmingam projekto veiklų, įvardintų PFSA 10.2 ir 10.3 punktuose, vykdymui praktiškai visais atvejais bus būtinos projekto darbuotojų komandiruotės užsienyje. Projektą vykdančio personalo komandiruočių išlaidos yra numatytos tinkamomis išlaidomis. </w:t>
            </w:r>
          </w:p>
          <w:p w14:paraId="717FEC75" w14:textId="77777777" w:rsidR="00D16597" w:rsidRPr="00113358" w:rsidRDefault="00D16597" w:rsidP="00B8509B">
            <w:pPr>
              <w:pStyle w:val="CommentText"/>
              <w:ind w:firstLine="0"/>
            </w:pPr>
            <w:r w:rsidRPr="00113358">
              <w:t>Projektą vykdančio personalo komandiruočių ribojimas užsienyje būtų laikytinas veiksniu, neigiamai įtakojančiu kokybinius ir kokybinius projekto rezultatus, bei pažeidžianti teisėtus pareiškėjo lūkesčius siekiant iškeltų tikslų.</w:t>
            </w:r>
          </w:p>
          <w:p w14:paraId="539F2802" w14:textId="77777777" w:rsidR="00D16597" w:rsidRPr="00113358" w:rsidRDefault="00D16597" w:rsidP="00B8509B">
            <w:pPr>
              <w:pStyle w:val="CommentText"/>
              <w:ind w:firstLine="0"/>
              <w:rPr>
                <w:b/>
                <w:bCs/>
                <w:i/>
                <w:iCs/>
              </w:rPr>
            </w:pPr>
          </w:p>
          <w:p w14:paraId="1BCEB6F6" w14:textId="77777777" w:rsidR="00D16597" w:rsidRPr="00113358" w:rsidRDefault="00D16597" w:rsidP="00B8509B">
            <w:pPr>
              <w:pStyle w:val="CommentText"/>
              <w:ind w:firstLine="0"/>
              <w:rPr>
                <w:b/>
                <w:bCs/>
                <w:i/>
                <w:iCs/>
              </w:rPr>
            </w:pPr>
            <w:r w:rsidRPr="00113358">
              <w:rPr>
                <w:b/>
                <w:bCs/>
                <w:i/>
                <w:iCs/>
              </w:rPr>
              <w:t>Siūlome:</w:t>
            </w:r>
          </w:p>
          <w:p w14:paraId="644DB3DC" w14:textId="39AABF2D" w:rsidR="00D16597" w:rsidRPr="00113358" w:rsidRDefault="00D16597" w:rsidP="00B8509B">
            <w:pPr>
              <w:pStyle w:val="CommentText"/>
              <w:ind w:left="360" w:firstLine="0"/>
              <w:rPr>
                <w:i/>
                <w:iCs/>
              </w:rPr>
            </w:pPr>
            <w:r w:rsidRPr="00113358">
              <w:rPr>
                <w:i/>
                <w:iCs/>
              </w:rPr>
              <w:t>A. Prie šio PFSA punkto pateikti patikslinimą, kad projektą vykdančio personalo trumpalaikės komandiruotės užsienyje nėra laikytinos projekto veiklų vykdymu užsienyje.</w:t>
            </w:r>
          </w:p>
          <w:p w14:paraId="38AE9DC1" w14:textId="3F6200F0" w:rsidR="00D16597" w:rsidRPr="00113358" w:rsidRDefault="00D16597" w:rsidP="009C137E">
            <w:pPr>
              <w:pStyle w:val="CommentText"/>
              <w:ind w:left="360" w:firstLine="0"/>
              <w:rPr>
                <w:i/>
                <w:iCs/>
              </w:rPr>
            </w:pPr>
            <w:r w:rsidRPr="00113358">
              <w:rPr>
                <w:i/>
                <w:iCs/>
              </w:rPr>
              <w:t>B. Prie šio PFSA punkto pateikti patikslinimą, kad projektą vykdančio personalo trumpalaikės komandiruotės užsienyje nėra laikytinos projekto veiklų vykdymu užsienyje.</w:t>
            </w:r>
          </w:p>
          <w:p w14:paraId="1DE6D34D" w14:textId="77777777" w:rsidR="00D16597" w:rsidRPr="00113358" w:rsidRDefault="00D16597" w:rsidP="00B8509B">
            <w:pPr>
              <w:pStyle w:val="CommentText"/>
              <w:ind w:left="360" w:firstLine="0"/>
              <w:rPr>
                <w:i/>
                <w:iCs/>
              </w:rPr>
            </w:pPr>
            <w:r w:rsidRPr="00113358">
              <w:rPr>
                <w:i/>
                <w:iCs/>
              </w:rPr>
              <w:t>arba</w:t>
            </w:r>
          </w:p>
          <w:p w14:paraId="74ABBEF5" w14:textId="3B44FC47" w:rsidR="00D16597" w:rsidRPr="00113358" w:rsidRDefault="00D16597" w:rsidP="00B8509B">
            <w:pPr>
              <w:jc w:val="both"/>
              <w:rPr>
                <w:b/>
                <w:bCs/>
                <w:sz w:val="20"/>
              </w:rPr>
            </w:pPr>
            <w:r w:rsidRPr="00113358">
              <w:rPr>
                <w:i/>
                <w:iCs/>
                <w:sz w:val="20"/>
              </w:rPr>
              <w:t>Šį PFSA punkto pakeisti į: „</w:t>
            </w:r>
            <w:r w:rsidRPr="00113358">
              <w:rPr>
                <w:rFonts w:eastAsia="Calibri"/>
                <w:i/>
                <w:iCs/>
                <w:sz w:val="20"/>
              </w:rPr>
              <w:t xml:space="preserve">Projekto veiklos turi būti vykdomos Lietuvos Respublikoje arba kitose ES valstybėse narėse, jei jas vykdant sukurti produktai, rezultatai ir nauda (ar jų dalis, proporcinga Lietuvos Respublikos finansiniam įnašui) atitenka Lietuvos Respublikai. Jeigu projekto veiklos vykdomos ne Lietuvos Respublikoje, tokių veiklų išlaidos neturi viršyti 15 proc. projekto tinkamų finansuoti išlaidų sumos. Projekto veiklų vykdymo vieta yra laikoma vieta, kurioje projekto veiklą vykdo projektą vykdantis personalas, kaip jis apibrėžtas </w:t>
            </w:r>
            <w:r w:rsidRPr="00113358">
              <w:rPr>
                <w:i/>
                <w:iCs/>
                <w:sz w:val="20"/>
              </w:rPr>
              <w:t>Rekomendacijose dėl projektų išlaidų atitikties Europos Sąjungos struktūrinių fondų reikalavimams (toliau – projektą vykdantis personalas)“.</w:t>
            </w:r>
          </w:p>
        </w:tc>
        <w:tc>
          <w:tcPr>
            <w:tcW w:w="2840" w:type="dxa"/>
          </w:tcPr>
          <w:p w14:paraId="7BC9A154" w14:textId="08768F1E" w:rsidR="00D16597" w:rsidRPr="00113358" w:rsidRDefault="00972B37" w:rsidP="00972B37">
            <w:pPr>
              <w:rPr>
                <w:sz w:val="20"/>
              </w:rPr>
            </w:pPr>
            <w:r>
              <w:rPr>
                <w:sz w:val="20"/>
              </w:rPr>
              <w:t>Analogiška pastaba, žr. atsakymą prie 1 pastabos.</w:t>
            </w:r>
          </w:p>
        </w:tc>
      </w:tr>
      <w:tr w:rsidR="00D16597" w:rsidRPr="00113358" w14:paraId="09D6295E" w14:textId="77777777" w:rsidTr="00113358">
        <w:tc>
          <w:tcPr>
            <w:tcW w:w="567" w:type="dxa"/>
          </w:tcPr>
          <w:p w14:paraId="3593B9ED" w14:textId="77777777" w:rsidR="00D16597" w:rsidRPr="00113358" w:rsidRDefault="00D16597" w:rsidP="0036662A">
            <w:pPr>
              <w:pStyle w:val="ListParagraph"/>
              <w:numPr>
                <w:ilvl w:val="0"/>
                <w:numId w:val="1"/>
              </w:numPr>
              <w:jc w:val="both"/>
              <w:rPr>
                <w:sz w:val="20"/>
              </w:rPr>
            </w:pPr>
          </w:p>
        </w:tc>
        <w:tc>
          <w:tcPr>
            <w:tcW w:w="1985" w:type="dxa"/>
            <w:vMerge/>
          </w:tcPr>
          <w:p w14:paraId="7F5080F3" w14:textId="77777777" w:rsidR="00D16597" w:rsidRPr="00113358" w:rsidRDefault="00D16597" w:rsidP="00335D39">
            <w:pPr>
              <w:rPr>
                <w:sz w:val="20"/>
              </w:rPr>
            </w:pPr>
          </w:p>
        </w:tc>
        <w:tc>
          <w:tcPr>
            <w:tcW w:w="9350" w:type="dxa"/>
          </w:tcPr>
          <w:p w14:paraId="08BC2011" w14:textId="77777777" w:rsidR="00D16597" w:rsidRPr="00113358" w:rsidRDefault="00D16597" w:rsidP="006F5338">
            <w:pPr>
              <w:jc w:val="both"/>
              <w:rPr>
                <w:b/>
                <w:bCs/>
                <w:sz w:val="20"/>
              </w:rPr>
            </w:pPr>
            <w:r w:rsidRPr="00113358">
              <w:rPr>
                <w:b/>
                <w:bCs/>
                <w:sz w:val="20"/>
              </w:rPr>
              <w:t>2 lentelė. 4 kategorija.</w:t>
            </w:r>
          </w:p>
          <w:p w14:paraId="0EA32BE9" w14:textId="77777777" w:rsidR="00D16597" w:rsidRPr="00113358" w:rsidRDefault="00D16597" w:rsidP="006F5338">
            <w:pPr>
              <w:jc w:val="both"/>
              <w:rPr>
                <w:sz w:val="20"/>
              </w:rPr>
            </w:pPr>
            <w:r w:rsidRPr="00113358">
              <w:rPr>
                <w:sz w:val="20"/>
              </w:rPr>
              <w:t>Šios kategorijos išlaidos kartu su 3 kategorijos išlaidomis negali sudaryti daugiau kaip 30 proc. visų tinkamų išlaidų.</w:t>
            </w:r>
          </w:p>
          <w:p w14:paraId="14FB9377" w14:textId="77777777" w:rsidR="00D16597" w:rsidRPr="00113358" w:rsidRDefault="00D16597" w:rsidP="006F5338">
            <w:pPr>
              <w:jc w:val="both"/>
              <w:rPr>
                <w:sz w:val="20"/>
              </w:rPr>
            </w:pPr>
          </w:p>
          <w:p w14:paraId="1254F7BA" w14:textId="77777777" w:rsidR="00D16597" w:rsidRPr="00113358" w:rsidRDefault="00D16597" w:rsidP="006F5338">
            <w:pPr>
              <w:jc w:val="both"/>
              <w:rPr>
                <w:sz w:val="20"/>
              </w:rPr>
            </w:pPr>
            <w:r w:rsidRPr="00113358">
              <w:rPr>
                <w:sz w:val="20"/>
              </w:rPr>
              <w:t>Viena iš priemonės tikslo pagrindinių dedamųjų – „</w:t>
            </w:r>
            <w:r w:rsidRPr="00113358">
              <w:rPr>
                <w:bCs/>
                <w:sz w:val="20"/>
              </w:rPr>
              <w:t xml:space="preserve">skatinti įmones investuoti į skaitmenines inovacijas, suteikiant galimybę pramonės įmonėms &lt;...&gt; naudotis infrastruktūra ir technologijomis skaitmeninių inovacijų bandymams </w:t>
            </w:r>
            <w:r w:rsidRPr="00113358">
              <w:rPr>
                <w:bCs/>
                <w:sz w:val="20"/>
              </w:rPr>
              <w:lastRenderedPageBreak/>
              <w:t xml:space="preserve">su įmonės produktais, procesais ar verslo modeliais atlikti, taip sudarant </w:t>
            </w:r>
            <w:r w:rsidRPr="00113358">
              <w:rPr>
                <w:sz w:val="20"/>
              </w:rPr>
              <w:t xml:space="preserve">didesnes galimybes įmonėms vykdyti mokslinių tyrimų ir (arba) eksperimentinės plėtros ir inovacijų (toliau – MTEPI) veiklas, didesnes galimybes naudotis technologijomis ir įranga. </w:t>
            </w:r>
          </w:p>
          <w:p w14:paraId="60B05696" w14:textId="77777777" w:rsidR="00D16597" w:rsidRPr="00113358" w:rsidRDefault="00D16597" w:rsidP="006F5338">
            <w:pPr>
              <w:jc w:val="both"/>
              <w:rPr>
                <w:bCs/>
                <w:sz w:val="20"/>
              </w:rPr>
            </w:pPr>
            <w:r w:rsidRPr="00113358">
              <w:rPr>
                <w:sz w:val="20"/>
              </w:rPr>
              <w:t>Investicijų į infrastuktūrą dydžio apribojimas tik iki 30 proc. visų tinkamų išlaidų, turės tiesioginę neigiamą įtaką priemonės tikslų pasiekimui, nes nebus galima suteikti adekvačių ir poreikius atitinkančių galimybių įmonėms „</w:t>
            </w:r>
            <w:r w:rsidRPr="00113358">
              <w:rPr>
                <w:bCs/>
                <w:sz w:val="20"/>
              </w:rPr>
              <w:t>naudotis infrastruktūra ir technologijomis skaitmeninių inovacijų bandymams su įmonės produktais, procesais ar verslo modeliais atlikti &lt;...&gt;, jau nekalbant apie tai, kad infrastruktūra reikalinga ir teikiant inovacijų konsultavimo paslaugas, kai reikia suteikti naujausią informaciją ir ekspertinę pagalbą, grįstą naujomis žiniomis bei praktiniu pademonstravimu. Be to, skaitmeninių inovacijų centrų specializacija yra skirtinga, vertinant pagal infrastruktūros sukuriamą pridėtinę vertę teikiant inovacijų konsultavimo ir inovacijų paramos paslaugas, skatinant įmonės diegti skaitmenines inovacijas, todėl investicijų į infrastruktūrą dirbtinis ribojimas kurs diskriminacines konkurencines sąlygas.</w:t>
            </w:r>
          </w:p>
          <w:p w14:paraId="67F6A549" w14:textId="77777777" w:rsidR="00D16597" w:rsidRPr="00113358" w:rsidRDefault="00D16597" w:rsidP="006F5338">
            <w:pPr>
              <w:jc w:val="both"/>
              <w:rPr>
                <w:sz w:val="20"/>
              </w:rPr>
            </w:pPr>
            <w:r w:rsidRPr="00113358">
              <w:rPr>
                <w:sz w:val="20"/>
              </w:rPr>
              <w:t>Galimai tikėtinas neefektyvias pareiškėjų investicijas į infrastruktūrą riboja kitos PFSA nuostatos, pavyzdžiui, numatančios, kad investicijos turi būti pagrįstos (</w:t>
            </w:r>
            <w:proofErr w:type="spellStart"/>
            <w:r w:rsidRPr="00113358">
              <w:rPr>
                <w:sz w:val="20"/>
              </w:rPr>
              <w:t>įrodymus</w:t>
            </w:r>
            <w:proofErr w:type="spellEnd"/>
            <w:r w:rsidRPr="00113358">
              <w:rPr>
                <w:sz w:val="20"/>
              </w:rPr>
              <w:t xml:space="preserve"> reikia pateikti verslo plane, pateikiamame kartu su paraiška), ir kad projekto atrankos kriterijai - „Skaitmeninių inovacijų centro pajamų už suteiktas paslaugas projekto įgyvendinimo metu ir 3 metai po projekto veiklų įgyvendinimo pabaigos santykis su gautomis investicijomis“ ir „Įmonių, besinaudojančių skaitmeninių inovacijų centro paslaugomis, sukurtų gaminių, paslaugų ar procesų prototipai (koncepcijos) projekto metu (vnt.)“ – išimtinai vertina investicijų efektyvumą. Tai yra, projektai, kuriuose bus nepagrįstai didelės ir neefektyvios investicijos į infrastruktūrą, negalės tikėtis gauti viešųjų investicijų.</w:t>
            </w:r>
          </w:p>
          <w:p w14:paraId="7C2FD7D4" w14:textId="77777777" w:rsidR="00D16597" w:rsidRPr="00113358" w:rsidRDefault="00D16597" w:rsidP="006F5338">
            <w:pPr>
              <w:pStyle w:val="CommentText"/>
              <w:ind w:firstLine="0"/>
              <w:rPr>
                <w:b/>
                <w:bCs/>
                <w:i/>
                <w:iCs/>
              </w:rPr>
            </w:pPr>
          </w:p>
          <w:p w14:paraId="5277D8F3" w14:textId="77777777" w:rsidR="00D16597" w:rsidRPr="00113358" w:rsidRDefault="00D16597" w:rsidP="006F5338">
            <w:pPr>
              <w:pStyle w:val="CommentText"/>
              <w:ind w:firstLine="0"/>
              <w:rPr>
                <w:b/>
                <w:bCs/>
                <w:i/>
                <w:iCs/>
              </w:rPr>
            </w:pPr>
            <w:r w:rsidRPr="00113358">
              <w:rPr>
                <w:b/>
                <w:bCs/>
                <w:i/>
                <w:iCs/>
              </w:rPr>
              <w:t>Siūlome:</w:t>
            </w:r>
          </w:p>
          <w:p w14:paraId="5ACAC2B5" w14:textId="798029F5" w:rsidR="00D16597" w:rsidRPr="00113358" w:rsidRDefault="00D16597" w:rsidP="00B8509B">
            <w:pPr>
              <w:pStyle w:val="CommentText"/>
              <w:ind w:firstLine="0"/>
              <w:rPr>
                <w:i/>
                <w:iCs/>
              </w:rPr>
            </w:pPr>
            <w:r w:rsidRPr="00113358">
              <w:rPr>
                <w:i/>
                <w:iCs/>
              </w:rPr>
              <w:t>A. Visiškai atsisakyti  nuostatos, kad „Šios kategorijos išlaidos kartu su 3 kategorijos išlaidomis negali sudaryti daugiau kaip 30 proc. visų tinkamų išlaidų“</w:t>
            </w:r>
          </w:p>
          <w:p w14:paraId="2F9C9131" w14:textId="77777777" w:rsidR="00D16597" w:rsidRPr="00113358" w:rsidRDefault="00D16597" w:rsidP="006F5338">
            <w:pPr>
              <w:pStyle w:val="CommentText"/>
              <w:ind w:left="360" w:firstLine="0"/>
              <w:rPr>
                <w:i/>
                <w:iCs/>
              </w:rPr>
            </w:pPr>
            <w:r w:rsidRPr="00113358">
              <w:rPr>
                <w:i/>
                <w:iCs/>
              </w:rPr>
              <w:t>arba</w:t>
            </w:r>
          </w:p>
          <w:p w14:paraId="4E6FF1E6" w14:textId="13832A0C" w:rsidR="00D16597" w:rsidRPr="00113358" w:rsidRDefault="00D16597" w:rsidP="006F5338">
            <w:pPr>
              <w:jc w:val="both"/>
              <w:rPr>
                <w:b/>
                <w:bCs/>
                <w:sz w:val="20"/>
              </w:rPr>
            </w:pPr>
            <w:r w:rsidRPr="00113358">
              <w:rPr>
                <w:i/>
                <w:iCs/>
                <w:sz w:val="20"/>
              </w:rPr>
              <w:t xml:space="preserve">B. Numatyti didesnį ir </w:t>
            </w:r>
            <w:proofErr w:type="spellStart"/>
            <w:r w:rsidRPr="00113358">
              <w:rPr>
                <w:i/>
                <w:iCs/>
                <w:sz w:val="20"/>
              </w:rPr>
              <w:t>ekspertiškai</w:t>
            </w:r>
            <w:proofErr w:type="spellEnd"/>
            <w:r w:rsidRPr="00113358">
              <w:rPr>
                <w:i/>
                <w:iCs/>
                <w:sz w:val="20"/>
              </w:rPr>
              <w:t xml:space="preserve"> pagrįstą investicijų ribojimą – „Šios kategorijos išlaidos kartu su 3 kategorijos išlaidomis negali sudaryti daugiau kaip 60 proc. visų tinkamų išlaidų“</w:t>
            </w:r>
          </w:p>
        </w:tc>
        <w:tc>
          <w:tcPr>
            <w:tcW w:w="2840" w:type="dxa"/>
          </w:tcPr>
          <w:p w14:paraId="379FD5B4" w14:textId="53F458A8" w:rsidR="00D16597" w:rsidRPr="00113358" w:rsidRDefault="00972B37" w:rsidP="00335D39">
            <w:pPr>
              <w:rPr>
                <w:sz w:val="20"/>
              </w:rPr>
            </w:pPr>
            <w:r>
              <w:rPr>
                <w:sz w:val="20"/>
              </w:rPr>
              <w:lastRenderedPageBreak/>
              <w:t>Analogiška pastaba, žr. atsakymą prie 2 pastabos.</w:t>
            </w:r>
          </w:p>
        </w:tc>
      </w:tr>
      <w:tr w:rsidR="00D16597" w:rsidRPr="00113358" w14:paraId="3CCED76B" w14:textId="77777777" w:rsidTr="00113358">
        <w:tc>
          <w:tcPr>
            <w:tcW w:w="567" w:type="dxa"/>
          </w:tcPr>
          <w:p w14:paraId="07080ED8" w14:textId="77777777" w:rsidR="00D16597" w:rsidRPr="00113358" w:rsidRDefault="00D16597" w:rsidP="0036662A">
            <w:pPr>
              <w:pStyle w:val="ListParagraph"/>
              <w:numPr>
                <w:ilvl w:val="0"/>
                <w:numId w:val="1"/>
              </w:numPr>
              <w:jc w:val="both"/>
              <w:rPr>
                <w:sz w:val="20"/>
              </w:rPr>
            </w:pPr>
          </w:p>
        </w:tc>
        <w:tc>
          <w:tcPr>
            <w:tcW w:w="1985" w:type="dxa"/>
            <w:vMerge/>
          </w:tcPr>
          <w:p w14:paraId="5B2E3548" w14:textId="77777777" w:rsidR="00D16597" w:rsidRPr="00113358" w:rsidRDefault="00D16597" w:rsidP="00335D39">
            <w:pPr>
              <w:rPr>
                <w:sz w:val="20"/>
              </w:rPr>
            </w:pPr>
          </w:p>
        </w:tc>
        <w:tc>
          <w:tcPr>
            <w:tcW w:w="9350" w:type="dxa"/>
          </w:tcPr>
          <w:p w14:paraId="6F472EBC" w14:textId="77777777" w:rsidR="00D16597" w:rsidRPr="00113358" w:rsidRDefault="00D16597" w:rsidP="006F5338">
            <w:pPr>
              <w:jc w:val="both"/>
              <w:rPr>
                <w:b/>
                <w:bCs/>
                <w:sz w:val="20"/>
              </w:rPr>
            </w:pPr>
            <w:r w:rsidRPr="00113358">
              <w:rPr>
                <w:b/>
                <w:bCs/>
                <w:sz w:val="20"/>
              </w:rPr>
              <w:t>5 lentelė. 5 kategorija.</w:t>
            </w:r>
          </w:p>
          <w:p w14:paraId="6B326829" w14:textId="77777777" w:rsidR="00D16597" w:rsidRPr="00113358" w:rsidRDefault="00D16597" w:rsidP="006F5338">
            <w:pPr>
              <w:jc w:val="both"/>
              <w:rPr>
                <w:sz w:val="20"/>
              </w:rPr>
            </w:pPr>
            <w:r w:rsidRPr="00113358">
              <w:rPr>
                <w:bCs/>
                <w:sz w:val="20"/>
              </w:rPr>
              <w:t>Projekto vykdymas</w:t>
            </w:r>
            <w:r w:rsidRPr="00113358">
              <w:rPr>
                <w:sz w:val="20"/>
              </w:rPr>
              <w:t>.</w:t>
            </w:r>
          </w:p>
          <w:p w14:paraId="403AFCB6" w14:textId="77777777" w:rsidR="00D16597" w:rsidRPr="00113358" w:rsidRDefault="00D16597" w:rsidP="006F5338">
            <w:pPr>
              <w:jc w:val="both"/>
              <w:rPr>
                <w:sz w:val="20"/>
              </w:rPr>
            </w:pPr>
          </w:p>
          <w:p w14:paraId="31FDA656" w14:textId="77777777" w:rsidR="00D16597" w:rsidRPr="00113358" w:rsidRDefault="00D16597" w:rsidP="006F5338">
            <w:pPr>
              <w:jc w:val="both"/>
              <w:rPr>
                <w:sz w:val="20"/>
              </w:rPr>
            </w:pPr>
            <w:r w:rsidRPr="00113358">
              <w:rPr>
                <w:sz w:val="20"/>
              </w:rPr>
              <w:t>Pagal PFSA leistinos 10.3 veiklos spektras yra labai platus – „tinkamos finansuoti išlaidos, susijusios su konsultavimu, pagalba ir mokymu žinių perdavimo, nematerialiojo turto, nuosavybės teisių įsigijimo, apsaugos bei naudojimo, licencijų sutarčių ir standartų naudojimo klausimais, su kokybės ženklinimu, bandymais ir sertifikavimu, siekiant plėtoti veiksmingesnius produktus, procesus arba paslaugas“. Galimų skaitmeninių technologijų, kurias skatins įmones diegti skaitmeniniai inovacijų centrai teikdami paslaugas, spektras yra labai didelis ir įvairialypis.</w:t>
            </w:r>
          </w:p>
          <w:p w14:paraId="6AE3115F" w14:textId="77777777" w:rsidR="00D16597" w:rsidRPr="00113358" w:rsidRDefault="00D16597" w:rsidP="006F5338">
            <w:pPr>
              <w:jc w:val="both"/>
              <w:rPr>
                <w:sz w:val="20"/>
              </w:rPr>
            </w:pPr>
            <w:r w:rsidRPr="00113358">
              <w:rPr>
                <w:sz w:val="20"/>
              </w:rPr>
              <w:t xml:space="preserve">Tai yra, kvalifikuotoms ir efektyvioms inovacijų konsultavimo ir inovacijų paramos paslaugoms teikti yra reikalingas platus spektras kompetencijų, kurių poreikis konkrečiu laiko momentu gali skirtis ir dėl fragmentuoto tokių kompetencijų poreikio nėra būtina ir nėra efektyvu tokias kompetencijas pastoviai turėti skaitmeniniame inovacijų centre, o yra efektyviau jas įsigyti rinkoje tada, kai yra reikalinga. 10.3 veikloje nenumatymas pareiškėjams galimybės patirti tinkamas išlaidas, susijusias su išorinių paslaugų, reikalingų skaitmeninių inovacijų </w:t>
            </w:r>
            <w:r w:rsidRPr="00113358">
              <w:rPr>
                <w:sz w:val="20"/>
              </w:rPr>
              <w:lastRenderedPageBreak/>
              <w:t>centro paslaugų teikimui, įsigijimu laikytinas nepagrįstu ir mažinančių  skaitmeninių inovacijų centro paslaugų efektyvumą. Manome, kad būtų tikslinga riboti tik tokių įsigyjamų paslaugų apimtis, kad skaitmeniniai inovacijų centrai būtų skatinami stiprinti vidinį potencialą teikti efektyvias paslaugas.</w:t>
            </w:r>
          </w:p>
          <w:p w14:paraId="241E6B70" w14:textId="77777777" w:rsidR="00D16597" w:rsidRPr="00113358" w:rsidRDefault="00D16597" w:rsidP="006F5338">
            <w:pPr>
              <w:jc w:val="both"/>
              <w:rPr>
                <w:b/>
                <w:bCs/>
                <w:iCs/>
                <w:sz w:val="20"/>
              </w:rPr>
            </w:pPr>
          </w:p>
          <w:p w14:paraId="3E0C8054" w14:textId="77777777" w:rsidR="00D16597" w:rsidRPr="00113358" w:rsidRDefault="00D16597" w:rsidP="006F5338">
            <w:pPr>
              <w:jc w:val="both"/>
              <w:rPr>
                <w:iCs/>
                <w:sz w:val="20"/>
              </w:rPr>
            </w:pPr>
            <w:r w:rsidRPr="00113358">
              <w:rPr>
                <w:b/>
                <w:bCs/>
                <w:iCs/>
                <w:sz w:val="20"/>
              </w:rPr>
              <w:t xml:space="preserve">Siūlome  </w:t>
            </w:r>
            <w:r w:rsidRPr="00113358">
              <w:rPr>
                <w:b/>
                <w:bCs/>
                <w:sz w:val="20"/>
              </w:rPr>
              <w:t>5 lentelėje, 5 kategorijoje numatyti tinkamas išlaidas:</w:t>
            </w:r>
          </w:p>
          <w:p w14:paraId="16BEE992" w14:textId="00A3EBCA" w:rsidR="00D16597" w:rsidRPr="00113358" w:rsidRDefault="00D16597" w:rsidP="006F5338">
            <w:pPr>
              <w:jc w:val="both"/>
              <w:rPr>
                <w:b/>
                <w:bCs/>
                <w:sz w:val="20"/>
              </w:rPr>
            </w:pPr>
            <w:r w:rsidRPr="00113358">
              <w:rPr>
                <w:i/>
                <w:sz w:val="20"/>
              </w:rPr>
              <w:t>5.5 paslaugų, reikalingų teikiant inovacijų konsultavimo ir inovacijų paramos paslaugas, įsigijimo išlaidos (šios išlaidos negali viršyti 50 proc. 10.3 veiklos visų tinkamų finansuoti išlaidų)</w:t>
            </w:r>
          </w:p>
        </w:tc>
        <w:tc>
          <w:tcPr>
            <w:tcW w:w="2840" w:type="dxa"/>
          </w:tcPr>
          <w:p w14:paraId="3513346C" w14:textId="01157D5A" w:rsidR="00D16597" w:rsidRPr="00113358" w:rsidRDefault="00972B37" w:rsidP="00972B37">
            <w:pPr>
              <w:rPr>
                <w:sz w:val="20"/>
              </w:rPr>
            </w:pPr>
            <w:r>
              <w:rPr>
                <w:sz w:val="20"/>
              </w:rPr>
              <w:lastRenderedPageBreak/>
              <w:t>Analogiška pastaba, žr. atsakymą prie 3 pastabos.</w:t>
            </w:r>
          </w:p>
        </w:tc>
      </w:tr>
      <w:tr w:rsidR="00D16597" w:rsidRPr="00113358" w14:paraId="30BC44C6" w14:textId="77777777" w:rsidTr="00113358">
        <w:tc>
          <w:tcPr>
            <w:tcW w:w="567" w:type="dxa"/>
          </w:tcPr>
          <w:p w14:paraId="1ADFC313" w14:textId="77777777" w:rsidR="00D16597" w:rsidRPr="00113358" w:rsidRDefault="00D16597" w:rsidP="0036662A">
            <w:pPr>
              <w:pStyle w:val="ListParagraph"/>
              <w:numPr>
                <w:ilvl w:val="0"/>
                <w:numId w:val="1"/>
              </w:numPr>
              <w:jc w:val="both"/>
              <w:rPr>
                <w:sz w:val="20"/>
              </w:rPr>
            </w:pPr>
          </w:p>
        </w:tc>
        <w:tc>
          <w:tcPr>
            <w:tcW w:w="1985" w:type="dxa"/>
            <w:vMerge/>
          </w:tcPr>
          <w:p w14:paraId="154B7B22" w14:textId="77777777" w:rsidR="00D16597" w:rsidRPr="00113358" w:rsidRDefault="00D16597" w:rsidP="00335D39">
            <w:pPr>
              <w:rPr>
                <w:sz w:val="20"/>
              </w:rPr>
            </w:pPr>
          </w:p>
        </w:tc>
        <w:tc>
          <w:tcPr>
            <w:tcW w:w="9350" w:type="dxa"/>
          </w:tcPr>
          <w:p w14:paraId="0D17E32D" w14:textId="77777777" w:rsidR="00113358" w:rsidRPr="00113358" w:rsidRDefault="00113358" w:rsidP="00113358">
            <w:pPr>
              <w:autoSpaceDE w:val="0"/>
              <w:autoSpaceDN w:val="0"/>
              <w:adjustRightInd w:val="0"/>
              <w:jc w:val="both"/>
              <w:rPr>
                <w:b/>
                <w:bCs/>
                <w:sz w:val="20"/>
              </w:rPr>
            </w:pPr>
            <w:r w:rsidRPr="00113358">
              <w:rPr>
                <w:b/>
                <w:bCs/>
                <w:sz w:val="20"/>
              </w:rPr>
              <w:t>Punktas</w:t>
            </w:r>
          </w:p>
          <w:p w14:paraId="0BF1F328" w14:textId="53B8E508" w:rsidR="00D16597" w:rsidRDefault="00113358" w:rsidP="00113358">
            <w:pPr>
              <w:jc w:val="both"/>
              <w:rPr>
                <w:bCs/>
                <w:sz w:val="20"/>
              </w:rPr>
            </w:pPr>
            <w:r w:rsidRPr="00113358">
              <w:rPr>
                <w:bCs/>
                <w:sz w:val="20"/>
              </w:rPr>
              <w:t>23. Jei projekto naudos ir kokybės vertinimo metu projektui suteikiama mažiau kaip 40 balų, paraiška atmetama.</w:t>
            </w:r>
          </w:p>
          <w:p w14:paraId="77373FB1" w14:textId="77777777" w:rsidR="00113358" w:rsidRPr="00113358" w:rsidRDefault="00113358" w:rsidP="00113358">
            <w:pPr>
              <w:jc w:val="both"/>
              <w:rPr>
                <w:bCs/>
                <w:sz w:val="20"/>
              </w:rPr>
            </w:pPr>
          </w:p>
          <w:p w14:paraId="5C09F58F" w14:textId="77777777" w:rsidR="00113358" w:rsidRPr="00113358" w:rsidRDefault="00113358" w:rsidP="00113358">
            <w:pPr>
              <w:pStyle w:val="CommentText"/>
              <w:ind w:firstLine="0"/>
            </w:pPr>
            <w:r w:rsidRPr="00113358">
              <w:t xml:space="preserve">Egzistuoja rizika dėl 40 balų minimalaus paraiškos vertinimo, kadangi vertinimo kriterijai labai subjektyvūs ir paremti daugiau prognozėmis, todėl gali gautis tokia situacija, kad pareiškėjai kurie pateiks labai optimistines prognozes, turės pranašumą prieš pareiškėjus su realistinėmis prognozėmis. </w:t>
            </w:r>
          </w:p>
          <w:p w14:paraId="051E595A" w14:textId="77777777" w:rsidR="00113358" w:rsidRPr="00113358" w:rsidRDefault="00113358" w:rsidP="00113358">
            <w:pPr>
              <w:pStyle w:val="CommentText"/>
              <w:ind w:firstLine="0"/>
              <w:rPr>
                <w:b/>
                <w:bCs/>
                <w:i/>
                <w:iCs/>
              </w:rPr>
            </w:pPr>
            <w:r w:rsidRPr="00113358">
              <w:rPr>
                <w:b/>
                <w:bCs/>
                <w:i/>
                <w:iCs/>
              </w:rPr>
              <w:t>Siūlome:</w:t>
            </w:r>
          </w:p>
          <w:p w14:paraId="0BBF88EB" w14:textId="000DF6EE" w:rsidR="00113358" w:rsidRPr="00113358" w:rsidRDefault="00113358" w:rsidP="00113358">
            <w:pPr>
              <w:pStyle w:val="CommentText"/>
              <w:numPr>
                <w:ilvl w:val="0"/>
                <w:numId w:val="7"/>
              </w:numPr>
            </w:pPr>
            <w:r w:rsidRPr="00113358">
              <w:t xml:space="preserve">minimalaus balo nenaudoti ar sumažinti iki 20, kadangi pareiškėjų tinkamų ratas yra iki 10, o minimali finansavimo suma dar labiau sumažins potencialių pareiškėjų skaičių, todėl rizikos, kad bus labai didelis paraiškų skaičius nėra. </w:t>
            </w:r>
          </w:p>
        </w:tc>
        <w:tc>
          <w:tcPr>
            <w:tcW w:w="2840" w:type="dxa"/>
          </w:tcPr>
          <w:p w14:paraId="4DF45060" w14:textId="1B4F2A79" w:rsidR="00D16597" w:rsidRPr="00113358" w:rsidRDefault="00972B37" w:rsidP="00B66006">
            <w:pPr>
              <w:jc w:val="both"/>
              <w:rPr>
                <w:sz w:val="20"/>
              </w:rPr>
            </w:pPr>
            <w:r>
              <w:rPr>
                <w:sz w:val="20"/>
              </w:rPr>
              <w:t>Neatsižvelgta. Jei minimali balų suma bus sumažinta iki 20 balų</w:t>
            </w:r>
            <w:r w:rsidR="00771849">
              <w:rPr>
                <w:sz w:val="20"/>
              </w:rPr>
              <w:t>, priemonės konkursas netenka prasmės, nes nebus tinkamai reitinguojami projektai. Kadangi Lietuva taip pat siekia pasiruošti 2021</w:t>
            </w:r>
            <w:r w:rsidR="00B66006">
              <w:rPr>
                <w:sz w:val="20"/>
              </w:rPr>
              <w:t>–</w:t>
            </w:r>
            <w:r w:rsidR="00771849">
              <w:rPr>
                <w:sz w:val="20"/>
              </w:rPr>
              <w:t xml:space="preserve">2027 metų laikotarpiui ir pretenduoti į paramą pagal programą „Digital </w:t>
            </w:r>
            <w:proofErr w:type="spellStart"/>
            <w:r w:rsidR="00771849">
              <w:rPr>
                <w:sz w:val="20"/>
              </w:rPr>
              <w:t>Europe</w:t>
            </w:r>
            <w:proofErr w:type="spellEnd"/>
            <w:r w:rsidR="00771849">
              <w:rPr>
                <w:sz w:val="20"/>
              </w:rPr>
              <w:t xml:space="preserve">“, šiuo laikotarpiu būtina nustatyti pačius konkurencingiausius ir </w:t>
            </w:r>
            <w:proofErr w:type="spellStart"/>
            <w:r w:rsidR="00771849">
              <w:rPr>
                <w:sz w:val="20"/>
              </w:rPr>
              <w:t>kompetetin</w:t>
            </w:r>
            <w:r w:rsidR="0038761F">
              <w:rPr>
                <w:sz w:val="20"/>
              </w:rPr>
              <w:t>gus</w:t>
            </w:r>
            <w:proofErr w:type="spellEnd"/>
            <w:r w:rsidR="00771849">
              <w:rPr>
                <w:sz w:val="20"/>
              </w:rPr>
              <w:t xml:space="preserve"> skaitmeninius </w:t>
            </w:r>
            <w:r w:rsidR="0038761F">
              <w:rPr>
                <w:sz w:val="20"/>
              </w:rPr>
              <w:t>inovacijų centrus, gebančius konkuruoti ir tarptautiniu lygiu.</w:t>
            </w:r>
          </w:p>
        </w:tc>
      </w:tr>
      <w:tr w:rsidR="005A464A" w:rsidRPr="00113358" w14:paraId="513E8765" w14:textId="77777777" w:rsidTr="00113358">
        <w:tc>
          <w:tcPr>
            <w:tcW w:w="567" w:type="dxa"/>
          </w:tcPr>
          <w:p w14:paraId="072B55C0" w14:textId="77777777" w:rsidR="005A464A" w:rsidRPr="00113358" w:rsidRDefault="005A464A" w:rsidP="0036662A">
            <w:pPr>
              <w:pStyle w:val="ListParagraph"/>
              <w:numPr>
                <w:ilvl w:val="0"/>
                <w:numId w:val="1"/>
              </w:numPr>
              <w:jc w:val="both"/>
              <w:rPr>
                <w:sz w:val="20"/>
              </w:rPr>
            </w:pPr>
          </w:p>
        </w:tc>
        <w:tc>
          <w:tcPr>
            <w:tcW w:w="1985" w:type="dxa"/>
            <w:vMerge w:val="restart"/>
          </w:tcPr>
          <w:p w14:paraId="24854BB1" w14:textId="6113962C" w:rsidR="005A464A" w:rsidRPr="00113358" w:rsidRDefault="005A464A" w:rsidP="00335D39">
            <w:pPr>
              <w:rPr>
                <w:sz w:val="20"/>
              </w:rPr>
            </w:pPr>
            <w:r w:rsidRPr="00113358">
              <w:rPr>
                <w:sz w:val="20"/>
              </w:rPr>
              <w:t>Lietuvos pramoninkų konfederacija</w:t>
            </w:r>
          </w:p>
        </w:tc>
        <w:tc>
          <w:tcPr>
            <w:tcW w:w="9350" w:type="dxa"/>
          </w:tcPr>
          <w:p w14:paraId="28B58DD5" w14:textId="7DCD61A2" w:rsidR="005A464A" w:rsidRPr="00113358" w:rsidRDefault="005A464A" w:rsidP="00113358">
            <w:pPr>
              <w:pStyle w:val="CommentText"/>
              <w:ind w:firstLine="0"/>
              <w:rPr>
                <w:lang w:eastAsia="en-US"/>
              </w:rPr>
            </w:pPr>
            <w:r w:rsidRPr="00113358">
              <w:rPr>
                <w:lang w:eastAsia="en-US"/>
              </w:rPr>
              <w:t>Prašome patikslinti Aprašo 29 punkto nuostatas, numatant, kad projektą vykdančio personalo komandiruotės užsienyje nėra laikomos projekto veiklų vykdymu užsienyje. Siekiant tinkamai ir kokybiškai vykdyti projekte numatytas veiklas bei pasiekti projekto rodiklius, neišvengiamai bus būtini trumpi vizitai užsienyje, tikslu perimti reikalingas kompetencijas bei žinias. Atkreiptinas dėmesys, kad komandiruočių išlaidos Apraše yra priskirtos tinkamoms finansuoti išlaidoms.</w:t>
            </w:r>
          </w:p>
        </w:tc>
        <w:tc>
          <w:tcPr>
            <w:tcW w:w="2840" w:type="dxa"/>
          </w:tcPr>
          <w:p w14:paraId="580EF7A0" w14:textId="120E8081" w:rsidR="005A464A" w:rsidRPr="00113358" w:rsidRDefault="0038761F" w:rsidP="00335D39">
            <w:pPr>
              <w:rPr>
                <w:sz w:val="20"/>
              </w:rPr>
            </w:pPr>
            <w:r>
              <w:rPr>
                <w:sz w:val="20"/>
              </w:rPr>
              <w:t>Analogiška pastaba, žr. atsakymą prie 1 pastabos.</w:t>
            </w:r>
          </w:p>
        </w:tc>
      </w:tr>
      <w:tr w:rsidR="005A464A" w:rsidRPr="00113358" w14:paraId="10CAB5E7" w14:textId="77777777" w:rsidTr="00113358">
        <w:tc>
          <w:tcPr>
            <w:tcW w:w="567" w:type="dxa"/>
          </w:tcPr>
          <w:p w14:paraId="5181B1B7" w14:textId="77777777" w:rsidR="005A464A" w:rsidRPr="00113358" w:rsidRDefault="005A464A" w:rsidP="0036662A">
            <w:pPr>
              <w:pStyle w:val="ListParagraph"/>
              <w:numPr>
                <w:ilvl w:val="0"/>
                <w:numId w:val="1"/>
              </w:numPr>
              <w:jc w:val="both"/>
              <w:rPr>
                <w:sz w:val="20"/>
              </w:rPr>
            </w:pPr>
          </w:p>
        </w:tc>
        <w:tc>
          <w:tcPr>
            <w:tcW w:w="1985" w:type="dxa"/>
            <w:vMerge/>
          </w:tcPr>
          <w:p w14:paraId="778B8B13" w14:textId="77777777" w:rsidR="005A464A" w:rsidRPr="00113358" w:rsidRDefault="005A464A" w:rsidP="00335D39">
            <w:pPr>
              <w:rPr>
                <w:sz w:val="20"/>
              </w:rPr>
            </w:pPr>
          </w:p>
        </w:tc>
        <w:tc>
          <w:tcPr>
            <w:tcW w:w="9350" w:type="dxa"/>
          </w:tcPr>
          <w:p w14:paraId="3F6350B0" w14:textId="7AB9CF60" w:rsidR="005A464A" w:rsidRPr="00113358" w:rsidRDefault="005A464A" w:rsidP="00113358">
            <w:pPr>
              <w:pStyle w:val="CommentText"/>
              <w:ind w:firstLine="0"/>
            </w:pPr>
            <w:r w:rsidRPr="00113358">
              <w:t>Nepritariame Aprašo 2 lentelėje nurodytam apribojimui, pagal kurį infrastruktūrai kartu su įranga galima skirti tik 30 proc. visų projekto išlaidų. Šios priemonės pagrindinis tikslas yra skatinti įmones investuoti į skaitmenines inovacijas, suteikiant galimybę joms naudotis infrastruktūra bei technologijomis, atliekant skaitmeninių inovacijų diegimo bandymus. Neturint reikalingos įrangos ir infrastruktūros centrai negalės suteikti tinkamos kokybės paslaugų, bus apribotos jų veiklos galimybės. Atkreiptinas dėmesys, kad infrastuktūros kaštai yra daugeliu atveju didesni už darbo užmokesčio išlaidas per tam tikrą laikotarpį. Esant siūlomam apribojimui, pareiškėjai turės dirbtinai padidinti projekto neinvesticinę dalį, kad nepažeistų apribojimo ir sukurtų reikalingą infrastruktūrą bei įsigytų įrangą (Pvz., pagal dabartinį siūlymą norint nusimatyti 2 mln. eurų įrangai ir infrastruktūrai, reikės 4 mln. eurų skirti darbuotojų atlyginimams ir pan., todėl čia kyla klausimas, kiek reikėtų nusimatyti darbuotojų įdarbinti, kad įvykdyti priemonės sąlygas?) Atsižvelgdami į tai, prašome šį apribojantį procentą padidinti bent jau iki 60 proc. visų tinkamų išlaidų arba visai jo atsisakyti.</w:t>
            </w:r>
          </w:p>
        </w:tc>
        <w:tc>
          <w:tcPr>
            <w:tcW w:w="2840" w:type="dxa"/>
          </w:tcPr>
          <w:p w14:paraId="601B4248" w14:textId="1C11B472" w:rsidR="005A464A" w:rsidRPr="00113358" w:rsidRDefault="0038761F" w:rsidP="00335D39">
            <w:pPr>
              <w:rPr>
                <w:sz w:val="20"/>
              </w:rPr>
            </w:pPr>
            <w:r>
              <w:rPr>
                <w:sz w:val="20"/>
              </w:rPr>
              <w:t>Analogiška pastaba, žr. atsakymą prie 2 pastabos.</w:t>
            </w:r>
          </w:p>
        </w:tc>
      </w:tr>
      <w:tr w:rsidR="005A464A" w:rsidRPr="00113358" w14:paraId="7A03BA69" w14:textId="77777777" w:rsidTr="00113358">
        <w:tc>
          <w:tcPr>
            <w:tcW w:w="567" w:type="dxa"/>
          </w:tcPr>
          <w:p w14:paraId="20594ECC" w14:textId="77777777" w:rsidR="005A464A" w:rsidRPr="00113358" w:rsidRDefault="005A464A" w:rsidP="0036662A">
            <w:pPr>
              <w:pStyle w:val="ListParagraph"/>
              <w:numPr>
                <w:ilvl w:val="0"/>
                <w:numId w:val="1"/>
              </w:numPr>
              <w:jc w:val="both"/>
              <w:rPr>
                <w:sz w:val="20"/>
              </w:rPr>
            </w:pPr>
          </w:p>
        </w:tc>
        <w:tc>
          <w:tcPr>
            <w:tcW w:w="1985" w:type="dxa"/>
            <w:vMerge/>
          </w:tcPr>
          <w:p w14:paraId="1D30A34E" w14:textId="77777777" w:rsidR="005A464A" w:rsidRPr="00113358" w:rsidRDefault="005A464A" w:rsidP="00335D39">
            <w:pPr>
              <w:rPr>
                <w:sz w:val="20"/>
              </w:rPr>
            </w:pPr>
          </w:p>
        </w:tc>
        <w:tc>
          <w:tcPr>
            <w:tcW w:w="9350" w:type="dxa"/>
          </w:tcPr>
          <w:p w14:paraId="6DF5ADD7" w14:textId="59FB7039" w:rsidR="005A464A" w:rsidRPr="00113358" w:rsidRDefault="005A464A" w:rsidP="00113358">
            <w:pPr>
              <w:shd w:val="clear" w:color="auto" w:fill="FFFFFF"/>
              <w:jc w:val="both"/>
              <w:rPr>
                <w:color w:val="222222"/>
                <w:sz w:val="20"/>
              </w:rPr>
            </w:pPr>
            <w:r w:rsidRPr="00113358">
              <w:rPr>
                <w:sz w:val="20"/>
              </w:rPr>
              <w:t>Aprašo 23 punkte nustatytas minimalus projekto naudos ir kokybės vertinimo metu projektui suteikiamas balų skaičius 40 yra per griežtas. V</w:t>
            </w:r>
            <w:r w:rsidRPr="00113358">
              <w:rPr>
                <w:color w:val="222222"/>
                <w:sz w:val="20"/>
              </w:rPr>
              <w:t xml:space="preserve">ertinimo kriterijai yra labai subjektyvūs ir paremti daugiau prognozėmis, todėl gali gautis tokia situacija, kad pareiškėjai kurie pateiks labai optimistines prognozes, turės pranašumą prieš pareiškėjus su realistinėmis prognozėmis. Siūlome minimalų balų skaičių sumažinti iki 20, kadangi tinkamų pareiškėjų ratas </w:t>
            </w:r>
            <w:r w:rsidRPr="00113358">
              <w:rPr>
                <w:color w:val="222222"/>
                <w:sz w:val="20"/>
              </w:rPr>
              <w:lastRenderedPageBreak/>
              <w:t>yra iki 10, o minimali paramos suma dar labiau sumažins potencialių pareiškėjų skaičių, todėl rizikos, kad bus labai didelis paraiškų skaičius nėra.</w:t>
            </w:r>
          </w:p>
        </w:tc>
        <w:tc>
          <w:tcPr>
            <w:tcW w:w="2840" w:type="dxa"/>
          </w:tcPr>
          <w:p w14:paraId="051B0E64" w14:textId="6056BB30" w:rsidR="005A464A" w:rsidRPr="00113358" w:rsidRDefault="0038761F" w:rsidP="00335D39">
            <w:pPr>
              <w:rPr>
                <w:sz w:val="20"/>
              </w:rPr>
            </w:pPr>
            <w:r>
              <w:rPr>
                <w:sz w:val="20"/>
              </w:rPr>
              <w:lastRenderedPageBreak/>
              <w:t>Analogiška pastaba, žr. atsakymą prie 7 pastabos.</w:t>
            </w:r>
          </w:p>
        </w:tc>
      </w:tr>
      <w:tr w:rsidR="005A464A" w:rsidRPr="00113358" w14:paraId="5831FA0E" w14:textId="77777777" w:rsidTr="00113358">
        <w:tc>
          <w:tcPr>
            <w:tcW w:w="567" w:type="dxa"/>
          </w:tcPr>
          <w:p w14:paraId="13B5B7B9" w14:textId="77777777" w:rsidR="005A464A" w:rsidRPr="00113358" w:rsidRDefault="005A464A" w:rsidP="0036662A">
            <w:pPr>
              <w:pStyle w:val="ListParagraph"/>
              <w:numPr>
                <w:ilvl w:val="0"/>
                <w:numId w:val="1"/>
              </w:numPr>
              <w:jc w:val="both"/>
              <w:rPr>
                <w:sz w:val="20"/>
              </w:rPr>
            </w:pPr>
          </w:p>
        </w:tc>
        <w:tc>
          <w:tcPr>
            <w:tcW w:w="1985" w:type="dxa"/>
            <w:vMerge/>
          </w:tcPr>
          <w:p w14:paraId="3D55F386" w14:textId="77777777" w:rsidR="005A464A" w:rsidRPr="00113358" w:rsidRDefault="005A464A" w:rsidP="00335D39">
            <w:pPr>
              <w:rPr>
                <w:sz w:val="20"/>
              </w:rPr>
            </w:pPr>
          </w:p>
        </w:tc>
        <w:tc>
          <w:tcPr>
            <w:tcW w:w="9350" w:type="dxa"/>
          </w:tcPr>
          <w:p w14:paraId="256C21D1" w14:textId="3871CBFF" w:rsidR="005A464A" w:rsidRPr="00113358" w:rsidRDefault="005A464A" w:rsidP="00113358">
            <w:pPr>
              <w:pStyle w:val="CommentText"/>
              <w:ind w:firstLine="0"/>
            </w:pPr>
            <w:r w:rsidRPr="00113358">
              <w:rPr>
                <w:color w:val="222222"/>
              </w:rPr>
              <w:t xml:space="preserve">Siūlome papildyti Aprašo 5 lentelės 5 dalyje nurodytas 10.3 veiklos srities tinkamų išlaidų kategorijas. Atsižvelgiant į tai, kad konsultavimo bei mokymo veikla gali apimti labai daug įvairių sričių, ne visais atvejais yra tikslinga turėti centre nuolat visas reikalingas kompetencijas. Trumpalaikių, nenuolatinio pobūdžio konsultacijų atveju yra tikslingiau pirkti tokias paslaugas rinkoje. Tuo tikslu prašome </w:t>
            </w:r>
            <w:r w:rsidRPr="00113358">
              <w:t>5 lentelėje, 5 kategorijoje papildyti tinkamas išlaidas tokia eilute: „5.5 paslaugų, reikalingų teikiant inovacijų konsultavimo ir inovacijų paramos paslaugas, įsigijimo išlaidos“.</w:t>
            </w:r>
          </w:p>
        </w:tc>
        <w:tc>
          <w:tcPr>
            <w:tcW w:w="2840" w:type="dxa"/>
          </w:tcPr>
          <w:p w14:paraId="405A0300" w14:textId="75C3C8DD" w:rsidR="005A464A" w:rsidRPr="00113358" w:rsidRDefault="0038761F" w:rsidP="00335D39">
            <w:pPr>
              <w:rPr>
                <w:sz w:val="20"/>
              </w:rPr>
            </w:pPr>
            <w:r>
              <w:rPr>
                <w:sz w:val="20"/>
              </w:rPr>
              <w:t>Analogiška pastaba, žr. atsakymą prie 3 pastabos.</w:t>
            </w:r>
          </w:p>
        </w:tc>
      </w:tr>
    </w:tbl>
    <w:p w14:paraId="7A91AB1C" w14:textId="77777777" w:rsidR="005C5ECB" w:rsidRPr="0036662A" w:rsidRDefault="005C5ECB">
      <w:pPr>
        <w:rPr>
          <w:b/>
          <w:bCs/>
          <w:caps/>
          <w:szCs w:val="24"/>
        </w:rPr>
      </w:pPr>
    </w:p>
    <w:sectPr w:rsidR="005C5ECB" w:rsidRPr="0036662A"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BA"/>
    <w:family w:val="swiss"/>
    <w:pitch w:val="variable"/>
    <w:sig w:usb0="E10022FF" w:usb1="C000E47F" w:usb2="00000029" w:usb3="00000000" w:csb0="000001D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03E6A"/>
    <w:multiLevelType w:val="hybridMultilevel"/>
    <w:tmpl w:val="DDC8E6B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B4F5075"/>
    <w:multiLevelType w:val="hybridMultilevel"/>
    <w:tmpl w:val="DA2ED2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B62C61"/>
    <w:multiLevelType w:val="hybridMultilevel"/>
    <w:tmpl w:val="EEC6E9A6"/>
    <w:lvl w:ilvl="0" w:tplc="15281BAC">
      <w:numFmt w:val="bullet"/>
      <w:lvlText w:val="-"/>
      <w:lvlJc w:val="left"/>
      <w:pPr>
        <w:ind w:left="1080" w:hanging="360"/>
      </w:pPr>
      <w:rPr>
        <w:rFonts w:ascii="Segoe UI" w:eastAsia="Times New Roman" w:hAnsi="Segoe UI" w:cs="Segoe UI" w:hint="default"/>
        <w:i/>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7C674EDD"/>
    <w:multiLevelType w:val="hybridMultilevel"/>
    <w:tmpl w:val="DDC8E6B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3530"/>
    <w:rsid w:val="0001428A"/>
    <w:rsid w:val="00016435"/>
    <w:rsid w:val="000240C4"/>
    <w:rsid w:val="00032985"/>
    <w:rsid w:val="00046DFE"/>
    <w:rsid w:val="00050427"/>
    <w:rsid w:val="00053D41"/>
    <w:rsid w:val="00070ED6"/>
    <w:rsid w:val="000A3FD2"/>
    <w:rsid w:val="000B1AF5"/>
    <w:rsid w:val="000B2D7C"/>
    <w:rsid w:val="000D3EFE"/>
    <w:rsid w:val="000E1F0C"/>
    <w:rsid w:val="000E275C"/>
    <w:rsid w:val="000E7A99"/>
    <w:rsid w:val="000F5CE6"/>
    <w:rsid w:val="00105F91"/>
    <w:rsid w:val="00113358"/>
    <w:rsid w:val="00115372"/>
    <w:rsid w:val="001577E4"/>
    <w:rsid w:val="0018373E"/>
    <w:rsid w:val="00184FC3"/>
    <w:rsid w:val="001915EC"/>
    <w:rsid w:val="00194702"/>
    <w:rsid w:val="001A5935"/>
    <w:rsid w:val="001C2F60"/>
    <w:rsid w:val="001D6507"/>
    <w:rsid w:val="001E4CE7"/>
    <w:rsid w:val="001E6748"/>
    <w:rsid w:val="001E67A5"/>
    <w:rsid w:val="0020434A"/>
    <w:rsid w:val="00227AD0"/>
    <w:rsid w:val="00234AE2"/>
    <w:rsid w:val="00241C69"/>
    <w:rsid w:val="00247BB5"/>
    <w:rsid w:val="00270AE5"/>
    <w:rsid w:val="002923A6"/>
    <w:rsid w:val="002A27A2"/>
    <w:rsid w:val="002C79BA"/>
    <w:rsid w:val="002D4D56"/>
    <w:rsid w:val="002E1B28"/>
    <w:rsid w:val="00330EC9"/>
    <w:rsid w:val="003529B3"/>
    <w:rsid w:val="00366151"/>
    <w:rsid w:val="0036662A"/>
    <w:rsid w:val="003865B8"/>
    <w:rsid w:val="0038761F"/>
    <w:rsid w:val="003A1AD9"/>
    <w:rsid w:val="003B2FAE"/>
    <w:rsid w:val="003C3369"/>
    <w:rsid w:val="003E77A4"/>
    <w:rsid w:val="003F5676"/>
    <w:rsid w:val="004136A8"/>
    <w:rsid w:val="004378EE"/>
    <w:rsid w:val="00452AAF"/>
    <w:rsid w:val="00475E13"/>
    <w:rsid w:val="00482B56"/>
    <w:rsid w:val="004A5F41"/>
    <w:rsid w:val="004C44BD"/>
    <w:rsid w:val="004D11D5"/>
    <w:rsid w:val="004E6B69"/>
    <w:rsid w:val="005004F3"/>
    <w:rsid w:val="00513554"/>
    <w:rsid w:val="0054453C"/>
    <w:rsid w:val="00547C74"/>
    <w:rsid w:val="005516A5"/>
    <w:rsid w:val="005533C2"/>
    <w:rsid w:val="00571253"/>
    <w:rsid w:val="00581B51"/>
    <w:rsid w:val="00593EE0"/>
    <w:rsid w:val="005A464A"/>
    <w:rsid w:val="005B1293"/>
    <w:rsid w:val="005B79FB"/>
    <w:rsid w:val="005C5B4A"/>
    <w:rsid w:val="005C5ECB"/>
    <w:rsid w:val="005E0604"/>
    <w:rsid w:val="005F038F"/>
    <w:rsid w:val="005F0F88"/>
    <w:rsid w:val="006106A7"/>
    <w:rsid w:val="00665BE2"/>
    <w:rsid w:val="00677B1E"/>
    <w:rsid w:val="006824CC"/>
    <w:rsid w:val="006A1E78"/>
    <w:rsid w:val="006A22E2"/>
    <w:rsid w:val="006B0D85"/>
    <w:rsid w:val="006B526A"/>
    <w:rsid w:val="006B75D2"/>
    <w:rsid w:val="006C0163"/>
    <w:rsid w:val="006C7134"/>
    <w:rsid w:val="006D0059"/>
    <w:rsid w:val="006E16C9"/>
    <w:rsid w:val="006F4EDF"/>
    <w:rsid w:val="006F5338"/>
    <w:rsid w:val="00707C95"/>
    <w:rsid w:val="0072623F"/>
    <w:rsid w:val="00741C32"/>
    <w:rsid w:val="00742585"/>
    <w:rsid w:val="00747BC9"/>
    <w:rsid w:val="00750755"/>
    <w:rsid w:val="007537EC"/>
    <w:rsid w:val="00761496"/>
    <w:rsid w:val="00771849"/>
    <w:rsid w:val="007769FC"/>
    <w:rsid w:val="0078318E"/>
    <w:rsid w:val="007B3E81"/>
    <w:rsid w:val="007D3038"/>
    <w:rsid w:val="007F5F38"/>
    <w:rsid w:val="0080172F"/>
    <w:rsid w:val="008359DC"/>
    <w:rsid w:val="0085384B"/>
    <w:rsid w:val="00856EDA"/>
    <w:rsid w:val="008576A6"/>
    <w:rsid w:val="00865C80"/>
    <w:rsid w:val="008663E3"/>
    <w:rsid w:val="00885C3D"/>
    <w:rsid w:val="008A53CB"/>
    <w:rsid w:val="008C3DAE"/>
    <w:rsid w:val="008D5F38"/>
    <w:rsid w:val="008E3C68"/>
    <w:rsid w:val="008F38C3"/>
    <w:rsid w:val="00926630"/>
    <w:rsid w:val="00933886"/>
    <w:rsid w:val="00947C9D"/>
    <w:rsid w:val="00954EEB"/>
    <w:rsid w:val="00956C1E"/>
    <w:rsid w:val="00972B37"/>
    <w:rsid w:val="0097341D"/>
    <w:rsid w:val="0099342A"/>
    <w:rsid w:val="009A662F"/>
    <w:rsid w:val="009B3957"/>
    <w:rsid w:val="009B4714"/>
    <w:rsid w:val="009C137E"/>
    <w:rsid w:val="009D3B8E"/>
    <w:rsid w:val="009D3BAD"/>
    <w:rsid w:val="009E1857"/>
    <w:rsid w:val="009E69E2"/>
    <w:rsid w:val="009F6F18"/>
    <w:rsid w:val="00A00DB1"/>
    <w:rsid w:val="00A135D5"/>
    <w:rsid w:val="00A24DB0"/>
    <w:rsid w:val="00A2721F"/>
    <w:rsid w:val="00A35603"/>
    <w:rsid w:val="00A4128B"/>
    <w:rsid w:val="00A47552"/>
    <w:rsid w:val="00A47E71"/>
    <w:rsid w:val="00A52C00"/>
    <w:rsid w:val="00A54BBD"/>
    <w:rsid w:val="00A6632E"/>
    <w:rsid w:val="00A80ADA"/>
    <w:rsid w:val="00A845D7"/>
    <w:rsid w:val="00A91F0C"/>
    <w:rsid w:val="00AC4B6C"/>
    <w:rsid w:val="00AD5789"/>
    <w:rsid w:val="00AF0A0D"/>
    <w:rsid w:val="00AF25D0"/>
    <w:rsid w:val="00AF2A89"/>
    <w:rsid w:val="00B0591B"/>
    <w:rsid w:val="00B06DF8"/>
    <w:rsid w:val="00B14AA0"/>
    <w:rsid w:val="00B26628"/>
    <w:rsid w:val="00B46548"/>
    <w:rsid w:val="00B66006"/>
    <w:rsid w:val="00B7378D"/>
    <w:rsid w:val="00B75709"/>
    <w:rsid w:val="00B8509B"/>
    <w:rsid w:val="00B9676C"/>
    <w:rsid w:val="00BA3F54"/>
    <w:rsid w:val="00BB138B"/>
    <w:rsid w:val="00BC5BDA"/>
    <w:rsid w:val="00BD17AE"/>
    <w:rsid w:val="00BE1E8F"/>
    <w:rsid w:val="00BE6468"/>
    <w:rsid w:val="00BE6CC1"/>
    <w:rsid w:val="00BF587A"/>
    <w:rsid w:val="00C25B44"/>
    <w:rsid w:val="00C3317D"/>
    <w:rsid w:val="00C33E49"/>
    <w:rsid w:val="00C35591"/>
    <w:rsid w:val="00C41BD5"/>
    <w:rsid w:val="00C41EDB"/>
    <w:rsid w:val="00C535B1"/>
    <w:rsid w:val="00C6260A"/>
    <w:rsid w:val="00C72AC6"/>
    <w:rsid w:val="00C916C8"/>
    <w:rsid w:val="00C94B40"/>
    <w:rsid w:val="00C97E60"/>
    <w:rsid w:val="00CA2E85"/>
    <w:rsid w:val="00CA6AE7"/>
    <w:rsid w:val="00CB2790"/>
    <w:rsid w:val="00CB505F"/>
    <w:rsid w:val="00CE53AB"/>
    <w:rsid w:val="00CF2C5D"/>
    <w:rsid w:val="00CF7C87"/>
    <w:rsid w:val="00D16597"/>
    <w:rsid w:val="00D53195"/>
    <w:rsid w:val="00D548C8"/>
    <w:rsid w:val="00D54ED4"/>
    <w:rsid w:val="00D66763"/>
    <w:rsid w:val="00DB3586"/>
    <w:rsid w:val="00DC5385"/>
    <w:rsid w:val="00DC7728"/>
    <w:rsid w:val="00DC7AB7"/>
    <w:rsid w:val="00DE1BD0"/>
    <w:rsid w:val="00DE693B"/>
    <w:rsid w:val="00DF736A"/>
    <w:rsid w:val="00E27DA2"/>
    <w:rsid w:val="00E307F8"/>
    <w:rsid w:val="00E314FC"/>
    <w:rsid w:val="00E47926"/>
    <w:rsid w:val="00E53DCA"/>
    <w:rsid w:val="00E6399A"/>
    <w:rsid w:val="00E95B1A"/>
    <w:rsid w:val="00EC036E"/>
    <w:rsid w:val="00EC0828"/>
    <w:rsid w:val="00EC6B07"/>
    <w:rsid w:val="00EF0A83"/>
    <w:rsid w:val="00EF5D3D"/>
    <w:rsid w:val="00F16636"/>
    <w:rsid w:val="00F17A0F"/>
    <w:rsid w:val="00F43952"/>
    <w:rsid w:val="00F449CA"/>
    <w:rsid w:val="00F45F44"/>
    <w:rsid w:val="00F46B15"/>
    <w:rsid w:val="00F56078"/>
    <w:rsid w:val="00F74AD4"/>
    <w:rsid w:val="00F7759E"/>
    <w:rsid w:val="00F8394C"/>
    <w:rsid w:val="00FA1C73"/>
    <w:rsid w:val="00FA2FE9"/>
    <w:rsid w:val="00FA5812"/>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AAF8"/>
  <w15:docId w15:val="{9F76ECD1-7C57-443F-A504-BAB795C6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paragraph" w:styleId="CommentText">
    <w:name w:val="annotation text"/>
    <w:basedOn w:val="Normal"/>
    <w:link w:val="CommentTextChar"/>
    <w:uiPriority w:val="99"/>
    <w:unhideWhenUsed/>
    <w:rsid w:val="009F6F18"/>
    <w:pPr>
      <w:ind w:firstLine="720"/>
      <w:jc w:val="both"/>
    </w:pPr>
    <w:rPr>
      <w:sz w:val="20"/>
    </w:rPr>
  </w:style>
  <w:style w:type="character" w:customStyle="1" w:styleId="CommentTextChar">
    <w:name w:val="Comment Text Char"/>
    <w:basedOn w:val="DefaultParagraphFont"/>
    <w:link w:val="CommentText"/>
    <w:uiPriority w:val="99"/>
    <w:rsid w:val="009F6F18"/>
    <w:rPr>
      <w:rFonts w:eastAsia="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39799">
      <w:bodyDiv w:val="1"/>
      <w:marLeft w:val="0"/>
      <w:marRight w:val="0"/>
      <w:marTop w:val="0"/>
      <w:marBottom w:val="0"/>
      <w:divBdr>
        <w:top w:val="none" w:sz="0" w:space="0" w:color="auto"/>
        <w:left w:val="none" w:sz="0" w:space="0" w:color="auto"/>
        <w:bottom w:val="none" w:sz="0" w:space="0" w:color="auto"/>
        <w:right w:val="none" w:sz="0" w:space="0" w:color="auto"/>
      </w:divBdr>
    </w:div>
    <w:div w:id="510534885">
      <w:bodyDiv w:val="1"/>
      <w:marLeft w:val="0"/>
      <w:marRight w:val="0"/>
      <w:marTop w:val="0"/>
      <w:marBottom w:val="0"/>
      <w:divBdr>
        <w:top w:val="none" w:sz="0" w:space="0" w:color="auto"/>
        <w:left w:val="none" w:sz="0" w:space="0" w:color="auto"/>
        <w:bottom w:val="none" w:sz="0" w:space="0" w:color="auto"/>
        <w:right w:val="none" w:sz="0" w:space="0" w:color="auto"/>
      </w:divBdr>
    </w:div>
    <w:div w:id="1599292732">
      <w:bodyDiv w:val="1"/>
      <w:marLeft w:val="0"/>
      <w:marRight w:val="0"/>
      <w:marTop w:val="0"/>
      <w:marBottom w:val="0"/>
      <w:divBdr>
        <w:top w:val="none" w:sz="0" w:space="0" w:color="auto"/>
        <w:left w:val="none" w:sz="0" w:space="0" w:color="auto"/>
        <w:bottom w:val="none" w:sz="0" w:space="0" w:color="auto"/>
        <w:right w:val="none" w:sz="0" w:space="0" w:color="auto"/>
      </w:divBdr>
    </w:div>
    <w:div w:id="1737825659">
      <w:bodyDiv w:val="1"/>
      <w:marLeft w:val="0"/>
      <w:marRight w:val="0"/>
      <w:marTop w:val="0"/>
      <w:marBottom w:val="0"/>
      <w:divBdr>
        <w:top w:val="none" w:sz="0" w:space="0" w:color="auto"/>
        <w:left w:val="none" w:sz="0" w:space="0" w:color="auto"/>
        <w:bottom w:val="none" w:sz="0" w:space="0" w:color="auto"/>
        <w:right w:val="none" w:sz="0" w:space="0" w:color="auto"/>
      </w:divBdr>
    </w:div>
    <w:div w:id="180900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6</Pages>
  <Words>11772</Words>
  <Characters>6711</Characters>
  <Application>Microsoft Office Word</Application>
  <DocSecurity>0</DocSecurity>
  <Lines>55</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Rudakaite-Saukstel Edita</cp:lastModifiedBy>
  <cp:revision>11</cp:revision>
  <dcterms:created xsi:type="dcterms:W3CDTF">2019-10-16T04:53:00Z</dcterms:created>
  <dcterms:modified xsi:type="dcterms:W3CDTF">2019-10-22T07:16:00Z</dcterms:modified>
</cp:coreProperties>
</file>