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EE790" w14:textId="77777777" w:rsidR="00F34E15" w:rsidRPr="004533F5" w:rsidRDefault="00F34E15" w:rsidP="00F34E15">
      <w:pPr>
        <w:shd w:val="clear" w:color="auto" w:fill="FFFFFF"/>
        <w:jc w:val="right"/>
        <w:rPr>
          <w:b/>
          <w:i/>
          <w:noProof/>
          <w:szCs w:val="24"/>
        </w:rPr>
      </w:pPr>
      <w:r>
        <w:rPr>
          <w:b/>
          <w:bCs/>
          <w:color w:val="000000"/>
          <w:spacing w:val="-6"/>
          <w:szCs w:val="24"/>
        </w:rPr>
        <w:tab/>
      </w:r>
      <w:r w:rsidRPr="004533F5">
        <w:rPr>
          <w:b/>
          <w:i/>
          <w:noProof/>
          <w:szCs w:val="24"/>
        </w:rPr>
        <w:t>Projekto lyginamasis variantas</w:t>
      </w:r>
      <w:r w:rsidRPr="004533F5">
        <w:rPr>
          <w:b/>
          <w:i/>
          <w:noProof/>
          <w:szCs w:val="24"/>
        </w:rPr>
        <w:br w:type="textWrapping" w:clear="all"/>
      </w:r>
    </w:p>
    <w:p w14:paraId="3E88F654" w14:textId="77777777" w:rsidR="00F34E15" w:rsidRDefault="00F34E15" w:rsidP="00375B7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p w14:paraId="45359D00" w14:textId="77777777" w:rsidR="00721161" w:rsidRDefault="00375B7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34D4F173" w14:textId="77777777" w:rsidR="00721161" w:rsidRDefault="00721161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683FAA8E" w14:textId="77777777" w:rsidR="00721161" w:rsidRDefault="00375B7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6D7F0B5C" w14:textId="77777777" w:rsidR="00721161" w:rsidRDefault="00375B70">
      <w:pPr>
        <w:widowControl w:val="0"/>
        <w:shd w:val="clear" w:color="auto" w:fill="FFFFFF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SVEIKATOS APSAUGOS MINISTRO </w:t>
      </w:r>
      <w:r>
        <w:rPr>
          <w:b/>
          <w:szCs w:val="24"/>
          <w:lang w:eastAsia="lt-LT"/>
        </w:rPr>
        <w:br/>
      </w:r>
      <w:r>
        <w:rPr>
          <w:b/>
          <w:color w:val="000000"/>
          <w:szCs w:val="24"/>
          <w:lang w:eastAsia="lt-LT"/>
        </w:rPr>
        <w:t>2016 M. RUGPJŪČIO 30 D. ĮSAKYMO NR. V-1054 „</w:t>
      </w:r>
      <w:r>
        <w:rPr>
          <w:b/>
          <w:bCs/>
          <w:color w:val="000000"/>
          <w:szCs w:val="24"/>
          <w:lang w:eastAsia="lt-LT"/>
        </w:rPr>
        <w:t xml:space="preserve">DĖL </w:t>
      </w:r>
      <w:r>
        <w:rPr>
          <w:b/>
          <w:color w:val="000000"/>
          <w:szCs w:val="24"/>
          <w:lang w:eastAsia="lt-LT"/>
        </w:rPr>
        <w:t xml:space="preserve">2014–2020 METŲ EUROPOS SĄJUNGOS FONDŲ INVESTICIJŲ VEIKSMŲ PROGRAMOS 8 PRIORITETO „SOCIALINĖS ĮTRAUKTIES DIDINIMAS IR KOVA SU SKURDU“ ĮGYVENDINIMO PRIEMONĖS NR. 08.4.2-ESFA-V-617 „SPECIALISTŲ PRITRAUKIMAS SVEIKATOS NETOLYGUMAMS MAŽINTI“ PROJEKTŲ FINANSAVIMO SĄLYGŲ </w:t>
      </w:r>
      <w:r>
        <w:rPr>
          <w:b/>
          <w:bCs/>
          <w:color w:val="000000"/>
          <w:szCs w:val="24"/>
          <w:lang w:eastAsia="lt-LT"/>
        </w:rPr>
        <w:t>APRAŠO PATVIRTINIMO“ PAKEITIMO</w:t>
      </w:r>
    </w:p>
    <w:p w14:paraId="3DE3B957" w14:textId="77777777" w:rsidR="00721161" w:rsidRDefault="00721161">
      <w:pPr>
        <w:widowControl w:val="0"/>
        <w:shd w:val="clear" w:color="auto" w:fill="FFFFFF"/>
        <w:ind w:firstLine="851"/>
        <w:jc w:val="center"/>
        <w:rPr>
          <w:b/>
          <w:szCs w:val="24"/>
          <w:lang w:eastAsia="lt-LT"/>
        </w:rPr>
      </w:pPr>
    </w:p>
    <w:p w14:paraId="644A0E41" w14:textId="3F1DE847" w:rsidR="00721161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>
        <w:rPr>
          <w:color w:val="000000"/>
          <w:spacing w:val="-9"/>
          <w:szCs w:val="24"/>
          <w:lang w:eastAsia="lt-LT"/>
        </w:rPr>
        <w:t>201</w:t>
      </w:r>
      <w:r w:rsidR="00F34E15">
        <w:rPr>
          <w:color w:val="000000"/>
          <w:spacing w:val="-9"/>
          <w:szCs w:val="24"/>
          <w:lang w:eastAsia="lt-LT"/>
        </w:rPr>
        <w:t>8</w:t>
      </w:r>
      <w:r>
        <w:rPr>
          <w:color w:val="000000"/>
          <w:spacing w:val="-9"/>
          <w:szCs w:val="24"/>
          <w:lang w:eastAsia="lt-LT"/>
        </w:rPr>
        <w:t xml:space="preserve"> m. </w:t>
      </w:r>
      <w:r w:rsidR="00F34E15">
        <w:rPr>
          <w:color w:val="000000"/>
          <w:spacing w:val="-9"/>
          <w:szCs w:val="24"/>
          <w:lang w:eastAsia="lt-LT"/>
        </w:rPr>
        <w:t xml:space="preserve">                                 </w:t>
      </w:r>
      <w:r>
        <w:rPr>
          <w:color w:val="000000"/>
          <w:spacing w:val="-9"/>
          <w:szCs w:val="24"/>
          <w:lang w:eastAsia="lt-LT"/>
        </w:rPr>
        <w:t>d. Nr. V-</w:t>
      </w:r>
    </w:p>
    <w:p w14:paraId="0811B0AE" w14:textId="77777777" w:rsidR="00721161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>
        <w:rPr>
          <w:color w:val="000000"/>
          <w:spacing w:val="-9"/>
          <w:szCs w:val="24"/>
          <w:lang w:eastAsia="lt-LT"/>
        </w:rPr>
        <w:t>Vilnius</w:t>
      </w:r>
    </w:p>
    <w:p w14:paraId="6C242A40" w14:textId="77777777" w:rsidR="00721161" w:rsidRDefault="00721161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4275B796" w14:textId="040A4407" w:rsidR="00721161" w:rsidRDefault="00375B70" w:rsidP="00F84541">
      <w:pPr>
        <w:tabs>
          <w:tab w:val="left" w:pos="993"/>
          <w:tab w:val="left" w:pos="127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 a k e i č i u 2014–2020 metų Europos Sąjungos fondų investicijų veiksmų programos 8 prioriteto „Socialinės </w:t>
      </w:r>
      <w:proofErr w:type="spellStart"/>
      <w:r>
        <w:rPr>
          <w:color w:val="000000"/>
          <w:szCs w:val="24"/>
        </w:rPr>
        <w:t>įtraukties</w:t>
      </w:r>
      <w:proofErr w:type="spellEnd"/>
      <w:r>
        <w:rPr>
          <w:color w:val="000000"/>
          <w:szCs w:val="24"/>
        </w:rPr>
        <w:t xml:space="preserve"> didinimas ir kova su skurdu“ </w:t>
      </w:r>
      <w:r w:rsidR="00F34E15">
        <w:rPr>
          <w:color w:val="000000"/>
          <w:szCs w:val="24"/>
        </w:rPr>
        <w:t xml:space="preserve">įgyvendinimo </w:t>
      </w:r>
      <w:r>
        <w:rPr>
          <w:color w:val="000000"/>
          <w:szCs w:val="24"/>
        </w:rPr>
        <w:t xml:space="preserve">priemonės </w:t>
      </w:r>
      <w:r w:rsidR="00C64A2A">
        <w:rPr>
          <w:color w:val="000000"/>
          <w:szCs w:val="24"/>
        </w:rPr>
        <w:br/>
      </w:r>
      <w:r>
        <w:rPr>
          <w:color w:val="000000"/>
          <w:szCs w:val="24"/>
        </w:rPr>
        <w:t xml:space="preserve">Nr. </w:t>
      </w:r>
      <w:r>
        <w:rPr>
          <w:bCs/>
          <w:color w:val="000000"/>
          <w:szCs w:val="24"/>
        </w:rPr>
        <w:t>08.4.2-ESFA-V-617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„Specialistų pritraukimas sveikatos netolygumams mažinti“ </w:t>
      </w:r>
      <w:r>
        <w:rPr>
          <w:color w:val="000000"/>
          <w:szCs w:val="24"/>
        </w:rPr>
        <w:t>projektų finansavimo sąlygų aprašą, patvirtintą Lietuvos Respublikos sveikatos apsaugos ministro 2016 m. rugpjūčio 30 d. įsakymu Nr. V-1054 „</w:t>
      </w:r>
      <w:r>
        <w:rPr>
          <w:szCs w:val="24"/>
        </w:rPr>
        <w:t xml:space="preserve">Dėl 2014–2020 metų Europos Sąjungos fondų investicijų veiksmų programos 8 prioriteto </w:t>
      </w:r>
      <w:r>
        <w:rPr>
          <w:color w:val="000000"/>
          <w:szCs w:val="24"/>
        </w:rPr>
        <w:t>„</w:t>
      </w:r>
      <w:r>
        <w:rPr>
          <w:szCs w:val="24"/>
        </w:rPr>
        <w:t xml:space="preserve">Socialinės </w:t>
      </w:r>
      <w:proofErr w:type="spellStart"/>
      <w:r>
        <w:rPr>
          <w:szCs w:val="24"/>
        </w:rPr>
        <w:t>įtraukties</w:t>
      </w:r>
      <w:proofErr w:type="spellEnd"/>
      <w:r>
        <w:rPr>
          <w:szCs w:val="24"/>
        </w:rPr>
        <w:t xml:space="preserve"> didinimas ir kova su skurdu</w:t>
      </w:r>
      <w:r>
        <w:rPr>
          <w:color w:val="000000"/>
          <w:szCs w:val="24"/>
        </w:rPr>
        <w:t>“</w:t>
      </w:r>
      <w:r>
        <w:rPr>
          <w:szCs w:val="24"/>
        </w:rPr>
        <w:t xml:space="preserve"> įgyvendinimo priemonės Nr. 08.4.2-ESFA-V-617 </w:t>
      </w:r>
      <w:r>
        <w:rPr>
          <w:color w:val="000000"/>
          <w:szCs w:val="24"/>
        </w:rPr>
        <w:t>„</w:t>
      </w:r>
      <w:r>
        <w:rPr>
          <w:szCs w:val="24"/>
        </w:rPr>
        <w:t>Specialistų pritraukimas sveikatos netolygumams mažinti</w:t>
      </w:r>
      <w:r>
        <w:rPr>
          <w:bCs/>
          <w:color w:val="000000"/>
          <w:szCs w:val="24"/>
        </w:rPr>
        <w:t>“</w:t>
      </w:r>
      <w:r>
        <w:rPr>
          <w:szCs w:val="24"/>
        </w:rPr>
        <w:t xml:space="preserve"> projektų finansavimo sąlygų aprašo patvirtinimo</w:t>
      </w:r>
      <w:r>
        <w:rPr>
          <w:color w:val="000000"/>
          <w:szCs w:val="24"/>
        </w:rPr>
        <w:t>“:</w:t>
      </w:r>
    </w:p>
    <w:p w14:paraId="713CDFB5" w14:textId="08234C70" w:rsidR="00C4414F" w:rsidRDefault="00C4414F" w:rsidP="00C4414F">
      <w:pPr>
        <w:pStyle w:val="Sraopastraipa"/>
        <w:numPr>
          <w:ilvl w:val="0"/>
          <w:numId w:val="3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Pakeičiu 11 punktą ir jį išdėstau taip:</w:t>
      </w:r>
    </w:p>
    <w:p w14:paraId="4D3825A6" w14:textId="5DA9908F" w:rsidR="00C4414F" w:rsidRPr="00C4414F" w:rsidRDefault="00C4414F" w:rsidP="00C4414F">
      <w:pPr>
        <w:ind w:firstLine="851"/>
        <w:jc w:val="both"/>
        <w:rPr>
          <w:color w:val="000000"/>
          <w:szCs w:val="24"/>
        </w:rPr>
      </w:pPr>
      <w:r>
        <w:t>„Pagal Aprašą remiamų veiklų valstybės projektų sąrašą numatoma sudaryti iki 2018 m. II</w:t>
      </w:r>
      <w:r>
        <w:rPr>
          <w:b/>
        </w:rPr>
        <w:t>I</w:t>
      </w:r>
      <w:r>
        <w:t xml:space="preserve"> ketvirčio pabaigos.“</w:t>
      </w:r>
    </w:p>
    <w:p w14:paraId="7F24D36D" w14:textId="15657B6E" w:rsidR="00F34E15" w:rsidRPr="00D32769" w:rsidRDefault="00F34E15" w:rsidP="00D32769">
      <w:pPr>
        <w:pStyle w:val="Sraopastraipa"/>
        <w:numPr>
          <w:ilvl w:val="0"/>
          <w:numId w:val="3"/>
        </w:numPr>
        <w:spacing w:after="100" w:afterAutospacing="1"/>
        <w:jc w:val="both"/>
        <w:rPr>
          <w:color w:val="000000"/>
          <w:szCs w:val="24"/>
        </w:rPr>
      </w:pPr>
      <w:r w:rsidRPr="00D32769">
        <w:rPr>
          <w:color w:val="000000"/>
          <w:szCs w:val="24"/>
        </w:rPr>
        <w:t xml:space="preserve">Pakeičiu </w:t>
      </w:r>
      <w:r w:rsidR="00CA4100" w:rsidRPr="00D32769">
        <w:rPr>
          <w:color w:val="000000"/>
          <w:szCs w:val="24"/>
        </w:rPr>
        <w:t>30</w:t>
      </w:r>
      <w:r w:rsidR="003B14A5" w:rsidRPr="00D32769">
        <w:rPr>
          <w:color w:val="000000"/>
          <w:szCs w:val="24"/>
        </w:rPr>
        <w:t xml:space="preserve"> punktą ir </w:t>
      </w:r>
      <w:r w:rsidR="00C64A2A" w:rsidRPr="00D32769">
        <w:rPr>
          <w:color w:val="000000"/>
          <w:szCs w:val="24"/>
        </w:rPr>
        <w:t xml:space="preserve">jį </w:t>
      </w:r>
      <w:r w:rsidR="003B14A5" w:rsidRPr="00D32769">
        <w:rPr>
          <w:color w:val="000000"/>
          <w:szCs w:val="24"/>
        </w:rPr>
        <w:t>išdėstau</w:t>
      </w:r>
      <w:r w:rsidR="005141C6" w:rsidRPr="00D32769">
        <w:rPr>
          <w:color w:val="000000"/>
          <w:szCs w:val="24"/>
        </w:rPr>
        <w:t xml:space="preserve"> </w:t>
      </w:r>
      <w:r w:rsidR="003B14A5" w:rsidRPr="00D32769">
        <w:rPr>
          <w:color w:val="000000"/>
          <w:szCs w:val="24"/>
        </w:rPr>
        <w:t>taip:</w:t>
      </w:r>
    </w:p>
    <w:p w14:paraId="38106620" w14:textId="136D287F" w:rsidR="00CA4100" w:rsidRPr="00CA4100" w:rsidRDefault="00CA4100" w:rsidP="00CA410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CA4100">
        <w:rPr>
          <w:szCs w:val="24"/>
          <w:lang w:eastAsia="lt-LT"/>
        </w:rPr>
        <w:t>30.     Pagal Aprašą tinkamų arba netinkamų finansuoti išlaidų kategorijos yra šios:</w:t>
      </w:r>
    </w:p>
    <w:tbl>
      <w:tblPr>
        <w:tblW w:w="921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876"/>
        <w:gridCol w:w="6044"/>
      </w:tblGrid>
      <w:tr w:rsidR="00CA4100" w:rsidRPr="00CA4100" w14:paraId="37F70DF5" w14:textId="77777777" w:rsidTr="00CA4100"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993D" w14:textId="77777777" w:rsidR="00CA4100" w:rsidRPr="00CA4100" w:rsidRDefault="00CA4100" w:rsidP="00CA4100">
            <w:pPr>
              <w:ind w:left="-57" w:right="-57"/>
              <w:jc w:val="center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Išlaidų kategorijos Nr.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9B2B" w14:textId="77777777" w:rsidR="00CA4100" w:rsidRPr="00CA4100" w:rsidRDefault="00CA4100" w:rsidP="00CA4100">
            <w:pPr>
              <w:ind w:left="-57" w:right="-57"/>
              <w:jc w:val="center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Išlaidų kategorijos pavadinimas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8A94" w14:textId="77777777" w:rsidR="00CA4100" w:rsidRPr="00CA4100" w:rsidRDefault="00CA4100" w:rsidP="00CA4100">
            <w:pPr>
              <w:ind w:left="-57" w:right="-57"/>
              <w:jc w:val="center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Reikalavimai ir paaiškinimai</w:t>
            </w:r>
          </w:p>
        </w:tc>
      </w:tr>
      <w:tr w:rsidR="00CA4100" w:rsidRPr="00CA4100" w14:paraId="3DE43415" w14:textId="77777777" w:rsidTr="00CA4100"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40B4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04EB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Žemė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88CE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Netinkama finansuoti.</w:t>
            </w:r>
          </w:p>
        </w:tc>
      </w:tr>
      <w:tr w:rsidR="00CA4100" w:rsidRPr="00CA4100" w14:paraId="49927B81" w14:textId="77777777" w:rsidTr="00CA4100"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DD05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0F64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Nekilnojamasis turtas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2B7F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Netinkama finansuoti.</w:t>
            </w:r>
          </w:p>
        </w:tc>
      </w:tr>
      <w:tr w:rsidR="00CA4100" w:rsidRPr="00CA4100" w14:paraId="4B36C6F0" w14:textId="77777777" w:rsidTr="00CA4100"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F1F0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3124" w14:textId="77777777" w:rsidR="00CA4100" w:rsidRPr="00CA4100" w:rsidRDefault="00CA4100" w:rsidP="00CA4100">
            <w:pPr>
              <w:spacing w:before="100" w:beforeAutospacing="1" w:after="100" w:afterAutospacing="1"/>
              <w:ind w:right="-57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Statyba, rekonstravimas, remontas ir kiti darbai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31AE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Netinkama finansuoti.</w:t>
            </w:r>
          </w:p>
        </w:tc>
      </w:tr>
      <w:tr w:rsidR="00CA4100" w:rsidRPr="00CA4100" w14:paraId="010E21C8" w14:textId="77777777" w:rsidTr="00CA4100">
        <w:trPr>
          <w:trHeight w:val="844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C027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5F46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Įranga, įrenginiai ir kitas turtas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E8BB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Netinkama finansuoti.</w:t>
            </w:r>
          </w:p>
        </w:tc>
      </w:tr>
      <w:tr w:rsidR="00CA4100" w:rsidRPr="00CA4100" w14:paraId="7C2E2527" w14:textId="77777777" w:rsidTr="00CA4100"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B2F3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DE16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Projekto vykdymas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0B2B" w14:textId="77777777" w:rsid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Tinkamos finansuoti išlaidos.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5FF2A1D1" w14:textId="77777777" w:rsid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Projektinio pasiūlymo ir paraiškos parengimo išlaidos yra netinkamos finansuoti.</w:t>
            </w:r>
          </w:p>
          <w:p w14:paraId="3B8FCA3F" w14:textId="0FD5F08B" w:rsidR="00CA4100" w:rsidRDefault="00CA4100" w:rsidP="00CA4100">
            <w:pPr>
              <w:spacing w:before="100" w:beforeAutospacing="1" w:after="100" w:afterAutospacing="1"/>
              <w:jc w:val="both"/>
            </w:pPr>
            <w:r w:rsidRPr="00000A75">
              <w:rPr>
                <w:b/>
              </w:rPr>
              <w:t xml:space="preserve">Projekto veikloms vykdyti (vykdančiojo personalo komandiruotės, dalyvių kelionės ir komandiruotės) reikalingos transporto (toliau – transportas) Lietuvoje </w:t>
            </w:r>
            <w:r w:rsidRPr="00000A75">
              <w:rPr>
                <w:b/>
              </w:rPr>
              <w:lastRenderedPageBreak/>
              <w:t xml:space="preserve">išlaidos apmokamos taikant fiksuotuosius įkainius, kurie nustatomi vadovaujantis Lietuvos Respublikos finansų ministerijos 2015 m. balandžio 24 d. Kuro ir viešojo transporto išlaidų fiksuotųjų įkainių nustatymo tyrimo ataskaita. </w:t>
            </w:r>
          </w:p>
          <w:p w14:paraId="4126C97B" w14:textId="77777777" w:rsidR="0022117A" w:rsidRPr="003233C9" w:rsidRDefault="0022117A" w:rsidP="003233C9">
            <w:pPr>
              <w:jc w:val="both"/>
              <w:rPr>
                <w:b/>
                <w:szCs w:val="24"/>
                <w:lang w:eastAsia="lt-LT"/>
              </w:rPr>
            </w:pPr>
          </w:p>
          <w:p w14:paraId="52BA84D0" w14:textId="1D79B6ED" w:rsidR="0022117A" w:rsidRDefault="0022117A" w:rsidP="0022117A">
            <w:pPr>
              <w:jc w:val="both"/>
              <w:rPr>
                <w:b/>
              </w:rPr>
            </w:pPr>
            <w:r w:rsidRPr="0022117A">
              <w:rPr>
                <w:b/>
              </w:rPr>
              <w:t>Projekto veikloms vykdyti reikalingos renginio</w:t>
            </w:r>
            <w:r w:rsidR="009C7956">
              <w:rPr>
                <w:b/>
              </w:rPr>
              <w:t xml:space="preserve"> </w:t>
            </w:r>
            <w:r w:rsidRPr="0022117A">
              <w:rPr>
                <w:b/>
              </w:rPr>
              <w:t>organizavimo išlaidos apmokamos taikant fiksuotuosius įkainius, kurių dydžiai nustatyti Europos socialinio fondo agentūros 2016 m. liepos 13 d.</w:t>
            </w:r>
            <w:r w:rsidR="009C7956">
              <w:rPr>
                <w:b/>
              </w:rPr>
              <w:t xml:space="preserve"> (</w:t>
            </w:r>
            <w:r w:rsidR="009C7956" w:rsidRPr="009C7956">
              <w:rPr>
                <w:b/>
              </w:rPr>
              <w:t>2017 m. rugpjūčio 2 d. redakcija</w:t>
            </w:r>
            <w:r w:rsidR="009C7956">
              <w:rPr>
                <w:b/>
              </w:rPr>
              <w:t>)</w:t>
            </w:r>
            <w:r w:rsidRPr="0022117A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22117A">
              <w:rPr>
                <w:b/>
              </w:rPr>
              <w:t xml:space="preserve">enginio organizavimo fiksuotojo įkainio nustatymo tyrimo ataskaitoje. </w:t>
            </w:r>
          </w:p>
          <w:p w14:paraId="58FB2153" w14:textId="77777777" w:rsidR="0022117A" w:rsidRDefault="0022117A" w:rsidP="0022117A">
            <w:pPr>
              <w:jc w:val="both"/>
              <w:rPr>
                <w:b/>
                <w:szCs w:val="24"/>
                <w:lang w:val="en-US" w:eastAsia="lt-LT"/>
              </w:rPr>
            </w:pPr>
          </w:p>
          <w:p w14:paraId="3B50C6D9" w14:textId="1BDCC01A" w:rsidR="00105EEB" w:rsidRDefault="00C60A92" w:rsidP="0022117A">
            <w:pPr>
              <w:jc w:val="both"/>
              <w:rPr>
                <w:b/>
                <w:szCs w:val="24"/>
                <w:lang w:val="en-US" w:eastAsia="lt-LT"/>
              </w:rPr>
            </w:pPr>
            <w:proofErr w:type="spellStart"/>
            <w:r>
              <w:rPr>
                <w:b/>
                <w:szCs w:val="24"/>
                <w:lang w:val="en-US" w:eastAsia="lt-LT"/>
              </w:rPr>
              <w:t>Projekto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veikloms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vykdyti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reikaling</w:t>
            </w:r>
            <w:r w:rsidR="00105EEB">
              <w:rPr>
                <w:b/>
                <w:szCs w:val="24"/>
                <w:lang w:val="en-US" w:eastAsia="lt-LT"/>
              </w:rPr>
              <w:t>os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apgyvendinimo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Lietuvoj</w:t>
            </w:r>
            <w:r w:rsidR="00105EEB">
              <w:rPr>
                <w:b/>
                <w:szCs w:val="24"/>
                <w:lang w:val="en-US" w:eastAsia="lt-LT"/>
              </w:rPr>
              <w:t>e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išlaidos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apmokamos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taikant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fiksuotuosius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įkainius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kurių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dydžiai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nustatomi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vadovaujantis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Lietuvos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Respublikos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finansų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ministerijos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 xml:space="preserve"> 2</w:t>
            </w:r>
            <w:r w:rsidR="00105EEB" w:rsidRPr="00105EEB">
              <w:rPr>
                <w:b/>
                <w:szCs w:val="24"/>
                <w:lang w:val="en-US" w:eastAsia="lt-LT"/>
              </w:rPr>
              <w:t xml:space="preserve">016 m.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liepos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22 d. </w:t>
            </w:r>
            <w:proofErr w:type="spellStart"/>
            <w:r w:rsidR="00105EEB">
              <w:rPr>
                <w:b/>
                <w:szCs w:val="24"/>
                <w:lang w:val="en-US" w:eastAsia="lt-LT"/>
              </w:rPr>
              <w:t>a</w:t>
            </w:r>
            <w:r w:rsidR="00105EEB" w:rsidRPr="00105EEB">
              <w:rPr>
                <w:b/>
                <w:szCs w:val="24"/>
                <w:lang w:val="en-US" w:eastAsia="lt-LT"/>
              </w:rPr>
              <w:t>pgyvendinimo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Lietuvoje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išlaidų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fiksuotųjų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įkainių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dydžių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nustatymo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tyrimo</w:t>
            </w:r>
            <w:proofErr w:type="spellEnd"/>
            <w:r w:rsidR="00105EEB" w:rsidRPr="00105EEB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105EEB" w:rsidRPr="00105EEB">
              <w:rPr>
                <w:b/>
                <w:szCs w:val="24"/>
                <w:lang w:val="en-US" w:eastAsia="lt-LT"/>
              </w:rPr>
              <w:t>ataskait</w:t>
            </w:r>
            <w:r w:rsidR="00105EEB">
              <w:rPr>
                <w:b/>
                <w:szCs w:val="24"/>
                <w:lang w:val="en-US" w:eastAsia="lt-LT"/>
              </w:rPr>
              <w:t>a</w:t>
            </w:r>
            <w:proofErr w:type="spellEnd"/>
            <w:r w:rsidR="00105EEB">
              <w:rPr>
                <w:b/>
                <w:szCs w:val="24"/>
                <w:lang w:val="en-US" w:eastAsia="lt-LT"/>
              </w:rPr>
              <w:t>.</w:t>
            </w:r>
          </w:p>
          <w:p w14:paraId="5A0DE13F" w14:textId="61871848" w:rsidR="00105EEB" w:rsidRDefault="00105EEB" w:rsidP="0022117A">
            <w:pPr>
              <w:jc w:val="both"/>
              <w:rPr>
                <w:b/>
                <w:szCs w:val="24"/>
                <w:lang w:val="en-US" w:eastAsia="lt-LT"/>
              </w:rPr>
            </w:pPr>
          </w:p>
          <w:p w14:paraId="16BB7FAA" w14:textId="77777777" w:rsidR="00105EEB" w:rsidRDefault="00105EEB" w:rsidP="0022117A">
            <w:pPr>
              <w:jc w:val="both"/>
              <w:rPr>
                <w:b/>
                <w:szCs w:val="24"/>
                <w:lang w:val="en-US" w:eastAsia="lt-LT"/>
              </w:rPr>
            </w:pPr>
          </w:p>
          <w:p w14:paraId="674CCCEC" w14:textId="73981357" w:rsidR="00395113" w:rsidRPr="003233C9" w:rsidRDefault="00395113" w:rsidP="00395113">
            <w:pPr>
              <w:jc w:val="both"/>
              <w:rPr>
                <w:b/>
              </w:rPr>
            </w:pPr>
            <w:proofErr w:type="spellStart"/>
            <w:r>
              <w:rPr>
                <w:b/>
                <w:szCs w:val="24"/>
                <w:lang w:val="en-US" w:eastAsia="lt-LT"/>
              </w:rPr>
              <w:t>Projekto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veikloms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vykdyti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reikaling</w:t>
            </w:r>
            <w:proofErr w:type="spellEnd"/>
            <w:r>
              <w:rPr>
                <w:b/>
                <w:szCs w:val="24"/>
                <w:lang w:eastAsia="lt-LT"/>
              </w:rPr>
              <w:t>ų k</w:t>
            </w:r>
            <w:proofErr w:type="spellStart"/>
            <w:r w:rsidRPr="00395113">
              <w:rPr>
                <w:b/>
                <w:szCs w:val="24"/>
                <w:lang w:val="en-US" w:eastAsia="lt-LT"/>
              </w:rPr>
              <w:t>elion</w:t>
            </w:r>
            <w:r>
              <w:rPr>
                <w:b/>
                <w:szCs w:val="24"/>
                <w:lang w:val="en-US" w:eastAsia="lt-LT"/>
              </w:rPr>
              <w:t>ių</w:t>
            </w:r>
            <w:proofErr w:type="spellEnd"/>
            <w:r w:rsidRPr="00395113">
              <w:rPr>
                <w:b/>
                <w:szCs w:val="24"/>
                <w:lang w:val="en-US" w:eastAsia="lt-LT"/>
              </w:rPr>
              <w:t xml:space="preserve"> į </w:t>
            </w:r>
            <w:proofErr w:type="spellStart"/>
            <w:r w:rsidRPr="00395113">
              <w:rPr>
                <w:b/>
                <w:szCs w:val="24"/>
                <w:lang w:val="en-US" w:eastAsia="lt-LT"/>
              </w:rPr>
              <w:t>užsienį</w:t>
            </w:r>
            <w:proofErr w:type="spellEnd"/>
            <w:r w:rsidRPr="00395113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395113">
              <w:rPr>
                <w:b/>
                <w:szCs w:val="24"/>
                <w:lang w:val="en-US" w:eastAsia="lt-LT"/>
              </w:rPr>
              <w:t>išlaid</w:t>
            </w:r>
            <w:r>
              <w:rPr>
                <w:b/>
                <w:szCs w:val="24"/>
                <w:lang w:val="en-US" w:eastAsia="lt-LT"/>
              </w:rPr>
              <w:t>os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apmokamos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taikant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fiksuotuosius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įkainius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szCs w:val="24"/>
                <w:lang w:val="en-US" w:eastAsia="lt-LT"/>
              </w:rPr>
              <w:t>kurių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dydžiai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nustatyti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L</w:t>
            </w:r>
            <w:r>
              <w:rPr>
                <w:b/>
                <w:szCs w:val="24"/>
                <w:lang w:val="en-US" w:eastAsia="lt-LT"/>
              </w:rPr>
              <w:t>ietuvos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mokslo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tarybos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pirmininko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2014 m.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spalio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6 d.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įsakym</w:t>
            </w:r>
            <w:r>
              <w:rPr>
                <w:b/>
                <w:szCs w:val="24"/>
                <w:lang w:val="en-US" w:eastAsia="lt-LT"/>
              </w:rPr>
              <w:t>u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Nr. V-191 „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Dėl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Mokslinių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išvykų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išlaidų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fiksuotųjų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įkainių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dydžių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apskaičiavimo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tyrimo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ataskaitos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="004C46A6" w:rsidRPr="004C46A6">
              <w:rPr>
                <w:b/>
                <w:szCs w:val="24"/>
                <w:lang w:val="en-US" w:eastAsia="lt-LT"/>
              </w:rPr>
              <w:t>patvirtinimo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>“</w:t>
            </w:r>
            <w:r>
              <w:rPr>
                <w:b/>
                <w:szCs w:val="24"/>
                <w:lang w:val="en-US" w:eastAsia="lt-LT"/>
              </w:rPr>
              <w:t xml:space="preserve"> (</w:t>
            </w:r>
            <w:proofErr w:type="gramEnd"/>
            <w:r w:rsidR="004C46A6" w:rsidRPr="004C46A6">
              <w:rPr>
                <w:b/>
                <w:szCs w:val="24"/>
                <w:lang w:val="en-US" w:eastAsia="lt-LT"/>
              </w:rPr>
              <w:t xml:space="preserve">2017 m.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gegužės</w:t>
            </w:r>
            <w:proofErr w:type="spellEnd"/>
            <w:r w:rsidR="004C46A6" w:rsidRPr="004C46A6">
              <w:rPr>
                <w:b/>
                <w:szCs w:val="24"/>
                <w:lang w:val="en-US" w:eastAsia="lt-LT"/>
              </w:rPr>
              <w:t xml:space="preserve"> 24 d. </w:t>
            </w:r>
            <w:proofErr w:type="spellStart"/>
            <w:r w:rsidR="004C46A6" w:rsidRPr="004C46A6">
              <w:rPr>
                <w:b/>
                <w:szCs w:val="24"/>
                <w:lang w:val="en-US" w:eastAsia="lt-LT"/>
              </w:rPr>
              <w:t>redakcija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). </w:t>
            </w:r>
          </w:p>
          <w:p w14:paraId="00A22489" w14:textId="77777777" w:rsidR="004C46A6" w:rsidRDefault="004C46A6" w:rsidP="00395113">
            <w:pPr>
              <w:jc w:val="both"/>
              <w:rPr>
                <w:b/>
                <w:szCs w:val="24"/>
                <w:lang w:val="en-US" w:eastAsia="lt-LT"/>
              </w:rPr>
            </w:pPr>
          </w:p>
          <w:p w14:paraId="1AF0D7B9" w14:textId="12609CC5" w:rsidR="00205071" w:rsidRDefault="00205071" w:rsidP="00EB437D">
            <w:pPr>
              <w:jc w:val="both"/>
              <w:rPr>
                <w:b/>
                <w:szCs w:val="24"/>
                <w:lang w:val="en-US" w:eastAsia="lt-LT"/>
              </w:rPr>
            </w:pPr>
            <w:proofErr w:type="spellStart"/>
            <w:r>
              <w:rPr>
                <w:b/>
                <w:szCs w:val="24"/>
                <w:lang w:val="en-US" w:eastAsia="lt-LT"/>
              </w:rPr>
              <w:t>Projekto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veikloms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vykdyti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reikalingo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darbo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užmokesčio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aukštųjų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mokyklų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personalui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szCs w:val="24"/>
                <w:lang w:val="en-US" w:eastAsia="lt-LT"/>
              </w:rPr>
              <w:t>dirbančiam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projektuose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szCs w:val="24"/>
                <w:lang w:val="en-US" w:eastAsia="lt-LT"/>
              </w:rPr>
              <w:t>kuriuos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įgyvendinant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yra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kuriami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intelektiniai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produktai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szCs w:val="24"/>
                <w:lang w:val="en-US" w:eastAsia="lt-LT"/>
              </w:rPr>
              <w:t>apmokėjimui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taikomi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fiksuotieji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įkainiai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>
              <w:rPr>
                <w:b/>
                <w:szCs w:val="24"/>
                <w:lang w:val="en-US" w:eastAsia="lt-LT"/>
              </w:rPr>
              <w:t>kurių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dydžiai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lt-LT"/>
              </w:rPr>
              <w:t>nustatyti</w:t>
            </w:r>
            <w:proofErr w:type="spellEnd"/>
            <w:r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Lietuvos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Respublikos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švietimo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ir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mokslo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ministerijos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 2</w:t>
            </w:r>
            <w:r w:rsidRPr="00205071">
              <w:rPr>
                <w:b/>
                <w:szCs w:val="24"/>
                <w:lang w:val="en-US" w:eastAsia="lt-LT"/>
              </w:rPr>
              <w:t xml:space="preserve">016 m.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lapkričio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18 d. </w:t>
            </w:r>
            <w:proofErr w:type="spellStart"/>
            <w:r w:rsidR="00EB437D">
              <w:rPr>
                <w:b/>
                <w:szCs w:val="24"/>
                <w:lang w:val="en-US" w:eastAsia="lt-LT"/>
              </w:rPr>
              <w:t>a</w:t>
            </w:r>
            <w:r w:rsidRPr="00205071">
              <w:rPr>
                <w:b/>
                <w:szCs w:val="24"/>
                <w:lang w:val="en-US" w:eastAsia="lt-LT"/>
              </w:rPr>
              <w:t>ukštųjų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mokyklų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personalo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vykdančio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projektą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,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darbo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užmokesčio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išlaidų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fiksuotųjų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įkainių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nustatymo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tyrimo</w:t>
            </w:r>
            <w:proofErr w:type="spellEnd"/>
            <w:r w:rsidRPr="00205071">
              <w:rPr>
                <w:b/>
                <w:szCs w:val="24"/>
                <w:lang w:val="en-US" w:eastAsia="lt-LT"/>
              </w:rPr>
              <w:t xml:space="preserve"> </w:t>
            </w:r>
            <w:proofErr w:type="spellStart"/>
            <w:r w:rsidRPr="00205071">
              <w:rPr>
                <w:b/>
                <w:szCs w:val="24"/>
                <w:lang w:val="en-US" w:eastAsia="lt-LT"/>
              </w:rPr>
              <w:t>ataskait</w:t>
            </w:r>
            <w:r w:rsidR="00EB437D">
              <w:rPr>
                <w:b/>
                <w:szCs w:val="24"/>
                <w:lang w:val="en-US" w:eastAsia="lt-LT"/>
              </w:rPr>
              <w:t>oje</w:t>
            </w:r>
            <w:proofErr w:type="spellEnd"/>
            <w:r w:rsidR="00EB437D">
              <w:rPr>
                <w:b/>
                <w:szCs w:val="24"/>
                <w:lang w:val="en-US" w:eastAsia="lt-LT"/>
              </w:rPr>
              <w:t xml:space="preserve">. </w:t>
            </w:r>
          </w:p>
          <w:p w14:paraId="5C20A2E5" w14:textId="66A1BD79" w:rsidR="00306BBF" w:rsidRDefault="00306BBF" w:rsidP="00EB437D">
            <w:pPr>
              <w:jc w:val="both"/>
              <w:rPr>
                <w:b/>
              </w:rPr>
            </w:pPr>
          </w:p>
          <w:p w14:paraId="49F0B15E" w14:textId="77777777" w:rsidR="00306BBF" w:rsidRDefault="00306BBF" w:rsidP="00306BBF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306BBF">
              <w:rPr>
                <w:b/>
                <w:bCs/>
                <w:szCs w:val="24"/>
                <w:lang w:eastAsia="lt-LT"/>
              </w:rPr>
              <w:t>Projekto vykdomoms veikloms apmokėti taikomų fiksuotojų įkainių nustatymo tyrimo ataskaitos skelbiamos Europos Sąjungos struktūrinių fondų svetainėje adresu:</w:t>
            </w:r>
          </w:p>
          <w:p w14:paraId="2EEE6446" w14:textId="6B161A02" w:rsidR="00306BBF" w:rsidRPr="00306BBF" w:rsidRDefault="00306BBF" w:rsidP="00306BBF">
            <w:pPr>
              <w:jc w:val="both"/>
              <w:rPr>
                <w:b/>
                <w:szCs w:val="24"/>
              </w:rPr>
            </w:pPr>
            <w:r w:rsidRPr="00306BBF">
              <w:rPr>
                <w:b/>
                <w:bCs/>
                <w:szCs w:val="24"/>
                <w:lang w:eastAsia="lt-LT"/>
              </w:rPr>
              <w:t xml:space="preserve"> </w:t>
            </w:r>
            <w:hyperlink r:id="rId8" w:history="1">
              <w:r w:rsidRPr="00306BBF">
                <w:rPr>
                  <w:rStyle w:val="Hipersaitas"/>
                  <w:b/>
                  <w:szCs w:val="24"/>
                </w:rPr>
                <w:t>http://www.esinvesticijos.lt/lt/dokumentai/supaprastinto-islaidu-apmokejimo-tyrimai</w:t>
              </w:r>
            </w:hyperlink>
            <w:r w:rsidRPr="00306BBF">
              <w:rPr>
                <w:b/>
                <w:szCs w:val="24"/>
              </w:rPr>
              <w:t>. </w:t>
            </w:r>
          </w:p>
          <w:p w14:paraId="5A04E38A" w14:textId="045E40F3" w:rsidR="00306BBF" w:rsidRDefault="00306BBF" w:rsidP="00472DC1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  <w:lang w:eastAsia="lt-LT"/>
              </w:rPr>
            </w:pPr>
          </w:p>
          <w:p w14:paraId="241AD2E8" w14:textId="77777777" w:rsidR="00472DC1" w:rsidRDefault="00472DC1" w:rsidP="00EB437D">
            <w:pPr>
              <w:jc w:val="both"/>
              <w:rPr>
                <w:b/>
              </w:rPr>
            </w:pPr>
          </w:p>
          <w:p w14:paraId="0A83C520" w14:textId="580D8D41" w:rsidR="00EB437D" w:rsidRPr="00CA4100" w:rsidRDefault="00EB437D" w:rsidP="00B81DA9">
            <w:pPr>
              <w:jc w:val="both"/>
              <w:rPr>
                <w:b/>
                <w:szCs w:val="24"/>
                <w:lang w:val="en-US" w:eastAsia="lt-LT"/>
              </w:rPr>
            </w:pPr>
          </w:p>
        </w:tc>
      </w:tr>
      <w:tr w:rsidR="00CA4100" w:rsidRPr="00CA4100" w14:paraId="3F7CBA81" w14:textId="77777777" w:rsidTr="00CA4100"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442C8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9EA3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 xml:space="preserve">Informavimas apie projektą 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C4F4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Tinkamos finansuoti tik privalomos informavimo apie projektą priemonės pagal Projektų taisyklių 37 skirsnio 450.1, 450.2, 450.6 punktus.</w:t>
            </w:r>
          </w:p>
        </w:tc>
      </w:tr>
      <w:tr w:rsidR="00CA4100" w:rsidRPr="00CA4100" w14:paraId="5CAFD245" w14:textId="77777777" w:rsidTr="00CA4100">
        <w:trPr>
          <w:trHeight w:val="1127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BB5FD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7D8E" w14:textId="77777777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b/>
                <w:bCs/>
                <w:szCs w:val="24"/>
                <w:lang w:eastAsia="lt-LT"/>
              </w:rPr>
              <w:t>Netiesioginės išlaidos ir kitos išlaidos pagal fiksuotąją projekto išlaidų normą: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97D7" w14:textId="65EEA8FD" w:rsidR="00CA4100" w:rsidRPr="00CA4100" w:rsidRDefault="00CA4100" w:rsidP="00CA410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CA4100">
              <w:rPr>
                <w:szCs w:val="24"/>
                <w:lang w:eastAsia="lt-LT"/>
              </w:rPr>
              <w:t>Projektui taikoma fiksuotoji projekto išlaidų norma netiesioginėms išlaidoms skaičiuojama vadovaujantis Projektų taisyklių 10 priedu.</w:t>
            </w:r>
          </w:p>
        </w:tc>
      </w:tr>
    </w:tbl>
    <w:p w14:paraId="0EF09E48" w14:textId="23F251C8" w:rsidR="00287F84" w:rsidRDefault="00287F84" w:rsidP="00851288">
      <w:pPr>
        <w:pStyle w:val="Sraopastraipa"/>
        <w:numPr>
          <w:ilvl w:val="0"/>
          <w:numId w:val="2"/>
        </w:numPr>
        <w:tabs>
          <w:tab w:val="left" w:pos="993"/>
          <w:tab w:val="left" w:pos="1276"/>
        </w:tabs>
        <w:jc w:val="both"/>
        <w:rPr>
          <w:color w:val="000000"/>
          <w:szCs w:val="24"/>
        </w:rPr>
      </w:pPr>
      <w:r w:rsidRPr="00287F84">
        <w:rPr>
          <w:color w:val="000000"/>
          <w:szCs w:val="24"/>
        </w:rPr>
        <w:t>Papildau Aprašą 3</w:t>
      </w:r>
      <w:r>
        <w:rPr>
          <w:color w:val="000000"/>
          <w:szCs w:val="24"/>
        </w:rPr>
        <w:t>0</w:t>
      </w:r>
      <w:r w:rsidRPr="00287F84">
        <w:rPr>
          <w:color w:val="000000"/>
          <w:szCs w:val="24"/>
          <w:vertAlign w:val="superscript"/>
        </w:rPr>
        <w:t xml:space="preserve">1 </w:t>
      </w:r>
      <w:r w:rsidRPr="00287F84">
        <w:rPr>
          <w:color w:val="000000"/>
          <w:szCs w:val="24"/>
        </w:rPr>
        <w:t>punktu:</w:t>
      </w:r>
    </w:p>
    <w:p w14:paraId="260A2CEC" w14:textId="5FC3E105" w:rsidR="00FC28D1" w:rsidRPr="00287F84" w:rsidRDefault="00287F84" w:rsidP="00287F84">
      <w:pPr>
        <w:tabs>
          <w:tab w:val="left" w:pos="993"/>
          <w:tab w:val="left" w:pos="1276"/>
        </w:tabs>
        <w:ind w:firstLine="851"/>
        <w:jc w:val="both"/>
        <w:rPr>
          <w:b/>
          <w:szCs w:val="24"/>
          <w:lang w:eastAsia="lt-LT"/>
        </w:rPr>
      </w:pPr>
      <w:r>
        <w:rPr>
          <w:color w:val="000000"/>
          <w:szCs w:val="24"/>
        </w:rPr>
        <w:t>„</w:t>
      </w:r>
      <w:r w:rsidRPr="00287F84">
        <w:rPr>
          <w:b/>
          <w:color w:val="000000"/>
          <w:szCs w:val="24"/>
        </w:rPr>
        <w:t>3</w:t>
      </w:r>
      <w:r>
        <w:rPr>
          <w:b/>
          <w:color w:val="000000"/>
          <w:szCs w:val="24"/>
        </w:rPr>
        <w:t>0</w:t>
      </w:r>
      <w:r w:rsidRPr="00287F84">
        <w:rPr>
          <w:b/>
          <w:color w:val="000000"/>
          <w:szCs w:val="24"/>
          <w:vertAlign w:val="superscript"/>
        </w:rPr>
        <w:t>1</w:t>
      </w:r>
      <w:r w:rsidRPr="00287F84">
        <w:rPr>
          <w:b/>
          <w:color w:val="000000"/>
          <w:szCs w:val="24"/>
        </w:rPr>
        <w:t xml:space="preserve"> </w:t>
      </w:r>
      <w:r w:rsidR="00FC28D1" w:rsidRPr="00FC28D1">
        <w:rPr>
          <w:b/>
          <w:szCs w:val="24"/>
          <w:lang w:eastAsia="lt-LT"/>
        </w:rPr>
        <w:t>Išlaidos, apmokamos taikant Aprašo 30 punkte nurodytus fiksuotuosius įkainius ir fiksuotąją normą, turi atitikti šias nuostatas:</w:t>
      </w:r>
    </w:p>
    <w:p w14:paraId="6F6A0FE8" w14:textId="2116F84F" w:rsidR="00FC28D1" w:rsidRPr="00FC28D1" w:rsidRDefault="00FC28D1" w:rsidP="00287F84">
      <w:pPr>
        <w:ind w:firstLine="851"/>
        <w:jc w:val="both"/>
        <w:rPr>
          <w:b/>
          <w:szCs w:val="24"/>
          <w:lang w:eastAsia="lt-LT"/>
        </w:rPr>
      </w:pPr>
      <w:bookmarkStart w:id="0" w:name="part_7e67e0b796644471881c34e9ccb5eb29"/>
      <w:bookmarkEnd w:id="0"/>
      <w:r w:rsidRPr="00FC28D1">
        <w:rPr>
          <w:b/>
          <w:szCs w:val="24"/>
          <w:lang w:eastAsia="lt-LT"/>
        </w:rPr>
        <w:t>3</w:t>
      </w:r>
      <w:r w:rsidR="00287F84">
        <w:rPr>
          <w:b/>
          <w:szCs w:val="24"/>
          <w:lang w:eastAsia="lt-LT"/>
        </w:rPr>
        <w:t>0</w:t>
      </w:r>
      <w:r w:rsidR="00287F84" w:rsidRPr="00287F84">
        <w:rPr>
          <w:b/>
          <w:szCs w:val="24"/>
          <w:vertAlign w:val="superscript"/>
          <w:lang w:eastAsia="lt-LT"/>
        </w:rPr>
        <w:t>1</w:t>
      </w:r>
      <w:r w:rsidRPr="00FC28D1">
        <w:rPr>
          <w:b/>
          <w:szCs w:val="24"/>
          <w:lang w:eastAsia="lt-LT"/>
        </w:rPr>
        <w:t>.1.  pagal fiksuotuosius įkainius / fiksuotąją normą apmokamos išlaidos turi atitikti Projektų taisyklių 35 skirsnį;</w:t>
      </w:r>
    </w:p>
    <w:p w14:paraId="52F11DA2" w14:textId="1188D3C7" w:rsidR="00FC28D1" w:rsidRPr="00FC28D1" w:rsidRDefault="00FC28D1" w:rsidP="00287F84">
      <w:pPr>
        <w:ind w:firstLine="851"/>
        <w:jc w:val="both"/>
        <w:rPr>
          <w:b/>
          <w:szCs w:val="24"/>
          <w:lang w:eastAsia="lt-LT"/>
        </w:rPr>
      </w:pPr>
      <w:bookmarkStart w:id="1" w:name="part_bb5fa150ce72462a8990cf911a82c46d"/>
      <w:bookmarkEnd w:id="1"/>
      <w:r w:rsidRPr="00FC28D1">
        <w:rPr>
          <w:b/>
          <w:szCs w:val="24"/>
          <w:lang w:eastAsia="lt-LT"/>
        </w:rPr>
        <w:t>3</w:t>
      </w:r>
      <w:r w:rsidR="00287F84">
        <w:rPr>
          <w:b/>
          <w:szCs w:val="24"/>
          <w:lang w:eastAsia="lt-LT"/>
        </w:rPr>
        <w:t>0</w:t>
      </w:r>
      <w:r w:rsidR="00287F84" w:rsidRPr="00287F84">
        <w:rPr>
          <w:b/>
          <w:szCs w:val="24"/>
          <w:vertAlign w:val="superscript"/>
          <w:lang w:eastAsia="lt-LT"/>
        </w:rPr>
        <w:t>1</w:t>
      </w:r>
      <w:r w:rsidRPr="00FC28D1">
        <w:rPr>
          <w:b/>
          <w:szCs w:val="24"/>
          <w:lang w:eastAsia="lt-LT"/>
        </w:rPr>
        <w:t>.2.  pareiškėjas turi teisę paraiškoje numatyti mažesnius fiksuotųjų įkainių dydžius, nei Apraše nustatyti dydžiai;</w:t>
      </w:r>
    </w:p>
    <w:p w14:paraId="070AAE7D" w14:textId="28B5524F" w:rsidR="00FC28D1" w:rsidRDefault="00FC28D1" w:rsidP="00287F84">
      <w:pPr>
        <w:ind w:firstLine="851"/>
        <w:jc w:val="both"/>
        <w:rPr>
          <w:b/>
          <w:strike/>
          <w:szCs w:val="24"/>
          <w:lang w:eastAsia="lt-LT"/>
        </w:rPr>
      </w:pPr>
      <w:bookmarkStart w:id="2" w:name="part_35bcd3546a464365869f1e4235fb2add"/>
      <w:bookmarkEnd w:id="2"/>
      <w:r w:rsidRPr="00FC28D1">
        <w:rPr>
          <w:b/>
          <w:szCs w:val="24"/>
          <w:lang w:eastAsia="lt-LT"/>
        </w:rPr>
        <w:t>3</w:t>
      </w:r>
      <w:r w:rsidR="00287F84">
        <w:rPr>
          <w:b/>
          <w:szCs w:val="24"/>
          <w:lang w:eastAsia="lt-LT"/>
        </w:rPr>
        <w:t>0</w:t>
      </w:r>
      <w:r w:rsidR="00287F84" w:rsidRPr="00287F84">
        <w:rPr>
          <w:b/>
          <w:szCs w:val="24"/>
          <w:vertAlign w:val="superscript"/>
          <w:lang w:eastAsia="lt-LT"/>
        </w:rPr>
        <w:t>1</w:t>
      </w:r>
      <w:r w:rsidRPr="00FC28D1">
        <w:rPr>
          <w:b/>
          <w:szCs w:val="24"/>
          <w:lang w:eastAsia="lt-LT"/>
        </w:rPr>
        <w:t>.3.  projektų išlaidos, kurias numatyta apmokėti taikant fiksuotuosius įkainius, apmokamos atsižvelgiant į projekto sutartyje nustatytus fiksuotuosius įkainius ir projekto vykdytojo pateiktus dokumentus, kuriais įrodomas pasiektas rezultatas. Dokumentai, kuriuos reikia pateikti, įrodant pagal fiksuotuosius įkainius apmokamų rezultatų pasiekimą, bus nurodyti projekto sutartyje</w:t>
      </w:r>
      <w:r w:rsidRPr="000943A0">
        <w:rPr>
          <w:b/>
          <w:strike/>
          <w:szCs w:val="24"/>
          <w:lang w:eastAsia="lt-LT"/>
        </w:rPr>
        <w:t>.</w:t>
      </w:r>
      <w:r w:rsidR="00287F84" w:rsidRPr="000943A0">
        <w:rPr>
          <w:b/>
          <w:strike/>
          <w:szCs w:val="24"/>
          <w:lang w:eastAsia="lt-LT"/>
        </w:rPr>
        <w:t>“</w:t>
      </w:r>
      <w:r w:rsidR="000943A0">
        <w:rPr>
          <w:b/>
          <w:strike/>
          <w:szCs w:val="24"/>
          <w:lang w:eastAsia="lt-LT"/>
        </w:rPr>
        <w:t>;</w:t>
      </w:r>
    </w:p>
    <w:p w14:paraId="5B11D7B5" w14:textId="4F19225F" w:rsidR="00472DC1" w:rsidRDefault="00472DC1" w:rsidP="00472DC1">
      <w:pPr>
        <w:ind w:firstLine="851"/>
        <w:jc w:val="both"/>
        <w:rPr>
          <w:b/>
          <w:szCs w:val="24"/>
          <w:lang w:eastAsia="lt-LT"/>
        </w:rPr>
      </w:pPr>
      <w:r w:rsidRPr="000943A0">
        <w:rPr>
          <w:b/>
          <w:szCs w:val="24"/>
          <w:lang w:eastAsia="lt-LT"/>
        </w:rPr>
        <w:t>30</w:t>
      </w:r>
      <w:r w:rsidRPr="000943A0">
        <w:rPr>
          <w:b/>
          <w:szCs w:val="24"/>
          <w:vertAlign w:val="superscript"/>
          <w:lang w:eastAsia="lt-LT"/>
        </w:rPr>
        <w:t>1</w:t>
      </w:r>
      <w:r w:rsidRPr="000943A0">
        <w:rPr>
          <w:b/>
          <w:szCs w:val="24"/>
          <w:lang w:eastAsia="lt-LT"/>
        </w:rPr>
        <w:t>.4.  projekto įgyvendinimo metu vadovaujančiajai ar audito institucijoms nustačius, kad fiksuotasis įkainis / fiksuotoji suma / fiksuotoji n</w:t>
      </w:r>
      <w:bookmarkStart w:id="3" w:name="_GoBack"/>
      <w:bookmarkEnd w:id="3"/>
      <w:r w:rsidRPr="000943A0">
        <w:rPr>
          <w:b/>
          <w:szCs w:val="24"/>
          <w:lang w:eastAsia="lt-LT"/>
        </w:rPr>
        <w:t>orma buvo netinkamai nustatyti, patikslintas dydis ar jo taikymo sąlygos taikomi projekto veiksmų, vykdomų nuo dydžio ar jo taikymo sąlygų patikslinimo įsigaliojimo dienos, išlaidoms apmokėti.</w:t>
      </w:r>
      <w:r>
        <w:rPr>
          <w:b/>
          <w:szCs w:val="24"/>
          <w:lang w:eastAsia="lt-LT"/>
        </w:rPr>
        <w:t>“.</w:t>
      </w:r>
    </w:p>
    <w:p w14:paraId="34444267" w14:textId="12D52005" w:rsidR="00013D6B" w:rsidRDefault="00013D6B" w:rsidP="00013D6B">
      <w:pPr>
        <w:widowControl w:val="0"/>
        <w:ind w:firstLine="851"/>
        <w:jc w:val="both"/>
        <w:rPr>
          <w:color w:val="000000"/>
          <w:szCs w:val="24"/>
        </w:rPr>
      </w:pPr>
      <w:r w:rsidRPr="00013D6B">
        <w:rPr>
          <w:b/>
          <w:szCs w:val="24"/>
          <w:lang w:eastAsia="lt-LT"/>
        </w:rPr>
        <w:t xml:space="preserve">5. </w:t>
      </w:r>
      <w:r w:rsidRPr="00593599">
        <w:rPr>
          <w:color w:val="000000"/>
          <w:szCs w:val="24"/>
        </w:rPr>
        <w:t xml:space="preserve">Pakeičiu </w:t>
      </w:r>
      <w:r w:rsidRPr="00013D6B">
        <w:rPr>
          <w:color w:val="000000" w:themeColor="text1"/>
          <w:szCs w:val="24"/>
        </w:rPr>
        <w:t xml:space="preserve">1 priedą ir </w:t>
      </w:r>
      <w:r w:rsidRPr="00593599">
        <w:rPr>
          <w:color w:val="000000"/>
          <w:szCs w:val="24"/>
        </w:rPr>
        <w:t>7.7 papunktį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402"/>
        <w:gridCol w:w="1276"/>
        <w:gridCol w:w="1275"/>
      </w:tblGrid>
      <w:tr w:rsidR="00013D6B" w:rsidRPr="00543F15" w14:paraId="068AB333" w14:textId="77777777" w:rsidTr="00593599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9993F" w14:textId="77777777" w:rsidR="00013D6B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 xml:space="preserve">7.7. Teisingai pritaikyti fiksuotoji </w:t>
            </w:r>
          </w:p>
          <w:p w14:paraId="0A08CF9F" w14:textId="77777777" w:rsidR="00013D6B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 xml:space="preserve">projekto išlaidų norma, fiksuotieji </w:t>
            </w:r>
          </w:p>
          <w:p w14:paraId="0F11B00D" w14:textId="77777777" w:rsidR="00013D6B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 xml:space="preserve">projekto išlaidų vieneto įkainiai, </w:t>
            </w:r>
          </w:p>
          <w:p w14:paraId="349B996C" w14:textId="77777777" w:rsidR="00013D6B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>fiksuotosios projekto išlaidų sumos</w:t>
            </w:r>
          </w:p>
          <w:p w14:paraId="50598EA3" w14:textId="77777777" w:rsidR="00013D6B" w:rsidRPr="00543F15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 xml:space="preserve"> ir (ar) apdovanojimai.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1EB38" w14:textId="2F0295CE" w:rsidR="00013D6B" w:rsidRPr="00543F15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 xml:space="preserve">Projektui taikoma fiksuotoji norma </w:t>
            </w:r>
            <w:r>
              <w:rPr>
                <w:b/>
                <w:sz w:val="20"/>
                <w:lang w:eastAsia="lt-LT"/>
              </w:rPr>
              <w:t xml:space="preserve">ir fiksuotieji projekto išlaidų vieneto įkainiai </w:t>
            </w:r>
            <w:r w:rsidRPr="00543F15">
              <w:rPr>
                <w:sz w:val="20"/>
                <w:lang w:eastAsia="lt-LT"/>
              </w:rPr>
              <w:t>turi atitikti reikalavimus, nustatytus Aprašo 30 punkte.</w:t>
            </w:r>
          </w:p>
          <w:p w14:paraId="28697B51" w14:textId="77777777" w:rsidR="00013D6B" w:rsidRPr="00543F15" w:rsidRDefault="00013D6B" w:rsidP="00B13BC0">
            <w:pPr>
              <w:widowControl w:val="0"/>
              <w:rPr>
                <w:sz w:val="20"/>
                <w:lang w:eastAsia="lt-LT"/>
              </w:rPr>
            </w:pPr>
            <w:r w:rsidRPr="00543F15">
              <w:rPr>
                <w:sz w:val="20"/>
                <w:lang w:eastAsia="lt-LT"/>
              </w:rPr>
              <w:t>Informacijos šaltinis: paraiška.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45EDA" w14:textId="77777777" w:rsidR="00013D6B" w:rsidRPr="00543F15" w:rsidRDefault="00013D6B" w:rsidP="00B13BC0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A033" w14:textId="7FF5F210" w:rsidR="00013D6B" w:rsidRPr="00543F15" w:rsidRDefault="00013D6B" w:rsidP="00B13BC0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</w:tbl>
    <w:p w14:paraId="153A24C1" w14:textId="77777777" w:rsidR="00013D6B" w:rsidRPr="00613DDC" w:rsidRDefault="00013D6B" w:rsidP="00593599">
      <w:pPr>
        <w:widowControl w:val="0"/>
        <w:ind w:firstLine="851"/>
        <w:jc w:val="both"/>
        <w:rPr>
          <w:lang w:eastAsia="lt-LT"/>
        </w:rPr>
      </w:pPr>
    </w:p>
    <w:p w14:paraId="0F7B46FA" w14:textId="075EA257" w:rsidR="00E938E5" w:rsidRDefault="00E938E5" w:rsidP="000E166F">
      <w:pPr>
        <w:widowControl w:val="0"/>
        <w:ind w:left="1350" w:hanging="499"/>
        <w:jc w:val="both"/>
        <w:rPr>
          <w:color w:val="000000"/>
          <w:szCs w:val="24"/>
        </w:rPr>
      </w:pPr>
    </w:p>
    <w:p w14:paraId="54869BF3" w14:textId="2E3A6A48" w:rsidR="00E938E5" w:rsidRDefault="00E938E5" w:rsidP="000E166F">
      <w:pPr>
        <w:widowControl w:val="0"/>
        <w:ind w:left="1350" w:hanging="499"/>
        <w:jc w:val="both"/>
        <w:rPr>
          <w:color w:val="000000"/>
          <w:szCs w:val="24"/>
        </w:rPr>
      </w:pPr>
      <w:r w:rsidRPr="00B8021D">
        <w:t xml:space="preserve">Sveikatos apsaugos ministras                                 </w:t>
      </w:r>
      <w:r>
        <w:t xml:space="preserve">                               </w:t>
      </w:r>
      <w:r w:rsidRPr="00B8021D">
        <w:t xml:space="preserve">          </w:t>
      </w:r>
      <w:r>
        <w:t xml:space="preserve"> </w:t>
      </w:r>
      <w:r w:rsidRPr="00B8021D">
        <w:t xml:space="preserve">  </w:t>
      </w:r>
      <w:r>
        <w:t xml:space="preserve">       </w:t>
      </w:r>
      <w:r w:rsidRPr="00B8021D">
        <w:t xml:space="preserve"> </w:t>
      </w:r>
    </w:p>
    <w:p w14:paraId="32979042" w14:textId="7B85F430" w:rsidR="00E938E5" w:rsidRDefault="00E938E5" w:rsidP="000E166F">
      <w:pPr>
        <w:widowControl w:val="0"/>
        <w:ind w:left="1350" w:hanging="499"/>
        <w:jc w:val="both"/>
        <w:rPr>
          <w:color w:val="000000"/>
          <w:szCs w:val="24"/>
        </w:rPr>
      </w:pPr>
    </w:p>
    <w:p w14:paraId="7A4A0BFF" w14:textId="1C9D81D7" w:rsidR="00A43C41" w:rsidRDefault="00A43C41">
      <w:pPr>
        <w:widowControl w:val="0"/>
        <w:ind w:left="57" w:right="57" w:hanging="57"/>
      </w:pPr>
    </w:p>
    <w:p w14:paraId="618ADB29" w14:textId="2B5440CC" w:rsidR="00A43C41" w:rsidRDefault="00A43C41">
      <w:pPr>
        <w:widowControl w:val="0"/>
        <w:ind w:left="57" w:right="57" w:hanging="57"/>
      </w:pPr>
    </w:p>
    <w:p w14:paraId="5A46A6DA" w14:textId="77777777" w:rsidR="00A43C41" w:rsidRDefault="00A43C41">
      <w:pPr>
        <w:widowControl w:val="0"/>
        <w:ind w:left="57" w:right="57" w:hanging="57"/>
      </w:pPr>
    </w:p>
    <w:p w14:paraId="686A60C5" w14:textId="77777777" w:rsidR="00F84541" w:rsidRPr="00787D9A" w:rsidRDefault="00F84541" w:rsidP="00F84541">
      <w:pPr>
        <w:tabs>
          <w:tab w:val="right" w:pos="9498"/>
        </w:tabs>
        <w:rPr>
          <w:szCs w:val="24"/>
        </w:rPr>
      </w:pPr>
      <w:r w:rsidRPr="00787D9A">
        <w:rPr>
          <w:szCs w:val="24"/>
          <w:lang w:val="en-US"/>
        </w:rPr>
        <w:t xml:space="preserve">Sandra </w:t>
      </w:r>
      <w:proofErr w:type="spellStart"/>
      <w:r w:rsidRPr="00787D9A">
        <w:rPr>
          <w:szCs w:val="24"/>
          <w:lang w:val="en-US"/>
        </w:rPr>
        <w:t>Jara</w:t>
      </w:r>
      <w:r w:rsidRPr="00787D9A">
        <w:rPr>
          <w:szCs w:val="24"/>
        </w:rPr>
        <w:t>šiūnienė</w:t>
      </w:r>
      <w:proofErr w:type="spellEnd"/>
      <w:r w:rsidRPr="00787D9A">
        <w:rPr>
          <w:szCs w:val="24"/>
        </w:rPr>
        <w:t>, tel. (8-5) 266 1494, el. p. sandra.jarasiuniene@sam.lt</w:t>
      </w:r>
    </w:p>
    <w:p w14:paraId="1405155F" w14:textId="53BD40AB" w:rsidR="00F84541" w:rsidRDefault="00F84541">
      <w:pPr>
        <w:widowControl w:val="0"/>
        <w:ind w:left="57" w:right="57" w:hanging="57"/>
        <w:rPr>
          <w:color w:val="000000"/>
          <w:szCs w:val="24"/>
          <w:lang w:eastAsia="lt-LT"/>
        </w:rPr>
      </w:pPr>
    </w:p>
    <w:sectPr w:rsidR="00F84541" w:rsidSect="00375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567" w:bottom="1077" w:left="1701" w:header="567" w:footer="51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7C7C" w14:textId="77777777" w:rsidR="00D113F7" w:rsidRDefault="00D113F7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4725E1AC" w14:textId="77777777" w:rsidR="00D113F7" w:rsidRDefault="00D113F7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F510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FB5F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1AEB" w14:textId="77777777" w:rsidR="00E01AC3" w:rsidRDefault="00E01AC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F4751" w14:textId="77777777" w:rsidR="00D113F7" w:rsidRDefault="00D113F7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4603586A" w14:textId="77777777" w:rsidR="00D113F7" w:rsidRDefault="00D113F7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782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A6F9" w14:textId="0B1D0468" w:rsidR="00E01AC3" w:rsidRDefault="00E01AC3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58411B">
      <w:rPr>
        <w:noProof/>
        <w:szCs w:val="24"/>
        <w:lang w:eastAsia="lt-LT"/>
      </w:rPr>
      <w:t>3</w:t>
    </w:r>
    <w:r>
      <w:rPr>
        <w:szCs w:val="24"/>
        <w:lang w:eastAsia="lt-LT"/>
      </w:rPr>
      <w:fldChar w:fldCharType="end"/>
    </w:r>
  </w:p>
  <w:p w14:paraId="4B4A5F4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D6E9" w14:textId="77777777" w:rsidR="00E01AC3" w:rsidRDefault="00E01AC3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49964030"/>
    <w:multiLevelType w:val="hybridMultilevel"/>
    <w:tmpl w:val="6DA6E9A4"/>
    <w:lvl w:ilvl="0" w:tplc="B43C0A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0C2176"/>
    <w:multiLevelType w:val="multilevel"/>
    <w:tmpl w:val="DEE6C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5D141A35"/>
    <w:multiLevelType w:val="hybridMultilevel"/>
    <w:tmpl w:val="726C03A4"/>
    <w:lvl w:ilvl="0" w:tplc="ED5477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8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EA"/>
    <w:rsid w:val="00000A75"/>
    <w:rsid w:val="00007044"/>
    <w:rsid w:val="00011C9C"/>
    <w:rsid w:val="00013D6B"/>
    <w:rsid w:val="0003265C"/>
    <w:rsid w:val="000442AB"/>
    <w:rsid w:val="00062D5E"/>
    <w:rsid w:val="000721C6"/>
    <w:rsid w:val="00082F4B"/>
    <w:rsid w:val="000909A9"/>
    <w:rsid w:val="00093749"/>
    <w:rsid w:val="000943A0"/>
    <w:rsid w:val="00094C2A"/>
    <w:rsid w:val="000B1C69"/>
    <w:rsid w:val="000C35A5"/>
    <w:rsid w:val="000E166F"/>
    <w:rsid w:val="00105EEB"/>
    <w:rsid w:val="0011362C"/>
    <w:rsid w:val="00127E3F"/>
    <w:rsid w:val="00141F96"/>
    <w:rsid w:val="00194231"/>
    <w:rsid w:val="001F2E76"/>
    <w:rsid w:val="00205071"/>
    <w:rsid w:val="00211F11"/>
    <w:rsid w:val="00215BF7"/>
    <w:rsid w:val="0022117A"/>
    <w:rsid w:val="00236486"/>
    <w:rsid w:val="0024764E"/>
    <w:rsid w:val="00253A1C"/>
    <w:rsid w:val="0026023B"/>
    <w:rsid w:val="0028338F"/>
    <w:rsid w:val="00287F84"/>
    <w:rsid w:val="00290F20"/>
    <w:rsid w:val="002F52D8"/>
    <w:rsid w:val="00306BBF"/>
    <w:rsid w:val="00317589"/>
    <w:rsid w:val="003233C9"/>
    <w:rsid w:val="0032381D"/>
    <w:rsid w:val="00372A68"/>
    <w:rsid w:val="00375B70"/>
    <w:rsid w:val="00395113"/>
    <w:rsid w:val="003B14A5"/>
    <w:rsid w:val="003B7EEA"/>
    <w:rsid w:val="003D7F85"/>
    <w:rsid w:val="003F13FF"/>
    <w:rsid w:val="00416301"/>
    <w:rsid w:val="00443545"/>
    <w:rsid w:val="00472DC1"/>
    <w:rsid w:val="004C46A6"/>
    <w:rsid w:val="004D2B55"/>
    <w:rsid w:val="004E247C"/>
    <w:rsid w:val="00501846"/>
    <w:rsid w:val="005056BB"/>
    <w:rsid w:val="0051098A"/>
    <w:rsid w:val="005140E4"/>
    <w:rsid w:val="005141C6"/>
    <w:rsid w:val="00515E88"/>
    <w:rsid w:val="00564534"/>
    <w:rsid w:val="005675D1"/>
    <w:rsid w:val="0058411B"/>
    <w:rsid w:val="00593599"/>
    <w:rsid w:val="005B64E9"/>
    <w:rsid w:val="00617183"/>
    <w:rsid w:val="00642CB9"/>
    <w:rsid w:val="006815EE"/>
    <w:rsid w:val="006B00C4"/>
    <w:rsid w:val="00714905"/>
    <w:rsid w:val="00721161"/>
    <w:rsid w:val="00721C0B"/>
    <w:rsid w:val="00764B80"/>
    <w:rsid w:val="00790904"/>
    <w:rsid w:val="007931F3"/>
    <w:rsid w:val="008033B1"/>
    <w:rsid w:val="008079CA"/>
    <w:rsid w:val="008406AD"/>
    <w:rsid w:val="00851288"/>
    <w:rsid w:val="00860009"/>
    <w:rsid w:val="00885CBF"/>
    <w:rsid w:val="008A5735"/>
    <w:rsid w:val="008A582B"/>
    <w:rsid w:val="008B7261"/>
    <w:rsid w:val="008D3466"/>
    <w:rsid w:val="008E5F6C"/>
    <w:rsid w:val="00934925"/>
    <w:rsid w:val="00962C89"/>
    <w:rsid w:val="009814FB"/>
    <w:rsid w:val="009B6B51"/>
    <w:rsid w:val="009C7956"/>
    <w:rsid w:val="00A007F0"/>
    <w:rsid w:val="00A43C41"/>
    <w:rsid w:val="00A957EE"/>
    <w:rsid w:val="00AC59B4"/>
    <w:rsid w:val="00B043BF"/>
    <w:rsid w:val="00B81DA9"/>
    <w:rsid w:val="00B93FFA"/>
    <w:rsid w:val="00B946B6"/>
    <w:rsid w:val="00BB1F98"/>
    <w:rsid w:val="00BC4CB2"/>
    <w:rsid w:val="00BE35CB"/>
    <w:rsid w:val="00C4414F"/>
    <w:rsid w:val="00C60A92"/>
    <w:rsid w:val="00C64A2A"/>
    <w:rsid w:val="00CA4100"/>
    <w:rsid w:val="00D00E91"/>
    <w:rsid w:val="00D02958"/>
    <w:rsid w:val="00D113F7"/>
    <w:rsid w:val="00D32769"/>
    <w:rsid w:val="00DC2C10"/>
    <w:rsid w:val="00DD212E"/>
    <w:rsid w:val="00DE7BD3"/>
    <w:rsid w:val="00E01AC3"/>
    <w:rsid w:val="00E07EC0"/>
    <w:rsid w:val="00E13724"/>
    <w:rsid w:val="00E15995"/>
    <w:rsid w:val="00E2485B"/>
    <w:rsid w:val="00E27474"/>
    <w:rsid w:val="00E34690"/>
    <w:rsid w:val="00E46815"/>
    <w:rsid w:val="00E556FE"/>
    <w:rsid w:val="00E938E5"/>
    <w:rsid w:val="00EB437D"/>
    <w:rsid w:val="00EE0100"/>
    <w:rsid w:val="00EE0C09"/>
    <w:rsid w:val="00F34E15"/>
    <w:rsid w:val="00F67210"/>
    <w:rsid w:val="00F7363F"/>
    <w:rsid w:val="00F84541"/>
    <w:rsid w:val="00F9031B"/>
    <w:rsid w:val="00F97F23"/>
    <w:rsid w:val="00FC2642"/>
    <w:rsid w:val="00FC28D1"/>
    <w:rsid w:val="00FD4EC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6EE5"/>
  <w15:docId w15:val="{B11BAB39-17B5-455D-AC5D-2E326EDE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72DC1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5B70"/>
    <w:rPr>
      <w:color w:val="808080"/>
    </w:rPr>
  </w:style>
  <w:style w:type="paragraph" w:styleId="Sraopastraipa">
    <w:name w:val="List Paragraph"/>
    <w:basedOn w:val="prastasis"/>
    <w:rsid w:val="00F34E1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62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62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62C89"/>
    <w:rPr>
      <w:sz w:val="20"/>
    </w:rPr>
  </w:style>
  <w:style w:type="paragraph" w:styleId="Debesliotekstas">
    <w:name w:val="Balloon Text"/>
    <w:basedOn w:val="prastasis"/>
    <w:link w:val="DebesliotekstasDiagrama"/>
    <w:rsid w:val="00962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62C8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CA4100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4100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8033B1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149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14905"/>
    <w:rPr>
      <w:b/>
      <w:bCs/>
      <w:sz w:val="20"/>
    </w:rPr>
  </w:style>
  <w:style w:type="character" w:customStyle="1" w:styleId="highlight">
    <w:name w:val="highlight"/>
    <w:basedOn w:val="Numatytasispastraiposriftas"/>
    <w:rsid w:val="000943A0"/>
  </w:style>
  <w:style w:type="character" w:customStyle="1" w:styleId="Antrat2Diagrama">
    <w:name w:val="Antraštė 2 Diagrama"/>
    <w:basedOn w:val="Numatytasispastraiposriftas"/>
    <w:link w:val="Antrat2"/>
    <w:uiPriority w:val="9"/>
    <w:rsid w:val="00472DC1"/>
    <w:rPr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472DC1"/>
  </w:style>
  <w:style w:type="character" w:styleId="Neapdorotaspaminjimas">
    <w:name w:val="Unresolved Mention"/>
    <w:basedOn w:val="Numatytasispastraiposriftas"/>
    <w:uiPriority w:val="99"/>
    <w:semiHidden/>
    <w:unhideWhenUsed/>
    <w:rsid w:val="00306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/lt/dokumentai/supaprastinto-islaidu-apmokejimo-tyrima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B52F-C129-4FBD-9957-43068AC9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3928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6155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Cechanovičienė</dc:creator>
  <cp:lastModifiedBy>Sandra Jarašiūnienė</cp:lastModifiedBy>
  <cp:revision>2</cp:revision>
  <cp:lastPrinted>2018-03-08T08:46:00Z</cp:lastPrinted>
  <dcterms:created xsi:type="dcterms:W3CDTF">2018-07-18T05:29:00Z</dcterms:created>
  <dcterms:modified xsi:type="dcterms:W3CDTF">2018-07-18T05:29:00Z</dcterms:modified>
</cp:coreProperties>
</file>