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CEF45" w14:textId="0CE3721D" w:rsidR="00A04672" w:rsidRPr="002039C1" w:rsidRDefault="00D7647B" w:rsidP="00D7647B">
      <w:pPr>
        <w:tabs>
          <w:tab w:val="left" w:pos="709"/>
        </w:tabs>
        <w:jc w:val="right"/>
        <w:rPr>
          <w:b/>
          <w:szCs w:val="24"/>
        </w:rPr>
      </w:pPr>
      <w:bookmarkStart w:id="0" w:name="_GoBack"/>
      <w:bookmarkEnd w:id="0"/>
      <w:r w:rsidRPr="002039C1">
        <w:rPr>
          <w:b/>
          <w:caps/>
          <w:noProof/>
          <w:szCs w:val="24"/>
          <w:lang w:eastAsia="lt-LT"/>
        </w:rPr>
        <w:t>P</w:t>
      </w:r>
      <w:r w:rsidRPr="002039C1">
        <w:rPr>
          <w:b/>
          <w:noProof/>
          <w:szCs w:val="24"/>
          <w:lang w:eastAsia="lt-LT"/>
        </w:rPr>
        <w:t>rojektas</w:t>
      </w:r>
    </w:p>
    <w:p w14:paraId="7164EFD1" w14:textId="77777777" w:rsidR="00FF05FF" w:rsidRDefault="00FF05FF">
      <w:pPr>
        <w:tabs>
          <w:tab w:val="left" w:pos="709"/>
        </w:tabs>
        <w:jc w:val="center"/>
        <w:rPr>
          <w:b/>
          <w:caps/>
          <w:szCs w:val="24"/>
        </w:rPr>
      </w:pPr>
    </w:p>
    <w:p w14:paraId="01B3D946" w14:textId="23683FD1" w:rsidR="00A04672" w:rsidRPr="002039C1" w:rsidRDefault="00192A94">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55862D6" w14:textId="71B534AE" w:rsidR="00A04672" w:rsidRPr="002039C1" w:rsidRDefault="00B41F11" w:rsidP="000C66EE">
      <w:pPr>
        <w:jc w:val="center"/>
        <w:rPr>
          <w:b/>
          <w:bCs/>
          <w:caps/>
          <w:szCs w:val="24"/>
        </w:rPr>
      </w:pPr>
      <w:r w:rsidRPr="002D2728">
        <w:rPr>
          <w:b/>
          <w:szCs w:val="24"/>
        </w:rPr>
        <w:t>DĖL LIETUVO</w:t>
      </w:r>
      <w:r>
        <w:rPr>
          <w:b/>
          <w:szCs w:val="24"/>
        </w:rPr>
        <w:t xml:space="preserve">S RESPUBLIKOS </w:t>
      </w:r>
      <w:r w:rsidR="000C66EE">
        <w:rPr>
          <w:b/>
          <w:szCs w:val="24"/>
        </w:rPr>
        <w:t xml:space="preserve">EKONOMIKOS IR INOVACIJŲ </w:t>
      </w:r>
      <w:r>
        <w:rPr>
          <w:b/>
          <w:szCs w:val="24"/>
        </w:rPr>
        <w:t xml:space="preserve">MINISTRO </w:t>
      </w:r>
      <w:r w:rsidR="0057021A">
        <w:rPr>
          <w:b/>
          <w:caps/>
          <w:szCs w:val="24"/>
        </w:rPr>
        <w:t>2018 m. GRUODŽIO 21 d. įsakymo Nr. 4-799</w:t>
      </w:r>
      <w:r w:rsidRPr="002D2728">
        <w:rPr>
          <w:b/>
          <w:szCs w:val="24"/>
        </w:rPr>
        <w:t xml:space="preserve"> „</w:t>
      </w:r>
      <w:r w:rsidR="0057021A">
        <w:rPr>
          <w:b/>
          <w:color w:val="000000"/>
          <w:szCs w:val="24"/>
        </w:rPr>
        <w:t>DĖL 2014–2020 METŲ EUROPOS SĄJUNGOS FONDŲ INVESTICIJŲ VEIKSMŲ PROGRAMOS 3 PRIORITETO „SMULKIOJO IR VIDUTINIO VERSLO KONKURENCINGUMO SKATINIMAS“ PRIEMONĖS NR. 03.2.1-LVPA-K-801 „NAUJOS GALIMYBĖS LT“ PROJEKTŲ FINANSAVIMO SĄLYGŲ APRAŠO NR. 4 PATVIRTINIMO</w:t>
      </w:r>
      <w:r w:rsidRPr="002D2728">
        <w:rPr>
          <w:b/>
          <w:caps/>
          <w:szCs w:val="24"/>
        </w:rPr>
        <w:t>“ PAKEITIMO</w:t>
      </w:r>
    </w:p>
    <w:p w14:paraId="6AD47E50" w14:textId="77777777" w:rsidR="00A04672" w:rsidRPr="002039C1" w:rsidRDefault="00A04672">
      <w:pPr>
        <w:rPr>
          <w:szCs w:val="24"/>
        </w:rPr>
      </w:pPr>
    </w:p>
    <w:p w14:paraId="74FEA358" w14:textId="1B461D44" w:rsidR="00A04672" w:rsidRPr="002039C1" w:rsidRDefault="006B2242" w:rsidP="00C7320D">
      <w:pPr>
        <w:ind w:firstLine="851"/>
        <w:jc w:val="center"/>
        <w:rPr>
          <w:szCs w:val="24"/>
        </w:rPr>
      </w:pPr>
      <w:r w:rsidRPr="002039C1">
        <w:rPr>
          <w:szCs w:val="24"/>
        </w:rPr>
        <w:t>201</w:t>
      </w:r>
      <w:r w:rsidR="00F03EBE" w:rsidRPr="002039C1">
        <w:rPr>
          <w:szCs w:val="24"/>
        </w:rPr>
        <w:t>9</w:t>
      </w:r>
      <w:r w:rsidRPr="002039C1">
        <w:rPr>
          <w:szCs w:val="24"/>
        </w:rPr>
        <w:t xml:space="preserve"> m.</w:t>
      </w:r>
      <w:r w:rsidR="000C66EE">
        <w:rPr>
          <w:szCs w:val="24"/>
        </w:rPr>
        <w:t xml:space="preserve"> </w:t>
      </w:r>
      <w:r w:rsidR="00D42739">
        <w:rPr>
          <w:szCs w:val="24"/>
        </w:rPr>
        <w:t>lapkričio</w:t>
      </w:r>
      <w:r w:rsidR="000C66EE">
        <w:rPr>
          <w:szCs w:val="24"/>
        </w:rPr>
        <w:t xml:space="preserve"> </w:t>
      </w:r>
      <w:r w:rsidR="00B41F11">
        <w:rPr>
          <w:szCs w:val="24"/>
        </w:rPr>
        <w:t xml:space="preserve"> </w:t>
      </w:r>
      <w:r w:rsidR="00EB16C0">
        <w:rPr>
          <w:szCs w:val="24"/>
        </w:rPr>
        <w:t xml:space="preserve">      </w:t>
      </w:r>
      <w:r w:rsidR="00AE5EF5" w:rsidRPr="002039C1">
        <w:rPr>
          <w:szCs w:val="24"/>
        </w:rPr>
        <w:t xml:space="preserve">d. Nr. </w:t>
      </w:r>
      <w:r w:rsidR="00EB16C0">
        <w:rPr>
          <w:szCs w:val="24"/>
        </w:rPr>
        <w:t xml:space="preserve">4- </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77777777" w:rsidR="00A04672" w:rsidRPr="002039C1" w:rsidRDefault="00192A9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2039C1">
        <w:rPr>
          <w:szCs w:val="24"/>
        </w:rPr>
        <w:t>88 </w:t>
      </w:r>
      <w:r w:rsidRPr="002039C1">
        <w:rPr>
          <w:szCs w:val="24"/>
        </w:rPr>
        <w:t>punktu</w:t>
      </w:r>
      <w:r w:rsidRPr="002039C1">
        <w:rPr>
          <w:color w:val="000000"/>
          <w:szCs w:val="24"/>
        </w:rPr>
        <w:t>,</w:t>
      </w:r>
    </w:p>
    <w:p w14:paraId="0BA3C612" w14:textId="6623DF09" w:rsidR="002B1C59" w:rsidRDefault="00B41F11" w:rsidP="00B41F11">
      <w:pPr>
        <w:ind w:firstLine="851"/>
        <w:jc w:val="both"/>
        <w:rPr>
          <w:szCs w:val="24"/>
        </w:rPr>
      </w:pPr>
      <w:r w:rsidRPr="002039C1">
        <w:rPr>
          <w:szCs w:val="24"/>
        </w:rPr>
        <w:t>p a k e i č i u</w:t>
      </w:r>
      <w:r>
        <w:rPr>
          <w:szCs w:val="24"/>
        </w:rPr>
        <w:t xml:space="preserve"> </w:t>
      </w:r>
      <w:r w:rsidRPr="002039C1">
        <w:rPr>
          <w:szCs w:val="24"/>
        </w:rPr>
        <w:t xml:space="preserve"> </w:t>
      </w:r>
      <w:r w:rsidR="000C66EE" w:rsidRPr="00C6628F">
        <w:rPr>
          <w:color w:val="000000"/>
          <w:szCs w:val="24"/>
        </w:rPr>
        <w:t xml:space="preserve">2014–2020 metų Europos Sąjungos fondų investicijų veiksmų programos 3 prioriteto „Smulkiojo ir vidutinio verslo konkurencingumo skatinimas“ priemonės </w:t>
      </w:r>
      <w:r w:rsidR="00BA6CE9">
        <w:rPr>
          <w:color w:val="000000"/>
          <w:szCs w:val="24"/>
        </w:rPr>
        <w:t xml:space="preserve">                                  </w:t>
      </w:r>
      <w:r w:rsidR="00333CA0">
        <w:rPr>
          <w:color w:val="000000"/>
          <w:szCs w:val="24"/>
        </w:rPr>
        <w:t>Nr. 03.2.1-LVPA-K-801 „Naujos galimybės LT“</w:t>
      </w:r>
      <w:r w:rsidR="000C66EE" w:rsidRPr="00C6628F">
        <w:rPr>
          <w:color w:val="000000"/>
          <w:szCs w:val="24"/>
        </w:rPr>
        <w:t xml:space="preserve"> pr</w:t>
      </w:r>
      <w:r w:rsidR="00FB35F2">
        <w:rPr>
          <w:color w:val="000000"/>
          <w:szCs w:val="24"/>
        </w:rPr>
        <w:t>ojektų finansavimo sąlygų apraš</w:t>
      </w:r>
      <w:r w:rsidR="002B1C59">
        <w:rPr>
          <w:color w:val="000000"/>
          <w:szCs w:val="24"/>
        </w:rPr>
        <w:t>ą</w:t>
      </w:r>
      <w:r w:rsidR="00333CA0">
        <w:rPr>
          <w:color w:val="000000"/>
          <w:szCs w:val="24"/>
        </w:rPr>
        <w:t xml:space="preserve"> Nr.4</w:t>
      </w:r>
      <w:r w:rsidR="002B1C59">
        <w:rPr>
          <w:color w:val="000000"/>
          <w:szCs w:val="24"/>
        </w:rPr>
        <w:t>, patvirtintą</w:t>
      </w:r>
      <w:r w:rsidR="000C66EE" w:rsidRPr="002039C1">
        <w:rPr>
          <w:bCs/>
          <w:szCs w:val="24"/>
        </w:rPr>
        <w:t xml:space="preserve"> </w:t>
      </w:r>
      <w:r w:rsidRPr="002D2728">
        <w:rPr>
          <w:szCs w:val="24"/>
        </w:rPr>
        <w:t>Lietuvo</w:t>
      </w:r>
      <w:r>
        <w:rPr>
          <w:szCs w:val="24"/>
        </w:rPr>
        <w:t xml:space="preserve">s Respublikos </w:t>
      </w:r>
      <w:r w:rsidR="000C66EE">
        <w:rPr>
          <w:szCs w:val="24"/>
        </w:rPr>
        <w:t xml:space="preserve">ekonomikos ir inovacijų </w:t>
      </w:r>
      <w:r>
        <w:rPr>
          <w:szCs w:val="24"/>
        </w:rPr>
        <w:t xml:space="preserve">ministro </w:t>
      </w:r>
      <w:r w:rsidR="00333CA0">
        <w:rPr>
          <w:rFonts w:eastAsia="Calibri"/>
        </w:rPr>
        <w:t>2018 m. gruodžio 21</w:t>
      </w:r>
      <w:r>
        <w:rPr>
          <w:rFonts w:eastAsia="Calibri"/>
        </w:rPr>
        <w:t xml:space="preserve"> d. įsakym</w:t>
      </w:r>
      <w:r w:rsidR="000C66EE">
        <w:rPr>
          <w:rFonts w:eastAsia="Calibri"/>
        </w:rPr>
        <w:t>u</w:t>
      </w:r>
      <w:r w:rsidR="00333CA0">
        <w:rPr>
          <w:rFonts w:eastAsia="Calibri"/>
        </w:rPr>
        <w:t xml:space="preserve"> Nr. 4-799</w:t>
      </w:r>
      <w:r w:rsidRPr="002D2728">
        <w:rPr>
          <w:szCs w:val="24"/>
        </w:rPr>
        <w:t xml:space="preserve"> „Dėl 2014–2020 metų Europos Sąjungos fondų investicijų veiksmų programos 3 prioriteto „Smulkiojo ir vidutinio verslo konkurencingumo skatinimas“ priemonės </w:t>
      </w:r>
      <w:r w:rsidR="00333CA0">
        <w:rPr>
          <w:color w:val="000000"/>
          <w:szCs w:val="24"/>
        </w:rPr>
        <w:t>Nr. 03.2.1-LVPA-K-801 „Naujos galimybės LT</w:t>
      </w:r>
      <w:r>
        <w:rPr>
          <w:rFonts w:eastAsia="Calibri"/>
          <w:szCs w:val="24"/>
        </w:rPr>
        <w:t>“</w:t>
      </w:r>
      <w:r w:rsidRPr="002D2728">
        <w:rPr>
          <w:szCs w:val="24"/>
        </w:rPr>
        <w:t xml:space="preserve"> projektų finansav</w:t>
      </w:r>
      <w:r>
        <w:rPr>
          <w:szCs w:val="24"/>
        </w:rPr>
        <w:t xml:space="preserve">imo sąlygų aprašo </w:t>
      </w:r>
      <w:r w:rsidR="00FB35F2">
        <w:rPr>
          <w:szCs w:val="24"/>
        </w:rPr>
        <w:t xml:space="preserve">Nr. 4 </w:t>
      </w:r>
      <w:r>
        <w:rPr>
          <w:szCs w:val="24"/>
        </w:rPr>
        <w:t>patvirtinimo“</w:t>
      </w:r>
      <w:r w:rsidR="002B1C59">
        <w:rPr>
          <w:szCs w:val="24"/>
        </w:rPr>
        <w:t>:</w:t>
      </w:r>
      <w:r w:rsidR="00FB35F2">
        <w:rPr>
          <w:szCs w:val="24"/>
        </w:rPr>
        <w:t xml:space="preserve"> </w:t>
      </w:r>
    </w:p>
    <w:p w14:paraId="7BC6A914" w14:textId="694121FC" w:rsidR="002B1C59" w:rsidRDefault="002B1C59" w:rsidP="002B1C59">
      <w:pPr>
        <w:ind w:firstLine="851"/>
        <w:jc w:val="both"/>
        <w:rPr>
          <w:rFonts w:eastAsia="AngsanaUPC"/>
          <w:bCs/>
          <w:szCs w:val="24"/>
        </w:rPr>
      </w:pPr>
      <w:r w:rsidRPr="002039C1">
        <w:rPr>
          <w:bCs/>
          <w:szCs w:val="24"/>
        </w:rPr>
        <w:t xml:space="preserve">1. </w:t>
      </w:r>
      <w:r>
        <w:rPr>
          <w:rFonts w:cs="Arial"/>
          <w:szCs w:val="24"/>
          <w:lang w:eastAsia="lt-LT"/>
        </w:rPr>
        <w:t>Pakeičiu 42 punktą ir jį išdėstau taip:</w:t>
      </w:r>
    </w:p>
    <w:p w14:paraId="258376B0" w14:textId="2145547B" w:rsidR="002B1C59" w:rsidRDefault="002B1C59" w:rsidP="002B1C59">
      <w:pPr>
        <w:ind w:firstLine="851"/>
        <w:jc w:val="both"/>
        <w:rPr>
          <w:rFonts w:eastAsia="AngsanaUPC"/>
          <w:bCs/>
          <w:szCs w:val="24"/>
        </w:rPr>
      </w:pPr>
      <w:r>
        <w:rPr>
          <w:rFonts w:eastAsia="AngsanaUPC"/>
          <w:bCs/>
          <w:szCs w:val="24"/>
        </w:rPr>
        <w:t>42. Išlaidos, apmokamos taikant Aprašo 41 punkte nurodytus fiksuotuosius įkainius, turi atitikti šias nuostatas:</w:t>
      </w:r>
    </w:p>
    <w:p w14:paraId="3F6D00EC" w14:textId="77777777" w:rsidR="002B1C59" w:rsidRDefault="002B1C59" w:rsidP="002B1C59">
      <w:pPr>
        <w:ind w:firstLine="851"/>
        <w:jc w:val="both"/>
        <w:rPr>
          <w:szCs w:val="24"/>
          <w:lang w:eastAsia="lt-LT"/>
        </w:rPr>
      </w:pPr>
      <w:r>
        <w:rPr>
          <w:rFonts w:eastAsia="AngsanaUPC"/>
          <w:bCs/>
          <w:szCs w:val="24"/>
        </w:rPr>
        <w:t xml:space="preserve">42.1. pagal fiksuotuosius įkainius apmokamos išlaidos </w:t>
      </w:r>
      <w:r>
        <w:rPr>
          <w:szCs w:val="24"/>
          <w:lang w:eastAsia="lt-LT"/>
        </w:rPr>
        <w:t xml:space="preserve">turi atitikti Projektų taisyklių VI skyriaus trisdešimt penktajame skirsnyje nustatytus reikalavimus; </w:t>
      </w:r>
    </w:p>
    <w:p w14:paraId="53C94669" w14:textId="77777777" w:rsidR="002B1C59" w:rsidRDefault="002B1C59" w:rsidP="002B1C59">
      <w:pPr>
        <w:ind w:firstLine="851"/>
        <w:jc w:val="both"/>
        <w:rPr>
          <w:rFonts w:eastAsia="AngsanaUPC"/>
          <w:bCs/>
          <w:szCs w:val="24"/>
        </w:rPr>
      </w:pPr>
      <w:r>
        <w:rPr>
          <w:rFonts w:eastAsia="AngsanaUPC"/>
          <w:bCs/>
          <w:szCs w:val="24"/>
        </w:rPr>
        <w:t xml:space="preserve">42.2. pareiškėjas turi teisę paraiškoje numatyti mažesnius fiksuotuosius įkainius, nei nurodyti </w:t>
      </w:r>
      <w:r>
        <w:rPr>
          <w:rFonts w:eastAsia="Calibri"/>
          <w:szCs w:val="24"/>
          <w:lang w:eastAsia="lt-LT"/>
        </w:rPr>
        <w:t>Dalyvavimo tarptautinėse parodose fiksuotojo įkainio nustatymo tyrimo ataskaitoje</w:t>
      </w:r>
      <w:r>
        <w:rPr>
          <w:rFonts w:eastAsia="AngsanaUPC"/>
          <w:bCs/>
          <w:szCs w:val="24"/>
        </w:rPr>
        <w:t>;</w:t>
      </w:r>
    </w:p>
    <w:p w14:paraId="6B9EFA77" w14:textId="77777777" w:rsidR="002B1C59" w:rsidRDefault="002B1C59" w:rsidP="002B1C59">
      <w:pPr>
        <w:ind w:firstLine="851"/>
        <w:jc w:val="both"/>
        <w:rPr>
          <w:rFonts w:eastAsia="AngsanaUPC"/>
          <w:bCs/>
          <w:szCs w:val="24"/>
        </w:rPr>
      </w:pPr>
      <w:r>
        <w:rPr>
          <w:rFonts w:eastAsia="AngsanaUPC"/>
          <w:bCs/>
          <w:szCs w:val="24"/>
        </w:rPr>
        <w:t>42.3. projektų 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apmokamų rezultatų pasiekimą, nurodomi projekto sutartyje;</w:t>
      </w:r>
    </w:p>
    <w:p w14:paraId="0270ADE4" w14:textId="4CFB9CA5" w:rsidR="002B1C59" w:rsidRDefault="002B1C59" w:rsidP="002B1C59">
      <w:pPr>
        <w:ind w:firstLine="851"/>
        <w:jc w:val="both"/>
        <w:rPr>
          <w:szCs w:val="24"/>
        </w:rPr>
      </w:pPr>
      <w:r>
        <w:rPr>
          <w:rFonts w:eastAsia="AngsanaUPC"/>
          <w:bCs/>
          <w:szCs w:val="24"/>
        </w:rPr>
        <w:t>42.4. f</w:t>
      </w:r>
      <w:r>
        <w:rPr>
          <w:rFonts w:eastAsia="Calibri"/>
          <w:szCs w:val="24"/>
        </w:rPr>
        <w:t>iksuotojo įkainio dydis gali būti patikslintas tik Projektų taisyklių 428</w:t>
      </w:r>
      <w:r>
        <w:rPr>
          <w:rFonts w:eastAsia="Calibri"/>
          <w:szCs w:val="24"/>
          <w:vertAlign w:val="superscript"/>
        </w:rPr>
        <w:t>1</w:t>
      </w:r>
      <w:r>
        <w:rPr>
          <w:rFonts w:eastAsia="Calibri"/>
          <w:szCs w:val="24"/>
        </w:rPr>
        <w:t xml:space="preserve"> punkte nurodytais atvejais.</w:t>
      </w:r>
    </w:p>
    <w:p w14:paraId="5AE12D56" w14:textId="0DDD3BCD" w:rsidR="00B41F11" w:rsidRPr="002039C1" w:rsidRDefault="002B1C59" w:rsidP="00B41F11">
      <w:pPr>
        <w:ind w:firstLine="851"/>
        <w:jc w:val="both"/>
        <w:rPr>
          <w:bCs/>
          <w:szCs w:val="24"/>
        </w:rPr>
      </w:pPr>
      <w:r>
        <w:rPr>
          <w:szCs w:val="24"/>
        </w:rPr>
        <w:t xml:space="preserve">2. Pakeičiu </w:t>
      </w:r>
      <w:r w:rsidR="00FB35F2">
        <w:rPr>
          <w:szCs w:val="24"/>
        </w:rPr>
        <w:t>4 priedą ir jį išdėstau nauja redakcija (pridedama).</w:t>
      </w:r>
    </w:p>
    <w:p w14:paraId="3B0B1642" w14:textId="151349D8" w:rsidR="00695C3D" w:rsidRPr="00C9057F" w:rsidRDefault="0007715E" w:rsidP="00F07C5C">
      <w:pPr>
        <w:ind w:firstLine="851"/>
        <w:jc w:val="both"/>
        <w:rPr>
          <w:bCs/>
          <w:szCs w:val="24"/>
        </w:rPr>
      </w:pPr>
      <w:r>
        <w:rPr>
          <w:szCs w:val="24"/>
          <w:lang w:eastAsia="lt-LT"/>
        </w:rPr>
        <w:tab/>
      </w:r>
    </w:p>
    <w:p w14:paraId="27AD1852" w14:textId="77777777" w:rsidR="00AF389C" w:rsidRPr="005D3AA5" w:rsidRDefault="00AF389C" w:rsidP="00AF389C">
      <w:pPr>
        <w:jc w:val="both"/>
        <w:rPr>
          <w:color w:val="000000"/>
          <w:szCs w:val="24"/>
          <w:lang w:eastAsia="lt-LT"/>
        </w:rPr>
      </w:pPr>
    </w:p>
    <w:p w14:paraId="2170F51C" w14:textId="69C42AFC" w:rsidR="00EB16C0" w:rsidRDefault="00D7647B" w:rsidP="002B1C59">
      <w:pPr>
        <w:jc w:val="both"/>
        <w:rPr>
          <w:sz w:val="20"/>
        </w:rPr>
      </w:pPr>
      <w:r>
        <w:t>Ekonomikos ir inovacijų ministras</w:t>
      </w:r>
      <w:r w:rsidR="00143BB3">
        <w:t xml:space="preserve">                                                                       </w:t>
      </w:r>
    </w:p>
    <w:p w14:paraId="797AD2C7" w14:textId="25B1FC76" w:rsidR="00EB16C0" w:rsidRDefault="00EB16C0">
      <w:pPr>
        <w:tabs>
          <w:tab w:val="center" w:pos="4819"/>
          <w:tab w:val="right" w:pos="9638"/>
        </w:tabs>
        <w:jc w:val="both"/>
        <w:rPr>
          <w:sz w:val="20"/>
        </w:rPr>
      </w:pPr>
    </w:p>
    <w:p w14:paraId="382EF876" w14:textId="7CFE862E" w:rsidR="002B1C59" w:rsidRDefault="002B1C59">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7E24288C" w14:textId="77777777"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p>
    <w:p w14:paraId="4C348A08" w14:textId="77777777" w:rsidR="00A04672" w:rsidRPr="00B94DEA" w:rsidRDefault="00192A94">
      <w:pPr>
        <w:tabs>
          <w:tab w:val="center" w:pos="4819"/>
          <w:tab w:val="right" w:pos="9638"/>
        </w:tabs>
        <w:jc w:val="both"/>
        <w:rPr>
          <w:szCs w:val="24"/>
        </w:rPr>
      </w:pPr>
      <w:r w:rsidRPr="00B94DEA">
        <w:rPr>
          <w:szCs w:val="24"/>
        </w:rPr>
        <w:t>koordinavimo departamento</w:t>
      </w:r>
    </w:p>
    <w:p w14:paraId="16A02276" w14:textId="77777777" w:rsidR="00672FFE" w:rsidRPr="00B94DEA" w:rsidRDefault="008F2E8A">
      <w:pPr>
        <w:tabs>
          <w:tab w:val="center" w:pos="4819"/>
          <w:tab w:val="right" w:pos="9638"/>
        </w:tabs>
        <w:jc w:val="both"/>
        <w:rPr>
          <w:szCs w:val="24"/>
        </w:rPr>
      </w:pPr>
      <w:r w:rsidRPr="00B94DEA">
        <w:rPr>
          <w:szCs w:val="24"/>
        </w:rPr>
        <w:t>Europos Sąjungos investicijų planavimo</w:t>
      </w:r>
    </w:p>
    <w:p w14:paraId="52816DC5" w14:textId="46B67758" w:rsidR="006C24D9" w:rsidRPr="00B94DEA" w:rsidRDefault="00192A94">
      <w:pPr>
        <w:tabs>
          <w:tab w:val="center" w:pos="4819"/>
          <w:tab w:val="right" w:pos="9638"/>
        </w:tabs>
        <w:jc w:val="both"/>
        <w:rPr>
          <w:szCs w:val="24"/>
        </w:rPr>
      </w:pPr>
      <w:r w:rsidRPr="00B94DEA">
        <w:rPr>
          <w:szCs w:val="24"/>
        </w:rPr>
        <w:t>skyriaus vyriausioji specialistė</w:t>
      </w:r>
    </w:p>
    <w:p w14:paraId="610D469B" w14:textId="77777777" w:rsidR="00EB16C0" w:rsidRPr="00B94DEA" w:rsidRDefault="00EB16C0">
      <w:pPr>
        <w:tabs>
          <w:tab w:val="center" w:pos="4819"/>
          <w:tab w:val="right" w:pos="9638"/>
        </w:tabs>
        <w:jc w:val="both"/>
        <w:rPr>
          <w:szCs w:val="24"/>
        </w:rPr>
      </w:pPr>
    </w:p>
    <w:p w14:paraId="03E89B81" w14:textId="77777777" w:rsidR="00D42739" w:rsidRDefault="00D7647B" w:rsidP="008D405F">
      <w:pPr>
        <w:tabs>
          <w:tab w:val="center" w:pos="4819"/>
          <w:tab w:val="right" w:pos="9638"/>
        </w:tabs>
        <w:jc w:val="both"/>
        <w:rPr>
          <w:szCs w:val="24"/>
        </w:rPr>
        <w:sectPr w:rsidR="00D42739" w:rsidSect="004B4C0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709" w:left="1701" w:header="720" w:footer="720" w:gutter="0"/>
          <w:pgNumType w:start="1"/>
          <w:cols w:space="720"/>
          <w:titlePg/>
          <w:docGrid w:linePitch="360"/>
        </w:sectPr>
      </w:pPr>
      <w:r w:rsidRPr="00B94DEA">
        <w:rPr>
          <w:szCs w:val="24"/>
        </w:rPr>
        <w:t>Živilė Bilotienė</w:t>
      </w:r>
    </w:p>
    <w:p w14:paraId="7AEFCFF7" w14:textId="77777777" w:rsidR="00D42739" w:rsidRDefault="00D42739" w:rsidP="00D42739">
      <w:pPr>
        <w:ind w:left="5184"/>
        <w:rPr>
          <w:rFonts w:eastAsia="Calibri"/>
          <w:szCs w:val="24"/>
        </w:rPr>
      </w:pPr>
      <w:r>
        <w:rPr>
          <w:rFonts w:eastAsia="Calibri"/>
          <w:szCs w:val="24"/>
        </w:rPr>
        <w:lastRenderedPageBreak/>
        <w:t>2014–2020 metų Europos Sąjungos fondų</w:t>
      </w:r>
    </w:p>
    <w:p w14:paraId="5D0A2F70" w14:textId="77777777" w:rsidR="00D42739" w:rsidRDefault="00D42739" w:rsidP="00D42739">
      <w:pPr>
        <w:ind w:left="5184"/>
        <w:rPr>
          <w:rFonts w:eastAsia="Calibri"/>
          <w:szCs w:val="24"/>
        </w:rPr>
      </w:pPr>
      <w:r>
        <w:rPr>
          <w:rFonts w:eastAsia="Calibri"/>
          <w:szCs w:val="24"/>
        </w:rPr>
        <w:t>investicijų veiksmų programos 3 prioriteto</w:t>
      </w:r>
    </w:p>
    <w:p w14:paraId="6ACACD80" w14:textId="77777777" w:rsidR="00D42739" w:rsidRDefault="00D42739" w:rsidP="00D42739">
      <w:pPr>
        <w:ind w:left="5184"/>
        <w:rPr>
          <w:rFonts w:eastAsia="Calibri"/>
          <w:szCs w:val="24"/>
        </w:rPr>
      </w:pPr>
      <w:r>
        <w:rPr>
          <w:rFonts w:eastAsia="Calibri"/>
          <w:szCs w:val="24"/>
        </w:rPr>
        <w:t>„Smulkiojo ir vidutinio verslo</w:t>
      </w:r>
    </w:p>
    <w:p w14:paraId="013AA456" w14:textId="77777777" w:rsidR="00D42739" w:rsidRDefault="00D42739" w:rsidP="00D42739">
      <w:pPr>
        <w:ind w:left="5184"/>
        <w:rPr>
          <w:rFonts w:eastAsia="Calibri"/>
          <w:szCs w:val="24"/>
        </w:rPr>
      </w:pPr>
      <w:r>
        <w:rPr>
          <w:rFonts w:eastAsia="Calibri"/>
          <w:szCs w:val="24"/>
        </w:rPr>
        <w:t>konkurencingumo skatinimas“ priemonės</w:t>
      </w:r>
    </w:p>
    <w:p w14:paraId="41BF1C08" w14:textId="77777777" w:rsidR="00D42739" w:rsidRDefault="00D42739" w:rsidP="00D42739">
      <w:pPr>
        <w:ind w:left="5184"/>
        <w:rPr>
          <w:rFonts w:eastAsia="Calibri"/>
          <w:szCs w:val="24"/>
        </w:rPr>
      </w:pPr>
      <w:r>
        <w:rPr>
          <w:rFonts w:eastAsia="Calibri"/>
          <w:szCs w:val="24"/>
        </w:rPr>
        <w:t>Nr. 03.2.1-LVPA-K-801 „Naujos galimybės</w:t>
      </w:r>
    </w:p>
    <w:p w14:paraId="5BA33FDD" w14:textId="77777777" w:rsidR="00D42739" w:rsidRDefault="00D42739" w:rsidP="00D42739">
      <w:pPr>
        <w:ind w:left="5184"/>
        <w:rPr>
          <w:rFonts w:eastAsia="Calibri"/>
          <w:szCs w:val="24"/>
        </w:rPr>
      </w:pPr>
      <w:r>
        <w:rPr>
          <w:rFonts w:eastAsia="Calibri"/>
          <w:szCs w:val="24"/>
        </w:rPr>
        <w:t>LT“ projektų finansavimo sąlygų aprašo Nr. 4</w:t>
      </w:r>
    </w:p>
    <w:p w14:paraId="20D5E83D" w14:textId="77777777" w:rsidR="00D42739" w:rsidRDefault="00D42739" w:rsidP="00D42739">
      <w:pPr>
        <w:ind w:left="3888" w:firstLine="1296"/>
        <w:jc w:val="both"/>
        <w:rPr>
          <w:szCs w:val="24"/>
          <w:lang w:eastAsia="lt-LT"/>
        </w:rPr>
      </w:pPr>
      <w:r>
        <w:rPr>
          <w:szCs w:val="24"/>
          <w:lang w:eastAsia="lt-LT"/>
        </w:rPr>
        <w:t>4 priedas</w:t>
      </w:r>
    </w:p>
    <w:p w14:paraId="493B35AA" w14:textId="77777777" w:rsidR="00D42739" w:rsidRDefault="00D42739" w:rsidP="00D42739">
      <w:pPr>
        <w:ind w:left="3888" w:firstLine="1296"/>
        <w:jc w:val="both"/>
        <w:rPr>
          <w:szCs w:val="24"/>
          <w:lang w:eastAsia="lt-LT"/>
        </w:rPr>
      </w:pPr>
    </w:p>
    <w:p w14:paraId="6A1656B5" w14:textId="77777777" w:rsidR="00D42739" w:rsidRDefault="00D42739" w:rsidP="00D42739">
      <w:pPr>
        <w:keepLines/>
        <w:suppressAutoHyphens/>
        <w:jc w:val="center"/>
        <w:textAlignment w:val="center"/>
        <w:rPr>
          <w:rFonts w:eastAsia="Calibri"/>
          <w:b/>
          <w:bCs/>
          <w:caps/>
          <w:szCs w:val="24"/>
          <w:lang w:eastAsia="lt-LT"/>
        </w:rPr>
      </w:pPr>
      <w:r>
        <w:rPr>
          <w:rFonts w:eastAsia="Calibri"/>
          <w:b/>
          <w:bCs/>
          <w:caps/>
          <w:szCs w:val="24"/>
          <w:lang w:eastAsia="lt-LT"/>
        </w:rPr>
        <w:t>METODINIAI NURODYMAI DĖL FIKSUOTŲJŲ ĮKAINIŲ TAIKYMO</w:t>
      </w:r>
    </w:p>
    <w:p w14:paraId="76094D78" w14:textId="77777777" w:rsidR="00D42739" w:rsidRDefault="00D42739" w:rsidP="00D42739">
      <w:pPr>
        <w:keepLines/>
        <w:suppressAutoHyphens/>
        <w:jc w:val="center"/>
        <w:textAlignment w:val="center"/>
        <w:rPr>
          <w:rFonts w:eastAsia="Calibri"/>
          <w:b/>
          <w:bCs/>
          <w:caps/>
          <w:szCs w:val="24"/>
          <w:lang w:eastAsia="lt-LT"/>
        </w:rPr>
      </w:pPr>
    </w:p>
    <w:p w14:paraId="5DEDEE20" w14:textId="77777777" w:rsidR="00D42739" w:rsidRDefault="00D42739" w:rsidP="00D42739">
      <w:pPr>
        <w:keepLines/>
        <w:tabs>
          <w:tab w:val="left" w:pos="4111"/>
          <w:tab w:val="left" w:pos="4253"/>
        </w:tabs>
        <w:suppressAutoHyphens/>
        <w:jc w:val="center"/>
        <w:textAlignment w:val="center"/>
        <w:rPr>
          <w:rFonts w:eastAsia="Calibri"/>
          <w:b/>
          <w:bCs/>
          <w:caps/>
          <w:szCs w:val="24"/>
          <w:lang w:eastAsia="lt-LT"/>
        </w:rPr>
      </w:pPr>
      <w:r>
        <w:rPr>
          <w:rFonts w:eastAsia="Calibri"/>
          <w:b/>
          <w:bCs/>
          <w:caps/>
          <w:szCs w:val="24"/>
          <w:lang w:eastAsia="lt-LT"/>
        </w:rPr>
        <w:t>I SKYRIUS</w:t>
      </w:r>
    </w:p>
    <w:p w14:paraId="0BD53372" w14:textId="77777777" w:rsidR="00D42739" w:rsidRDefault="00D42739" w:rsidP="00D42739">
      <w:pPr>
        <w:keepLines/>
        <w:suppressAutoHyphens/>
        <w:ind w:firstLine="62"/>
        <w:jc w:val="center"/>
        <w:textAlignment w:val="center"/>
        <w:rPr>
          <w:rFonts w:eastAsia="Calibri"/>
          <w:b/>
          <w:bCs/>
          <w:caps/>
          <w:szCs w:val="24"/>
          <w:lang w:eastAsia="lt-LT"/>
        </w:rPr>
      </w:pPr>
      <w:r>
        <w:rPr>
          <w:rFonts w:eastAsia="Calibri"/>
          <w:b/>
          <w:bCs/>
          <w:caps/>
          <w:szCs w:val="24"/>
          <w:lang w:eastAsia="lt-LT"/>
        </w:rPr>
        <w:t>Bendrosios nuostatos</w:t>
      </w:r>
    </w:p>
    <w:p w14:paraId="0D234C85" w14:textId="77777777" w:rsidR="00D42739" w:rsidRDefault="00D42739" w:rsidP="00D42739">
      <w:pPr>
        <w:keepLines/>
        <w:suppressAutoHyphens/>
        <w:jc w:val="center"/>
        <w:textAlignment w:val="center"/>
        <w:rPr>
          <w:rFonts w:eastAsia="Calibri"/>
          <w:b/>
          <w:bCs/>
          <w:caps/>
          <w:szCs w:val="24"/>
          <w:lang w:eastAsia="lt-LT"/>
        </w:rPr>
      </w:pPr>
    </w:p>
    <w:p w14:paraId="1E3B5552" w14:textId="77777777" w:rsidR="00D42739" w:rsidRDefault="00D42739" w:rsidP="00D42739">
      <w:pPr>
        <w:suppressAutoHyphens/>
        <w:ind w:firstLine="851"/>
        <w:jc w:val="both"/>
        <w:textAlignment w:val="center"/>
        <w:rPr>
          <w:rFonts w:eastAsia="Calibri"/>
          <w:szCs w:val="24"/>
          <w:lang w:eastAsia="lt-LT"/>
        </w:rPr>
      </w:pPr>
      <w:r>
        <w:rPr>
          <w:rFonts w:eastAsia="Calibri"/>
          <w:szCs w:val="24"/>
          <w:lang w:eastAsia="lt-LT"/>
        </w:rPr>
        <w:t xml:space="preserve">1. Pagal </w:t>
      </w:r>
      <w:r>
        <w:rPr>
          <w:rFonts w:eastAsia="Calibri"/>
          <w:szCs w:val="24"/>
        </w:rPr>
        <w:t xml:space="preserve">2014–2020 metų Europos Sąjungos fondų investicijų veiksmų programos 3 prioriteto „Smulkiojo ir vidutinio verslo konkurencingumo skatinimas“ priemonės Nr. 03.2.1-LVPA-K-801 „Naujos galimybės LT“ projektų finansavimo sąlygų aprašą Nr. 4 </w:t>
      </w:r>
      <w:r>
        <w:rPr>
          <w:rFonts w:eastAsia="Calibri"/>
          <w:szCs w:val="24"/>
          <w:lang w:eastAsia="lt-LT"/>
        </w:rPr>
        <w:t xml:space="preserve">(toliau – Aprašas) taikomi fiksuotieji įkainių dydžiai nustatyti </w:t>
      </w:r>
      <w:r>
        <w:rPr>
          <w:rFonts w:eastAsia="Calibri"/>
          <w:bCs/>
          <w:szCs w:val="24"/>
          <w:lang w:eastAsia="lt-LT"/>
        </w:rPr>
        <w:t xml:space="preserve">vadovaujantis </w:t>
      </w:r>
      <w:r>
        <w:rPr>
          <w:rFonts w:eastAsia="Calibri"/>
          <w:szCs w:val="24"/>
          <w:lang w:eastAsia="lt-LT"/>
        </w:rPr>
        <w:t xml:space="preserve">Dalyvavimo tarptautinėse parodose fiksuotojo įkainio nustatymo tyrimo ataskaita (toliau – Tyrimo ataskaita), kuri skelbiama Europos Sąjungos struktūrinių fondų svetainėje </w:t>
      </w:r>
      <w:r w:rsidRPr="006E1741">
        <w:rPr>
          <w:rFonts w:eastAsia="Calibri"/>
          <w:i/>
          <w:szCs w:val="24"/>
          <w:lang w:eastAsia="lt-LT"/>
        </w:rPr>
        <w:t>www.esinvesticijos.lt/lt/dokumentai/supaprastinto-islaidu-apmokejimo-tyrimai</w:t>
      </w:r>
      <w:r>
        <w:rPr>
          <w:rFonts w:eastAsia="Calibri"/>
          <w:szCs w:val="24"/>
          <w:lang w:eastAsia="lt-LT"/>
        </w:rPr>
        <w:t>.</w:t>
      </w:r>
    </w:p>
    <w:p w14:paraId="6544FDCF" w14:textId="77777777" w:rsidR="00D42739" w:rsidRDefault="00D42739" w:rsidP="00D42739">
      <w:pPr>
        <w:tabs>
          <w:tab w:val="left" w:pos="4253"/>
        </w:tabs>
        <w:suppressAutoHyphens/>
        <w:ind w:firstLine="4253"/>
        <w:textAlignment w:val="center"/>
        <w:rPr>
          <w:rFonts w:eastAsia="Calibri"/>
          <w:b/>
          <w:bCs/>
          <w:szCs w:val="24"/>
          <w:lang w:eastAsia="lt-LT"/>
        </w:rPr>
      </w:pPr>
    </w:p>
    <w:p w14:paraId="22C9D1EE" w14:textId="77777777" w:rsidR="00D42739" w:rsidRDefault="00D42739" w:rsidP="00D42739">
      <w:pPr>
        <w:tabs>
          <w:tab w:val="left" w:pos="4253"/>
        </w:tabs>
        <w:suppressAutoHyphens/>
        <w:jc w:val="center"/>
        <w:textAlignment w:val="center"/>
        <w:rPr>
          <w:rFonts w:eastAsia="Calibri"/>
          <w:b/>
          <w:bCs/>
          <w:szCs w:val="24"/>
          <w:lang w:eastAsia="lt-LT"/>
        </w:rPr>
      </w:pPr>
      <w:r>
        <w:rPr>
          <w:rFonts w:eastAsia="Calibri"/>
          <w:b/>
          <w:bCs/>
          <w:szCs w:val="24"/>
          <w:lang w:eastAsia="lt-LT"/>
        </w:rPr>
        <w:t>II SKYRIUS</w:t>
      </w:r>
    </w:p>
    <w:p w14:paraId="3387683C" w14:textId="77777777" w:rsidR="00D42739" w:rsidRDefault="00D42739" w:rsidP="00D42739">
      <w:pPr>
        <w:keepLines/>
        <w:suppressAutoHyphens/>
        <w:jc w:val="center"/>
        <w:textAlignment w:val="center"/>
        <w:rPr>
          <w:rFonts w:eastAsia="Calibri"/>
          <w:b/>
          <w:bCs/>
          <w:caps/>
          <w:szCs w:val="24"/>
          <w:lang w:eastAsia="lt-LT"/>
        </w:rPr>
      </w:pPr>
      <w:r>
        <w:rPr>
          <w:rFonts w:eastAsia="Calibri"/>
          <w:b/>
          <w:bCs/>
          <w:caps/>
          <w:szCs w:val="24"/>
          <w:lang w:eastAsia="lt-LT"/>
        </w:rPr>
        <w:t>TINKAMOS FINANSUOTI projekto IŠLAIDOS</w:t>
      </w:r>
    </w:p>
    <w:p w14:paraId="6CB6984A" w14:textId="77777777" w:rsidR="00D42739" w:rsidRDefault="00D42739" w:rsidP="00D42739">
      <w:pPr>
        <w:keepLines/>
        <w:suppressAutoHyphens/>
        <w:jc w:val="center"/>
        <w:textAlignment w:val="center"/>
        <w:rPr>
          <w:rFonts w:eastAsia="Calibri"/>
          <w:b/>
          <w:bCs/>
          <w:caps/>
          <w:szCs w:val="24"/>
          <w:lang w:eastAsia="lt-LT"/>
        </w:rPr>
      </w:pPr>
    </w:p>
    <w:p w14:paraId="33FD4E90" w14:textId="77777777" w:rsidR="00D42739" w:rsidRDefault="00D42739" w:rsidP="00D42739">
      <w:pPr>
        <w:suppressAutoHyphens/>
        <w:ind w:firstLine="851"/>
        <w:jc w:val="both"/>
        <w:textAlignment w:val="center"/>
        <w:rPr>
          <w:rFonts w:eastAsia="Calibri"/>
          <w:szCs w:val="24"/>
          <w:lang w:eastAsia="lt-LT"/>
        </w:rPr>
      </w:pPr>
      <w:r>
        <w:rPr>
          <w:rFonts w:eastAsia="Calibri"/>
          <w:szCs w:val="24"/>
          <w:lang w:eastAsia="lt-LT"/>
        </w:rPr>
        <w:t>2. Tinkamomis finansuoti projekto išlaidomis laikomos dalyvavimo tarptautinėse parodose išlaidos</w:t>
      </w:r>
      <w:r>
        <w:rPr>
          <w:rFonts w:eastAsia="Calibri"/>
          <w:szCs w:val="24"/>
        </w:rPr>
        <w:t>.</w:t>
      </w:r>
    </w:p>
    <w:p w14:paraId="17BBB192" w14:textId="77777777" w:rsidR="00D42739" w:rsidRDefault="00D42739" w:rsidP="00D42739">
      <w:pPr>
        <w:suppressAutoHyphens/>
        <w:ind w:firstLine="851"/>
        <w:jc w:val="both"/>
        <w:textAlignment w:val="center"/>
        <w:rPr>
          <w:rFonts w:eastAsia="Calibri"/>
          <w:szCs w:val="24"/>
          <w:lang w:eastAsia="lt-LT"/>
        </w:rPr>
      </w:pPr>
      <w:r>
        <w:rPr>
          <w:rFonts w:eastAsia="Calibri"/>
          <w:szCs w:val="24"/>
          <w:lang w:eastAsia="lt-LT"/>
        </w:rPr>
        <w:t>3. Tinkamos finansuoti projekto išlaidos apskaičiuojamos ir apmokamos taikant dalyvavimo tarptautinėse parodose fiksuotuosius įkainius vienam tarptautinėje parodoje dalyvaujančiam projekto vykdytojui.</w:t>
      </w:r>
    </w:p>
    <w:p w14:paraId="1697FDEA" w14:textId="77777777" w:rsidR="00D42739" w:rsidRDefault="00D42739" w:rsidP="00D42739">
      <w:pPr>
        <w:suppressAutoHyphens/>
        <w:ind w:firstLine="851"/>
        <w:jc w:val="both"/>
        <w:textAlignment w:val="center"/>
        <w:rPr>
          <w:rFonts w:eastAsia="Calibri"/>
          <w:spacing w:val="2"/>
          <w:szCs w:val="24"/>
          <w:lang w:eastAsia="lt-LT"/>
        </w:rPr>
      </w:pPr>
      <w:r>
        <w:rPr>
          <w:rFonts w:eastAsia="Calibri"/>
          <w:spacing w:val="2"/>
          <w:szCs w:val="24"/>
          <w:lang w:eastAsia="lt-LT"/>
        </w:rPr>
        <w:t xml:space="preserve">4. Tyrimo ataskaitoje nustatyti </w:t>
      </w:r>
      <w:r>
        <w:rPr>
          <w:rFonts w:eastAsia="Calibri"/>
          <w:szCs w:val="24"/>
          <w:lang w:eastAsia="lt-LT"/>
        </w:rPr>
        <w:t xml:space="preserve">dalyvavimo tarptautinėse parodose </w:t>
      </w:r>
      <w:r>
        <w:rPr>
          <w:rFonts w:eastAsia="Calibri"/>
          <w:spacing w:val="2"/>
          <w:szCs w:val="24"/>
          <w:lang w:eastAsia="lt-LT"/>
        </w:rPr>
        <w:t>fiksuotųjų įkainių dydžiai (toliau – fiksuotieji įkainių dydžiai) yra maksimalūs fiksuotųjų įkainių dydžiai.</w:t>
      </w:r>
    </w:p>
    <w:p w14:paraId="5FF4C59C" w14:textId="77777777" w:rsidR="00D42739" w:rsidRDefault="00D42739" w:rsidP="00D42739">
      <w:pPr>
        <w:suppressAutoHyphens/>
        <w:ind w:firstLine="851"/>
        <w:jc w:val="both"/>
        <w:textAlignment w:val="center"/>
        <w:rPr>
          <w:rFonts w:eastAsia="Calibri"/>
          <w:spacing w:val="2"/>
          <w:szCs w:val="24"/>
          <w:lang w:eastAsia="lt-LT"/>
        </w:rPr>
      </w:pPr>
      <w:r>
        <w:rPr>
          <w:rFonts w:eastAsia="Calibri"/>
          <w:spacing w:val="2"/>
          <w:szCs w:val="24"/>
          <w:lang w:eastAsia="lt-LT"/>
        </w:rPr>
        <w:t>5. Pareiškėjas gali nurodyti ir mažesnius fiksuotųjų įkainių dydžius, negu nurodyti Tyrimo ataskaitoje.</w:t>
      </w:r>
    </w:p>
    <w:p w14:paraId="4C4DD613" w14:textId="77777777" w:rsidR="00D42739" w:rsidRDefault="00D42739" w:rsidP="00D42739">
      <w:pPr>
        <w:suppressAutoHyphens/>
        <w:ind w:firstLine="851"/>
        <w:jc w:val="both"/>
        <w:textAlignment w:val="center"/>
        <w:rPr>
          <w:rFonts w:eastAsia="Calibri"/>
          <w:spacing w:val="-2"/>
          <w:szCs w:val="24"/>
          <w:lang w:eastAsia="lt-LT"/>
        </w:rPr>
      </w:pPr>
      <w:r>
        <w:rPr>
          <w:rFonts w:eastAsia="Calibri"/>
          <w:szCs w:val="24"/>
          <w:lang w:eastAsia="lt-LT"/>
        </w:rPr>
        <w:t xml:space="preserve">6. Dalyvavimo tarptautinėse parodose </w:t>
      </w:r>
      <w:r>
        <w:rPr>
          <w:rFonts w:eastAsia="Calibri"/>
          <w:spacing w:val="-2"/>
          <w:szCs w:val="24"/>
          <w:lang w:eastAsia="lt-LT"/>
        </w:rPr>
        <w:t xml:space="preserve">išlaidoms reikalingos preliminarios sumos </w:t>
      </w:r>
      <w:r>
        <w:rPr>
          <w:rFonts w:eastAsia="Calibri"/>
          <w:szCs w:val="24"/>
        </w:rPr>
        <w:t>pagal kiekvieną valstybių grupę nustatomos atitinkamus fiksuotųjų įkainių dydžius padauginus iš parodų atitinkamos grupės valstybėse skaičiaus</w:t>
      </w:r>
      <w:r>
        <w:rPr>
          <w:rFonts w:eastAsia="Calibri"/>
          <w:spacing w:val="-2"/>
          <w:szCs w:val="24"/>
          <w:lang w:eastAsia="lt-LT"/>
        </w:rPr>
        <w:t xml:space="preserve">. </w:t>
      </w:r>
    </w:p>
    <w:p w14:paraId="611A8006" w14:textId="77777777" w:rsidR="00D42739" w:rsidRDefault="00D42739" w:rsidP="00D42739">
      <w:pPr>
        <w:suppressAutoHyphens/>
        <w:ind w:firstLine="851"/>
        <w:jc w:val="both"/>
        <w:textAlignment w:val="center"/>
        <w:rPr>
          <w:rFonts w:eastAsia="Calibri"/>
          <w:spacing w:val="-1"/>
          <w:szCs w:val="24"/>
          <w:lang w:eastAsia="lt-LT"/>
        </w:rPr>
      </w:pPr>
      <w:r>
        <w:rPr>
          <w:rFonts w:eastAsia="Calibri"/>
          <w:szCs w:val="24"/>
          <w:lang w:eastAsia="lt-LT"/>
        </w:rPr>
        <w:t xml:space="preserve">7. Dalyvavimo tarptautinėse parodose </w:t>
      </w:r>
      <w:r>
        <w:rPr>
          <w:rFonts w:eastAsia="Calibri"/>
          <w:spacing w:val="1"/>
          <w:szCs w:val="24"/>
          <w:lang w:eastAsia="lt-LT"/>
        </w:rPr>
        <w:t xml:space="preserve">išlaidos bus </w:t>
      </w:r>
      <w:r>
        <w:rPr>
          <w:rFonts w:eastAsia="Calibri"/>
          <w:szCs w:val="24"/>
          <w:lang w:eastAsia="lt-LT"/>
        </w:rPr>
        <w:t xml:space="preserve">apmokamos pagal iš Europos Sąjungos fondų lėšų bendrai finansuojamo projekto sutartyje (toliau – projekto sutartis) nustatytus fiksuotųjų įkainių </w:t>
      </w:r>
      <w:r>
        <w:rPr>
          <w:rFonts w:eastAsia="Calibri"/>
          <w:spacing w:val="-1"/>
          <w:szCs w:val="24"/>
          <w:lang w:eastAsia="lt-LT"/>
        </w:rPr>
        <w:t xml:space="preserve">dydžius (projekto vykdytojas negalės už </w:t>
      </w:r>
      <w:r>
        <w:rPr>
          <w:rFonts w:eastAsia="Calibri"/>
          <w:szCs w:val="24"/>
          <w:lang w:eastAsia="lt-LT"/>
        </w:rPr>
        <w:t xml:space="preserve">dalyvavimo tarptautinėse parodose išlaidas, kurioms nustatyti fiksuotieji įkainiai, atsiskaityti pagal faktines išlaidas pateikus išlaidų pagrindimo </w:t>
      </w:r>
      <w:r>
        <w:rPr>
          <w:rFonts w:eastAsia="Calibri"/>
          <w:spacing w:val="-1"/>
          <w:szCs w:val="24"/>
          <w:lang w:eastAsia="lt-LT"/>
        </w:rPr>
        <w:t>ir apmokėjimo įrodymo dokumentus).</w:t>
      </w:r>
    </w:p>
    <w:p w14:paraId="50AE6050" w14:textId="77777777" w:rsidR="00D42739" w:rsidRDefault="00D42739" w:rsidP="00D42739">
      <w:pPr>
        <w:suppressAutoHyphens/>
        <w:ind w:firstLine="851"/>
        <w:jc w:val="both"/>
        <w:textAlignment w:val="center"/>
        <w:rPr>
          <w:rFonts w:eastAsia="Calibri"/>
          <w:szCs w:val="24"/>
          <w:lang w:eastAsia="lt-LT"/>
        </w:rPr>
      </w:pPr>
      <w:r>
        <w:rPr>
          <w:rFonts w:eastAsia="Calibri"/>
          <w:szCs w:val="24"/>
          <w:lang w:eastAsia="lt-LT"/>
        </w:rPr>
        <w:t xml:space="preserve">8. </w:t>
      </w:r>
      <w:r>
        <w:rPr>
          <w:rFonts w:eastAsia="Calibri"/>
          <w:color w:val="000000"/>
          <w:szCs w:val="24"/>
          <w:shd w:val="clear" w:color="auto" w:fill="FFFFFF"/>
        </w:rPr>
        <w:t>Projekto sutartyje</w:t>
      </w:r>
      <w:r>
        <w:rPr>
          <w:rFonts w:eastAsia="Calibri"/>
          <w:spacing w:val="-2"/>
          <w:szCs w:val="24"/>
          <w:lang w:eastAsia="lt-LT"/>
        </w:rPr>
        <w:t xml:space="preserve"> nurodyti fiksuotieji įkainiai ir jų dydžiai yra galutiniai, </w:t>
      </w:r>
      <w:r>
        <w:rPr>
          <w:rFonts w:eastAsia="Calibri"/>
          <w:color w:val="000000"/>
          <w:szCs w:val="24"/>
          <w:shd w:val="clear" w:color="auto" w:fill="FFFFFF"/>
        </w:rPr>
        <w:t>išskyrus Aprašo 42.4 papunktyje nurodytus atvejus</w:t>
      </w:r>
      <w:r>
        <w:rPr>
          <w:rFonts w:eastAsia="Calibri"/>
          <w:szCs w:val="24"/>
          <w:lang w:eastAsia="lt-LT"/>
        </w:rPr>
        <w:t xml:space="preserve">. Jais vadovaujantis apskaičiuojamos </w:t>
      </w:r>
      <w:r>
        <w:rPr>
          <w:rFonts w:eastAsia="Calibri"/>
          <w:spacing w:val="2"/>
          <w:szCs w:val="24"/>
          <w:lang w:eastAsia="lt-LT"/>
        </w:rPr>
        <w:t xml:space="preserve">ir projekto vykdytojui išmokamos lėšos, skirtos </w:t>
      </w:r>
      <w:r>
        <w:rPr>
          <w:rFonts w:eastAsia="Calibri"/>
          <w:szCs w:val="24"/>
          <w:lang w:eastAsia="lt-LT"/>
        </w:rPr>
        <w:t xml:space="preserve">dalyvavimo tarptautinėse parodose </w:t>
      </w:r>
      <w:r>
        <w:rPr>
          <w:rFonts w:eastAsia="Calibri"/>
          <w:spacing w:val="-7"/>
          <w:szCs w:val="24"/>
          <w:lang w:eastAsia="lt-LT"/>
        </w:rPr>
        <w:t>išlaidoms apmokėti.</w:t>
      </w:r>
    </w:p>
    <w:p w14:paraId="4CB1B9C0" w14:textId="77777777" w:rsidR="00D42739" w:rsidRDefault="00D42739" w:rsidP="00D42739">
      <w:pPr>
        <w:suppressAutoHyphens/>
        <w:ind w:firstLine="851"/>
        <w:jc w:val="both"/>
        <w:textAlignment w:val="center"/>
        <w:rPr>
          <w:rFonts w:eastAsia="Calibri"/>
          <w:szCs w:val="24"/>
        </w:rPr>
      </w:pPr>
      <w:r>
        <w:rPr>
          <w:rFonts w:eastAsia="Calibri"/>
          <w:spacing w:val="-1"/>
          <w:szCs w:val="24"/>
          <w:lang w:eastAsia="lt-LT"/>
        </w:rPr>
        <w:t xml:space="preserve">9. </w:t>
      </w:r>
      <w:r>
        <w:rPr>
          <w:rFonts w:eastAsia="Calibri"/>
          <w:szCs w:val="24"/>
        </w:rPr>
        <w:t>Įvertinęs faktiškai padarytas išlaidas, projekto vykdytojas turi teisę atsisakyti dalies išlaidų, kurioms taikomi fiksuotieji įkainiai, apmokėjimo.</w:t>
      </w:r>
    </w:p>
    <w:p w14:paraId="592FC8AD" w14:textId="77777777" w:rsidR="00D42739" w:rsidRDefault="00D42739" w:rsidP="00D42739">
      <w:pPr>
        <w:suppressAutoHyphens/>
        <w:ind w:firstLine="851"/>
        <w:jc w:val="both"/>
        <w:textAlignment w:val="center"/>
        <w:rPr>
          <w:rFonts w:eastAsia="Calibri"/>
          <w:spacing w:val="-1"/>
          <w:szCs w:val="24"/>
          <w:lang w:eastAsia="lt-LT"/>
        </w:rPr>
      </w:pPr>
      <w:r>
        <w:rPr>
          <w:rFonts w:eastAsia="Calibri"/>
          <w:szCs w:val="24"/>
        </w:rPr>
        <w:t>10. Jeigu projekto vykdytojo faktiškai padarytos išlaidos, kurioms taikomi fiksuotieji įkainiai, yra didesnės negu apskaičiuotos pagal projekto sutartyje nustatytus fiksuotųjų įkainių dydžius, faktiškai padarytų išlaidų ir išlaidų, apskaičiuotų pagal nustatytus fiksuotųjų įkainių dydžius, skirtumą apmoka projekto vykdytojas.</w:t>
      </w:r>
    </w:p>
    <w:p w14:paraId="19326B18" w14:textId="77777777" w:rsidR="00D42739" w:rsidRDefault="00D42739" w:rsidP="00D42739">
      <w:pPr>
        <w:suppressAutoHyphens/>
        <w:ind w:firstLine="851"/>
        <w:jc w:val="both"/>
        <w:textAlignment w:val="center"/>
        <w:rPr>
          <w:rFonts w:eastAsia="Calibri"/>
          <w:szCs w:val="24"/>
          <w:lang w:eastAsia="lt-LT"/>
        </w:rPr>
      </w:pPr>
      <w:r>
        <w:rPr>
          <w:rFonts w:eastAsia="Calibri"/>
          <w:szCs w:val="24"/>
          <w:lang w:eastAsia="lt-LT"/>
        </w:rPr>
        <w:t xml:space="preserve">11. </w:t>
      </w:r>
      <w:r w:rsidRPr="00C35F2A">
        <w:rPr>
          <w:rFonts w:eastAsia="Calibri"/>
          <w:szCs w:val="24"/>
        </w:rPr>
        <w:t xml:space="preserve">Projekto vykdytojas, siekdamas gauti apmokėjimą pagal fiksuotuosius įkainius, </w:t>
      </w:r>
      <w:r>
        <w:rPr>
          <w:szCs w:val="24"/>
          <w:lang w:eastAsia="lt-LT"/>
        </w:rPr>
        <w:t>viešajai įstaigai Lietuvos verslo paramos agentūrai</w:t>
      </w:r>
      <w:r w:rsidRPr="00C35F2A">
        <w:rPr>
          <w:rFonts w:eastAsia="Calibri"/>
          <w:szCs w:val="24"/>
        </w:rPr>
        <w:t xml:space="preserve"> turi pateikti dalyvavimą </w:t>
      </w:r>
      <w:r>
        <w:rPr>
          <w:rFonts w:eastAsia="Calibri"/>
          <w:szCs w:val="24"/>
        </w:rPr>
        <w:t xml:space="preserve">tarptautinėje </w:t>
      </w:r>
      <w:r w:rsidRPr="00C35F2A">
        <w:rPr>
          <w:rFonts w:eastAsia="Calibri"/>
          <w:szCs w:val="24"/>
        </w:rPr>
        <w:t>parodoje pagrindžiančius dokumentus</w:t>
      </w:r>
      <w:r>
        <w:rPr>
          <w:rFonts w:eastAsia="Calibri"/>
          <w:szCs w:val="24"/>
        </w:rPr>
        <w:t>, nurodytus Tyrimo ataskaitoje.</w:t>
      </w:r>
      <w:r w:rsidRPr="00C35F2A">
        <w:rPr>
          <w:rFonts w:eastAsia="Calibri"/>
          <w:szCs w:val="24"/>
        </w:rPr>
        <w:t xml:space="preserve"> </w:t>
      </w:r>
    </w:p>
    <w:sectPr w:rsidR="00D42739" w:rsidSect="004B4C0D">
      <w:pgSz w:w="11906" w:h="16838"/>
      <w:pgMar w:top="1134" w:right="567" w:bottom="709"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1E7AB" w16cid:durableId="212B36DD"/>
  <w16cid:commentId w16cid:paraId="546D2175" w16cid:durableId="212B375E"/>
  <w16cid:commentId w16cid:paraId="1AD0EE68" w16cid:durableId="212B5927"/>
  <w16cid:commentId w16cid:paraId="03169B41" w16cid:durableId="212B4362"/>
  <w16cid:commentId w16cid:paraId="3B0E79EE" w16cid:durableId="212B4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417A" w14:textId="77777777" w:rsidR="00392BBA" w:rsidRDefault="00392BBA">
      <w:pPr>
        <w:ind w:firstLine="851"/>
        <w:jc w:val="both"/>
        <w:rPr>
          <w:szCs w:val="24"/>
        </w:rPr>
      </w:pPr>
      <w:r>
        <w:rPr>
          <w:szCs w:val="24"/>
        </w:rPr>
        <w:separator/>
      </w:r>
    </w:p>
    <w:p w14:paraId="3380A68C" w14:textId="77777777" w:rsidR="00392BBA" w:rsidRDefault="00392BBA"/>
    <w:p w14:paraId="6982140C" w14:textId="77777777" w:rsidR="00392BBA" w:rsidRDefault="00392BBA">
      <w:pPr>
        <w:ind w:firstLine="851"/>
        <w:jc w:val="both"/>
        <w:rPr>
          <w:szCs w:val="24"/>
        </w:rPr>
      </w:pPr>
    </w:p>
  </w:endnote>
  <w:endnote w:type="continuationSeparator" w:id="0">
    <w:p w14:paraId="6C6714D4" w14:textId="77777777" w:rsidR="00392BBA" w:rsidRDefault="00392BBA">
      <w:pPr>
        <w:ind w:firstLine="851"/>
        <w:jc w:val="both"/>
        <w:rPr>
          <w:szCs w:val="24"/>
        </w:rPr>
      </w:pPr>
      <w:r>
        <w:rPr>
          <w:szCs w:val="24"/>
        </w:rPr>
        <w:continuationSeparator/>
      </w:r>
    </w:p>
    <w:p w14:paraId="4996F164" w14:textId="77777777" w:rsidR="00392BBA" w:rsidRDefault="00392BBA"/>
    <w:p w14:paraId="3EB76437" w14:textId="77777777" w:rsidR="00392BBA" w:rsidRDefault="00392BBA">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92928" w14:textId="77777777" w:rsidR="00392BBA" w:rsidRDefault="00392BBA">
      <w:pPr>
        <w:ind w:firstLine="851"/>
        <w:jc w:val="both"/>
        <w:rPr>
          <w:szCs w:val="24"/>
        </w:rPr>
      </w:pPr>
      <w:r>
        <w:rPr>
          <w:szCs w:val="24"/>
        </w:rPr>
        <w:separator/>
      </w:r>
    </w:p>
    <w:p w14:paraId="368CCA42" w14:textId="77777777" w:rsidR="00392BBA" w:rsidRDefault="00392BBA"/>
    <w:p w14:paraId="523820F0" w14:textId="77777777" w:rsidR="00392BBA" w:rsidRDefault="00392BBA">
      <w:pPr>
        <w:ind w:firstLine="851"/>
        <w:jc w:val="both"/>
        <w:rPr>
          <w:szCs w:val="24"/>
        </w:rPr>
      </w:pPr>
    </w:p>
  </w:footnote>
  <w:footnote w:type="continuationSeparator" w:id="0">
    <w:p w14:paraId="1B720956" w14:textId="77777777" w:rsidR="00392BBA" w:rsidRDefault="00392BBA">
      <w:pPr>
        <w:ind w:firstLine="851"/>
        <w:jc w:val="both"/>
        <w:rPr>
          <w:szCs w:val="24"/>
        </w:rPr>
      </w:pPr>
      <w:r>
        <w:rPr>
          <w:szCs w:val="24"/>
        </w:rPr>
        <w:continuationSeparator/>
      </w:r>
    </w:p>
    <w:p w14:paraId="00DCD5BA" w14:textId="77777777" w:rsidR="00392BBA" w:rsidRDefault="00392BBA"/>
    <w:p w14:paraId="32FFFDDD" w14:textId="77777777" w:rsidR="00392BBA" w:rsidRDefault="00392BBA">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7591804E"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B44732">
      <w:rPr>
        <w:noProof/>
        <w:szCs w:val="24"/>
      </w:rPr>
      <w:t>2</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131078" w:nlCheck="1" w:checkStyle="0"/>
  <w:defaultTabStop w:val="567"/>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176DF"/>
    <w:rsid w:val="00022E1B"/>
    <w:rsid w:val="0003288A"/>
    <w:rsid w:val="00036743"/>
    <w:rsid w:val="00045EE1"/>
    <w:rsid w:val="00060D98"/>
    <w:rsid w:val="00062609"/>
    <w:rsid w:val="00063341"/>
    <w:rsid w:val="000715F7"/>
    <w:rsid w:val="0007715E"/>
    <w:rsid w:val="000902BA"/>
    <w:rsid w:val="000941B4"/>
    <w:rsid w:val="000A1209"/>
    <w:rsid w:val="000A37F6"/>
    <w:rsid w:val="000B164D"/>
    <w:rsid w:val="000B2419"/>
    <w:rsid w:val="000B377F"/>
    <w:rsid w:val="000B3E4E"/>
    <w:rsid w:val="000B521B"/>
    <w:rsid w:val="000C66EE"/>
    <w:rsid w:val="000C7AA2"/>
    <w:rsid w:val="000C7B3B"/>
    <w:rsid w:val="000D0327"/>
    <w:rsid w:val="000D1F09"/>
    <w:rsid w:val="000D7FC1"/>
    <w:rsid w:val="000E2E31"/>
    <w:rsid w:val="000E3E8B"/>
    <w:rsid w:val="000E79FE"/>
    <w:rsid w:val="000F242F"/>
    <w:rsid w:val="000F3C92"/>
    <w:rsid w:val="000F5031"/>
    <w:rsid w:val="000F77C8"/>
    <w:rsid w:val="000F7EA0"/>
    <w:rsid w:val="00116183"/>
    <w:rsid w:val="00124201"/>
    <w:rsid w:val="00125D1B"/>
    <w:rsid w:val="00143BB3"/>
    <w:rsid w:val="00143CBF"/>
    <w:rsid w:val="00147642"/>
    <w:rsid w:val="00157A5C"/>
    <w:rsid w:val="0016084A"/>
    <w:rsid w:val="00164EDC"/>
    <w:rsid w:val="00184D08"/>
    <w:rsid w:val="001877EB"/>
    <w:rsid w:val="00192A94"/>
    <w:rsid w:val="001A5DE9"/>
    <w:rsid w:val="001B5B75"/>
    <w:rsid w:val="001B7ABE"/>
    <w:rsid w:val="001C1FF6"/>
    <w:rsid w:val="001D532B"/>
    <w:rsid w:val="001D59BB"/>
    <w:rsid w:val="001D6C71"/>
    <w:rsid w:val="001D7B66"/>
    <w:rsid w:val="001E3469"/>
    <w:rsid w:val="001F2D4F"/>
    <w:rsid w:val="001F3B14"/>
    <w:rsid w:val="001F3FE3"/>
    <w:rsid w:val="002039C1"/>
    <w:rsid w:val="00206631"/>
    <w:rsid w:val="00212DFA"/>
    <w:rsid w:val="00215F53"/>
    <w:rsid w:val="00226FBC"/>
    <w:rsid w:val="002311F2"/>
    <w:rsid w:val="002422E3"/>
    <w:rsid w:val="00243475"/>
    <w:rsid w:val="0024795C"/>
    <w:rsid w:val="0025174E"/>
    <w:rsid w:val="0025739D"/>
    <w:rsid w:val="00257F98"/>
    <w:rsid w:val="00261138"/>
    <w:rsid w:val="002673B6"/>
    <w:rsid w:val="002733E9"/>
    <w:rsid w:val="00297B5B"/>
    <w:rsid w:val="00297F60"/>
    <w:rsid w:val="002A4DB2"/>
    <w:rsid w:val="002B1C59"/>
    <w:rsid w:val="002C5F09"/>
    <w:rsid w:val="002D6B5A"/>
    <w:rsid w:val="002E42A9"/>
    <w:rsid w:val="002F1439"/>
    <w:rsid w:val="002F21AE"/>
    <w:rsid w:val="002F6FEE"/>
    <w:rsid w:val="00303515"/>
    <w:rsid w:val="003059DA"/>
    <w:rsid w:val="00310FE7"/>
    <w:rsid w:val="00333CA0"/>
    <w:rsid w:val="00335D70"/>
    <w:rsid w:val="00346BEE"/>
    <w:rsid w:val="00351303"/>
    <w:rsid w:val="003525DC"/>
    <w:rsid w:val="00354A45"/>
    <w:rsid w:val="00367189"/>
    <w:rsid w:val="00367B05"/>
    <w:rsid w:val="00373A2D"/>
    <w:rsid w:val="00384D0A"/>
    <w:rsid w:val="00392BBA"/>
    <w:rsid w:val="0039495B"/>
    <w:rsid w:val="00394FA9"/>
    <w:rsid w:val="003A4CF1"/>
    <w:rsid w:val="003B7118"/>
    <w:rsid w:val="003C481C"/>
    <w:rsid w:val="003C673E"/>
    <w:rsid w:val="003E11D3"/>
    <w:rsid w:val="003E30B8"/>
    <w:rsid w:val="003E730D"/>
    <w:rsid w:val="003F5DCD"/>
    <w:rsid w:val="003F6D75"/>
    <w:rsid w:val="00401B1E"/>
    <w:rsid w:val="00402554"/>
    <w:rsid w:val="004064F7"/>
    <w:rsid w:val="00411A4D"/>
    <w:rsid w:val="00420EBA"/>
    <w:rsid w:val="0042501E"/>
    <w:rsid w:val="00431A04"/>
    <w:rsid w:val="00453B31"/>
    <w:rsid w:val="00456B4C"/>
    <w:rsid w:val="00457C81"/>
    <w:rsid w:val="00471613"/>
    <w:rsid w:val="0048442A"/>
    <w:rsid w:val="004845F2"/>
    <w:rsid w:val="004A13A8"/>
    <w:rsid w:val="004B1A16"/>
    <w:rsid w:val="004B3919"/>
    <w:rsid w:val="004B4C0D"/>
    <w:rsid w:val="004C711D"/>
    <w:rsid w:val="004D014D"/>
    <w:rsid w:val="004E312D"/>
    <w:rsid w:val="004F1692"/>
    <w:rsid w:val="004F192B"/>
    <w:rsid w:val="00507E31"/>
    <w:rsid w:val="0051143A"/>
    <w:rsid w:val="005153A9"/>
    <w:rsid w:val="00520EE7"/>
    <w:rsid w:val="005251DE"/>
    <w:rsid w:val="005257F6"/>
    <w:rsid w:val="00525EA1"/>
    <w:rsid w:val="00530CFB"/>
    <w:rsid w:val="00535362"/>
    <w:rsid w:val="005430E4"/>
    <w:rsid w:val="00546485"/>
    <w:rsid w:val="00550234"/>
    <w:rsid w:val="005503B8"/>
    <w:rsid w:val="00551B8D"/>
    <w:rsid w:val="00551CD0"/>
    <w:rsid w:val="00552C2D"/>
    <w:rsid w:val="005537AD"/>
    <w:rsid w:val="00554A7B"/>
    <w:rsid w:val="0057021A"/>
    <w:rsid w:val="005754CF"/>
    <w:rsid w:val="0057707D"/>
    <w:rsid w:val="00586CEF"/>
    <w:rsid w:val="00595F81"/>
    <w:rsid w:val="0059630D"/>
    <w:rsid w:val="00597006"/>
    <w:rsid w:val="005A116A"/>
    <w:rsid w:val="005B7210"/>
    <w:rsid w:val="005C4251"/>
    <w:rsid w:val="005D01DE"/>
    <w:rsid w:val="005D0CD3"/>
    <w:rsid w:val="005D2926"/>
    <w:rsid w:val="005D3AA5"/>
    <w:rsid w:val="005E3EA8"/>
    <w:rsid w:val="005F0229"/>
    <w:rsid w:val="005F3302"/>
    <w:rsid w:val="005F6F1F"/>
    <w:rsid w:val="00603E38"/>
    <w:rsid w:val="00613585"/>
    <w:rsid w:val="00616452"/>
    <w:rsid w:val="00616B1C"/>
    <w:rsid w:val="00622F0C"/>
    <w:rsid w:val="0063659E"/>
    <w:rsid w:val="006438DB"/>
    <w:rsid w:val="0064787E"/>
    <w:rsid w:val="00650D87"/>
    <w:rsid w:val="006524E3"/>
    <w:rsid w:val="00664774"/>
    <w:rsid w:val="00672FFE"/>
    <w:rsid w:val="00675192"/>
    <w:rsid w:val="00682CC9"/>
    <w:rsid w:val="006870A4"/>
    <w:rsid w:val="00695C3D"/>
    <w:rsid w:val="006A0090"/>
    <w:rsid w:val="006A2D0B"/>
    <w:rsid w:val="006A55F7"/>
    <w:rsid w:val="006A7852"/>
    <w:rsid w:val="006B2242"/>
    <w:rsid w:val="006B3ED9"/>
    <w:rsid w:val="006B743F"/>
    <w:rsid w:val="006C24D9"/>
    <w:rsid w:val="006C2D86"/>
    <w:rsid w:val="006C5D49"/>
    <w:rsid w:val="006E1741"/>
    <w:rsid w:val="006E3B1E"/>
    <w:rsid w:val="006F555D"/>
    <w:rsid w:val="006F5D90"/>
    <w:rsid w:val="00705313"/>
    <w:rsid w:val="00707E9E"/>
    <w:rsid w:val="00715B6B"/>
    <w:rsid w:val="00722B12"/>
    <w:rsid w:val="00733A10"/>
    <w:rsid w:val="00735F7E"/>
    <w:rsid w:val="00745BC3"/>
    <w:rsid w:val="0074745B"/>
    <w:rsid w:val="00754EFE"/>
    <w:rsid w:val="00757B8C"/>
    <w:rsid w:val="00765BCF"/>
    <w:rsid w:val="00770A23"/>
    <w:rsid w:val="00772D40"/>
    <w:rsid w:val="00781AD2"/>
    <w:rsid w:val="00783B22"/>
    <w:rsid w:val="00791C53"/>
    <w:rsid w:val="0079345E"/>
    <w:rsid w:val="00797A67"/>
    <w:rsid w:val="007A0221"/>
    <w:rsid w:val="007A1AC4"/>
    <w:rsid w:val="007A237B"/>
    <w:rsid w:val="007A7733"/>
    <w:rsid w:val="007B1F63"/>
    <w:rsid w:val="007B5401"/>
    <w:rsid w:val="007B6BE9"/>
    <w:rsid w:val="007D7324"/>
    <w:rsid w:val="007E027D"/>
    <w:rsid w:val="007E04DE"/>
    <w:rsid w:val="007E66F2"/>
    <w:rsid w:val="007F2C8F"/>
    <w:rsid w:val="00814001"/>
    <w:rsid w:val="00815F06"/>
    <w:rsid w:val="00821363"/>
    <w:rsid w:val="00823C2E"/>
    <w:rsid w:val="00833766"/>
    <w:rsid w:val="00861699"/>
    <w:rsid w:val="00880B9A"/>
    <w:rsid w:val="00881201"/>
    <w:rsid w:val="00881395"/>
    <w:rsid w:val="00887530"/>
    <w:rsid w:val="00892287"/>
    <w:rsid w:val="008948A8"/>
    <w:rsid w:val="008A0F85"/>
    <w:rsid w:val="008A2FA1"/>
    <w:rsid w:val="008A5213"/>
    <w:rsid w:val="008A6DAE"/>
    <w:rsid w:val="008B1499"/>
    <w:rsid w:val="008B5184"/>
    <w:rsid w:val="008C0105"/>
    <w:rsid w:val="008C16AC"/>
    <w:rsid w:val="008D3C6A"/>
    <w:rsid w:val="008D405F"/>
    <w:rsid w:val="008D46BC"/>
    <w:rsid w:val="008D48F7"/>
    <w:rsid w:val="008E6BEE"/>
    <w:rsid w:val="008F2E8A"/>
    <w:rsid w:val="008F6844"/>
    <w:rsid w:val="00914F13"/>
    <w:rsid w:val="00915BA3"/>
    <w:rsid w:val="00932ECF"/>
    <w:rsid w:val="009407AA"/>
    <w:rsid w:val="00950F9C"/>
    <w:rsid w:val="00952C0C"/>
    <w:rsid w:val="00953C60"/>
    <w:rsid w:val="009542FC"/>
    <w:rsid w:val="00957671"/>
    <w:rsid w:val="009617F1"/>
    <w:rsid w:val="00962038"/>
    <w:rsid w:val="00966281"/>
    <w:rsid w:val="00970448"/>
    <w:rsid w:val="00972EF9"/>
    <w:rsid w:val="0097396B"/>
    <w:rsid w:val="00975A60"/>
    <w:rsid w:val="00993E18"/>
    <w:rsid w:val="009B1927"/>
    <w:rsid w:val="009B5330"/>
    <w:rsid w:val="009E07D9"/>
    <w:rsid w:val="009E303B"/>
    <w:rsid w:val="009E30ED"/>
    <w:rsid w:val="009E41C5"/>
    <w:rsid w:val="009F46A6"/>
    <w:rsid w:val="00A00482"/>
    <w:rsid w:val="00A04672"/>
    <w:rsid w:val="00A11D0F"/>
    <w:rsid w:val="00A13C8B"/>
    <w:rsid w:val="00A20018"/>
    <w:rsid w:val="00A235E2"/>
    <w:rsid w:val="00A26E6A"/>
    <w:rsid w:val="00A277CF"/>
    <w:rsid w:val="00A27922"/>
    <w:rsid w:val="00A30E10"/>
    <w:rsid w:val="00A361D2"/>
    <w:rsid w:val="00A3628F"/>
    <w:rsid w:val="00A36B47"/>
    <w:rsid w:val="00A3738A"/>
    <w:rsid w:val="00A47260"/>
    <w:rsid w:val="00A5226E"/>
    <w:rsid w:val="00A602AB"/>
    <w:rsid w:val="00A608E8"/>
    <w:rsid w:val="00A660A8"/>
    <w:rsid w:val="00A804CD"/>
    <w:rsid w:val="00A916C6"/>
    <w:rsid w:val="00AA2EA6"/>
    <w:rsid w:val="00AA74D2"/>
    <w:rsid w:val="00AB147F"/>
    <w:rsid w:val="00AB1660"/>
    <w:rsid w:val="00AB569C"/>
    <w:rsid w:val="00AB6202"/>
    <w:rsid w:val="00AD2616"/>
    <w:rsid w:val="00AD6B9F"/>
    <w:rsid w:val="00AD7A23"/>
    <w:rsid w:val="00AD7CDB"/>
    <w:rsid w:val="00AE247B"/>
    <w:rsid w:val="00AE5125"/>
    <w:rsid w:val="00AE5EF5"/>
    <w:rsid w:val="00AF1377"/>
    <w:rsid w:val="00AF3453"/>
    <w:rsid w:val="00AF389C"/>
    <w:rsid w:val="00AF606D"/>
    <w:rsid w:val="00AF77F6"/>
    <w:rsid w:val="00B032DE"/>
    <w:rsid w:val="00B03728"/>
    <w:rsid w:val="00B04A84"/>
    <w:rsid w:val="00B14533"/>
    <w:rsid w:val="00B160CA"/>
    <w:rsid w:val="00B21246"/>
    <w:rsid w:val="00B212A5"/>
    <w:rsid w:val="00B35C3C"/>
    <w:rsid w:val="00B41F11"/>
    <w:rsid w:val="00B44732"/>
    <w:rsid w:val="00B526FB"/>
    <w:rsid w:val="00B56CF8"/>
    <w:rsid w:val="00B6029F"/>
    <w:rsid w:val="00B6416D"/>
    <w:rsid w:val="00B67712"/>
    <w:rsid w:val="00B72038"/>
    <w:rsid w:val="00B77167"/>
    <w:rsid w:val="00B94DEA"/>
    <w:rsid w:val="00B967DC"/>
    <w:rsid w:val="00B96A7B"/>
    <w:rsid w:val="00B97AA0"/>
    <w:rsid w:val="00BA03EE"/>
    <w:rsid w:val="00BA2517"/>
    <w:rsid w:val="00BA6653"/>
    <w:rsid w:val="00BA6CE9"/>
    <w:rsid w:val="00BC401C"/>
    <w:rsid w:val="00BE0C93"/>
    <w:rsid w:val="00BE30D7"/>
    <w:rsid w:val="00BE4B5C"/>
    <w:rsid w:val="00C14117"/>
    <w:rsid w:val="00C17F1A"/>
    <w:rsid w:val="00C25938"/>
    <w:rsid w:val="00C25D26"/>
    <w:rsid w:val="00C2787F"/>
    <w:rsid w:val="00C42366"/>
    <w:rsid w:val="00C55A69"/>
    <w:rsid w:val="00C6098D"/>
    <w:rsid w:val="00C66DA0"/>
    <w:rsid w:val="00C7320D"/>
    <w:rsid w:val="00C77351"/>
    <w:rsid w:val="00C86DE3"/>
    <w:rsid w:val="00C9057F"/>
    <w:rsid w:val="00C94462"/>
    <w:rsid w:val="00C968B9"/>
    <w:rsid w:val="00CA1C4F"/>
    <w:rsid w:val="00CA241A"/>
    <w:rsid w:val="00CB2E00"/>
    <w:rsid w:val="00CB7F65"/>
    <w:rsid w:val="00CC60D3"/>
    <w:rsid w:val="00CE4F40"/>
    <w:rsid w:val="00CF00CA"/>
    <w:rsid w:val="00CF0535"/>
    <w:rsid w:val="00CF46C0"/>
    <w:rsid w:val="00CF6C59"/>
    <w:rsid w:val="00CF6F48"/>
    <w:rsid w:val="00D35D9B"/>
    <w:rsid w:val="00D36488"/>
    <w:rsid w:val="00D375FE"/>
    <w:rsid w:val="00D4082C"/>
    <w:rsid w:val="00D421E4"/>
    <w:rsid w:val="00D42739"/>
    <w:rsid w:val="00D47358"/>
    <w:rsid w:val="00D47D10"/>
    <w:rsid w:val="00D5336A"/>
    <w:rsid w:val="00D554DF"/>
    <w:rsid w:val="00D63B2C"/>
    <w:rsid w:val="00D7647B"/>
    <w:rsid w:val="00D77F85"/>
    <w:rsid w:val="00D82282"/>
    <w:rsid w:val="00D84F72"/>
    <w:rsid w:val="00DA133F"/>
    <w:rsid w:val="00DA7EB0"/>
    <w:rsid w:val="00DB007C"/>
    <w:rsid w:val="00DB00BE"/>
    <w:rsid w:val="00DB322F"/>
    <w:rsid w:val="00DB490D"/>
    <w:rsid w:val="00DB589A"/>
    <w:rsid w:val="00DB773A"/>
    <w:rsid w:val="00DC6F70"/>
    <w:rsid w:val="00DD069E"/>
    <w:rsid w:val="00DD5F7D"/>
    <w:rsid w:val="00DE1941"/>
    <w:rsid w:val="00DF2951"/>
    <w:rsid w:val="00E00C10"/>
    <w:rsid w:val="00E06E90"/>
    <w:rsid w:val="00E075BE"/>
    <w:rsid w:val="00E1346A"/>
    <w:rsid w:val="00E223EA"/>
    <w:rsid w:val="00E22AAC"/>
    <w:rsid w:val="00E31391"/>
    <w:rsid w:val="00E32C8D"/>
    <w:rsid w:val="00E333A0"/>
    <w:rsid w:val="00E52253"/>
    <w:rsid w:val="00E61C41"/>
    <w:rsid w:val="00E6207D"/>
    <w:rsid w:val="00E624B6"/>
    <w:rsid w:val="00E63FE0"/>
    <w:rsid w:val="00E678A5"/>
    <w:rsid w:val="00E81931"/>
    <w:rsid w:val="00E85B65"/>
    <w:rsid w:val="00EA2ABA"/>
    <w:rsid w:val="00EA2FE1"/>
    <w:rsid w:val="00EB16C0"/>
    <w:rsid w:val="00EB3A23"/>
    <w:rsid w:val="00EB4186"/>
    <w:rsid w:val="00EB62BD"/>
    <w:rsid w:val="00ED0306"/>
    <w:rsid w:val="00ED095B"/>
    <w:rsid w:val="00EE434C"/>
    <w:rsid w:val="00F02E94"/>
    <w:rsid w:val="00F03EBE"/>
    <w:rsid w:val="00F04E38"/>
    <w:rsid w:val="00F05B22"/>
    <w:rsid w:val="00F07C5C"/>
    <w:rsid w:val="00F103AD"/>
    <w:rsid w:val="00F1080E"/>
    <w:rsid w:val="00F115D6"/>
    <w:rsid w:val="00F14BDE"/>
    <w:rsid w:val="00F32FD8"/>
    <w:rsid w:val="00F40A37"/>
    <w:rsid w:val="00F43DAF"/>
    <w:rsid w:val="00F44F00"/>
    <w:rsid w:val="00F541B3"/>
    <w:rsid w:val="00F6026D"/>
    <w:rsid w:val="00F61234"/>
    <w:rsid w:val="00F65474"/>
    <w:rsid w:val="00F66372"/>
    <w:rsid w:val="00F72E3C"/>
    <w:rsid w:val="00F81EA3"/>
    <w:rsid w:val="00F85101"/>
    <w:rsid w:val="00F90266"/>
    <w:rsid w:val="00F91085"/>
    <w:rsid w:val="00FA11CC"/>
    <w:rsid w:val="00FA5AC2"/>
    <w:rsid w:val="00FB35F2"/>
    <w:rsid w:val="00FB36C8"/>
    <w:rsid w:val="00FC01EF"/>
    <w:rsid w:val="00FC063E"/>
    <w:rsid w:val="00FC12DE"/>
    <w:rsid w:val="00FC33C4"/>
    <w:rsid w:val="00FE221B"/>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3.xml><?xml version="1.0" encoding="utf-8"?>
<ds:datastoreItem xmlns:ds="http://schemas.openxmlformats.org/officeDocument/2006/customXml" ds:itemID="{C4C9F7BA-50B7-439A-BCD6-8A7C70C6C090}">
  <ds:schemaRef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d54348e1-8662-4887-9d6e-2f3aba196886"/>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2C744EF-A8CA-44DA-9058-143892B3D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3745</Words>
  <Characters>2136</Characters>
  <Application>Microsoft Office Word</Application>
  <DocSecurity>4</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5870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2019-10-04T12:01:00Z</cp:lastPrinted>
  <dcterms:created xsi:type="dcterms:W3CDTF">2019-11-19T14:16:00Z</dcterms:created>
  <dcterms:modified xsi:type="dcterms:W3CDTF">2019-11-19T14:16:00Z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