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73D3" w14:textId="77777777" w:rsidR="00BF0197" w:rsidRPr="002142B8" w:rsidRDefault="0060276A">
      <w:pPr>
        <w:rPr>
          <w:rFonts w:ascii="Georgia" w:eastAsia="PMingLiU" w:hAnsi="Georgia" w:cs="Times New Roman"/>
          <w:sz w:val="32"/>
          <w:szCs w:val="32"/>
          <w:lang w:val="lt-LT"/>
        </w:rPr>
      </w:pPr>
      <w:bookmarkStart w:id="0" w:name="_Toc392590079"/>
      <w:bookmarkStart w:id="1" w:name="_Toc393381196"/>
      <w:r w:rsidRPr="002142B8">
        <w:rPr>
          <w:rFonts w:ascii="Georgia" w:eastAsia="PMingLiU" w:hAnsi="Georgia" w:cs="Times New Roman"/>
          <w:noProof/>
          <w:sz w:val="32"/>
          <w:szCs w:val="32"/>
          <w:lang w:val="lt-LT" w:eastAsia="lt-LT"/>
        </w:rPr>
        <mc:AlternateContent>
          <mc:Choice Requires="wpg">
            <w:drawing>
              <wp:anchor distT="0" distB="0" distL="114300" distR="114300" simplePos="0" relativeHeight="251634688" behindDoc="0" locked="0" layoutInCell="1" allowOverlap="1" wp14:anchorId="5D389652" wp14:editId="63D93BC3">
                <wp:simplePos x="0" y="0"/>
                <wp:positionH relativeFrom="column">
                  <wp:posOffset>-510363</wp:posOffset>
                </wp:positionH>
                <wp:positionV relativeFrom="paragraph">
                  <wp:posOffset>-935665</wp:posOffset>
                </wp:positionV>
                <wp:extent cx="7612912" cy="10749516"/>
                <wp:effectExtent l="0" t="0" r="7620" b="0"/>
                <wp:wrapNone/>
                <wp:docPr id="214" name="Group 214"/>
                <wp:cNvGraphicFramePr/>
                <a:graphic xmlns:a="http://schemas.openxmlformats.org/drawingml/2006/main">
                  <a:graphicData uri="http://schemas.microsoft.com/office/word/2010/wordprocessingGroup">
                    <wpg:wgp>
                      <wpg:cNvGrpSpPr/>
                      <wpg:grpSpPr>
                        <a:xfrm>
                          <a:off x="0" y="0"/>
                          <a:ext cx="7612912" cy="10749516"/>
                          <a:chOff x="0" y="0"/>
                          <a:chExt cx="7612912" cy="10749516"/>
                        </a:xfrm>
                      </wpg:grpSpPr>
                      <pic:pic xmlns:pic="http://schemas.openxmlformats.org/drawingml/2006/picture">
                        <pic:nvPicPr>
                          <pic:cNvPr id="189" name="Picture 189"/>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612912" cy="10749516"/>
                          </a:xfrm>
                          <a:prstGeom prst="rect">
                            <a:avLst/>
                          </a:prstGeom>
                        </pic:spPr>
                      </pic:pic>
                      <wps:wsp>
                        <wps:cNvPr id="10" name="Stačiakampis 10"/>
                        <wps:cNvSpPr/>
                        <wps:spPr>
                          <a:xfrm>
                            <a:off x="4306186" y="1095153"/>
                            <a:ext cx="2860158" cy="52099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62C5D" w14:textId="097EB9F9" w:rsidR="00133798" w:rsidRPr="00DC0038" w:rsidRDefault="00133798" w:rsidP="0060276A">
                              <w:pPr>
                                <w:jc w:val="center"/>
                                <w:rPr>
                                  <w:sz w:val="60"/>
                                  <w:szCs w:val="60"/>
                                  <w:lang w:val="lt-LT"/>
                                </w:rPr>
                              </w:pPr>
                              <w:r w:rsidRPr="00DC0038">
                                <w:rPr>
                                  <w:sz w:val="60"/>
                                  <w:szCs w:val="60"/>
                                  <w:lang w:val="lt-LT"/>
                                </w:rPr>
                                <w:t>201</w:t>
                              </w:r>
                              <w:r>
                                <w:rPr>
                                  <w:sz w:val="60"/>
                                  <w:szCs w:val="60"/>
                                  <w:lang w:val="lt-LT"/>
                                </w:rPr>
                                <w:t>8</w:t>
                              </w:r>
                            </w:p>
                            <w:p w14:paraId="0BE0C674" w14:textId="77777777" w:rsidR="00133798" w:rsidRPr="00DC0038" w:rsidRDefault="00133798" w:rsidP="00DC0038">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ačiakampis 10"/>
                        <wps:cNvSpPr/>
                        <wps:spPr>
                          <a:xfrm>
                            <a:off x="1913861" y="4742121"/>
                            <a:ext cx="2626242" cy="26576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D644B" w14:textId="77777777" w:rsidR="00133798" w:rsidRPr="00DC0038" w:rsidRDefault="00133798" w:rsidP="0060276A">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4" o:spid="_x0000_s1026" style="position:absolute;margin-left:-40.2pt;margin-top:-73.65pt;width:599.45pt;height:846.4pt;z-index:251634688" coordsize="76129,10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UF3/x6S/7hqeoLv/j0l/3DUz+FlR3MvROk/wCFQ6X/AMhR/o386m0TpP8AhUOl/wDIUf6N/OuK&#10;O0TrlvMq33/H9N/vVXqxff8AH9N/vVXrjq/GztpfAgoooqCwooooAKKKKACiiigAooooAKKKKACi&#10;iigAooooAKKKKACiiigAooooAKKKKACiiigAooooAKKKKACiiigAooooAKKKKACiiigAooooAKKK&#10;KACiiigAooooAKKKKACiiigAooooAKKKKZJ2dVNS/wCPCb6VbqpqX/HhN9K9qp8LPG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width:76129;height:10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mQnCAAAA3AAAAA8AAABkcnMvZG93bnJldi54bWxET01rwkAQvRf8D8sI3upGQbHRVaRQ0Hqp&#10;qYLehuyYpM3OLtltjP++Kwje5vE+Z7HqTC1aanxlWcFomIAgzq2uuFBw+P54nYHwAVljbZkU3MjD&#10;atl7WWCq7ZX31GahEDGEfYoKyhBcKqXPSzLoh9YRR+5iG4MhwqaQusFrDDe1HCfJVBqsODaU6Oi9&#10;pPw3+zMKjnjMtrS7nE+u/bQ/fHPj/ddEqUG/W89BBOrCU/xwb3ScP3uD+zPxA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5kJwgAAANwAAAAPAAAAAAAAAAAAAAAAAJ8C&#10;AABkcnMvZG93bnJldi54bWxQSwUGAAAAAAQABAD3AAAAjgMAAAAA&#10;">
                  <v:imagedata r:id="rId11" o:title=""/>
                  <v:path arrowok="t"/>
                </v:shape>
                <v:rect id="Stačiakampis 10" o:spid="_x0000_s1028" style="position:absolute;left:43061;top:10951;width:28602;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QkMUA&#10;AADbAAAADwAAAGRycy9kb3ducmV2LnhtbESPQWvDMAyF74X9B6PBbq2zwUrJ6pZtsLJj15bS3USs&#10;xmGxbGKnSfvrp8NgN4n39N6n5Xr0rbpQl5rABh5nBSjiKtiGawOH/cd0ASplZIttYDJwpQTr1d1k&#10;iaUNA3/RZZdrJSGcSjTgco6l1qly5DHNQiQW7Rw6j1nWrta2w0HCfaufimKuPTYsDQ4jvTuqfna9&#10;NxA3h+332b3FYX49Pm/Guj/dmt6Yh/vx9QVUpjH/m/+uP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CQxQAAANsAAAAPAAAAAAAAAAAAAAAAAJgCAABkcnMv&#10;ZG93bnJldi54bWxQSwUGAAAAAAQABAD1AAAAigMAAAAA&#10;" fillcolor="#4f81bd [3204]" stroked="f" strokeweight="2pt">
                  <v:textbox>
                    <w:txbxContent>
                      <w:p w14:paraId="54062C5D" w14:textId="097EB9F9" w:rsidR="00133798" w:rsidRPr="00DC0038" w:rsidRDefault="00133798" w:rsidP="0060276A">
                        <w:pPr>
                          <w:jc w:val="center"/>
                          <w:rPr>
                            <w:sz w:val="60"/>
                            <w:szCs w:val="60"/>
                            <w:lang w:val="lt-LT"/>
                          </w:rPr>
                        </w:pPr>
                        <w:r w:rsidRPr="00DC0038">
                          <w:rPr>
                            <w:sz w:val="60"/>
                            <w:szCs w:val="60"/>
                            <w:lang w:val="lt-LT"/>
                          </w:rPr>
                          <w:t>201</w:t>
                        </w:r>
                        <w:r>
                          <w:rPr>
                            <w:sz w:val="60"/>
                            <w:szCs w:val="60"/>
                            <w:lang w:val="lt-LT"/>
                          </w:rPr>
                          <w:t>8</w:t>
                        </w:r>
                      </w:p>
                      <w:p w14:paraId="0BE0C674" w14:textId="77777777" w:rsidR="00133798" w:rsidRPr="00DC0038" w:rsidRDefault="00133798" w:rsidP="00DC0038">
                        <w:pPr>
                          <w:jc w:val="center"/>
                          <w:rPr>
                            <w:sz w:val="60"/>
                            <w:szCs w:val="60"/>
                            <w:lang w:val="lt-LT"/>
                          </w:rPr>
                        </w:pPr>
                      </w:p>
                    </w:txbxContent>
                  </v:textbox>
                </v:rect>
                <v:rect id="Stačiakampis 10" o:spid="_x0000_s1029" style="position:absolute;left:19138;top:47421;width:26263;height: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sZcUA&#10;AADcAAAADwAAAGRycy9kb3ducmV2LnhtbESPQWsCMRSE7wX/Q3hCbzWrosjWKFVQerQqpb09Ns/N&#10;0s1L2GTd1V9vCoUeh5n5hlmue1uLKzWhcqxgPMpAEBdOV1wqOJ92LwsQISJrrB2TghsFWK8GT0vM&#10;tev4g67HWIoE4ZCjAhOjz6UMhSGLYeQ8cfIurrEYk2xKqRvsEtzWcpJlc2mx4rRg0NPWUPFzbK0C&#10;vz8fvi9m47v57XO278v26161Sj0P+7dXEJH6+B/+a79rBZPxF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xlxQAAANwAAAAPAAAAAAAAAAAAAAAAAJgCAABkcnMv&#10;ZG93bnJldi54bWxQSwUGAAAAAAQABAD1AAAAigMAAAAA&#10;" fillcolor="#4f81bd [3204]" stroked="f" strokeweight="2pt">
                  <v:textbox>
                    <w:txbxContent>
                      <w:p w14:paraId="6A9D644B" w14:textId="77777777" w:rsidR="00133798" w:rsidRPr="00DC0038" w:rsidRDefault="00133798" w:rsidP="0060276A">
                        <w:pPr>
                          <w:jc w:val="center"/>
                          <w:rPr>
                            <w:sz w:val="60"/>
                            <w:szCs w:val="60"/>
                            <w:lang w:val="lt-LT"/>
                          </w:rPr>
                        </w:pPr>
                      </w:p>
                    </w:txbxContent>
                  </v:textbox>
                </v:rect>
              </v:group>
            </w:pict>
          </mc:Fallback>
        </mc:AlternateContent>
      </w:r>
    </w:p>
    <w:p w14:paraId="36F93D9E" w14:textId="77777777" w:rsidR="00D555C1" w:rsidRPr="002142B8" w:rsidRDefault="00D555C1">
      <w:pPr>
        <w:rPr>
          <w:rFonts w:ascii="Georgia" w:eastAsia="PMingLiU" w:hAnsi="Georgia" w:cs="Times New Roman"/>
          <w:sz w:val="32"/>
          <w:szCs w:val="32"/>
          <w:lang w:val="lt-LT"/>
        </w:rPr>
      </w:pPr>
      <w:r w:rsidRPr="002142B8">
        <w:rPr>
          <w:rFonts w:ascii="Georgia" w:eastAsia="PMingLiU" w:hAnsi="Georgia" w:cs="Times New Roman"/>
          <w:sz w:val="32"/>
          <w:szCs w:val="32"/>
          <w:lang w:val="lt-LT"/>
        </w:rPr>
        <w:br w:type="page"/>
      </w:r>
    </w:p>
    <w:sdt>
      <w:sdtPr>
        <w:rPr>
          <w:rFonts w:asciiTheme="minorHAnsi" w:eastAsiaTheme="minorHAnsi" w:hAnsiTheme="minorHAnsi" w:cstheme="minorHAnsi"/>
          <w:b w:val="0"/>
          <w:bCs w:val="0"/>
          <w:color w:val="auto"/>
          <w:sz w:val="22"/>
          <w:szCs w:val="22"/>
          <w:lang w:val="lt-LT" w:eastAsia="en-US"/>
        </w:rPr>
        <w:id w:val="-1240335002"/>
        <w:docPartObj>
          <w:docPartGallery w:val="Table of Contents"/>
          <w:docPartUnique/>
        </w:docPartObj>
      </w:sdtPr>
      <w:sdtContent>
        <w:p w14:paraId="12BDB9AE" w14:textId="77777777" w:rsidR="00EE14AD" w:rsidRPr="00CE75FE" w:rsidRDefault="00BB54BF">
          <w:pPr>
            <w:pStyle w:val="Turinioantrat"/>
            <w:rPr>
              <w:rFonts w:asciiTheme="minorHAnsi" w:hAnsiTheme="minorHAnsi" w:cstheme="minorHAnsi"/>
              <w:b w:val="0"/>
              <w:sz w:val="22"/>
              <w:szCs w:val="22"/>
              <w:lang w:val="lt-LT" w:eastAsia="en-US"/>
            </w:rPr>
          </w:pPr>
          <w:r w:rsidRPr="00CE75FE">
            <w:rPr>
              <w:rFonts w:asciiTheme="minorHAnsi" w:hAnsiTheme="minorHAnsi" w:cstheme="minorHAnsi"/>
              <w:b w:val="0"/>
              <w:sz w:val="22"/>
              <w:szCs w:val="22"/>
              <w:lang w:val="lt-LT" w:eastAsia="en-US"/>
            </w:rPr>
            <w:t>Turinys</w:t>
          </w:r>
        </w:p>
        <w:p w14:paraId="1389158A" w14:textId="77777777" w:rsidR="00BB54BF" w:rsidRPr="00CE75FE" w:rsidRDefault="00BB54BF" w:rsidP="00BB54BF">
          <w:pPr>
            <w:rPr>
              <w:rFonts w:cstheme="minorHAnsi"/>
              <w:lang w:val="lt-LT" w:eastAsia="ja-JP"/>
            </w:rPr>
          </w:pPr>
        </w:p>
        <w:p w14:paraId="24FAD6F2" w14:textId="77777777" w:rsidR="00CE75FE" w:rsidRPr="00CE75FE" w:rsidRDefault="00EE14AD">
          <w:pPr>
            <w:pStyle w:val="Turinys1"/>
            <w:tabs>
              <w:tab w:val="right" w:leader="dot" w:pos="9016"/>
            </w:tabs>
            <w:rPr>
              <w:rFonts w:eastAsiaTheme="minorEastAsia" w:cstheme="minorHAnsi"/>
              <w:noProof/>
              <w:lang w:val="lt-LT" w:eastAsia="lt-LT"/>
            </w:rPr>
          </w:pPr>
          <w:r w:rsidRPr="00CE75FE">
            <w:rPr>
              <w:rFonts w:cstheme="minorHAnsi"/>
              <w:lang w:val="lt-LT"/>
            </w:rPr>
            <w:fldChar w:fldCharType="begin"/>
          </w:r>
          <w:r w:rsidRPr="00CE75FE">
            <w:rPr>
              <w:rFonts w:cstheme="minorHAnsi"/>
              <w:lang w:val="lt-LT"/>
            </w:rPr>
            <w:instrText xml:space="preserve"> TOC \o "1-3" \h \z \u </w:instrText>
          </w:r>
          <w:r w:rsidRPr="00CE75FE">
            <w:rPr>
              <w:rFonts w:cstheme="minorHAnsi"/>
              <w:lang w:val="lt-LT"/>
            </w:rPr>
            <w:fldChar w:fldCharType="separate"/>
          </w:r>
          <w:hyperlink w:anchor="_Toc25589873" w:history="1">
            <w:r w:rsidR="00CE75FE" w:rsidRPr="00CE75FE">
              <w:rPr>
                <w:rStyle w:val="Hipersaitas"/>
                <w:rFonts w:cstheme="minorHAnsi"/>
                <w:noProof/>
                <w:lang w:val="lt-LT"/>
              </w:rPr>
              <w:t>Lentelių sąrašas</w:t>
            </w:r>
            <w:r w:rsidR="00CE75FE" w:rsidRPr="00CE75FE">
              <w:rPr>
                <w:rFonts w:cstheme="minorHAnsi"/>
                <w:noProof/>
                <w:webHidden/>
              </w:rPr>
              <w:tab/>
            </w:r>
            <w:r w:rsidR="00CE75FE" w:rsidRPr="00CE75FE">
              <w:rPr>
                <w:rFonts w:cstheme="minorHAnsi"/>
                <w:noProof/>
                <w:webHidden/>
              </w:rPr>
              <w:fldChar w:fldCharType="begin"/>
            </w:r>
            <w:r w:rsidR="00CE75FE" w:rsidRPr="00CE75FE">
              <w:rPr>
                <w:rFonts w:cstheme="minorHAnsi"/>
                <w:noProof/>
                <w:webHidden/>
              </w:rPr>
              <w:instrText xml:space="preserve"> PAGEREF _Toc25589873 \h </w:instrText>
            </w:r>
            <w:r w:rsidR="00CE75FE" w:rsidRPr="00CE75FE">
              <w:rPr>
                <w:rFonts w:cstheme="minorHAnsi"/>
                <w:noProof/>
                <w:webHidden/>
              </w:rPr>
            </w:r>
            <w:r w:rsidR="00CE75FE" w:rsidRPr="00CE75FE">
              <w:rPr>
                <w:rFonts w:cstheme="minorHAnsi"/>
                <w:noProof/>
                <w:webHidden/>
              </w:rPr>
              <w:fldChar w:fldCharType="separate"/>
            </w:r>
            <w:r w:rsidR="00CE75FE" w:rsidRPr="00CE75FE">
              <w:rPr>
                <w:rFonts w:cstheme="minorHAnsi"/>
                <w:noProof/>
                <w:webHidden/>
              </w:rPr>
              <w:t>6</w:t>
            </w:r>
            <w:r w:rsidR="00CE75FE" w:rsidRPr="00CE75FE">
              <w:rPr>
                <w:rFonts w:cstheme="minorHAnsi"/>
                <w:noProof/>
                <w:webHidden/>
              </w:rPr>
              <w:fldChar w:fldCharType="end"/>
            </w:r>
          </w:hyperlink>
        </w:p>
        <w:p w14:paraId="4614C8CC" w14:textId="77777777" w:rsidR="00CE75FE" w:rsidRPr="00CE75FE" w:rsidRDefault="00CE75FE">
          <w:pPr>
            <w:pStyle w:val="Turinys1"/>
            <w:tabs>
              <w:tab w:val="right" w:leader="dot" w:pos="9016"/>
            </w:tabs>
            <w:rPr>
              <w:rFonts w:eastAsiaTheme="minorEastAsia" w:cstheme="minorHAnsi"/>
              <w:noProof/>
              <w:lang w:val="lt-LT" w:eastAsia="lt-LT"/>
            </w:rPr>
          </w:pPr>
          <w:hyperlink w:anchor="_Toc25589874" w:history="1">
            <w:r w:rsidRPr="00CE75FE">
              <w:rPr>
                <w:rStyle w:val="Hipersaitas"/>
                <w:rFonts w:cstheme="minorHAnsi"/>
                <w:noProof/>
                <w:lang w:val="lt-LT"/>
              </w:rPr>
              <w:t>Paveikslų sąrašas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9</w:t>
            </w:r>
            <w:r w:rsidRPr="00CE75FE">
              <w:rPr>
                <w:rFonts w:cstheme="minorHAnsi"/>
                <w:noProof/>
                <w:webHidden/>
              </w:rPr>
              <w:fldChar w:fldCharType="end"/>
            </w:r>
          </w:hyperlink>
        </w:p>
        <w:p w14:paraId="26680D82" w14:textId="77777777" w:rsidR="00CE75FE" w:rsidRPr="00CE75FE" w:rsidRDefault="00CE75FE">
          <w:pPr>
            <w:pStyle w:val="Turinys1"/>
            <w:tabs>
              <w:tab w:val="right" w:leader="dot" w:pos="9016"/>
            </w:tabs>
            <w:rPr>
              <w:rFonts w:eastAsiaTheme="minorEastAsia" w:cstheme="minorHAnsi"/>
              <w:noProof/>
              <w:lang w:val="lt-LT" w:eastAsia="lt-LT"/>
            </w:rPr>
          </w:pPr>
          <w:hyperlink w:anchor="_Toc25589875" w:history="1">
            <w:r w:rsidRPr="00CE75FE">
              <w:rPr>
                <w:rStyle w:val="Hipersaitas"/>
                <w:rFonts w:cstheme="minorHAnsi"/>
                <w:noProof/>
                <w:lang w:val="lt-LT"/>
              </w:rPr>
              <w:t>Žodynas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10</w:t>
            </w:r>
            <w:r w:rsidRPr="00CE75FE">
              <w:rPr>
                <w:rFonts w:cstheme="minorHAnsi"/>
                <w:noProof/>
                <w:webHidden/>
              </w:rPr>
              <w:fldChar w:fldCharType="end"/>
            </w:r>
          </w:hyperlink>
        </w:p>
        <w:p w14:paraId="00DAEE13"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876" w:history="1">
            <w:r w:rsidRPr="00CE75FE">
              <w:rPr>
                <w:rStyle w:val="Hipersaitas"/>
                <w:rFonts w:cstheme="minorHAnsi"/>
                <w:noProof/>
                <w:lang w:val="lt-LT"/>
              </w:rPr>
              <w:t>1.</w:t>
            </w:r>
            <w:r w:rsidRPr="00CE75FE">
              <w:rPr>
                <w:rFonts w:eastAsiaTheme="minorEastAsia" w:cstheme="minorHAnsi"/>
                <w:noProof/>
                <w:lang w:val="lt-LT" w:eastAsia="lt-LT"/>
              </w:rPr>
              <w:tab/>
            </w:r>
            <w:r w:rsidRPr="00CE75FE">
              <w:rPr>
                <w:rStyle w:val="Hipersaitas"/>
                <w:rFonts w:cstheme="minorHAnsi"/>
                <w:noProof/>
                <w:lang w:val="lt-LT"/>
              </w:rPr>
              <w:t>Įžanga – ex-ante vertinimo pagrindimas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13</w:t>
            </w:r>
            <w:r w:rsidRPr="00CE75FE">
              <w:rPr>
                <w:rFonts w:cstheme="minorHAnsi"/>
                <w:noProof/>
                <w:webHidden/>
              </w:rPr>
              <w:fldChar w:fldCharType="end"/>
            </w:r>
          </w:hyperlink>
        </w:p>
        <w:p w14:paraId="69EC0B11"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877" w:history="1">
            <w:r w:rsidRPr="00CE75FE">
              <w:rPr>
                <w:rStyle w:val="Hipersaitas"/>
                <w:rFonts w:cstheme="minorHAnsi"/>
                <w:noProof/>
                <w:lang w:val="lt-LT"/>
              </w:rPr>
              <w:t>1.1.</w:t>
            </w:r>
            <w:r w:rsidRPr="00CE75FE">
              <w:rPr>
                <w:rFonts w:eastAsiaTheme="minorEastAsia" w:cstheme="minorHAnsi"/>
                <w:noProof/>
                <w:lang w:val="lt-LT" w:eastAsia="lt-LT"/>
              </w:rPr>
              <w:tab/>
            </w:r>
            <w:r w:rsidRPr="00CE75FE">
              <w:rPr>
                <w:rStyle w:val="Hipersaitas"/>
                <w:rFonts w:cstheme="minorHAnsi"/>
                <w:noProof/>
                <w:lang w:val="lt-LT"/>
              </w:rPr>
              <w:t>Energijos efektyvumo finansinių priemonių suderinamumas su ES ir nacionaliniais strateginiais tikslais energijos efektyvumo srityje</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w:t>
            </w:r>
            <w:r w:rsidRPr="00CE75FE">
              <w:rPr>
                <w:rFonts w:cstheme="minorHAnsi"/>
                <w:noProof/>
                <w:webHidden/>
              </w:rPr>
              <w:fldChar w:fldCharType="end"/>
            </w:r>
          </w:hyperlink>
        </w:p>
        <w:p w14:paraId="1F7185E9"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78" w:history="1">
            <w:r w:rsidRPr="00CE75FE">
              <w:rPr>
                <w:rStyle w:val="Hipersaitas"/>
                <w:rFonts w:cstheme="minorHAnsi"/>
                <w:noProof/>
                <w:lang w:val="lt-LT"/>
              </w:rPr>
              <w:t>1.1.1.</w:t>
            </w:r>
            <w:r w:rsidRPr="00CE75FE">
              <w:rPr>
                <w:rFonts w:eastAsiaTheme="minorEastAsia" w:cstheme="minorHAnsi"/>
                <w:noProof/>
                <w:lang w:val="lt-LT" w:eastAsia="lt-LT"/>
              </w:rPr>
              <w:tab/>
            </w:r>
            <w:r w:rsidRPr="00CE75FE">
              <w:rPr>
                <w:rStyle w:val="Hipersaitas"/>
                <w:rFonts w:cstheme="minorHAnsi"/>
                <w:noProof/>
                <w:lang w:val="lt-LT"/>
              </w:rPr>
              <w:t>ES ir nacionaliniai strateginiai dokumentai, aktualūs energijos efektyvumo srityje</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w:t>
            </w:r>
            <w:r w:rsidRPr="00CE75FE">
              <w:rPr>
                <w:rFonts w:cstheme="minorHAnsi"/>
                <w:noProof/>
                <w:webHidden/>
              </w:rPr>
              <w:fldChar w:fldCharType="end"/>
            </w:r>
          </w:hyperlink>
        </w:p>
        <w:p w14:paraId="612B0ED0"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79" w:history="1">
            <w:r w:rsidRPr="00CE75FE">
              <w:rPr>
                <w:rStyle w:val="Hipersaitas"/>
                <w:rFonts w:cstheme="minorHAnsi"/>
                <w:noProof/>
                <w:lang w:val="lt-LT"/>
              </w:rPr>
              <w:t>1.1.2.</w:t>
            </w:r>
            <w:r w:rsidRPr="00CE75FE">
              <w:rPr>
                <w:rFonts w:eastAsiaTheme="minorEastAsia" w:cstheme="minorHAnsi"/>
                <w:noProof/>
                <w:lang w:val="lt-LT" w:eastAsia="lt-LT"/>
              </w:rPr>
              <w:tab/>
            </w:r>
            <w:r w:rsidRPr="00CE75FE">
              <w:rPr>
                <w:rStyle w:val="Hipersaitas"/>
                <w:rFonts w:cstheme="minorHAnsi"/>
                <w:noProof/>
                <w:lang w:val="lt-LT"/>
              </w:rPr>
              <w:t>Finansinių priemonių suderinamumas su ES ir nacionaliniais strateginiais dokumentais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_Toc25589879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w:t>
            </w:r>
            <w:r w:rsidRPr="00CE75FE">
              <w:rPr>
                <w:rFonts w:cstheme="minorHAnsi"/>
                <w:noProof/>
                <w:webHidden/>
              </w:rPr>
              <w:fldChar w:fldCharType="end"/>
            </w:r>
          </w:hyperlink>
        </w:p>
        <w:p w14:paraId="4BE4333A"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880" w:history="1">
            <w:r w:rsidRPr="00CE75FE">
              <w:rPr>
                <w:rStyle w:val="Hipersaitas"/>
                <w:rFonts w:cstheme="minorHAnsi"/>
                <w:noProof/>
                <w:lang w:val="lt-LT"/>
              </w:rPr>
              <w:t>1.2.</w:t>
            </w:r>
            <w:r w:rsidRPr="00CE75FE">
              <w:rPr>
                <w:rFonts w:eastAsiaTheme="minorEastAsia" w:cstheme="minorHAnsi"/>
                <w:noProof/>
                <w:lang w:val="lt-LT" w:eastAsia="lt-LT"/>
              </w:rPr>
              <w:tab/>
            </w:r>
            <w:r w:rsidRPr="00CE75FE">
              <w:rPr>
                <w:rStyle w:val="Hipersaitas"/>
                <w:rFonts w:cstheme="minorHAnsi"/>
                <w:noProof/>
                <w:lang w:val="lt-LT"/>
              </w:rPr>
              <w:t>Finansinės priemonės, įgyvendintos energijos efektyvumo srityje 2007-2013 m. periodu</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w:t>
            </w:r>
            <w:r w:rsidRPr="00CE75FE">
              <w:rPr>
                <w:rFonts w:cstheme="minorHAnsi"/>
                <w:noProof/>
                <w:webHidden/>
              </w:rPr>
              <w:fldChar w:fldCharType="end"/>
            </w:r>
          </w:hyperlink>
        </w:p>
        <w:p w14:paraId="0C8E26F8"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881" w:history="1">
            <w:r w:rsidRPr="00CE75FE">
              <w:rPr>
                <w:rStyle w:val="Hipersaitas"/>
                <w:rFonts w:cstheme="minorHAnsi"/>
                <w:noProof/>
                <w:lang w:val="lt-LT"/>
              </w:rPr>
              <w:t>1.3.</w:t>
            </w:r>
            <w:r w:rsidRPr="00CE75FE">
              <w:rPr>
                <w:rFonts w:eastAsiaTheme="minorEastAsia" w:cstheme="minorHAnsi"/>
                <w:noProof/>
                <w:lang w:val="lt-LT" w:eastAsia="lt-LT"/>
              </w:rPr>
              <w:tab/>
            </w:r>
            <w:r w:rsidRPr="00CE75FE">
              <w:rPr>
                <w:rStyle w:val="Hipersaitas"/>
                <w:rFonts w:cstheme="minorHAnsi"/>
                <w:noProof/>
                <w:lang w:val="lt-LT"/>
              </w:rPr>
              <w:t>Finansinių priemonių įgyvendinimo alternatyvos atsižvelgiant į ES reglamentų nuostatas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w:t>
            </w:r>
            <w:r w:rsidRPr="00CE75FE">
              <w:rPr>
                <w:rFonts w:cstheme="minorHAnsi"/>
                <w:noProof/>
                <w:webHidden/>
              </w:rPr>
              <w:fldChar w:fldCharType="end"/>
            </w:r>
          </w:hyperlink>
        </w:p>
        <w:p w14:paraId="4479A4FA"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882" w:history="1">
            <w:r w:rsidRPr="00CE75FE">
              <w:rPr>
                <w:rStyle w:val="Hipersaitas"/>
                <w:rFonts w:eastAsia="Times New Roman" w:cstheme="minorHAnsi"/>
                <w:noProof/>
                <w:lang w:val="lt-LT"/>
              </w:rPr>
              <w:t>2.</w:t>
            </w:r>
            <w:r w:rsidRPr="00CE75FE">
              <w:rPr>
                <w:rFonts w:eastAsiaTheme="minorEastAsia" w:cstheme="minorHAnsi"/>
                <w:noProof/>
                <w:lang w:val="lt-LT" w:eastAsia="lt-LT"/>
              </w:rPr>
              <w:tab/>
            </w:r>
            <w:r w:rsidRPr="00CE75FE">
              <w:rPr>
                <w:rStyle w:val="Hipersaitas"/>
                <w:rFonts w:eastAsia="Times New Roman" w:cstheme="minorHAnsi"/>
                <w:noProof/>
                <w:lang w:val="lt-LT"/>
              </w:rPr>
              <w:t>Rinkos nepakankamumo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31</w:t>
            </w:r>
            <w:r w:rsidRPr="00CE75FE">
              <w:rPr>
                <w:rFonts w:cstheme="minorHAnsi"/>
                <w:noProof/>
                <w:webHidden/>
              </w:rPr>
              <w:fldChar w:fldCharType="end"/>
            </w:r>
          </w:hyperlink>
        </w:p>
        <w:p w14:paraId="09BADD18"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883" w:history="1">
            <w:r w:rsidRPr="00CE75FE">
              <w:rPr>
                <w:rStyle w:val="Hipersaitas"/>
                <w:rFonts w:eastAsia="Times New Roman" w:cstheme="minorHAnsi"/>
                <w:noProof/>
                <w:lang w:val="lt-LT"/>
              </w:rPr>
              <w:t>2.1.</w:t>
            </w:r>
            <w:r w:rsidRPr="00CE75FE">
              <w:rPr>
                <w:rFonts w:eastAsiaTheme="minorEastAsia" w:cstheme="minorHAnsi"/>
                <w:noProof/>
                <w:lang w:val="lt-LT" w:eastAsia="lt-LT"/>
              </w:rPr>
              <w:tab/>
            </w:r>
            <w:r w:rsidRPr="00CE75FE">
              <w:rPr>
                <w:rStyle w:val="Hipersaitas"/>
                <w:rFonts w:eastAsia="Times New Roman" w:cstheme="minorHAnsi"/>
                <w:noProof/>
                <w:lang w:val="lt-LT"/>
              </w:rPr>
              <w:t>Sektoriaus infrastruktūros, naudojamos viešųjų paslaugų teikimui, apžvalga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31</w:t>
            </w:r>
            <w:r w:rsidRPr="00CE75FE">
              <w:rPr>
                <w:rFonts w:cstheme="minorHAnsi"/>
                <w:noProof/>
                <w:webHidden/>
              </w:rPr>
              <w:fldChar w:fldCharType="end"/>
            </w:r>
          </w:hyperlink>
        </w:p>
        <w:p w14:paraId="60C0A620"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84" w:history="1">
            <w:r w:rsidRPr="00CE75FE">
              <w:rPr>
                <w:rStyle w:val="Hipersaitas"/>
                <w:rFonts w:eastAsia="Times New Roman" w:cstheme="minorHAnsi"/>
                <w:i/>
                <w:noProof/>
                <w:lang w:val="lt-LT"/>
              </w:rPr>
              <w:t>2.1.1.</w:t>
            </w:r>
            <w:r w:rsidRPr="00CE75FE">
              <w:rPr>
                <w:rFonts w:eastAsiaTheme="minorEastAsia" w:cstheme="minorHAnsi"/>
                <w:noProof/>
                <w:lang w:val="lt-LT" w:eastAsia="lt-LT"/>
              </w:rPr>
              <w:tab/>
            </w:r>
            <w:r w:rsidRPr="00CE75FE">
              <w:rPr>
                <w:rStyle w:val="Hipersaitas"/>
                <w:rFonts w:eastAsia="Times New Roman" w:cstheme="minorHAnsi"/>
                <w:i/>
                <w:noProof/>
                <w:lang w:val="lt-LT"/>
              </w:rPr>
              <w:t>Viešieji pastatai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31</w:t>
            </w:r>
            <w:r w:rsidRPr="00CE75FE">
              <w:rPr>
                <w:rFonts w:cstheme="minorHAnsi"/>
                <w:noProof/>
                <w:webHidden/>
              </w:rPr>
              <w:fldChar w:fldCharType="end"/>
            </w:r>
          </w:hyperlink>
        </w:p>
        <w:p w14:paraId="59B2139B"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85" w:history="1">
            <w:r w:rsidRPr="00CE75FE">
              <w:rPr>
                <w:rStyle w:val="Hipersaitas"/>
                <w:rFonts w:eastAsia="Times New Roman" w:cstheme="minorHAnsi"/>
                <w:i/>
                <w:noProof/>
                <w:lang w:val="lt-LT"/>
              </w:rPr>
              <w:t>2.1.2.</w:t>
            </w:r>
            <w:r w:rsidRPr="00CE75FE">
              <w:rPr>
                <w:rFonts w:eastAsiaTheme="minorEastAsia" w:cstheme="minorHAnsi"/>
                <w:noProof/>
                <w:lang w:val="lt-LT" w:eastAsia="lt-LT"/>
              </w:rPr>
              <w:tab/>
            </w:r>
            <w:r w:rsidRPr="00CE75FE">
              <w:rPr>
                <w:rStyle w:val="Hipersaitas"/>
                <w:rFonts w:eastAsia="Times New Roman" w:cstheme="minorHAnsi"/>
                <w:i/>
                <w:noProof/>
                <w:lang w:val="lt-LT"/>
              </w:rPr>
              <w:t>Daugiabučiai namai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32</w:t>
            </w:r>
            <w:r w:rsidRPr="00CE75FE">
              <w:rPr>
                <w:rFonts w:cstheme="minorHAnsi"/>
                <w:noProof/>
                <w:webHidden/>
              </w:rPr>
              <w:fldChar w:fldCharType="end"/>
            </w:r>
          </w:hyperlink>
        </w:p>
        <w:p w14:paraId="1FA7166C"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86" w:history="1">
            <w:r w:rsidRPr="00CE75FE">
              <w:rPr>
                <w:rStyle w:val="Hipersaitas"/>
                <w:rFonts w:eastAsia="Times New Roman" w:cstheme="minorHAnsi"/>
                <w:i/>
                <w:noProof/>
                <w:lang w:val="lt-LT"/>
              </w:rPr>
              <w:t>2.1.3.</w:t>
            </w:r>
            <w:r w:rsidRPr="00CE75FE">
              <w:rPr>
                <w:rFonts w:eastAsiaTheme="minorEastAsia" w:cstheme="minorHAnsi"/>
                <w:noProof/>
                <w:lang w:val="lt-LT" w:eastAsia="lt-LT"/>
              </w:rPr>
              <w:tab/>
            </w:r>
            <w:r w:rsidRPr="00CE75FE">
              <w:rPr>
                <w:rStyle w:val="Hipersaitas"/>
                <w:rFonts w:eastAsia="Times New Roman" w:cstheme="minorHAnsi"/>
                <w:i/>
                <w:noProof/>
                <w:lang w:val="lt-LT"/>
              </w:rPr>
              <w:t>Gatvių apšvietimas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33</w:t>
            </w:r>
            <w:r w:rsidRPr="00CE75FE">
              <w:rPr>
                <w:rFonts w:cstheme="minorHAnsi"/>
                <w:noProof/>
                <w:webHidden/>
              </w:rPr>
              <w:fldChar w:fldCharType="end"/>
            </w:r>
          </w:hyperlink>
        </w:p>
        <w:p w14:paraId="68140366"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887" w:history="1">
            <w:r w:rsidRPr="00CE75FE">
              <w:rPr>
                <w:rStyle w:val="Hipersaitas"/>
                <w:rFonts w:eastAsia="Times New Roman" w:cstheme="minorHAnsi"/>
                <w:noProof/>
                <w:lang w:val="lt-LT"/>
              </w:rPr>
              <w:t>2.2.</w:t>
            </w:r>
            <w:r w:rsidRPr="00CE75FE">
              <w:rPr>
                <w:rFonts w:eastAsiaTheme="minorEastAsia" w:cstheme="minorHAnsi"/>
                <w:noProof/>
                <w:lang w:val="lt-LT" w:eastAsia="lt-LT"/>
              </w:rPr>
              <w:tab/>
            </w:r>
            <w:r w:rsidRPr="00CE75FE">
              <w:rPr>
                <w:rStyle w:val="Hipersaitas"/>
                <w:rFonts w:eastAsia="Times New Roman" w:cstheme="minorHAnsi"/>
                <w:noProof/>
                <w:lang w:val="lt-LT"/>
              </w:rPr>
              <w:t>Investicijų paklausos ir finansavimo pasiūlos įvertinimas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34</w:t>
            </w:r>
            <w:r w:rsidRPr="00CE75FE">
              <w:rPr>
                <w:rFonts w:cstheme="minorHAnsi"/>
                <w:noProof/>
                <w:webHidden/>
              </w:rPr>
              <w:fldChar w:fldCharType="end"/>
            </w:r>
          </w:hyperlink>
        </w:p>
        <w:p w14:paraId="62D35BE9"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89" w:history="1">
            <w:r w:rsidRPr="00CE75FE">
              <w:rPr>
                <w:rStyle w:val="Hipersaitas"/>
                <w:rFonts w:eastAsia="Times New Roman" w:cstheme="minorHAnsi"/>
                <w:i/>
                <w:noProof/>
                <w:lang w:val="lt-LT"/>
              </w:rPr>
              <w:t>2.2.1.</w:t>
            </w:r>
            <w:r w:rsidRPr="00CE75FE">
              <w:rPr>
                <w:rFonts w:eastAsiaTheme="minorEastAsia" w:cstheme="minorHAnsi"/>
                <w:noProof/>
                <w:lang w:val="lt-LT" w:eastAsia="lt-LT"/>
              </w:rPr>
              <w:tab/>
            </w:r>
            <w:r w:rsidRPr="00CE75FE">
              <w:rPr>
                <w:rStyle w:val="Hipersaitas"/>
                <w:rFonts w:eastAsia="Times New Roman" w:cstheme="minorHAnsi"/>
                <w:i/>
                <w:noProof/>
                <w:lang w:val="lt-LT"/>
              </w:rPr>
              <w:t>Investicijų paklausos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_Toc25589889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34</w:t>
            </w:r>
            <w:r w:rsidRPr="00CE75FE">
              <w:rPr>
                <w:rFonts w:cstheme="minorHAnsi"/>
                <w:noProof/>
                <w:webHidden/>
              </w:rPr>
              <w:fldChar w:fldCharType="end"/>
            </w:r>
          </w:hyperlink>
        </w:p>
        <w:p w14:paraId="6179DD26"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890" w:history="1">
            <w:r w:rsidRPr="00CE75FE">
              <w:rPr>
                <w:rStyle w:val="Hipersaitas"/>
                <w:rFonts w:eastAsia="Times New Roman" w:cstheme="minorHAnsi"/>
                <w:i/>
                <w:noProof/>
                <w:lang w:val="lt-LT"/>
              </w:rPr>
              <w:t>2.2.1.1.</w:t>
            </w:r>
            <w:r w:rsidRPr="00CE75FE">
              <w:rPr>
                <w:rFonts w:eastAsiaTheme="minorEastAsia" w:cstheme="minorHAnsi"/>
                <w:noProof/>
                <w:lang w:val="lt-LT" w:eastAsia="lt-LT"/>
              </w:rPr>
              <w:tab/>
            </w:r>
            <w:r w:rsidRPr="00CE75FE">
              <w:rPr>
                <w:rStyle w:val="Hipersaitas"/>
                <w:rFonts w:eastAsia="Times New Roman" w:cstheme="minorHAnsi"/>
                <w:i/>
                <w:noProof/>
                <w:lang w:val="lt-LT"/>
              </w:rPr>
              <w:t>Bendri energijos taupymo tikslai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34</w:t>
            </w:r>
            <w:r w:rsidRPr="00CE75FE">
              <w:rPr>
                <w:rFonts w:cstheme="minorHAnsi"/>
                <w:noProof/>
                <w:webHidden/>
              </w:rPr>
              <w:fldChar w:fldCharType="end"/>
            </w:r>
          </w:hyperlink>
        </w:p>
        <w:p w14:paraId="1B25DD0A"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891" w:history="1">
            <w:r w:rsidRPr="00CE75FE">
              <w:rPr>
                <w:rStyle w:val="Hipersaitas"/>
                <w:rFonts w:eastAsia="Times New Roman" w:cstheme="minorHAnsi"/>
                <w:i/>
                <w:noProof/>
                <w:lang w:val="lt-LT"/>
              </w:rPr>
              <w:t>2.2.1.2.</w:t>
            </w:r>
            <w:r w:rsidRPr="00CE75FE">
              <w:rPr>
                <w:rFonts w:eastAsiaTheme="minorEastAsia" w:cstheme="minorHAnsi"/>
                <w:noProof/>
                <w:lang w:val="lt-LT" w:eastAsia="lt-LT"/>
              </w:rPr>
              <w:tab/>
            </w:r>
            <w:r w:rsidRPr="00CE75FE">
              <w:rPr>
                <w:rStyle w:val="Hipersaitas"/>
                <w:rFonts w:eastAsia="Times New Roman" w:cstheme="minorHAnsi"/>
                <w:i/>
                <w:noProof/>
                <w:lang w:val="lt-LT"/>
              </w:rPr>
              <w:t>Viešųjų pastatų modernizavimo paklausos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35</w:t>
            </w:r>
            <w:r w:rsidRPr="00CE75FE">
              <w:rPr>
                <w:rFonts w:cstheme="minorHAnsi"/>
                <w:noProof/>
                <w:webHidden/>
              </w:rPr>
              <w:fldChar w:fldCharType="end"/>
            </w:r>
          </w:hyperlink>
        </w:p>
        <w:p w14:paraId="169D8122"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892" w:history="1">
            <w:r w:rsidRPr="00CE75FE">
              <w:rPr>
                <w:rStyle w:val="Hipersaitas"/>
                <w:rFonts w:eastAsia="Times New Roman" w:cstheme="minorHAnsi"/>
                <w:i/>
                <w:noProof/>
                <w:lang w:val="lt-LT"/>
              </w:rPr>
              <w:t>2.2.1.3.</w:t>
            </w:r>
            <w:r w:rsidRPr="00CE75FE">
              <w:rPr>
                <w:rFonts w:eastAsiaTheme="minorEastAsia" w:cstheme="minorHAnsi"/>
                <w:noProof/>
                <w:lang w:val="lt-LT" w:eastAsia="lt-LT"/>
              </w:rPr>
              <w:tab/>
            </w:r>
            <w:r w:rsidRPr="00CE75FE">
              <w:rPr>
                <w:rStyle w:val="Hipersaitas"/>
                <w:rFonts w:eastAsia="Times New Roman" w:cstheme="minorHAnsi"/>
                <w:i/>
                <w:noProof/>
                <w:lang w:val="lt-LT"/>
              </w:rPr>
              <w:t>Daugiabučių modernizavimo paklausos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37</w:t>
            </w:r>
            <w:r w:rsidRPr="00CE75FE">
              <w:rPr>
                <w:rFonts w:cstheme="minorHAnsi"/>
                <w:noProof/>
                <w:webHidden/>
              </w:rPr>
              <w:fldChar w:fldCharType="end"/>
            </w:r>
          </w:hyperlink>
        </w:p>
        <w:p w14:paraId="336FA72E"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897" w:history="1">
            <w:r w:rsidRPr="00CE75FE">
              <w:rPr>
                <w:rStyle w:val="Hipersaitas"/>
                <w:rFonts w:eastAsia="Times New Roman" w:cstheme="minorHAnsi"/>
                <w:i/>
                <w:noProof/>
                <w:lang w:val="lt-LT"/>
              </w:rPr>
              <w:t>2.2.1.4.</w:t>
            </w:r>
            <w:r w:rsidRPr="00CE75FE">
              <w:rPr>
                <w:rFonts w:eastAsiaTheme="minorEastAsia" w:cstheme="minorHAnsi"/>
                <w:noProof/>
                <w:lang w:val="lt-LT" w:eastAsia="lt-LT"/>
              </w:rPr>
              <w:tab/>
            </w:r>
            <w:r w:rsidRPr="00CE75FE">
              <w:rPr>
                <w:rStyle w:val="Hipersaitas"/>
                <w:rFonts w:eastAsia="Times New Roman" w:cstheme="minorHAnsi"/>
                <w:i/>
                <w:noProof/>
                <w:lang w:val="lt-LT"/>
              </w:rPr>
              <w:t>Gatvių apšvietimo tinklo modernizavimo paklausos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41</w:t>
            </w:r>
            <w:r w:rsidRPr="00CE75FE">
              <w:rPr>
                <w:rFonts w:cstheme="minorHAnsi"/>
                <w:noProof/>
                <w:webHidden/>
              </w:rPr>
              <w:fldChar w:fldCharType="end"/>
            </w:r>
          </w:hyperlink>
        </w:p>
        <w:p w14:paraId="5D6D6188"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898" w:history="1">
            <w:r w:rsidRPr="00CE75FE">
              <w:rPr>
                <w:rStyle w:val="Hipersaitas"/>
                <w:rFonts w:eastAsia="Times New Roman" w:cstheme="minorHAnsi"/>
                <w:i/>
                <w:noProof/>
                <w:lang w:val="lt-LT"/>
              </w:rPr>
              <w:t>2.2.1.5.</w:t>
            </w:r>
            <w:r w:rsidRPr="00CE75FE">
              <w:rPr>
                <w:rFonts w:eastAsiaTheme="minorEastAsia" w:cstheme="minorHAnsi"/>
                <w:noProof/>
                <w:lang w:val="lt-LT" w:eastAsia="lt-LT"/>
              </w:rPr>
              <w:tab/>
            </w:r>
            <w:r w:rsidRPr="00CE75FE">
              <w:rPr>
                <w:rStyle w:val="Hipersaitas"/>
                <w:rFonts w:eastAsia="Times New Roman" w:cstheme="minorHAnsi"/>
                <w:i/>
                <w:noProof/>
                <w:lang w:val="lt-LT"/>
              </w:rPr>
              <w:t>Investicijų paklausos apibendrinti duomenys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42</w:t>
            </w:r>
            <w:r w:rsidRPr="00CE75FE">
              <w:rPr>
                <w:rFonts w:cstheme="minorHAnsi"/>
                <w:noProof/>
                <w:webHidden/>
              </w:rPr>
              <w:fldChar w:fldCharType="end"/>
            </w:r>
          </w:hyperlink>
        </w:p>
        <w:p w14:paraId="484385BB"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899" w:history="1">
            <w:r w:rsidRPr="00CE75FE">
              <w:rPr>
                <w:rStyle w:val="Hipersaitas"/>
                <w:rFonts w:eastAsia="Times New Roman" w:cstheme="minorHAnsi"/>
                <w:i/>
                <w:noProof/>
                <w:lang w:val="lt-LT"/>
              </w:rPr>
              <w:t>2.2.2.</w:t>
            </w:r>
            <w:r w:rsidRPr="00CE75FE">
              <w:rPr>
                <w:rFonts w:eastAsiaTheme="minorEastAsia" w:cstheme="minorHAnsi"/>
                <w:noProof/>
                <w:lang w:val="lt-LT" w:eastAsia="lt-LT"/>
              </w:rPr>
              <w:tab/>
            </w:r>
            <w:r w:rsidRPr="00CE75FE">
              <w:rPr>
                <w:rStyle w:val="Hipersaitas"/>
                <w:rFonts w:eastAsia="Times New Roman" w:cstheme="minorHAnsi"/>
                <w:i/>
                <w:noProof/>
                <w:lang w:val="lt-LT"/>
              </w:rPr>
              <w:t>Investicijų pasiūlos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_Toc25589899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42</w:t>
            </w:r>
            <w:r w:rsidRPr="00CE75FE">
              <w:rPr>
                <w:rFonts w:cstheme="minorHAnsi"/>
                <w:noProof/>
                <w:webHidden/>
              </w:rPr>
              <w:fldChar w:fldCharType="end"/>
            </w:r>
          </w:hyperlink>
        </w:p>
        <w:p w14:paraId="616E4347"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00" w:history="1">
            <w:r w:rsidRPr="00CE75FE">
              <w:rPr>
                <w:rStyle w:val="Hipersaitas"/>
                <w:rFonts w:eastAsia="Times New Roman" w:cstheme="minorHAnsi"/>
                <w:i/>
                <w:noProof/>
                <w:lang w:val="lt-LT"/>
              </w:rPr>
              <w:t>2.2.2.1.</w:t>
            </w:r>
            <w:r w:rsidRPr="00CE75FE">
              <w:rPr>
                <w:rFonts w:eastAsiaTheme="minorEastAsia" w:cstheme="minorHAnsi"/>
                <w:noProof/>
                <w:lang w:val="lt-LT" w:eastAsia="lt-LT"/>
              </w:rPr>
              <w:tab/>
            </w:r>
            <w:r w:rsidRPr="00CE75FE">
              <w:rPr>
                <w:rStyle w:val="Hipersaitas"/>
                <w:rFonts w:eastAsia="Times New Roman" w:cstheme="minorHAnsi"/>
                <w:i/>
                <w:noProof/>
                <w:lang w:val="lt-LT"/>
              </w:rPr>
              <w:t>Finansavimas 2007-2013 m. periodu</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43</w:t>
            </w:r>
            <w:r w:rsidRPr="00CE75FE">
              <w:rPr>
                <w:rFonts w:cstheme="minorHAnsi"/>
                <w:noProof/>
                <w:webHidden/>
              </w:rPr>
              <w:fldChar w:fldCharType="end"/>
            </w:r>
          </w:hyperlink>
        </w:p>
        <w:p w14:paraId="5E17EDA8"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01" w:history="1">
            <w:r w:rsidRPr="00CE75FE">
              <w:rPr>
                <w:rStyle w:val="Hipersaitas"/>
                <w:rFonts w:eastAsia="Times New Roman" w:cstheme="minorHAnsi"/>
                <w:i/>
                <w:noProof/>
                <w:lang w:val="lt-LT"/>
              </w:rPr>
              <w:t>2.2.2.2.</w:t>
            </w:r>
            <w:r w:rsidRPr="00CE75FE">
              <w:rPr>
                <w:rFonts w:eastAsiaTheme="minorEastAsia" w:cstheme="minorHAnsi"/>
                <w:noProof/>
                <w:lang w:val="lt-LT" w:eastAsia="lt-LT"/>
              </w:rPr>
              <w:tab/>
            </w:r>
            <w:r w:rsidRPr="00CE75FE">
              <w:rPr>
                <w:rStyle w:val="Hipersaitas"/>
                <w:rFonts w:eastAsia="Times New Roman" w:cstheme="minorHAnsi"/>
                <w:i/>
                <w:noProof/>
                <w:lang w:val="lt-LT"/>
              </w:rPr>
              <w:t>Finansavimas 2014-2020 m. laikotarpiu</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46</w:t>
            </w:r>
            <w:r w:rsidRPr="00CE75FE">
              <w:rPr>
                <w:rFonts w:cstheme="minorHAnsi"/>
                <w:noProof/>
                <w:webHidden/>
              </w:rPr>
              <w:fldChar w:fldCharType="end"/>
            </w:r>
          </w:hyperlink>
        </w:p>
        <w:p w14:paraId="57053154"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02" w:history="1">
            <w:r w:rsidRPr="00CE75FE">
              <w:rPr>
                <w:rStyle w:val="Hipersaitas"/>
                <w:rFonts w:eastAsia="Times New Roman" w:cstheme="minorHAnsi"/>
                <w:i/>
                <w:noProof/>
                <w:lang w:val="lt-LT"/>
              </w:rPr>
              <w:t>2.2.2.3.</w:t>
            </w:r>
            <w:r w:rsidRPr="00CE75FE">
              <w:rPr>
                <w:rFonts w:eastAsiaTheme="minorEastAsia" w:cstheme="minorHAnsi"/>
                <w:noProof/>
                <w:lang w:val="lt-LT" w:eastAsia="lt-LT"/>
              </w:rPr>
              <w:tab/>
            </w:r>
            <w:r w:rsidRPr="00CE75FE">
              <w:rPr>
                <w:rStyle w:val="Hipersaitas"/>
                <w:rFonts w:eastAsia="Times New Roman" w:cstheme="minorHAnsi"/>
                <w:i/>
                <w:noProof/>
                <w:lang w:val="lt-LT"/>
              </w:rPr>
              <w:t>Finansavimo pasiūlos apibendrinimas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56</w:t>
            </w:r>
            <w:r w:rsidRPr="00CE75FE">
              <w:rPr>
                <w:rFonts w:cstheme="minorHAnsi"/>
                <w:noProof/>
                <w:webHidden/>
              </w:rPr>
              <w:fldChar w:fldCharType="end"/>
            </w:r>
          </w:hyperlink>
        </w:p>
        <w:p w14:paraId="7D42418C"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03" w:history="1">
            <w:r w:rsidRPr="00CE75FE">
              <w:rPr>
                <w:rStyle w:val="Hipersaitas"/>
                <w:rFonts w:eastAsia="Times New Roman" w:cstheme="minorHAnsi"/>
                <w:noProof/>
                <w:lang w:val="lt-LT"/>
              </w:rPr>
              <w:t>2.3.</w:t>
            </w:r>
            <w:r w:rsidRPr="00CE75FE">
              <w:rPr>
                <w:rFonts w:eastAsiaTheme="minorEastAsia" w:cstheme="minorHAnsi"/>
                <w:noProof/>
                <w:lang w:val="lt-LT" w:eastAsia="lt-LT"/>
              </w:rPr>
              <w:tab/>
            </w:r>
            <w:r w:rsidRPr="00CE75FE">
              <w:rPr>
                <w:rStyle w:val="Hipersaitas"/>
                <w:rFonts w:eastAsia="Times New Roman" w:cstheme="minorHAnsi"/>
                <w:noProof/>
                <w:lang w:val="lt-LT"/>
              </w:rPr>
              <w:t>Investicijų trūkumo įvertinimas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58</w:t>
            </w:r>
            <w:r w:rsidRPr="00CE75FE">
              <w:rPr>
                <w:rFonts w:cstheme="minorHAnsi"/>
                <w:noProof/>
                <w:webHidden/>
              </w:rPr>
              <w:fldChar w:fldCharType="end"/>
            </w:r>
          </w:hyperlink>
        </w:p>
        <w:p w14:paraId="71D9967C"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04" w:history="1">
            <w:r w:rsidRPr="00CE75FE">
              <w:rPr>
                <w:rStyle w:val="Hipersaitas"/>
                <w:rFonts w:eastAsia="Times New Roman" w:cstheme="minorHAnsi"/>
                <w:noProof/>
                <w:lang w:val="lt-LT"/>
              </w:rPr>
              <w:t>2.4.</w:t>
            </w:r>
            <w:r w:rsidRPr="00CE75FE">
              <w:rPr>
                <w:rFonts w:eastAsiaTheme="minorEastAsia" w:cstheme="minorHAnsi"/>
                <w:noProof/>
                <w:lang w:val="lt-LT" w:eastAsia="lt-LT"/>
              </w:rPr>
              <w:tab/>
            </w:r>
            <w:r w:rsidRPr="00CE75FE">
              <w:rPr>
                <w:rStyle w:val="Hipersaitas"/>
                <w:rFonts w:eastAsia="Times New Roman" w:cstheme="minorHAnsi"/>
                <w:noProof/>
                <w:lang w:val="lt-LT"/>
              </w:rPr>
              <w:t>Rinkos gyvybingumo ir investicijų trūkumo susidarymo priežasčių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58</w:t>
            </w:r>
            <w:r w:rsidRPr="00CE75FE">
              <w:rPr>
                <w:rFonts w:cstheme="minorHAnsi"/>
                <w:noProof/>
                <w:webHidden/>
              </w:rPr>
              <w:fldChar w:fldCharType="end"/>
            </w:r>
          </w:hyperlink>
        </w:p>
        <w:p w14:paraId="436F1233"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05" w:history="1">
            <w:r w:rsidRPr="00CE75FE">
              <w:rPr>
                <w:rStyle w:val="Hipersaitas"/>
                <w:rFonts w:cstheme="minorHAnsi"/>
                <w:noProof/>
                <w:lang w:val="lt-LT"/>
              </w:rPr>
              <w:t>3.</w:t>
            </w:r>
            <w:r w:rsidRPr="00CE75FE">
              <w:rPr>
                <w:rFonts w:eastAsiaTheme="minorEastAsia" w:cstheme="minorHAnsi"/>
                <w:noProof/>
                <w:lang w:val="lt-LT" w:eastAsia="lt-LT"/>
              </w:rPr>
              <w:tab/>
            </w:r>
            <w:r w:rsidRPr="00CE75FE">
              <w:rPr>
                <w:rStyle w:val="Hipersaitas"/>
                <w:rFonts w:cstheme="minorHAnsi"/>
                <w:noProof/>
                <w:lang w:val="lt-LT"/>
              </w:rPr>
              <w:t>Papildomų privačių ir viešųjų lėšų pritraukimas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66</w:t>
            </w:r>
            <w:r w:rsidRPr="00CE75FE">
              <w:rPr>
                <w:rFonts w:cstheme="minorHAnsi"/>
                <w:noProof/>
                <w:webHidden/>
              </w:rPr>
              <w:fldChar w:fldCharType="end"/>
            </w:r>
          </w:hyperlink>
        </w:p>
        <w:p w14:paraId="171A11CF"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06" w:history="1">
            <w:r w:rsidRPr="00CE75FE">
              <w:rPr>
                <w:rStyle w:val="Hipersaitas"/>
                <w:rFonts w:cstheme="minorHAnsi"/>
                <w:i/>
                <w:noProof/>
                <w:lang w:val="lt-LT"/>
              </w:rPr>
              <w:t>3.1.</w:t>
            </w:r>
            <w:r w:rsidRPr="00CE75FE">
              <w:rPr>
                <w:rFonts w:eastAsiaTheme="minorEastAsia" w:cstheme="minorHAnsi"/>
                <w:noProof/>
                <w:lang w:val="lt-LT" w:eastAsia="lt-LT"/>
              </w:rPr>
              <w:tab/>
            </w:r>
            <w:r w:rsidRPr="00CE75FE">
              <w:rPr>
                <w:rStyle w:val="Hipersaitas"/>
                <w:rFonts w:cstheme="minorHAnsi"/>
                <w:i/>
                <w:noProof/>
                <w:lang w:val="lt-LT"/>
              </w:rPr>
              <w:t>Lėšų šaltinių identifikavimas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66</w:t>
            </w:r>
            <w:r w:rsidRPr="00CE75FE">
              <w:rPr>
                <w:rFonts w:cstheme="minorHAnsi"/>
                <w:noProof/>
                <w:webHidden/>
              </w:rPr>
              <w:fldChar w:fldCharType="end"/>
            </w:r>
          </w:hyperlink>
        </w:p>
        <w:p w14:paraId="5E29FF86"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07" w:history="1">
            <w:r w:rsidRPr="00CE75FE">
              <w:rPr>
                <w:rStyle w:val="Hipersaitas"/>
                <w:rFonts w:eastAsia="Times New Roman" w:cstheme="minorHAnsi"/>
                <w:i/>
                <w:noProof/>
                <w:lang w:val="lt-LT"/>
              </w:rPr>
              <w:t>3.1.1.</w:t>
            </w:r>
            <w:r w:rsidRPr="00CE75FE">
              <w:rPr>
                <w:rFonts w:eastAsiaTheme="minorEastAsia" w:cstheme="minorHAnsi"/>
                <w:noProof/>
                <w:lang w:val="lt-LT" w:eastAsia="lt-LT"/>
              </w:rPr>
              <w:tab/>
            </w:r>
            <w:r w:rsidRPr="00CE75FE">
              <w:rPr>
                <w:rStyle w:val="Hipersaitas"/>
                <w:rFonts w:eastAsia="Times New Roman" w:cstheme="minorHAnsi"/>
                <w:i/>
                <w:noProof/>
                <w:lang w:val="lt-LT"/>
              </w:rPr>
              <w:t>Kitos valstybės paramos programos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66</w:t>
            </w:r>
            <w:r w:rsidRPr="00CE75FE">
              <w:rPr>
                <w:rFonts w:cstheme="minorHAnsi"/>
                <w:noProof/>
                <w:webHidden/>
              </w:rPr>
              <w:fldChar w:fldCharType="end"/>
            </w:r>
          </w:hyperlink>
        </w:p>
        <w:p w14:paraId="0C3CA2E8"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08" w:history="1">
            <w:r w:rsidRPr="00CE75FE">
              <w:rPr>
                <w:rStyle w:val="Hipersaitas"/>
                <w:rFonts w:eastAsia="Times New Roman" w:cstheme="minorHAnsi"/>
                <w:i/>
                <w:noProof/>
                <w:lang w:val="lt-LT"/>
              </w:rPr>
              <w:t>3.1.2.</w:t>
            </w:r>
            <w:r w:rsidRPr="00CE75FE">
              <w:rPr>
                <w:rFonts w:eastAsiaTheme="minorEastAsia" w:cstheme="minorHAnsi"/>
                <w:noProof/>
                <w:lang w:val="lt-LT" w:eastAsia="lt-LT"/>
              </w:rPr>
              <w:tab/>
            </w:r>
            <w:r w:rsidRPr="00CE75FE">
              <w:rPr>
                <w:rStyle w:val="Hipersaitas"/>
                <w:rFonts w:eastAsia="Times New Roman" w:cstheme="minorHAnsi"/>
                <w:i/>
                <w:noProof/>
                <w:lang w:val="lt-LT"/>
              </w:rPr>
              <w:t>ES programos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67</w:t>
            </w:r>
            <w:r w:rsidRPr="00CE75FE">
              <w:rPr>
                <w:rFonts w:cstheme="minorHAnsi"/>
                <w:noProof/>
                <w:webHidden/>
              </w:rPr>
              <w:fldChar w:fldCharType="end"/>
            </w:r>
          </w:hyperlink>
        </w:p>
        <w:p w14:paraId="0D424EF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09" w:history="1">
            <w:r w:rsidRPr="00CE75FE">
              <w:rPr>
                <w:rStyle w:val="Hipersaitas"/>
                <w:rFonts w:eastAsia="Times New Roman" w:cstheme="minorHAnsi"/>
                <w:i/>
                <w:noProof/>
                <w:lang w:val="lt-LT"/>
              </w:rPr>
              <w:t>3.1.3.</w:t>
            </w:r>
            <w:r w:rsidRPr="00CE75FE">
              <w:rPr>
                <w:rFonts w:eastAsiaTheme="minorEastAsia" w:cstheme="minorHAnsi"/>
                <w:noProof/>
                <w:lang w:val="lt-LT" w:eastAsia="lt-LT"/>
              </w:rPr>
              <w:tab/>
            </w:r>
            <w:r w:rsidRPr="00CE75FE">
              <w:rPr>
                <w:rStyle w:val="Hipersaitas"/>
                <w:rFonts w:eastAsia="Times New Roman" w:cstheme="minorHAnsi"/>
                <w:i/>
                <w:noProof/>
                <w:lang w:val="lt-LT"/>
              </w:rPr>
              <w:t>Tarptautinių finansų institucijų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_Toc25589909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68</w:t>
            </w:r>
            <w:r w:rsidRPr="00CE75FE">
              <w:rPr>
                <w:rFonts w:cstheme="minorHAnsi"/>
                <w:noProof/>
                <w:webHidden/>
              </w:rPr>
              <w:fldChar w:fldCharType="end"/>
            </w:r>
          </w:hyperlink>
        </w:p>
        <w:p w14:paraId="43DCF5EF"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10" w:history="1">
            <w:r w:rsidRPr="00CE75FE">
              <w:rPr>
                <w:rStyle w:val="Hipersaitas"/>
                <w:rFonts w:eastAsia="Times New Roman" w:cstheme="minorHAnsi"/>
                <w:i/>
                <w:noProof/>
                <w:lang w:val="lt-LT"/>
              </w:rPr>
              <w:t>3.1.3.1.</w:t>
            </w:r>
            <w:r w:rsidRPr="00CE75FE">
              <w:rPr>
                <w:rFonts w:eastAsiaTheme="minorEastAsia" w:cstheme="minorHAnsi"/>
                <w:noProof/>
                <w:lang w:val="lt-LT" w:eastAsia="lt-LT"/>
              </w:rPr>
              <w:tab/>
            </w:r>
            <w:r w:rsidRPr="00CE75FE">
              <w:rPr>
                <w:rStyle w:val="Hipersaitas"/>
                <w:rFonts w:eastAsia="Times New Roman" w:cstheme="minorHAnsi"/>
                <w:i/>
                <w:noProof/>
                <w:lang w:val="lt-LT"/>
              </w:rPr>
              <w:t>Europos rekonstrukcijos ir plėtros bankas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68</w:t>
            </w:r>
            <w:r w:rsidRPr="00CE75FE">
              <w:rPr>
                <w:rFonts w:cstheme="minorHAnsi"/>
                <w:noProof/>
                <w:webHidden/>
              </w:rPr>
              <w:fldChar w:fldCharType="end"/>
            </w:r>
          </w:hyperlink>
        </w:p>
        <w:p w14:paraId="0ED3AA3E"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11" w:history="1">
            <w:r w:rsidRPr="00CE75FE">
              <w:rPr>
                <w:rStyle w:val="Hipersaitas"/>
                <w:rFonts w:eastAsia="Times New Roman" w:cstheme="minorHAnsi"/>
                <w:i/>
                <w:noProof/>
                <w:lang w:val="lt-LT"/>
              </w:rPr>
              <w:t>3.1.3.2.</w:t>
            </w:r>
            <w:r w:rsidRPr="00CE75FE">
              <w:rPr>
                <w:rFonts w:eastAsiaTheme="minorEastAsia" w:cstheme="minorHAnsi"/>
                <w:noProof/>
                <w:lang w:val="lt-LT" w:eastAsia="lt-LT"/>
              </w:rPr>
              <w:tab/>
            </w:r>
            <w:r w:rsidRPr="00CE75FE">
              <w:rPr>
                <w:rStyle w:val="Hipersaitas"/>
                <w:rFonts w:eastAsia="Times New Roman" w:cstheme="minorHAnsi"/>
                <w:i/>
                <w:noProof/>
                <w:lang w:val="lt-LT"/>
              </w:rPr>
              <w:t>Šiaurės investicijų bankas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73</w:t>
            </w:r>
            <w:r w:rsidRPr="00CE75FE">
              <w:rPr>
                <w:rFonts w:cstheme="minorHAnsi"/>
                <w:noProof/>
                <w:webHidden/>
              </w:rPr>
              <w:fldChar w:fldCharType="end"/>
            </w:r>
          </w:hyperlink>
        </w:p>
        <w:p w14:paraId="6936CCE2"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12" w:history="1">
            <w:r w:rsidRPr="00CE75FE">
              <w:rPr>
                <w:rStyle w:val="Hipersaitas"/>
                <w:rFonts w:eastAsia="Times New Roman" w:cstheme="minorHAnsi"/>
                <w:i/>
                <w:noProof/>
                <w:lang w:val="lt-LT"/>
              </w:rPr>
              <w:t>3.1.3.3.</w:t>
            </w:r>
            <w:r w:rsidRPr="00CE75FE">
              <w:rPr>
                <w:rFonts w:eastAsiaTheme="minorEastAsia" w:cstheme="minorHAnsi"/>
                <w:noProof/>
                <w:lang w:val="lt-LT" w:eastAsia="lt-LT"/>
              </w:rPr>
              <w:tab/>
            </w:r>
            <w:r w:rsidRPr="00CE75FE">
              <w:rPr>
                <w:rStyle w:val="Hipersaitas"/>
                <w:rFonts w:eastAsia="Times New Roman" w:cstheme="minorHAnsi"/>
                <w:i/>
                <w:noProof/>
                <w:lang w:val="lt-LT"/>
              </w:rPr>
              <w:t>Europos investicijų bankas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76</w:t>
            </w:r>
            <w:r w:rsidRPr="00CE75FE">
              <w:rPr>
                <w:rFonts w:cstheme="minorHAnsi"/>
                <w:noProof/>
                <w:webHidden/>
              </w:rPr>
              <w:fldChar w:fldCharType="end"/>
            </w:r>
          </w:hyperlink>
        </w:p>
        <w:p w14:paraId="765EFB6D"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13" w:history="1">
            <w:r w:rsidRPr="00CE75FE">
              <w:rPr>
                <w:rStyle w:val="Hipersaitas"/>
                <w:rFonts w:eastAsia="Times New Roman" w:cstheme="minorHAnsi"/>
                <w:i/>
                <w:noProof/>
                <w:lang w:val="lt-LT"/>
              </w:rPr>
              <w:t>3.1.3.4.</w:t>
            </w:r>
            <w:r w:rsidRPr="00CE75FE">
              <w:rPr>
                <w:rFonts w:eastAsiaTheme="minorEastAsia" w:cstheme="minorHAnsi"/>
                <w:noProof/>
                <w:lang w:val="lt-LT" w:eastAsia="lt-LT"/>
              </w:rPr>
              <w:tab/>
            </w:r>
            <w:r w:rsidRPr="00CE75FE">
              <w:rPr>
                <w:rStyle w:val="Hipersaitas"/>
                <w:rFonts w:eastAsia="Times New Roman" w:cstheme="minorHAnsi"/>
                <w:i/>
                <w:noProof/>
                <w:lang w:val="lt-LT"/>
              </w:rPr>
              <w:t>Europos Tarybos vystymo bankas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80</w:t>
            </w:r>
            <w:r w:rsidRPr="00CE75FE">
              <w:rPr>
                <w:rFonts w:cstheme="minorHAnsi"/>
                <w:noProof/>
                <w:webHidden/>
              </w:rPr>
              <w:fldChar w:fldCharType="end"/>
            </w:r>
          </w:hyperlink>
        </w:p>
        <w:p w14:paraId="34E07212"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14" w:history="1">
            <w:r w:rsidRPr="00CE75FE">
              <w:rPr>
                <w:rStyle w:val="Hipersaitas"/>
                <w:rFonts w:eastAsia="Times New Roman" w:cstheme="minorHAnsi"/>
                <w:i/>
                <w:noProof/>
                <w:lang w:val="lt-LT"/>
              </w:rPr>
              <w:t>3.1.4.</w:t>
            </w:r>
            <w:r w:rsidRPr="00CE75FE">
              <w:rPr>
                <w:rFonts w:eastAsiaTheme="minorEastAsia" w:cstheme="minorHAnsi"/>
                <w:noProof/>
                <w:lang w:val="lt-LT" w:eastAsia="lt-LT"/>
              </w:rPr>
              <w:tab/>
            </w:r>
            <w:r w:rsidRPr="00CE75FE">
              <w:rPr>
                <w:rStyle w:val="Hipersaitas"/>
                <w:rFonts w:eastAsia="Times New Roman" w:cstheme="minorHAnsi"/>
                <w:i/>
                <w:noProof/>
                <w:lang w:val="lt-LT"/>
              </w:rPr>
              <w:t>Energijos Taupymo Paslaugų Įmonės (ESCO)</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82</w:t>
            </w:r>
            <w:r w:rsidRPr="00CE75FE">
              <w:rPr>
                <w:rFonts w:cstheme="minorHAnsi"/>
                <w:noProof/>
                <w:webHidden/>
              </w:rPr>
              <w:fldChar w:fldCharType="end"/>
            </w:r>
          </w:hyperlink>
        </w:p>
        <w:p w14:paraId="2184DE8E"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15" w:history="1">
            <w:r w:rsidRPr="00CE75FE">
              <w:rPr>
                <w:rStyle w:val="Hipersaitas"/>
                <w:rFonts w:eastAsia="Times New Roman" w:cstheme="minorHAnsi"/>
                <w:i/>
                <w:noProof/>
                <w:lang w:val="lt-LT"/>
              </w:rPr>
              <w:t>3.1.5.</w:t>
            </w:r>
            <w:r w:rsidRPr="00CE75FE">
              <w:rPr>
                <w:rFonts w:eastAsiaTheme="minorEastAsia" w:cstheme="minorHAnsi"/>
                <w:noProof/>
                <w:lang w:val="lt-LT" w:eastAsia="lt-LT"/>
              </w:rPr>
              <w:tab/>
            </w:r>
            <w:r w:rsidRPr="00CE75FE">
              <w:rPr>
                <w:rStyle w:val="Hipersaitas"/>
                <w:rFonts w:eastAsia="Times New Roman" w:cstheme="minorHAnsi"/>
                <w:i/>
                <w:noProof/>
                <w:lang w:val="lt-LT"/>
              </w:rPr>
              <w:t>Infrastruktūriniai fondai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83</w:t>
            </w:r>
            <w:r w:rsidRPr="00CE75FE">
              <w:rPr>
                <w:rFonts w:cstheme="minorHAnsi"/>
                <w:noProof/>
                <w:webHidden/>
              </w:rPr>
              <w:fldChar w:fldCharType="end"/>
            </w:r>
          </w:hyperlink>
        </w:p>
        <w:p w14:paraId="015AA20A"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16" w:history="1">
            <w:r w:rsidRPr="00CE75FE">
              <w:rPr>
                <w:rStyle w:val="Hipersaitas"/>
                <w:rFonts w:cstheme="minorHAnsi"/>
                <w:noProof/>
                <w:lang w:val="lt-LT"/>
              </w:rPr>
              <w:t>3.2.</w:t>
            </w:r>
            <w:r w:rsidRPr="00CE75FE">
              <w:rPr>
                <w:rFonts w:eastAsiaTheme="minorEastAsia" w:cstheme="minorHAnsi"/>
                <w:noProof/>
                <w:lang w:val="lt-LT" w:eastAsia="lt-LT"/>
              </w:rPr>
              <w:tab/>
            </w:r>
            <w:r w:rsidRPr="00CE75FE">
              <w:rPr>
                <w:rStyle w:val="Hipersaitas"/>
                <w:rFonts w:cstheme="minorHAnsi"/>
                <w:noProof/>
                <w:lang w:val="lt-LT"/>
              </w:rPr>
              <w:t>Lygio ir būdo privačių lėšų pritraukimui nustatymas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84</w:t>
            </w:r>
            <w:r w:rsidRPr="00CE75FE">
              <w:rPr>
                <w:rFonts w:cstheme="minorHAnsi"/>
                <w:noProof/>
                <w:webHidden/>
              </w:rPr>
              <w:fldChar w:fldCharType="end"/>
            </w:r>
          </w:hyperlink>
        </w:p>
        <w:p w14:paraId="0D0712CE"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17" w:history="1">
            <w:r w:rsidRPr="00CE75FE">
              <w:rPr>
                <w:rStyle w:val="Hipersaitas"/>
                <w:rFonts w:cstheme="minorHAnsi"/>
                <w:noProof/>
                <w:lang w:val="lt-LT"/>
              </w:rPr>
              <w:t>3.3.</w:t>
            </w:r>
            <w:r w:rsidRPr="00CE75FE">
              <w:rPr>
                <w:rFonts w:eastAsiaTheme="minorEastAsia" w:cstheme="minorHAnsi"/>
                <w:noProof/>
                <w:lang w:val="lt-LT" w:eastAsia="lt-LT"/>
              </w:rPr>
              <w:tab/>
            </w:r>
            <w:r w:rsidRPr="00CE75FE">
              <w:rPr>
                <w:rStyle w:val="Hipersaitas"/>
                <w:rFonts w:cstheme="minorHAnsi"/>
                <w:noProof/>
                <w:lang w:val="lt-LT"/>
              </w:rPr>
              <w:t>Skatinamųjų elementų  įvertinimas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86</w:t>
            </w:r>
            <w:r w:rsidRPr="00CE75FE">
              <w:rPr>
                <w:rFonts w:cstheme="minorHAnsi"/>
                <w:noProof/>
                <w:webHidden/>
              </w:rPr>
              <w:fldChar w:fldCharType="end"/>
            </w:r>
          </w:hyperlink>
        </w:p>
        <w:p w14:paraId="63693304"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18" w:history="1">
            <w:r w:rsidRPr="00CE75FE">
              <w:rPr>
                <w:rStyle w:val="Hipersaitas"/>
                <w:rFonts w:cstheme="minorHAnsi"/>
                <w:noProof/>
                <w:lang w:val="lt-LT"/>
              </w:rPr>
              <w:t>4.</w:t>
            </w:r>
            <w:r w:rsidRPr="00CE75FE">
              <w:rPr>
                <w:rFonts w:eastAsiaTheme="minorEastAsia" w:cstheme="minorHAnsi"/>
                <w:noProof/>
                <w:lang w:val="lt-LT" w:eastAsia="lt-LT"/>
              </w:rPr>
              <w:tab/>
            </w:r>
            <w:r w:rsidRPr="00CE75FE">
              <w:rPr>
                <w:rStyle w:val="Hipersaitas"/>
                <w:rFonts w:cstheme="minorHAnsi"/>
                <w:noProof/>
                <w:lang w:val="lt-LT"/>
              </w:rPr>
              <w:t>Finansinės priemonės pridėtinė vertė ir suderinamumas su kitomis viešųjų intervencijų formomis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88</w:t>
            </w:r>
            <w:r w:rsidRPr="00CE75FE">
              <w:rPr>
                <w:rFonts w:cstheme="minorHAnsi"/>
                <w:noProof/>
                <w:webHidden/>
              </w:rPr>
              <w:fldChar w:fldCharType="end"/>
            </w:r>
          </w:hyperlink>
        </w:p>
        <w:p w14:paraId="55D6FF0D"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19" w:history="1">
            <w:r w:rsidRPr="00CE75FE">
              <w:rPr>
                <w:rStyle w:val="Hipersaitas"/>
                <w:rFonts w:cstheme="minorHAnsi"/>
                <w:noProof/>
                <w:lang w:val="lt-LT"/>
              </w:rPr>
              <w:t>4.1.</w:t>
            </w:r>
            <w:r w:rsidRPr="00CE75FE">
              <w:rPr>
                <w:rFonts w:eastAsiaTheme="minorEastAsia" w:cstheme="minorHAnsi"/>
                <w:noProof/>
                <w:lang w:val="lt-LT" w:eastAsia="lt-LT"/>
              </w:rPr>
              <w:tab/>
            </w:r>
            <w:r w:rsidRPr="00CE75FE">
              <w:rPr>
                <w:rStyle w:val="Hipersaitas"/>
                <w:rFonts w:cstheme="minorHAnsi"/>
                <w:noProof/>
                <w:lang w:val="lt-LT"/>
              </w:rPr>
              <w:t>Kiekybinis pridėtinės vertės vertinimas - jautrumo analizė ir alternatyvų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_Toc25589919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88</w:t>
            </w:r>
            <w:r w:rsidRPr="00CE75FE">
              <w:rPr>
                <w:rFonts w:cstheme="minorHAnsi"/>
                <w:noProof/>
                <w:webHidden/>
              </w:rPr>
              <w:fldChar w:fldCharType="end"/>
            </w:r>
          </w:hyperlink>
        </w:p>
        <w:p w14:paraId="340368BF"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20" w:history="1">
            <w:r w:rsidRPr="00CE75FE">
              <w:rPr>
                <w:rStyle w:val="Hipersaitas"/>
                <w:rFonts w:cstheme="minorHAnsi"/>
                <w:noProof/>
                <w:lang w:val="lt-LT"/>
              </w:rPr>
              <w:t>4.1.1.</w:t>
            </w:r>
            <w:r w:rsidRPr="00CE75FE">
              <w:rPr>
                <w:rFonts w:eastAsiaTheme="minorEastAsia" w:cstheme="minorHAnsi"/>
                <w:noProof/>
                <w:lang w:val="lt-LT" w:eastAsia="lt-LT"/>
              </w:rPr>
              <w:tab/>
            </w:r>
            <w:r w:rsidRPr="00CE75FE">
              <w:rPr>
                <w:rStyle w:val="Hipersaitas"/>
                <w:rFonts w:cstheme="minorHAnsi"/>
                <w:noProof/>
                <w:lang w:val="lt-LT"/>
              </w:rPr>
              <w:t>Šilumos kainos prognozės Lietuvoje</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88</w:t>
            </w:r>
            <w:r w:rsidRPr="00CE75FE">
              <w:rPr>
                <w:rFonts w:cstheme="minorHAnsi"/>
                <w:noProof/>
                <w:webHidden/>
              </w:rPr>
              <w:fldChar w:fldCharType="end"/>
            </w:r>
          </w:hyperlink>
        </w:p>
        <w:p w14:paraId="01D624C2"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21" w:history="1">
            <w:r w:rsidRPr="00CE75FE">
              <w:rPr>
                <w:rStyle w:val="Hipersaitas"/>
                <w:rFonts w:cstheme="minorHAnsi"/>
                <w:noProof/>
                <w:lang w:val="lt-LT"/>
              </w:rPr>
              <w:t>4.1.2.</w:t>
            </w:r>
            <w:r w:rsidRPr="00CE75FE">
              <w:rPr>
                <w:rFonts w:eastAsiaTheme="minorEastAsia" w:cstheme="minorHAnsi"/>
                <w:noProof/>
                <w:lang w:val="lt-LT" w:eastAsia="lt-LT"/>
              </w:rPr>
              <w:tab/>
            </w:r>
            <w:r w:rsidRPr="00CE75FE">
              <w:rPr>
                <w:rStyle w:val="Hipersaitas"/>
                <w:rFonts w:cstheme="minorHAnsi"/>
                <w:noProof/>
                <w:lang w:val="lt-LT"/>
              </w:rPr>
              <w:t>Daugiabučių modernizavimo jautrumo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89</w:t>
            </w:r>
            <w:r w:rsidRPr="00CE75FE">
              <w:rPr>
                <w:rFonts w:cstheme="minorHAnsi"/>
                <w:noProof/>
                <w:webHidden/>
              </w:rPr>
              <w:fldChar w:fldCharType="end"/>
            </w:r>
          </w:hyperlink>
        </w:p>
        <w:p w14:paraId="0F4CD0E4"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22" w:history="1">
            <w:r w:rsidRPr="00CE75FE">
              <w:rPr>
                <w:rStyle w:val="Hipersaitas"/>
                <w:rFonts w:cstheme="minorHAnsi"/>
                <w:noProof/>
                <w:lang w:val="lt-LT"/>
              </w:rPr>
              <w:t>4.1.3.</w:t>
            </w:r>
            <w:r w:rsidRPr="00CE75FE">
              <w:rPr>
                <w:rFonts w:eastAsiaTheme="minorEastAsia" w:cstheme="minorHAnsi"/>
                <w:noProof/>
                <w:lang w:val="lt-LT" w:eastAsia="lt-LT"/>
              </w:rPr>
              <w:tab/>
            </w:r>
            <w:r w:rsidRPr="00CE75FE">
              <w:rPr>
                <w:rStyle w:val="Hipersaitas"/>
                <w:rFonts w:cstheme="minorHAnsi"/>
                <w:noProof/>
                <w:lang w:val="lt-LT"/>
              </w:rPr>
              <w:t>Viešųjų pastatų renovacijos jautrumo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94</w:t>
            </w:r>
            <w:r w:rsidRPr="00CE75FE">
              <w:rPr>
                <w:rFonts w:cstheme="minorHAnsi"/>
                <w:noProof/>
                <w:webHidden/>
              </w:rPr>
              <w:fldChar w:fldCharType="end"/>
            </w:r>
          </w:hyperlink>
        </w:p>
        <w:p w14:paraId="10F666F7"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23" w:history="1">
            <w:r w:rsidRPr="00CE75FE">
              <w:rPr>
                <w:rStyle w:val="Hipersaitas"/>
                <w:rFonts w:cstheme="minorHAnsi"/>
                <w:noProof/>
                <w:lang w:val="lt-LT"/>
              </w:rPr>
              <w:t>4.1.4.</w:t>
            </w:r>
            <w:r w:rsidRPr="00CE75FE">
              <w:rPr>
                <w:rFonts w:eastAsiaTheme="minorEastAsia" w:cstheme="minorHAnsi"/>
                <w:noProof/>
                <w:lang w:val="lt-LT" w:eastAsia="lt-LT"/>
              </w:rPr>
              <w:tab/>
            </w:r>
            <w:r w:rsidRPr="00CE75FE">
              <w:rPr>
                <w:rStyle w:val="Hipersaitas"/>
                <w:rFonts w:cstheme="minorHAnsi"/>
                <w:noProof/>
                <w:lang w:val="lt-LT"/>
              </w:rPr>
              <w:t>Alternatyvų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99</w:t>
            </w:r>
            <w:r w:rsidRPr="00CE75FE">
              <w:rPr>
                <w:rFonts w:cstheme="minorHAnsi"/>
                <w:noProof/>
                <w:webHidden/>
              </w:rPr>
              <w:fldChar w:fldCharType="end"/>
            </w:r>
          </w:hyperlink>
        </w:p>
        <w:p w14:paraId="57D8DBAF"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24" w:history="1">
            <w:r w:rsidRPr="00CE75FE">
              <w:rPr>
                <w:rStyle w:val="Hipersaitas"/>
                <w:rFonts w:cstheme="minorHAnsi"/>
                <w:noProof/>
                <w:lang w:val="lt-LT"/>
              </w:rPr>
              <w:t>4.1.4.1.</w:t>
            </w:r>
            <w:r w:rsidRPr="00CE75FE">
              <w:rPr>
                <w:rFonts w:eastAsiaTheme="minorEastAsia" w:cstheme="minorHAnsi"/>
                <w:noProof/>
                <w:lang w:val="lt-LT" w:eastAsia="lt-LT"/>
              </w:rPr>
              <w:tab/>
            </w:r>
            <w:r w:rsidRPr="00CE75FE">
              <w:rPr>
                <w:rStyle w:val="Hipersaitas"/>
                <w:rFonts w:cstheme="minorHAnsi"/>
                <w:noProof/>
                <w:lang w:val="lt-LT"/>
              </w:rPr>
              <w:t>Daugiabučių modernizavimas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99</w:t>
            </w:r>
            <w:r w:rsidRPr="00CE75FE">
              <w:rPr>
                <w:rFonts w:cstheme="minorHAnsi"/>
                <w:noProof/>
                <w:webHidden/>
              </w:rPr>
              <w:fldChar w:fldCharType="end"/>
            </w:r>
          </w:hyperlink>
        </w:p>
        <w:p w14:paraId="3570AD21"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25" w:history="1">
            <w:r w:rsidRPr="00CE75FE">
              <w:rPr>
                <w:rStyle w:val="Hipersaitas"/>
                <w:rFonts w:cstheme="minorHAnsi"/>
                <w:noProof/>
                <w:lang w:val="lt-LT"/>
              </w:rPr>
              <w:t>4.1.4.2.</w:t>
            </w:r>
            <w:r w:rsidRPr="00CE75FE">
              <w:rPr>
                <w:rFonts w:eastAsiaTheme="minorEastAsia" w:cstheme="minorHAnsi"/>
                <w:noProof/>
                <w:lang w:val="lt-LT" w:eastAsia="lt-LT"/>
              </w:rPr>
              <w:tab/>
            </w:r>
            <w:r w:rsidRPr="00CE75FE">
              <w:rPr>
                <w:rStyle w:val="Hipersaitas"/>
                <w:rFonts w:cstheme="minorHAnsi"/>
                <w:noProof/>
                <w:lang w:val="lt-LT"/>
              </w:rPr>
              <w:t>Centrinės valdžios viešieji pastatai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114</w:t>
            </w:r>
            <w:r w:rsidRPr="00CE75FE">
              <w:rPr>
                <w:rFonts w:cstheme="minorHAnsi"/>
                <w:noProof/>
                <w:webHidden/>
              </w:rPr>
              <w:fldChar w:fldCharType="end"/>
            </w:r>
          </w:hyperlink>
        </w:p>
        <w:p w14:paraId="3EAE9BB0"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26" w:history="1">
            <w:r w:rsidRPr="00CE75FE">
              <w:rPr>
                <w:rStyle w:val="Hipersaitas"/>
                <w:rFonts w:cstheme="minorHAnsi"/>
                <w:noProof/>
                <w:lang w:val="lt-LT"/>
              </w:rPr>
              <w:t>4.1.4.3.</w:t>
            </w:r>
            <w:r w:rsidRPr="00CE75FE">
              <w:rPr>
                <w:rFonts w:eastAsiaTheme="minorEastAsia" w:cstheme="minorHAnsi"/>
                <w:noProof/>
                <w:lang w:val="lt-LT" w:eastAsia="lt-LT"/>
              </w:rPr>
              <w:tab/>
            </w:r>
            <w:r w:rsidRPr="00CE75FE">
              <w:rPr>
                <w:rStyle w:val="Hipersaitas"/>
                <w:rFonts w:cstheme="minorHAnsi"/>
                <w:noProof/>
                <w:lang w:val="lt-LT"/>
              </w:rPr>
              <w:t>Savivaldybių viešieji pastatai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121</w:t>
            </w:r>
            <w:r w:rsidRPr="00CE75FE">
              <w:rPr>
                <w:rFonts w:cstheme="minorHAnsi"/>
                <w:noProof/>
                <w:webHidden/>
              </w:rPr>
              <w:fldChar w:fldCharType="end"/>
            </w:r>
          </w:hyperlink>
        </w:p>
        <w:p w14:paraId="4B977A77"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27" w:history="1">
            <w:r w:rsidRPr="00CE75FE">
              <w:rPr>
                <w:rStyle w:val="Hipersaitas"/>
                <w:rFonts w:cstheme="minorHAnsi"/>
                <w:noProof/>
                <w:lang w:val="lt-LT"/>
              </w:rPr>
              <w:t>4.1.4.4.</w:t>
            </w:r>
            <w:r w:rsidRPr="00CE75FE">
              <w:rPr>
                <w:rFonts w:eastAsiaTheme="minorEastAsia" w:cstheme="minorHAnsi"/>
                <w:noProof/>
                <w:lang w:val="lt-LT" w:eastAsia="lt-LT"/>
              </w:rPr>
              <w:tab/>
            </w:r>
            <w:r w:rsidRPr="00CE75FE">
              <w:rPr>
                <w:rStyle w:val="Hipersaitas"/>
                <w:rFonts w:cstheme="minorHAnsi"/>
                <w:noProof/>
                <w:lang w:val="lt-LT"/>
              </w:rPr>
              <w:t>Gatvių apšvietimas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128</w:t>
            </w:r>
            <w:r w:rsidRPr="00CE75FE">
              <w:rPr>
                <w:rFonts w:cstheme="minorHAnsi"/>
                <w:noProof/>
                <w:webHidden/>
              </w:rPr>
              <w:fldChar w:fldCharType="end"/>
            </w:r>
          </w:hyperlink>
        </w:p>
        <w:p w14:paraId="0D4204AB"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28" w:history="1">
            <w:r w:rsidRPr="00CE75FE">
              <w:rPr>
                <w:rStyle w:val="Hipersaitas"/>
                <w:rFonts w:cstheme="minorHAnsi"/>
                <w:noProof/>
                <w:lang w:val="lt-LT"/>
              </w:rPr>
              <w:t>4.2.</w:t>
            </w:r>
            <w:r w:rsidRPr="00CE75FE">
              <w:rPr>
                <w:rFonts w:eastAsiaTheme="minorEastAsia" w:cstheme="minorHAnsi"/>
                <w:noProof/>
                <w:lang w:val="lt-LT" w:eastAsia="lt-LT"/>
              </w:rPr>
              <w:tab/>
            </w:r>
            <w:r w:rsidRPr="00CE75FE">
              <w:rPr>
                <w:rStyle w:val="Hipersaitas"/>
                <w:rFonts w:cstheme="minorHAnsi"/>
                <w:noProof/>
                <w:lang w:val="lt-LT"/>
              </w:rPr>
              <w:t>Kokybinis pridėtinės vertės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135</w:t>
            </w:r>
            <w:r w:rsidRPr="00CE75FE">
              <w:rPr>
                <w:rFonts w:cstheme="minorHAnsi"/>
                <w:noProof/>
                <w:webHidden/>
              </w:rPr>
              <w:fldChar w:fldCharType="end"/>
            </w:r>
          </w:hyperlink>
        </w:p>
        <w:p w14:paraId="38B9DB01"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29" w:history="1">
            <w:r w:rsidRPr="00CE75FE">
              <w:rPr>
                <w:rStyle w:val="Hipersaitas"/>
                <w:rFonts w:cstheme="minorHAnsi"/>
                <w:noProof/>
                <w:lang w:val="lt-LT"/>
              </w:rPr>
              <w:t>4.2.1.1.</w:t>
            </w:r>
            <w:r w:rsidRPr="00CE75FE">
              <w:rPr>
                <w:rFonts w:eastAsiaTheme="minorEastAsia" w:cstheme="minorHAnsi"/>
                <w:noProof/>
                <w:lang w:val="lt-LT" w:eastAsia="lt-LT"/>
              </w:rPr>
              <w:tab/>
            </w:r>
            <w:r w:rsidRPr="00CE75FE">
              <w:rPr>
                <w:rStyle w:val="Hipersaitas"/>
                <w:rFonts w:cstheme="minorHAnsi"/>
                <w:noProof/>
                <w:lang w:val="lt-LT"/>
              </w:rPr>
              <w:t>Daugiabučių namų modernizavimas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_Toc25589929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135</w:t>
            </w:r>
            <w:r w:rsidRPr="00CE75FE">
              <w:rPr>
                <w:rFonts w:cstheme="minorHAnsi"/>
                <w:noProof/>
                <w:webHidden/>
              </w:rPr>
              <w:fldChar w:fldCharType="end"/>
            </w:r>
          </w:hyperlink>
        </w:p>
        <w:p w14:paraId="4D1388C2"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30" w:history="1">
            <w:r w:rsidRPr="00CE75FE">
              <w:rPr>
                <w:rStyle w:val="Hipersaitas"/>
                <w:rFonts w:cstheme="minorHAnsi"/>
                <w:noProof/>
                <w:lang w:val="lt-LT"/>
              </w:rPr>
              <w:t>4.2.1.2.</w:t>
            </w:r>
            <w:r w:rsidRPr="00CE75FE">
              <w:rPr>
                <w:rFonts w:eastAsiaTheme="minorEastAsia" w:cstheme="minorHAnsi"/>
                <w:noProof/>
                <w:lang w:val="lt-LT" w:eastAsia="lt-LT"/>
              </w:rPr>
              <w:tab/>
            </w:r>
            <w:r w:rsidRPr="00CE75FE">
              <w:rPr>
                <w:rStyle w:val="Hipersaitas"/>
                <w:rFonts w:cstheme="minorHAnsi"/>
                <w:noProof/>
                <w:lang w:val="lt-LT"/>
              </w:rPr>
              <w:t>Centrinės valdžios ir savivaldybių viešieji pastatai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137</w:t>
            </w:r>
            <w:r w:rsidRPr="00CE75FE">
              <w:rPr>
                <w:rFonts w:cstheme="minorHAnsi"/>
                <w:noProof/>
                <w:webHidden/>
              </w:rPr>
              <w:fldChar w:fldCharType="end"/>
            </w:r>
          </w:hyperlink>
        </w:p>
        <w:p w14:paraId="01725AB0"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31" w:history="1">
            <w:r w:rsidRPr="00CE75FE">
              <w:rPr>
                <w:rStyle w:val="Hipersaitas"/>
                <w:rFonts w:cstheme="minorHAnsi"/>
                <w:noProof/>
                <w:lang w:val="lt-LT"/>
              </w:rPr>
              <w:t>4.2.1.3.</w:t>
            </w:r>
            <w:r w:rsidRPr="00CE75FE">
              <w:rPr>
                <w:rFonts w:eastAsiaTheme="minorEastAsia" w:cstheme="minorHAnsi"/>
                <w:noProof/>
                <w:lang w:val="lt-LT" w:eastAsia="lt-LT"/>
              </w:rPr>
              <w:tab/>
            </w:r>
            <w:r w:rsidRPr="00CE75FE">
              <w:rPr>
                <w:rStyle w:val="Hipersaitas"/>
                <w:rFonts w:cstheme="minorHAnsi"/>
                <w:noProof/>
                <w:lang w:val="lt-LT"/>
              </w:rPr>
              <w:t>Gatvių apšvietimas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138</w:t>
            </w:r>
            <w:r w:rsidRPr="00CE75FE">
              <w:rPr>
                <w:rFonts w:cstheme="minorHAnsi"/>
                <w:noProof/>
                <w:webHidden/>
              </w:rPr>
              <w:fldChar w:fldCharType="end"/>
            </w:r>
          </w:hyperlink>
        </w:p>
        <w:p w14:paraId="1B0DCE1C"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32" w:history="1">
            <w:r w:rsidRPr="00CE75FE">
              <w:rPr>
                <w:rStyle w:val="Hipersaitas"/>
                <w:rFonts w:cstheme="minorHAnsi"/>
                <w:noProof/>
                <w:lang w:val="lt-LT"/>
              </w:rPr>
              <w:t>4.3.</w:t>
            </w:r>
            <w:r w:rsidRPr="00CE75FE">
              <w:rPr>
                <w:rFonts w:eastAsiaTheme="minorEastAsia" w:cstheme="minorHAnsi"/>
                <w:noProof/>
                <w:lang w:val="lt-LT" w:eastAsia="lt-LT"/>
              </w:rPr>
              <w:tab/>
            </w:r>
            <w:r w:rsidRPr="00CE75FE">
              <w:rPr>
                <w:rStyle w:val="Hipersaitas"/>
                <w:rFonts w:cstheme="minorHAnsi"/>
                <w:noProof/>
                <w:lang w:val="lt-LT"/>
              </w:rPr>
              <w:t>Sverto efekto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140</w:t>
            </w:r>
            <w:r w:rsidRPr="00CE75FE">
              <w:rPr>
                <w:rFonts w:cstheme="minorHAnsi"/>
                <w:noProof/>
                <w:webHidden/>
              </w:rPr>
              <w:fldChar w:fldCharType="end"/>
            </w:r>
          </w:hyperlink>
        </w:p>
        <w:p w14:paraId="7BA8B62D"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33" w:history="1">
            <w:r w:rsidRPr="00CE75FE">
              <w:rPr>
                <w:rStyle w:val="Hipersaitas"/>
                <w:rFonts w:cstheme="minorHAnsi"/>
                <w:noProof/>
                <w:lang w:val="lt-LT"/>
              </w:rPr>
              <w:t>4.4.</w:t>
            </w:r>
            <w:r w:rsidRPr="00CE75FE">
              <w:rPr>
                <w:rFonts w:eastAsiaTheme="minorEastAsia" w:cstheme="minorHAnsi"/>
                <w:noProof/>
                <w:lang w:val="lt-LT" w:eastAsia="lt-LT"/>
              </w:rPr>
              <w:tab/>
            </w:r>
            <w:r w:rsidRPr="00CE75FE">
              <w:rPr>
                <w:rStyle w:val="Hipersaitas"/>
                <w:rFonts w:cstheme="minorHAnsi"/>
                <w:noProof/>
                <w:lang w:val="lt-LT"/>
              </w:rPr>
              <w:t>Alternatyvų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141</w:t>
            </w:r>
            <w:r w:rsidRPr="00CE75FE">
              <w:rPr>
                <w:rFonts w:cstheme="minorHAnsi"/>
                <w:noProof/>
                <w:webHidden/>
              </w:rPr>
              <w:fldChar w:fldCharType="end"/>
            </w:r>
          </w:hyperlink>
        </w:p>
        <w:p w14:paraId="1261D5EC"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34" w:history="1">
            <w:r w:rsidRPr="00CE75FE">
              <w:rPr>
                <w:rStyle w:val="Hipersaitas"/>
                <w:rFonts w:cstheme="minorHAnsi"/>
                <w:noProof/>
                <w:lang w:val="lt-LT"/>
              </w:rPr>
              <w:t>4.4.1.</w:t>
            </w:r>
            <w:r w:rsidRPr="00CE75FE">
              <w:rPr>
                <w:rFonts w:eastAsiaTheme="minorEastAsia" w:cstheme="minorHAnsi"/>
                <w:noProof/>
                <w:lang w:val="lt-LT" w:eastAsia="lt-LT"/>
              </w:rPr>
              <w:tab/>
            </w:r>
            <w:r w:rsidRPr="00CE75FE">
              <w:rPr>
                <w:rStyle w:val="Hipersaitas"/>
                <w:rFonts w:cstheme="minorHAnsi"/>
                <w:noProof/>
                <w:lang w:val="lt-LT"/>
              </w:rPr>
              <w:t>Daugiabučių namų modernizacijos scenarijų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141</w:t>
            </w:r>
            <w:r w:rsidRPr="00CE75FE">
              <w:rPr>
                <w:rFonts w:cstheme="minorHAnsi"/>
                <w:noProof/>
                <w:webHidden/>
              </w:rPr>
              <w:fldChar w:fldCharType="end"/>
            </w:r>
          </w:hyperlink>
        </w:p>
        <w:p w14:paraId="4E587A4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35" w:history="1">
            <w:r w:rsidRPr="00CE75FE">
              <w:rPr>
                <w:rStyle w:val="Hipersaitas"/>
                <w:rFonts w:cstheme="minorHAnsi"/>
                <w:noProof/>
                <w:lang w:val="lt-LT"/>
              </w:rPr>
              <w:t>4.4.2.</w:t>
            </w:r>
            <w:r w:rsidRPr="00CE75FE">
              <w:rPr>
                <w:rFonts w:eastAsiaTheme="minorEastAsia" w:cstheme="minorHAnsi"/>
                <w:noProof/>
                <w:lang w:val="lt-LT" w:eastAsia="lt-LT"/>
              </w:rPr>
              <w:tab/>
            </w:r>
            <w:r w:rsidRPr="00CE75FE">
              <w:rPr>
                <w:rStyle w:val="Hipersaitas"/>
                <w:rFonts w:cstheme="minorHAnsi"/>
                <w:noProof/>
                <w:lang w:val="lt-LT"/>
              </w:rPr>
              <w:t>Centrinės valdžios pastatų renovavimo modelių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143</w:t>
            </w:r>
            <w:r w:rsidRPr="00CE75FE">
              <w:rPr>
                <w:rFonts w:cstheme="minorHAnsi"/>
                <w:noProof/>
                <w:webHidden/>
              </w:rPr>
              <w:fldChar w:fldCharType="end"/>
            </w:r>
          </w:hyperlink>
        </w:p>
        <w:p w14:paraId="3358C553"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36" w:history="1">
            <w:r w:rsidRPr="00CE75FE">
              <w:rPr>
                <w:rStyle w:val="Hipersaitas"/>
                <w:rFonts w:cstheme="minorHAnsi"/>
                <w:noProof/>
                <w:lang w:val="lt-LT"/>
              </w:rPr>
              <w:t>4.4.3.</w:t>
            </w:r>
            <w:r w:rsidRPr="00CE75FE">
              <w:rPr>
                <w:rFonts w:eastAsiaTheme="minorEastAsia" w:cstheme="minorHAnsi"/>
                <w:noProof/>
                <w:lang w:val="lt-LT" w:eastAsia="lt-LT"/>
              </w:rPr>
              <w:tab/>
            </w:r>
            <w:r w:rsidRPr="00CE75FE">
              <w:rPr>
                <w:rStyle w:val="Hipersaitas"/>
                <w:rFonts w:cstheme="minorHAnsi"/>
                <w:noProof/>
                <w:lang w:val="lt-LT"/>
              </w:rPr>
              <w:t>Savivaldybių pastatų modernizavimo modelių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144</w:t>
            </w:r>
            <w:r w:rsidRPr="00CE75FE">
              <w:rPr>
                <w:rFonts w:cstheme="minorHAnsi"/>
                <w:noProof/>
                <w:webHidden/>
              </w:rPr>
              <w:fldChar w:fldCharType="end"/>
            </w:r>
          </w:hyperlink>
        </w:p>
        <w:p w14:paraId="6F96C376"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37" w:history="1">
            <w:r w:rsidRPr="00CE75FE">
              <w:rPr>
                <w:rStyle w:val="Hipersaitas"/>
                <w:rFonts w:cstheme="minorHAnsi"/>
                <w:noProof/>
                <w:lang w:val="lt-LT"/>
              </w:rPr>
              <w:t>4.4.4.</w:t>
            </w:r>
            <w:r w:rsidRPr="00CE75FE">
              <w:rPr>
                <w:rFonts w:eastAsiaTheme="minorEastAsia" w:cstheme="minorHAnsi"/>
                <w:noProof/>
                <w:lang w:val="lt-LT" w:eastAsia="lt-LT"/>
              </w:rPr>
              <w:tab/>
            </w:r>
            <w:r w:rsidRPr="00CE75FE">
              <w:rPr>
                <w:rStyle w:val="Hipersaitas"/>
                <w:rFonts w:cstheme="minorHAnsi"/>
                <w:noProof/>
                <w:lang w:val="lt-LT"/>
              </w:rPr>
              <w:t>Gatvių apšvietimo modernizavimo scenarijų palyginimas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146</w:t>
            </w:r>
            <w:r w:rsidRPr="00CE75FE">
              <w:rPr>
                <w:rFonts w:cstheme="minorHAnsi"/>
                <w:noProof/>
                <w:webHidden/>
              </w:rPr>
              <w:fldChar w:fldCharType="end"/>
            </w:r>
          </w:hyperlink>
        </w:p>
        <w:p w14:paraId="05D57C8F"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38" w:history="1">
            <w:r w:rsidRPr="00CE75FE">
              <w:rPr>
                <w:rStyle w:val="Hipersaitas"/>
                <w:rFonts w:cstheme="minorHAnsi"/>
                <w:noProof/>
                <w:lang w:val="lt-LT"/>
              </w:rPr>
              <w:t>4.5.</w:t>
            </w:r>
            <w:r w:rsidRPr="00CE75FE">
              <w:rPr>
                <w:rFonts w:eastAsiaTheme="minorEastAsia" w:cstheme="minorHAnsi"/>
                <w:noProof/>
                <w:lang w:val="lt-LT" w:eastAsia="lt-LT"/>
              </w:rPr>
              <w:tab/>
            </w:r>
            <w:r w:rsidRPr="00CE75FE">
              <w:rPr>
                <w:rStyle w:val="Hipersaitas"/>
                <w:rFonts w:cstheme="minorHAnsi"/>
                <w:noProof/>
                <w:lang w:val="lt-LT"/>
              </w:rPr>
              <w:t>Finansinės priemonės darna su kitomis viešųjų intervencijų formomis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147</w:t>
            </w:r>
            <w:r w:rsidRPr="00CE75FE">
              <w:rPr>
                <w:rFonts w:cstheme="minorHAnsi"/>
                <w:noProof/>
                <w:webHidden/>
              </w:rPr>
              <w:fldChar w:fldCharType="end"/>
            </w:r>
          </w:hyperlink>
        </w:p>
        <w:p w14:paraId="6A1822A2"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39" w:history="1">
            <w:r w:rsidRPr="00CE75FE">
              <w:rPr>
                <w:rStyle w:val="Hipersaitas"/>
                <w:rFonts w:cstheme="minorHAnsi"/>
                <w:noProof/>
                <w:lang w:val="lt-LT"/>
              </w:rPr>
              <w:t>4.6.</w:t>
            </w:r>
            <w:r w:rsidRPr="00CE75FE">
              <w:rPr>
                <w:rFonts w:eastAsiaTheme="minorEastAsia" w:cstheme="minorHAnsi"/>
                <w:noProof/>
                <w:lang w:val="lt-LT" w:eastAsia="lt-LT"/>
              </w:rPr>
              <w:tab/>
            </w:r>
            <w:r w:rsidRPr="00CE75FE">
              <w:rPr>
                <w:rStyle w:val="Hipersaitas"/>
                <w:rFonts w:cstheme="minorHAnsi"/>
                <w:noProof/>
                <w:lang w:val="lt-LT"/>
              </w:rPr>
              <w:t>Finansinių priemonių poveikis valstybės biudžeto deficitui ir valstybės skolai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_Toc25589939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151</w:t>
            </w:r>
            <w:r w:rsidRPr="00CE75FE">
              <w:rPr>
                <w:rFonts w:cstheme="minorHAnsi"/>
                <w:noProof/>
                <w:webHidden/>
              </w:rPr>
              <w:fldChar w:fldCharType="end"/>
            </w:r>
          </w:hyperlink>
        </w:p>
        <w:p w14:paraId="3AF592E5"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40" w:history="1">
            <w:r w:rsidRPr="00CE75FE">
              <w:rPr>
                <w:rStyle w:val="Hipersaitas"/>
                <w:rFonts w:cstheme="minorHAnsi"/>
                <w:noProof/>
                <w:lang w:val="lt-LT"/>
              </w:rPr>
              <w:t>5.</w:t>
            </w:r>
            <w:r w:rsidRPr="00CE75FE">
              <w:rPr>
                <w:rFonts w:eastAsiaTheme="minorEastAsia" w:cstheme="minorHAnsi"/>
                <w:noProof/>
                <w:lang w:val="lt-LT" w:eastAsia="lt-LT"/>
              </w:rPr>
              <w:tab/>
            </w:r>
            <w:r w:rsidRPr="00CE75FE">
              <w:rPr>
                <w:rStyle w:val="Hipersaitas"/>
                <w:rFonts w:cstheme="minorHAnsi"/>
                <w:noProof/>
                <w:lang w:val="lt-LT"/>
              </w:rPr>
              <w:t>Valstybės pagalba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152</w:t>
            </w:r>
            <w:r w:rsidRPr="00CE75FE">
              <w:rPr>
                <w:rFonts w:cstheme="minorHAnsi"/>
                <w:noProof/>
                <w:webHidden/>
              </w:rPr>
              <w:fldChar w:fldCharType="end"/>
            </w:r>
          </w:hyperlink>
        </w:p>
        <w:p w14:paraId="7A112032"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41" w:history="1">
            <w:r w:rsidRPr="00CE75FE">
              <w:rPr>
                <w:rStyle w:val="Hipersaitas"/>
                <w:rFonts w:cstheme="minorHAnsi"/>
                <w:noProof/>
                <w:lang w:val="lt-LT"/>
              </w:rPr>
              <w:t>5.1.</w:t>
            </w:r>
            <w:r w:rsidRPr="00CE75FE">
              <w:rPr>
                <w:rFonts w:eastAsiaTheme="minorEastAsia" w:cstheme="minorHAnsi"/>
                <w:noProof/>
                <w:lang w:val="lt-LT" w:eastAsia="lt-LT"/>
              </w:rPr>
              <w:tab/>
            </w:r>
            <w:r w:rsidRPr="00CE75FE">
              <w:rPr>
                <w:rStyle w:val="Hipersaitas"/>
                <w:rFonts w:cstheme="minorHAnsi"/>
                <w:noProof/>
                <w:lang w:val="lt-LT"/>
              </w:rPr>
              <w:t>Valstybės pagalbos teikimo požymių apibūdinimas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154</w:t>
            </w:r>
            <w:r w:rsidRPr="00CE75FE">
              <w:rPr>
                <w:rFonts w:cstheme="minorHAnsi"/>
                <w:noProof/>
                <w:webHidden/>
              </w:rPr>
              <w:fldChar w:fldCharType="end"/>
            </w:r>
          </w:hyperlink>
        </w:p>
        <w:p w14:paraId="7E0D2987"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42" w:history="1">
            <w:r w:rsidRPr="00CE75FE">
              <w:rPr>
                <w:rStyle w:val="Hipersaitas"/>
                <w:rFonts w:cstheme="minorHAnsi"/>
                <w:noProof/>
                <w:lang w:val="lt-LT"/>
              </w:rPr>
              <w:t>5.1.1.</w:t>
            </w:r>
            <w:r w:rsidRPr="00CE75FE">
              <w:rPr>
                <w:rFonts w:eastAsiaTheme="minorEastAsia" w:cstheme="minorHAnsi"/>
                <w:noProof/>
                <w:lang w:val="lt-LT" w:eastAsia="lt-LT"/>
              </w:rPr>
              <w:tab/>
            </w:r>
            <w:r w:rsidRPr="00CE75FE">
              <w:rPr>
                <w:rStyle w:val="Hipersaitas"/>
                <w:rFonts w:cstheme="minorHAnsi"/>
                <w:noProof/>
                <w:lang w:val="lt-LT"/>
              </w:rPr>
              <w:t>Priemonės priskyrimas viešajam sektoriui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154</w:t>
            </w:r>
            <w:r w:rsidRPr="00CE75FE">
              <w:rPr>
                <w:rFonts w:cstheme="minorHAnsi"/>
                <w:noProof/>
                <w:webHidden/>
              </w:rPr>
              <w:fldChar w:fldCharType="end"/>
            </w:r>
          </w:hyperlink>
        </w:p>
        <w:p w14:paraId="59FF1A8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43" w:history="1">
            <w:r w:rsidRPr="00CE75FE">
              <w:rPr>
                <w:rStyle w:val="Hipersaitas"/>
                <w:rFonts w:cstheme="minorHAnsi"/>
                <w:noProof/>
                <w:lang w:val="lt-LT"/>
              </w:rPr>
              <w:t>5.1.2.</w:t>
            </w:r>
            <w:r w:rsidRPr="00CE75FE">
              <w:rPr>
                <w:rFonts w:eastAsiaTheme="minorEastAsia" w:cstheme="minorHAnsi"/>
                <w:noProof/>
                <w:lang w:val="lt-LT" w:eastAsia="lt-LT"/>
              </w:rPr>
              <w:tab/>
            </w:r>
            <w:r w:rsidRPr="00CE75FE">
              <w:rPr>
                <w:rStyle w:val="Hipersaitas"/>
                <w:rFonts w:cstheme="minorHAnsi"/>
                <w:noProof/>
                <w:lang w:val="lt-LT"/>
              </w:rPr>
              <w:t>Ekonominio pranašumo suteikimas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155</w:t>
            </w:r>
            <w:r w:rsidRPr="00CE75FE">
              <w:rPr>
                <w:rFonts w:cstheme="minorHAnsi"/>
                <w:noProof/>
                <w:webHidden/>
              </w:rPr>
              <w:fldChar w:fldCharType="end"/>
            </w:r>
          </w:hyperlink>
        </w:p>
        <w:p w14:paraId="2AAA6C77"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44" w:history="1">
            <w:r w:rsidRPr="00CE75FE">
              <w:rPr>
                <w:rStyle w:val="Hipersaitas"/>
                <w:rFonts w:cstheme="minorHAnsi"/>
                <w:noProof/>
                <w:lang w:val="lt-LT"/>
              </w:rPr>
              <w:t>5.1.3.</w:t>
            </w:r>
            <w:r w:rsidRPr="00CE75FE">
              <w:rPr>
                <w:rFonts w:eastAsiaTheme="minorEastAsia" w:cstheme="minorHAnsi"/>
                <w:noProof/>
                <w:lang w:val="lt-LT" w:eastAsia="lt-LT"/>
              </w:rPr>
              <w:tab/>
            </w:r>
            <w:r w:rsidRPr="00CE75FE">
              <w:rPr>
                <w:rStyle w:val="Hipersaitas"/>
                <w:rFonts w:cstheme="minorHAnsi"/>
                <w:noProof/>
                <w:lang w:val="lt-LT"/>
              </w:rPr>
              <w:t>Priemonės selektyvumas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156</w:t>
            </w:r>
            <w:r w:rsidRPr="00CE75FE">
              <w:rPr>
                <w:rFonts w:cstheme="minorHAnsi"/>
                <w:noProof/>
                <w:webHidden/>
              </w:rPr>
              <w:fldChar w:fldCharType="end"/>
            </w:r>
          </w:hyperlink>
        </w:p>
        <w:p w14:paraId="670FD184"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45" w:history="1">
            <w:r w:rsidRPr="00CE75FE">
              <w:rPr>
                <w:rStyle w:val="Hipersaitas"/>
                <w:rFonts w:cstheme="minorHAnsi"/>
                <w:noProof/>
                <w:lang w:val="lt-LT"/>
              </w:rPr>
              <w:t>5.1.4.</w:t>
            </w:r>
            <w:r w:rsidRPr="00CE75FE">
              <w:rPr>
                <w:rFonts w:eastAsiaTheme="minorEastAsia" w:cstheme="minorHAnsi"/>
                <w:noProof/>
                <w:lang w:val="lt-LT" w:eastAsia="lt-LT"/>
              </w:rPr>
              <w:tab/>
            </w:r>
            <w:r w:rsidRPr="00CE75FE">
              <w:rPr>
                <w:rStyle w:val="Hipersaitas"/>
                <w:rFonts w:cstheme="minorHAnsi"/>
                <w:noProof/>
                <w:lang w:val="lt-LT"/>
              </w:rPr>
              <w:t>Priemonės poveikis konkurencijai ir (ar) prekybai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156</w:t>
            </w:r>
            <w:r w:rsidRPr="00CE75FE">
              <w:rPr>
                <w:rFonts w:cstheme="minorHAnsi"/>
                <w:noProof/>
                <w:webHidden/>
              </w:rPr>
              <w:fldChar w:fldCharType="end"/>
            </w:r>
          </w:hyperlink>
        </w:p>
        <w:p w14:paraId="64E5AF4F"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46" w:history="1">
            <w:r w:rsidRPr="00CE75FE">
              <w:rPr>
                <w:rStyle w:val="Hipersaitas"/>
                <w:rFonts w:cstheme="minorHAnsi"/>
                <w:noProof/>
                <w:lang w:val="lt-LT"/>
              </w:rPr>
              <w:t>5.2.</w:t>
            </w:r>
            <w:r w:rsidRPr="00CE75FE">
              <w:rPr>
                <w:rFonts w:eastAsiaTheme="minorEastAsia" w:cstheme="minorHAnsi"/>
                <w:noProof/>
                <w:lang w:val="lt-LT" w:eastAsia="lt-LT"/>
              </w:rPr>
              <w:tab/>
            </w:r>
            <w:r w:rsidRPr="00CE75FE">
              <w:rPr>
                <w:rStyle w:val="Hipersaitas"/>
                <w:rFonts w:cstheme="minorHAnsi"/>
                <w:noProof/>
                <w:lang w:val="lt-LT"/>
              </w:rPr>
              <w:t>Numatomų vykdyti finansinių priemonių apribojimai, susiję su valstybės pagalbos taisyklių reikalavimais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157</w:t>
            </w:r>
            <w:r w:rsidRPr="00CE75FE">
              <w:rPr>
                <w:rFonts w:cstheme="minorHAnsi"/>
                <w:noProof/>
                <w:webHidden/>
              </w:rPr>
              <w:fldChar w:fldCharType="end"/>
            </w:r>
          </w:hyperlink>
        </w:p>
        <w:p w14:paraId="5A835B4A"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47" w:history="1">
            <w:r w:rsidRPr="00CE75FE">
              <w:rPr>
                <w:rStyle w:val="Hipersaitas"/>
                <w:rFonts w:cstheme="minorHAnsi"/>
                <w:noProof/>
                <w:lang w:val="lt-LT"/>
              </w:rPr>
              <w:t>5.2.1.</w:t>
            </w:r>
            <w:r w:rsidRPr="00CE75FE">
              <w:rPr>
                <w:rFonts w:eastAsiaTheme="minorEastAsia" w:cstheme="minorHAnsi"/>
                <w:noProof/>
                <w:lang w:val="lt-LT" w:eastAsia="lt-LT"/>
              </w:rPr>
              <w:tab/>
            </w:r>
            <w:r w:rsidRPr="00CE75FE">
              <w:rPr>
                <w:rStyle w:val="Hipersaitas"/>
                <w:rFonts w:cstheme="minorHAnsi"/>
                <w:noProof/>
                <w:lang w:val="lt-LT"/>
              </w:rPr>
              <w:t>Daugiabučių namų renovacijos finansinių priemonių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162</w:t>
            </w:r>
            <w:r w:rsidRPr="00CE75FE">
              <w:rPr>
                <w:rFonts w:cstheme="minorHAnsi"/>
                <w:noProof/>
                <w:webHidden/>
              </w:rPr>
              <w:fldChar w:fldCharType="end"/>
            </w:r>
          </w:hyperlink>
        </w:p>
        <w:p w14:paraId="7C520DCE"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48" w:history="1">
            <w:r w:rsidRPr="00CE75FE">
              <w:rPr>
                <w:rStyle w:val="Hipersaitas"/>
                <w:rFonts w:cstheme="minorHAnsi"/>
                <w:noProof/>
                <w:lang w:val="lt-LT"/>
              </w:rPr>
              <w:t>5.2.1.1.</w:t>
            </w:r>
            <w:r w:rsidRPr="00CE75FE">
              <w:rPr>
                <w:rFonts w:eastAsiaTheme="minorEastAsia" w:cstheme="minorHAnsi"/>
                <w:noProof/>
                <w:lang w:val="lt-LT" w:eastAsia="lt-LT"/>
              </w:rPr>
              <w:tab/>
            </w:r>
            <w:r w:rsidRPr="00CE75FE">
              <w:rPr>
                <w:rStyle w:val="Hipersaitas"/>
                <w:rFonts w:cstheme="minorHAnsi"/>
                <w:noProof/>
                <w:lang w:val="lt-LT"/>
              </w:rPr>
              <w:t>Priemonės įgyvendinimo mechanizmo klasifikavimas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163</w:t>
            </w:r>
            <w:r w:rsidRPr="00CE75FE">
              <w:rPr>
                <w:rFonts w:cstheme="minorHAnsi"/>
                <w:noProof/>
                <w:webHidden/>
              </w:rPr>
              <w:fldChar w:fldCharType="end"/>
            </w:r>
          </w:hyperlink>
        </w:p>
        <w:p w14:paraId="72E89590"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49" w:history="1">
            <w:r w:rsidRPr="00CE75FE">
              <w:rPr>
                <w:rStyle w:val="Hipersaitas"/>
                <w:rFonts w:cstheme="minorHAnsi"/>
                <w:noProof/>
                <w:lang w:val="lt-LT"/>
              </w:rPr>
              <w:t>5.2.1.2.</w:t>
            </w:r>
            <w:r w:rsidRPr="00CE75FE">
              <w:rPr>
                <w:rFonts w:eastAsiaTheme="minorEastAsia" w:cstheme="minorHAnsi"/>
                <w:noProof/>
                <w:lang w:val="lt-LT" w:eastAsia="lt-LT"/>
              </w:rPr>
              <w:tab/>
            </w:r>
            <w:r w:rsidRPr="00CE75FE">
              <w:rPr>
                <w:rStyle w:val="Hipersaitas"/>
                <w:rFonts w:cstheme="minorHAnsi"/>
                <w:noProof/>
                <w:lang w:val="lt-LT"/>
              </w:rPr>
              <w:t>Priemonės įgyvendinimo suderinamumo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_Toc25589949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168</w:t>
            </w:r>
            <w:r w:rsidRPr="00CE75FE">
              <w:rPr>
                <w:rFonts w:cstheme="minorHAnsi"/>
                <w:noProof/>
                <w:webHidden/>
              </w:rPr>
              <w:fldChar w:fldCharType="end"/>
            </w:r>
          </w:hyperlink>
        </w:p>
        <w:p w14:paraId="5FBEAD92"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50" w:history="1">
            <w:r w:rsidRPr="00CE75FE">
              <w:rPr>
                <w:rStyle w:val="Hipersaitas"/>
                <w:rFonts w:cstheme="minorHAnsi"/>
                <w:noProof/>
                <w:lang w:val="lt-LT"/>
              </w:rPr>
              <w:t>5.2.1.3.</w:t>
            </w:r>
            <w:r w:rsidRPr="00CE75FE">
              <w:rPr>
                <w:rFonts w:eastAsiaTheme="minorEastAsia" w:cstheme="minorHAnsi"/>
                <w:noProof/>
                <w:lang w:val="lt-LT" w:eastAsia="lt-LT"/>
              </w:rPr>
              <w:tab/>
            </w:r>
            <w:r w:rsidRPr="00CE75FE">
              <w:rPr>
                <w:rStyle w:val="Hipersaitas"/>
                <w:rFonts w:cstheme="minorHAnsi"/>
                <w:noProof/>
                <w:lang w:val="lt-LT"/>
              </w:rPr>
              <w:t>Priemonės įgyvendinimo vertinimo išvada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169</w:t>
            </w:r>
            <w:r w:rsidRPr="00CE75FE">
              <w:rPr>
                <w:rFonts w:cstheme="minorHAnsi"/>
                <w:noProof/>
                <w:webHidden/>
              </w:rPr>
              <w:fldChar w:fldCharType="end"/>
            </w:r>
          </w:hyperlink>
        </w:p>
        <w:p w14:paraId="3115A869"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51" w:history="1">
            <w:r w:rsidRPr="00CE75FE">
              <w:rPr>
                <w:rStyle w:val="Hipersaitas"/>
                <w:rFonts w:cstheme="minorHAnsi"/>
                <w:noProof/>
                <w:lang w:val="lt-LT"/>
              </w:rPr>
              <w:t>5.2.2.</w:t>
            </w:r>
            <w:r w:rsidRPr="00CE75FE">
              <w:rPr>
                <w:rFonts w:eastAsiaTheme="minorEastAsia" w:cstheme="minorHAnsi"/>
                <w:noProof/>
                <w:lang w:val="lt-LT" w:eastAsia="lt-LT"/>
              </w:rPr>
              <w:tab/>
            </w:r>
            <w:r w:rsidRPr="00CE75FE">
              <w:rPr>
                <w:rStyle w:val="Hipersaitas"/>
                <w:rFonts w:cstheme="minorHAnsi"/>
                <w:noProof/>
                <w:lang w:val="lt-LT"/>
              </w:rPr>
              <w:t>Centrinės valdžios pastatų renovacijos finansinių priemonių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169</w:t>
            </w:r>
            <w:r w:rsidRPr="00CE75FE">
              <w:rPr>
                <w:rFonts w:cstheme="minorHAnsi"/>
                <w:noProof/>
                <w:webHidden/>
              </w:rPr>
              <w:fldChar w:fldCharType="end"/>
            </w:r>
          </w:hyperlink>
        </w:p>
        <w:p w14:paraId="26EA8CFA"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52" w:history="1">
            <w:r w:rsidRPr="00CE75FE">
              <w:rPr>
                <w:rStyle w:val="Hipersaitas"/>
                <w:rFonts w:cstheme="minorHAnsi"/>
                <w:noProof/>
                <w:lang w:val="lt-LT"/>
              </w:rPr>
              <w:t>5.2.3.</w:t>
            </w:r>
            <w:r w:rsidRPr="00CE75FE">
              <w:rPr>
                <w:rFonts w:eastAsiaTheme="minorEastAsia" w:cstheme="minorHAnsi"/>
                <w:noProof/>
                <w:lang w:val="lt-LT" w:eastAsia="lt-LT"/>
              </w:rPr>
              <w:tab/>
            </w:r>
            <w:r w:rsidRPr="00CE75FE">
              <w:rPr>
                <w:rStyle w:val="Hipersaitas"/>
                <w:rFonts w:cstheme="minorHAnsi"/>
                <w:noProof/>
                <w:lang w:val="lt-LT"/>
              </w:rPr>
              <w:t>Gatvių apšvietimo finansinių priemonių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171</w:t>
            </w:r>
            <w:r w:rsidRPr="00CE75FE">
              <w:rPr>
                <w:rFonts w:cstheme="minorHAnsi"/>
                <w:noProof/>
                <w:webHidden/>
              </w:rPr>
              <w:fldChar w:fldCharType="end"/>
            </w:r>
          </w:hyperlink>
        </w:p>
        <w:p w14:paraId="0F2F1B94"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53" w:history="1">
            <w:r w:rsidRPr="00CE75FE">
              <w:rPr>
                <w:rStyle w:val="Hipersaitas"/>
                <w:rFonts w:cstheme="minorHAnsi"/>
                <w:noProof/>
                <w:lang w:val="lt-LT"/>
              </w:rPr>
              <w:t>5.2.4.</w:t>
            </w:r>
            <w:r w:rsidRPr="00CE75FE">
              <w:rPr>
                <w:rFonts w:eastAsiaTheme="minorEastAsia" w:cstheme="minorHAnsi"/>
                <w:noProof/>
                <w:lang w:val="lt-LT" w:eastAsia="lt-LT"/>
              </w:rPr>
              <w:tab/>
            </w:r>
            <w:r w:rsidRPr="00CE75FE">
              <w:rPr>
                <w:rStyle w:val="Hipersaitas"/>
                <w:rFonts w:cstheme="minorHAnsi"/>
                <w:noProof/>
                <w:lang w:val="lt-LT"/>
              </w:rPr>
              <w:t>Savivaldybių pastatų renovacijos finansinių priemonių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172</w:t>
            </w:r>
            <w:r w:rsidRPr="00CE75FE">
              <w:rPr>
                <w:rFonts w:cstheme="minorHAnsi"/>
                <w:noProof/>
                <w:webHidden/>
              </w:rPr>
              <w:fldChar w:fldCharType="end"/>
            </w:r>
          </w:hyperlink>
        </w:p>
        <w:p w14:paraId="1D41BE8E"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54" w:history="1">
            <w:r w:rsidRPr="00CE75FE">
              <w:rPr>
                <w:rStyle w:val="Hipersaitas"/>
                <w:rFonts w:cstheme="minorHAnsi"/>
                <w:noProof/>
                <w:lang w:val="lt-LT"/>
              </w:rPr>
              <w:t>5.2.4.1. Priemonės įgyvendinimo mechanizmo klasifikavimas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173</w:t>
            </w:r>
            <w:r w:rsidRPr="00CE75FE">
              <w:rPr>
                <w:rFonts w:cstheme="minorHAnsi"/>
                <w:noProof/>
                <w:webHidden/>
              </w:rPr>
              <w:fldChar w:fldCharType="end"/>
            </w:r>
          </w:hyperlink>
        </w:p>
        <w:p w14:paraId="7E38137E"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55" w:history="1">
            <w:r w:rsidRPr="00CE75FE">
              <w:rPr>
                <w:rStyle w:val="Hipersaitas"/>
                <w:rFonts w:cstheme="minorHAnsi"/>
                <w:noProof/>
                <w:lang w:val="lt-LT"/>
              </w:rPr>
              <w:t>5.2.4.2. Priemonės įgyvendinimo suderinamumo vertinimas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176</w:t>
            </w:r>
            <w:r w:rsidRPr="00CE75FE">
              <w:rPr>
                <w:rFonts w:cstheme="minorHAnsi"/>
                <w:noProof/>
                <w:webHidden/>
              </w:rPr>
              <w:fldChar w:fldCharType="end"/>
            </w:r>
          </w:hyperlink>
        </w:p>
        <w:p w14:paraId="4850B4AC"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56" w:history="1">
            <w:r w:rsidRPr="00CE75FE">
              <w:rPr>
                <w:rStyle w:val="Hipersaitas"/>
                <w:rFonts w:cstheme="minorHAnsi"/>
                <w:noProof/>
                <w:lang w:val="lt-LT"/>
              </w:rPr>
              <w:t>5.2.4.3. Priemonės įgyvendinimo vertinimo išvada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177</w:t>
            </w:r>
            <w:r w:rsidRPr="00CE75FE">
              <w:rPr>
                <w:rFonts w:cstheme="minorHAnsi"/>
                <w:noProof/>
                <w:webHidden/>
              </w:rPr>
              <w:fldChar w:fldCharType="end"/>
            </w:r>
          </w:hyperlink>
        </w:p>
        <w:p w14:paraId="5B2FF38A"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57" w:history="1">
            <w:r w:rsidRPr="00CE75FE">
              <w:rPr>
                <w:rStyle w:val="Hipersaitas"/>
                <w:rFonts w:cstheme="minorHAnsi"/>
                <w:noProof/>
                <w:lang w:val="lt-LT"/>
              </w:rPr>
              <w:t>6.</w:t>
            </w:r>
            <w:r w:rsidRPr="00CE75FE">
              <w:rPr>
                <w:rFonts w:eastAsiaTheme="minorEastAsia" w:cstheme="minorHAnsi"/>
                <w:noProof/>
                <w:lang w:val="lt-LT" w:eastAsia="lt-LT"/>
              </w:rPr>
              <w:tab/>
            </w:r>
            <w:r w:rsidRPr="00CE75FE">
              <w:rPr>
                <w:rStyle w:val="Hipersaitas"/>
                <w:rFonts w:cstheme="minorHAnsi"/>
                <w:noProof/>
                <w:lang w:val="lt-LT"/>
              </w:rPr>
              <w:t>Finansinių priemonių patirtis Lietuvoje ir kitose šalyse</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178</w:t>
            </w:r>
            <w:r w:rsidRPr="00CE75FE">
              <w:rPr>
                <w:rFonts w:cstheme="minorHAnsi"/>
                <w:noProof/>
                <w:webHidden/>
              </w:rPr>
              <w:fldChar w:fldCharType="end"/>
            </w:r>
          </w:hyperlink>
        </w:p>
        <w:p w14:paraId="599ED2CB"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58" w:history="1">
            <w:r w:rsidRPr="00CE75FE">
              <w:rPr>
                <w:rStyle w:val="Hipersaitas"/>
                <w:rFonts w:cstheme="minorHAnsi"/>
                <w:noProof/>
                <w:lang w:val="lt-LT"/>
              </w:rPr>
              <w:t>6.1.</w:t>
            </w:r>
            <w:r w:rsidRPr="00CE75FE">
              <w:rPr>
                <w:rFonts w:eastAsiaTheme="minorEastAsia" w:cstheme="minorHAnsi"/>
                <w:noProof/>
                <w:lang w:val="lt-LT" w:eastAsia="lt-LT"/>
              </w:rPr>
              <w:tab/>
            </w:r>
            <w:r w:rsidRPr="00CE75FE">
              <w:rPr>
                <w:rStyle w:val="Hipersaitas"/>
                <w:rFonts w:cstheme="minorHAnsi"/>
                <w:noProof/>
                <w:lang w:val="lt-LT"/>
              </w:rPr>
              <w:t>Finansinių priemonių identifikavimas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178</w:t>
            </w:r>
            <w:r w:rsidRPr="00CE75FE">
              <w:rPr>
                <w:rFonts w:cstheme="minorHAnsi"/>
                <w:noProof/>
                <w:webHidden/>
              </w:rPr>
              <w:fldChar w:fldCharType="end"/>
            </w:r>
          </w:hyperlink>
        </w:p>
        <w:p w14:paraId="3D099189"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59" w:history="1">
            <w:r w:rsidRPr="00CE75FE">
              <w:rPr>
                <w:rStyle w:val="Hipersaitas"/>
                <w:rFonts w:cstheme="minorHAnsi"/>
                <w:noProof/>
                <w:lang w:val="lt-LT"/>
              </w:rPr>
              <w:t>6.2.</w:t>
            </w:r>
            <w:r w:rsidRPr="00CE75FE">
              <w:rPr>
                <w:rFonts w:eastAsiaTheme="minorEastAsia" w:cstheme="minorHAnsi"/>
                <w:noProof/>
                <w:lang w:val="lt-LT" w:eastAsia="lt-LT"/>
              </w:rPr>
              <w:tab/>
            </w:r>
            <w:r w:rsidRPr="00CE75FE">
              <w:rPr>
                <w:rStyle w:val="Hipersaitas"/>
                <w:rFonts w:cstheme="minorHAnsi"/>
                <w:noProof/>
                <w:lang w:val="lt-LT"/>
              </w:rPr>
              <w:t>Įgyta patirtis bei atvejų studijos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_Toc25589959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181</w:t>
            </w:r>
            <w:r w:rsidRPr="00CE75FE">
              <w:rPr>
                <w:rFonts w:cstheme="minorHAnsi"/>
                <w:noProof/>
                <w:webHidden/>
              </w:rPr>
              <w:fldChar w:fldCharType="end"/>
            </w:r>
          </w:hyperlink>
        </w:p>
        <w:p w14:paraId="3320FBCD"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60" w:history="1">
            <w:r w:rsidRPr="00CE75FE">
              <w:rPr>
                <w:rStyle w:val="Hipersaitas"/>
                <w:rFonts w:cstheme="minorHAnsi"/>
                <w:noProof/>
                <w:lang w:val="lt-LT"/>
              </w:rPr>
              <w:t>6.3.</w:t>
            </w:r>
            <w:r w:rsidRPr="00CE75FE">
              <w:rPr>
                <w:rFonts w:eastAsiaTheme="minorEastAsia" w:cstheme="minorHAnsi"/>
                <w:noProof/>
                <w:lang w:val="lt-LT" w:eastAsia="lt-LT"/>
              </w:rPr>
              <w:tab/>
            </w:r>
            <w:r w:rsidRPr="00CE75FE">
              <w:rPr>
                <w:rStyle w:val="Hipersaitas"/>
                <w:rFonts w:cstheme="minorHAnsi"/>
                <w:noProof/>
                <w:lang w:val="lt-LT"/>
              </w:rPr>
              <w:t>Patirties pritaikymas Lietuvoje – rizikos analizė</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190</w:t>
            </w:r>
            <w:r w:rsidRPr="00CE75FE">
              <w:rPr>
                <w:rFonts w:cstheme="minorHAnsi"/>
                <w:noProof/>
                <w:webHidden/>
              </w:rPr>
              <w:fldChar w:fldCharType="end"/>
            </w:r>
          </w:hyperlink>
        </w:p>
        <w:p w14:paraId="1368C8CF"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61" w:history="1">
            <w:r w:rsidRPr="00CE75FE">
              <w:rPr>
                <w:rStyle w:val="Hipersaitas"/>
                <w:rFonts w:cstheme="minorHAnsi"/>
                <w:noProof/>
                <w:lang w:val="lt-LT"/>
              </w:rPr>
              <w:t>7.</w:t>
            </w:r>
            <w:r w:rsidRPr="00CE75FE">
              <w:rPr>
                <w:rFonts w:eastAsiaTheme="minorEastAsia" w:cstheme="minorHAnsi"/>
                <w:noProof/>
                <w:lang w:val="lt-LT" w:eastAsia="lt-LT"/>
              </w:rPr>
              <w:tab/>
            </w:r>
            <w:r w:rsidRPr="00CE75FE">
              <w:rPr>
                <w:rStyle w:val="Hipersaitas"/>
                <w:rFonts w:cstheme="minorHAnsi"/>
                <w:noProof/>
                <w:lang w:val="lt-LT"/>
              </w:rPr>
              <w:t>Investavimo strategija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191</w:t>
            </w:r>
            <w:r w:rsidRPr="00CE75FE">
              <w:rPr>
                <w:rFonts w:cstheme="minorHAnsi"/>
                <w:noProof/>
                <w:webHidden/>
              </w:rPr>
              <w:fldChar w:fldCharType="end"/>
            </w:r>
          </w:hyperlink>
        </w:p>
        <w:p w14:paraId="35EC5ECD"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62" w:history="1">
            <w:r w:rsidRPr="00CE75FE">
              <w:rPr>
                <w:rStyle w:val="Hipersaitas"/>
                <w:rFonts w:cstheme="minorHAnsi"/>
                <w:noProof/>
                <w:lang w:val="lt-LT"/>
              </w:rPr>
              <w:t>7.1.</w:t>
            </w:r>
            <w:r w:rsidRPr="00CE75FE">
              <w:rPr>
                <w:rFonts w:eastAsiaTheme="minorEastAsia" w:cstheme="minorHAnsi"/>
                <w:noProof/>
                <w:lang w:val="lt-LT" w:eastAsia="lt-LT"/>
              </w:rPr>
              <w:tab/>
            </w:r>
            <w:r w:rsidRPr="00CE75FE">
              <w:rPr>
                <w:rStyle w:val="Hipersaitas"/>
                <w:rFonts w:cstheme="minorHAnsi"/>
                <w:noProof/>
                <w:lang w:val="lt-LT"/>
              </w:rPr>
              <w:t>Daugiabučių namų modernizavimo investavimo strategija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191</w:t>
            </w:r>
            <w:r w:rsidRPr="00CE75FE">
              <w:rPr>
                <w:rFonts w:cstheme="minorHAnsi"/>
                <w:noProof/>
                <w:webHidden/>
              </w:rPr>
              <w:fldChar w:fldCharType="end"/>
            </w:r>
          </w:hyperlink>
        </w:p>
        <w:p w14:paraId="47FDC1C1"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63" w:history="1">
            <w:r w:rsidRPr="00CE75FE">
              <w:rPr>
                <w:rStyle w:val="Hipersaitas"/>
                <w:rFonts w:cstheme="minorHAnsi"/>
                <w:noProof/>
                <w:lang w:val="lt-LT"/>
              </w:rPr>
              <w:t>7.1.1.</w:t>
            </w:r>
            <w:r w:rsidRPr="00CE75FE">
              <w:rPr>
                <w:rFonts w:eastAsiaTheme="minorEastAsia" w:cstheme="minorHAnsi"/>
                <w:noProof/>
                <w:lang w:val="lt-LT" w:eastAsia="lt-LT"/>
              </w:rPr>
              <w:tab/>
            </w:r>
            <w:r w:rsidRPr="00CE75FE">
              <w:rPr>
                <w:rStyle w:val="Hipersaitas"/>
                <w:rFonts w:cstheme="minorHAnsi"/>
                <w:noProof/>
                <w:lang w:val="lt-LT"/>
              </w:rPr>
              <w:t>Finansinės priemonės apimtis ir tiksliniai galutiniai naudos gavėjai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191</w:t>
            </w:r>
            <w:r w:rsidRPr="00CE75FE">
              <w:rPr>
                <w:rFonts w:cstheme="minorHAnsi"/>
                <w:noProof/>
                <w:webHidden/>
              </w:rPr>
              <w:fldChar w:fldCharType="end"/>
            </w:r>
          </w:hyperlink>
        </w:p>
        <w:p w14:paraId="6CFED670"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64" w:history="1">
            <w:r w:rsidRPr="00CE75FE">
              <w:rPr>
                <w:rStyle w:val="Hipersaitas"/>
                <w:rFonts w:cstheme="minorHAnsi"/>
                <w:noProof/>
                <w:lang w:val="lt-LT"/>
              </w:rPr>
              <w:t>7.1.2.</w:t>
            </w:r>
            <w:r w:rsidRPr="00CE75FE">
              <w:rPr>
                <w:rFonts w:eastAsiaTheme="minorEastAsia" w:cstheme="minorHAnsi"/>
                <w:noProof/>
                <w:lang w:val="lt-LT" w:eastAsia="lt-LT"/>
              </w:rPr>
              <w:tab/>
            </w:r>
            <w:r w:rsidRPr="00CE75FE">
              <w:rPr>
                <w:rStyle w:val="Hipersaitas"/>
                <w:rFonts w:cstheme="minorHAnsi"/>
                <w:noProof/>
                <w:lang w:val="lt-LT"/>
              </w:rPr>
              <w:t>Finansinio produkto parinkimas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191</w:t>
            </w:r>
            <w:r w:rsidRPr="00CE75FE">
              <w:rPr>
                <w:rFonts w:cstheme="minorHAnsi"/>
                <w:noProof/>
                <w:webHidden/>
              </w:rPr>
              <w:fldChar w:fldCharType="end"/>
            </w:r>
          </w:hyperlink>
        </w:p>
        <w:p w14:paraId="077571EA"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65" w:history="1">
            <w:r w:rsidRPr="00CE75FE">
              <w:rPr>
                <w:rStyle w:val="Hipersaitas"/>
                <w:rFonts w:cstheme="minorHAnsi"/>
                <w:noProof/>
                <w:lang w:val="lt-LT"/>
              </w:rPr>
              <w:t>7.1.3.</w:t>
            </w:r>
            <w:r w:rsidRPr="00CE75FE">
              <w:rPr>
                <w:rFonts w:eastAsiaTheme="minorEastAsia" w:cstheme="minorHAnsi"/>
                <w:noProof/>
                <w:lang w:val="lt-LT" w:eastAsia="lt-LT"/>
              </w:rPr>
              <w:tab/>
            </w:r>
            <w:r w:rsidRPr="00CE75FE">
              <w:rPr>
                <w:rStyle w:val="Hipersaitas"/>
                <w:rFonts w:cstheme="minorHAnsi"/>
                <w:noProof/>
                <w:lang w:val="lt-LT"/>
              </w:rPr>
              <w:t>Finansinės priemonės derinimas su parama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192</w:t>
            </w:r>
            <w:r w:rsidRPr="00CE75FE">
              <w:rPr>
                <w:rFonts w:cstheme="minorHAnsi"/>
                <w:noProof/>
                <w:webHidden/>
              </w:rPr>
              <w:fldChar w:fldCharType="end"/>
            </w:r>
          </w:hyperlink>
        </w:p>
        <w:p w14:paraId="3F9FCEC9"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66" w:history="1">
            <w:r w:rsidRPr="00CE75FE">
              <w:rPr>
                <w:rStyle w:val="Hipersaitas"/>
                <w:rFonts w:cstheme="minorHAnsi"/>
                <w:noProof/>
                <w:lang w:val="lt-LT"/>
              </w:rPr>
              <w:t>7.1.4.</w:t>
            </w:r>
            <w:r w:rsidRPr="00CE75FE">
              <w:rPr>
                <w:rFonts w:eastAsiaTheme="minorEastAsia" w:cstheme="minorHAnsi"/>
                <w:noProof/>
                <w:lang w:val="lt-LT" w:eastAsia="lt-LT"/>
              </w:rPr>
              <w:tab/>
            </w:r>
            <w:r w:rsidRPr="00CE75FE">
              <w:rPr>
                <w:rStyle w:val="Hipersaitas"/>
                <w:rFonts w:cstheme="minorHAnsi"/>
                <w:noProof/>
                <w:lang w:val="lt-LT"/>
              </w:rPr>
              <w:t>Finansinės priemonės įgyvendinimo struktūra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193</w:t>
            </w:r>
            <w:r w:rsidRPr="00CE75FE">
              <w:rPr>
                <w:rFonts w:cstheme="minorHAnsi"/>
                <w:noProof/>
                <w:webHidden/>
              </w:rPr>
              <w:fldChar w:fldCharType="end"/>
            </w:r>
          </w:hyperlink>
        </w:p>
        <w:p w14:paraId="70CCD85F"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67" w:history="1">
            <w:r w:rsidRPr="00CE75FE">
              <w:rPr>
                <w:rStyle w:val="Hipersaitas"/>
                <w:rFonts w:cstheme="minorHAnsi"/>
                <w:noProof/>
                <w:lang w:val="lt-LT"/>
              </w:rPr>
              <w:t>7.1.4.1.</w:t>
            </w:r>
            <w:r w:rsidRPr="00CE75FE">
              <w:rPr>
                <w:rFonts w:eastAsiaTheme="minorEastAsia" w:cstheme="minorHAnsi"/>
                <w:noProof/>
                <w:lang w:val="lt-LT" w:eastAsia="lt-LT"/>
              </w:rPr>
              <w:tab/>
            </w:r>
            <w:r w:rsidRPr="00CE75FE">
              <w:rPr>
                <w:rStyle w:val="Hipersaitas"/>
                <w:rFonts w:cstheme="minorHAnsi"/>
                <w:noProof/>
                <w:lang w:val="lt-LT"/>
              </w:rPr>
              <w:t>2014-2020 lėšų investavimas į esamą JESSICA fondą (fondų fondo tęsinys)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195</w:t>
            </w:r>
            <w:r w:rsidRPr="00CE75FE">
              <w:rPr>
                <w:rFonts w:cstheme="minorHAnsi"/>
                <w:noProof/>
                <w:webHidden/>
              </w:rPr>
              <w:fldChar w:fldCharType="end"/>
            </w:r>
          </w:hyperlink>
        </w:p>
        <w:p w14:paraId="7D95AF2A"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68" w:history="1">
            <w:r w:rsidRPr="00CE75FE">
              <w:rPr>
                <w:rStyle w:val="Hipersaitas"/>
                <w:rFonts w:cstheme="minorHAnsi"/>
                <w:noProof/>
                <w:lang w:val="lt-LT"/>
              </w:rPr>
              <w:t>7.1.4.2.</w:t>
            </w:r>
            <w:r w:rsidRPr="00CE75FE">
              <w:rPr>
                <w:rFonts w:eastAsiaTheme="minorEastAsia" w:cstheme="minorHAnsi"/>
                <w:noProof/>
                <w:lang w:val="lt-LT" w:eastAsia="lt-LT"/>
              </w:rPr>
              <w:tab/>
            </w:r>
            <w:r w:rsidRPr="00CE75FE">
              <w:rPr>
                <w:rStyle w:val="Hipersaitas"/>
                <w:rFonts w:cstheme="minorHAnsi"/>
                <w:noProof/>
                <w:lang w:val="lt-LT"/>
              </w:rPr>
              <w:t>2014-2020 m. ES lėšų investavimas į naują paskolų finansinę priemonę</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196</w:t>
            </w:r>
            <w:r w:rsidRPr="00CE75FE">
              <w:rPr>
                <w:rFonts w:cstheme="minorHAnsi"/>
                <w:noProof/>
                <w:webHidden/>
              </w:rPr>
              <w:fldChar w:fldCharType="end"/>
            </w:r>
          </w:hyperlink>
        </w:p>
        <w:p w14:paraId="726DEBCB"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69" w:history="1">
            <w:r w:rsidRPr="00CE75FE">
              <w:rPr>
                <w:rStyle w:val="Hipersaitas"/>
                <w:rFonts w:cstheme="minorHAnsi"/>
                <w:noProof/>
                <w:lang w:val="lt-LT"/>
              </w:rPr>
              <w:t>7.1.4.3.</w:t>
            </w:r>
            <w:r w:rsidRPr="00CE75FE">
              <w:rPr>
                <w:rFonts w:eastAsiaTheme="minorEastAsia" w:cstheme="minorHAnsi"/>
                <w:noProof/>
                <w:lang w:val="lt-LT" w:eastAsia="lt-LT"/>
              </w:rPr>
              <w:tab/>
            </w:r>
            <w:r w:rsidRPr="00CE75FE">
              <w:rPr>
                <w:rStyle w:val="Hipersaitas"/>
                <w:rFonts w:cstheme="minorHAnsi"/>
                <w:noProof/>
                <w:lang w:val="lt-LT"/>
              </w:rPr>
              <w:t>2014-2020 m. ES lėšų investavimas į garantijų finansinę priemonę</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_Toc25589969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197</w:t>
            </w:r>
            <w:r w:rsidRPr="00CE75FE">
              <w:rPr>
                <w:rFonts w:cstheme="minorHAnsi"/>
                <w:noProof/>
                <w:webHidden/>
              </w:rPr>
              <w:fldChar w:fldCharType="end"/>
            </w:r>
          </w:hyperlink>
        </w:p>
        <w:p w14:paraId="7DFBCF97"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70" w:history="1">
            <w:r w:rsidRPr="00CE75FE">
              <w:rPr>
                <w:rStyle w:val="Hipersaitas"/>
                <w:rFonts w:cstheme="minorHAnsi"/>
                <w:noProof/>
                <w:lang w:val="lt-LT"/>
              </w:rPr>
              <w:t>7.1.4.4.</w:t>
            </w:r>
            <w:r w:rsidRPr="00CE75FE">
              <w:rPr>
                <w:rFonts w:eastAsiaTheme="minorEastAsia" w:cstheme="minorHAnsi"/>
                <w:noProof/>
                <w:lang w:val="lt-LT" w:eastAsia="lt-LT"/>
              </w:rPr>
              <w:tab/>
            </w:r>
            <w:r w:rsidRPr="00CE75FE">
              <w:rPr>
                <w:rStyle w:val="Hipersaitas"/>
                <w:rFonts w:cstheme="minorHAnsi"/>
                <w:noProof/>
                <w:lang w:val="lt-LT"/>
              </w:rPr>
              <w:t>Asimetrinio rizikos fondo steigimas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199</w:t>
            </w:r>
            <w:r w:rsidRPr="00CE75FE">
              <w:rPr>
                <w:rFonts w:cstheme="minorHAnsi"/>
                <w:noProof/>
                <w:webHidden/>
              </w:rPr>
              <w:fldChar w:fldCharType="end"/>
            </w:r>
          </w:hyperlink>
        </w:p>
        <w:p w14:paraId="4057D602"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71" w:history="1">
            <w:r w:rsidRPr="00CE75FE">
              <w:rPr>
                <w:rStyle w:val="Hipersaitas"/>
                <w:rFonts w:cstheme="minorHAnsi"/>
                <w:noProof/>
                <w:lang w:val="lt-LT"/>
              </w:rPr>
              <w:t>7.1.4.5.</w:t>
            </w:r>
            <w:r w:rsidRPr="00CE75FE">
              <w:rPr>
                <w:rFonts w:eastAsiaTheme="minorEastAsia" w:cstheme="minorHAnsi"/>
                <w:noProof/>
                <w:lang w:val="lt-LT" w:eastAsia="lt-LT"/>
              </w:rPr>
              <w:tab/>
            </w:r>
            <w:r w:rsidRPr="00CE75FE">
              <w:rPr>
                <w:rStyle w:val="Hipersaitas"/>
                <w:rFonts w:cstheme="minorHAnsi"/>
                <w:noProof/>
                <w:lang w:val="lt-LT"/>
              </w:rPr>
              <w:t>Siūloma įgyvendinti alternatyva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200</w:t>
            </w:r>
            <w:r w:rsidRPr="00CE75FE">
              <w:rPr>
                <w:rFonts w:cstheme="minorHAnsi"/>
                <w:noProof/>
                <w:webHidden/>
              </w:rPr>
              <w:fldChar w:fldCharType="end"/>
            </w:r>
          </w:hyperlink>
        </w:p>
        <w:p w14:paraId="04B9D1D6"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72" w:history="1">
            <w:r w:rsidRPr="00CE75FE">
              <w:rPr>
                <w:rStyle w:val="Hipersaitas"/>
                <w:rFonts w:cstheme="minorHAnsi"/>
                <w:noProof/>
                <w:lang w:val="lt-LT"/>
              </w:rPr>
              <w:t>7.1.4.6.</w:t>
            </w:r>
            <w:r w:rsidRPr="00CE75FE">
              <w:rPr>
                <w:rFonts w:eastAsiaTheme="minorEastAsia" w:cstheme="minorHAnsi"/>
                <w:noProof/>
                <w:lang w:val="lt-LT" w:eastAsia="lt-LT"/>
              </w:rPr>
              <w:tab/>
            </w:r>
            <w:r w:rsidRPr="00CE75FE">
              <w:rPr>
                <w:rStyle w:val="Hipersaitas"/>
                <w:rFonts w:cstheme="minorHAnsi"/>
                <w:noProof/>
                <w:lang w:val="lt-LT"/>
              </w:rPr>
              <w:t>Tikėtinų rezultatų nustatymas ir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202</w:t>
            </w:r>
            <w:r w:rsidRPr="00CE75FE">
              <w:rPr>
                <w:rFonts w:cstheme="minorHAnsi"/>
                <w:noProof/>
                <w:webHidden/>
              </w:rPr>
              <w:fldChar w:fldCharType="end"/>
            </w:r>
          </w:hyperlink>
        </w:p>
        <w:p w14:paraId="67B3C0A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3" w:history="1">
            <w:r w:rsidRPr="00CE75FE">
              <w:rPr>
                <w:rStyle w:val="Hipersaitas"/>
                <w:rFonts w:cstheme="minorHAnsi"/>
                <w:noProof/>
                <w:lang w:val="lt-LT"/>
              </w:rPr>
              <w:t>7.1.5.</w:t>
            </w:r>
            <w:r w:rsidRPr="00CE75FE">
              <w:rPr>
                <w:rFonts w:eastAsiaTheme="minorEastAsia" w:cstheme="minorHAnsi"/>
                <w:noProof/>
                <w:lang w:val="lt-LT" w:eastAsia="lt-LT"/>
              </w:rPr>
              <w:tab/>
            </w:r>
            <w:r w:rsidRPr="00CE75FE">
              <w:rPr>
                <w:rStyle w:val="Hipersaitas"/>
                <w:rFonts w:cstheme="minorHAnsi"/>
                <w:noProof/>
                <w:lang w:val="lt-LT"/>
              </w:rPr>
              <w:t>Finansinės priemonės rezultatų prisidėjimas prie strateginių tikslų</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202</w:t>
            </w:r>
            <w:r w:rsidRPr="00CE75FE">
              <w:rPr>
                <w:rFonts w:cstheme="minorHAnsi"/>
                <w:noProof/>
                <w:webHidden/>
              </w:rPr>
              <w:fldChar w:fldCharType="end"/>
            </w:r>
          </w:hyperlink>
        </w:p>
        <w:p w14:paraId="75F3A70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4" w:history="1">
            <w:r w:rsidRPr="00CE75FE">
              <w:rPr>
                <w:rStyle w:val="Hipersaitas"/>
                <w:rFonts w:cstheme="minorHAnsi"/>
                <w:noProof/>
                <w:lang w:val="lt-LT"/>
              </w:rPr>
              <w:t>7.1.6.</w:t>
            </w:r>
            <w:r w:rsidRPr="00CE75FE">
              <w:rPr>
                <w:rFonts w:eastAsiaTheme="minorEastAsia" w:cstheme="minorHAnsi"/>
                <w:noProof/>
                <w:lang w:val="lt-LT" w:eastAsia="lt-LT"/>
              </w:rPr>
              <w:tab/>
            </w:r>
            <w:r w:rsidRPr="00CE75FE">
              <w:rPr>
                <w:rStyle w:val="Hipersaitas"/>
                <w:rFonts w:cstheme="minorHAnsi"/>
                <w:noProof/>
                <w:lang w:val="lt-LT"/>
              </w:rPr>
              <w:t>Stebėsenos sistemos apibrėžimas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204</w:t>
            </w:r>
            <w:r w:rsidRPr="00CE75FE">
              <w:rPr>
                <w:rFonts w:cstheme="minorHAnsi"/>
                <w:noProof/>
                <w:webHidden/>
              </w:rPr>
              <w:fldChar w:fldCharType="end"/>
            </w:r>
          </w:hyperlink>
        </w:p>
        <w:p w14:paraId="1F5CA7BE"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75" w:history="1">
            <w:r w:rsidRPr="00CE75FE">
              <w:rPr>
                <w:rStyle w:val="Hipersaitas"/>
                <w:rFonts w:cstheme="minorHAnsi"/>
                <w:noProof/>
                <w:lang w:val="lt-LT"/>
              </w:rPr>
              <w:t>7.2.</w:t>
            </w:r>
            <w:r w:rsidRPr="00CE75FE">
              <w:rPr>
                <w:rFonts w:eastAsiaTheme="minorEastAsia" w:cstheme="minorHAnsi"/>
                <w:noProof/>
                <w:lang w:val="lt-LT" w:eastAsia="lt-LT"/>
              </w:rPr>
              <w:tab/>
            </w:r>
            <w:r w:rsidRPr="00CE75FE">
              <w:rPr>
                <w:rStyle w:val="Hipersaitas"/>
                <w:rFonts w:cstheme="minorHAnsi"/>
                <w:noProof/>
                <w:lang w:val="lt-LT"/>
              </w:rPr>
              <w:t>Centrinės valdžios viešųjų pastatų ir gatvių apšvietimo modernizavimo investavimo strategija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205</w:t>
            </w:r>
            <w:r w:rsidRPr="00CE75FE">
              <w:rPr>
                <w:rFonts w:cstheme="minorHAnsi"/>
                <w:noProof/>
                <w:webHidden/>
              </w:rPr>
              <w:fldChar w:fldCharType="end"/>
            </w:r>
          </w:hyperlink>
        </w:p>
        <w:p w14:paraId="409BEDD4"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6" w:history="1">
            <w:r w:rsidRPr="00CE75FE">
              <w:rPr>
                <w:rStyle w:val="Hipersaitas"/>
                <w:rFonts w:cstheme="minorHAnsi"/>
                <w:noProof/>
                <w:lang w:val="lt-LT"/>
              </w:rPr>
              <w:t>7.2.1.</w:t>
            </w:r>
            <w:r w:rsidRPr="00CE75FE">
              <w:rPr>
                <w:rFonts w:eastAsiaTheme="minorEastAsia" w:cstheme="minorHAnsi"/>
                <w:noProof/>
                <w:lang w:val="lt-LT" w:eastAsia="lt-LT"/>
              </w:rPr>
              <w:tab/>
            </w:r>
            <w:r w:rsidRPr="00CE75FE">
              <w:rPr>
                <w:rStyle w:val="Hipersaitas"/>
                <w:rFonts w:cstheme="minorHAnsi"/>
                <w:noProof/>
                <w:lang w:val="lt-LT"/>
              </w:rPr>
              <w:t>Finansinių priemonių apimtis ir tiksliniai galutiniai naudos gavėjai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205</w:t>
            </w:r>
            <w:r w:rsidRPr="00CE75FE">
              <w:rPr>
                <w:rFonts w:cstheme="minorHAnsi"/>
                <w:noProof/>
                <w:webHidden/>
              </w:rPr>
              <w:fldChar w:fldCharType="end"/>
            </w:r>
          </w:hyperlink>
        </w:p>
        <w:p w14:paraId="38FFB4A2"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7" w:history="1">
            <w:r w:rsidRPr="00CE75FE">
              <w:rPr>
                <w:rStyle w:val="Hipersaitas"/>
                <w:rFonts w:cstheme="minorHAnsi"/>
                <w:noProof/>
                <w:lang w:val="lt-LT"/>
              </w:rPr>
              <w:t>7.2.2.</w:t>
            </w:r>
            <w:r w:rsidRPr="00CE75FE">
              <w:rPr>
                <w:rFonts w:eastAsiaTheme="minorEastAsia" w:cstheme="minorHAnsi"/>
                <w:noProof/>
                <w:lang w:val="lt-LT" w:eastAsia="lt-LT"/>
              </w:rPr>
              <w:tab/>
            </w:r>
            <w:r w:rsidRPr="00CE75FE">
              <w:rPr>
                <w:rStyle w:val="Hipersaitas"/>
                <w:rFonts w:cstheme="minorHAnsi"/>
                <w:noProof/>
                <w:lang w:val="lt-LT"/>
              </w:rPr>
              <w:t>Finansinio produkto parinkimas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206</w:t>
            </w:r>
            <w:r w:rsidRPr="00CE75FE">
              <w:rPr>
                <w:rFonts w:cstheme="minorHAnsi"/>
                <w:noProof/>
                <w:webHidden/>
              </w:rPr>
              <w:fldChar w:fldCharType="end"/>
            </w:r>
          </w:hyperlink>
        </w:p>
        <w:p w14:paraId="44C183CB"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8" w:history="1">
            <w:r w:rsidRPr="00CE75FE">
              <w:rPr>
                <w:rStyle w:val="Hipersaitas"/>
                <w:rFonts w:cstheme="minorHAnsi"/>
                <w:noProof/>
                <w:lang w:val="lt-LT"/>
              </w:rPr>
              <w:t>7.2.3.</w:t>
            </w:r>
            <w:r w:rsidRPr="00CE75FE">
              <w:rPr>
                <w:rFonts w:eastAsiaTheme="minorEastAsia" w:cstheme="minorHAnsi"/>
                <w:noProof/>
                <w:lang w:val="lt-LT" w:eastAsia="lt-LT"/>
              </w:rPr>
              <w:tab/>
            </w:r>
            <w:r w:rsidRPr="00CE75FE">
              <w:rPr>
                <w:rStyle w:val="Hipersaitas"/>
                <w:rFonts w:cstheme="minorHAnsi"/>
                <w:noProof/>
                <w:lang w:val="lt-LT"/>
              </w:rPr>
              <w:t>Finansinės priemonės derinimas su parama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208</w:t>
            </w:r>
            <w:r w:rsidRPr="00CE75FE">
              <w:rPr>
                <w:rFonts w:cstheme="minorHAnsi"/>
                <w:noProof/>
                <w:webHidden/>
              </w:rPr>
              <w:fldChar w:fldCharType="end"/>
            </w:r>
          </w:hyperlink>
        </w:p>
        <w:p w14:paraId="4EE9CD86"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79" w:history="1">
            <w:r w:rsidRPr="00CE75FE">
              <w:rPr>
                <w:rStyle w:val="Hipersaitas"/>
                <w:rFonts w:cstheme="minorHAnsi"/>
                <w:noProof/>
                <w:lang w:val="lt-LT"/>
              </w:rPr>
              <w:t>7.2.4.</w:t>
            </w:r>
            <w:r w:rsidRPr="00CE75FE">
              <w:rPr>
                <w:rFonts w:eastAsiaTheme="minorEastAsia" w:cstheme="minorHAnsi"/>
                <w:noProof/>
                <w:lang w:val="lt-LT" w:eastAsia="lt-LT"/>
              </w:rPr>
              <w:tab/>
            </w:r>
            <w:r w:rsidRPr="00CE75FE">
              <w:rPr>
                <w:rStyle w:val="Hipersaitas"/>
                <w:rFonts w:cstheme="minorHAnsi"/>
                <w:noProof/>
                <w:lang w:val="lt-LT"/>
              </w:rPr>
              <w:t>Finansinės priemonės įgyvendinimo struktūra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_Toc25589979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211</w:t>
            </w:r>
            <w:r w:rsidRPr="00CE75FE">
              <w:rPr>
                <w:rFonts w:cstheme="minorHAnsi"/>
                <w:noProof/>
                <w:webHidden/>
              </w:rPr>
              <w:fldChar w:fldCharType="end"/>
            </w:r>
          </w:hyperlink>
        </w:p>
        <w:p w14:paraId="7A7E7228"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80" w:history="1">
            <w:r w:rsidRPr="00CE75FE">
              <w:rPr>
                <w:rStyle w:val="Hipersaitas"/>
                <w:rFonts w:cstheme="minorHAnsi"/>
                <w:noProof/>
                <w:lang w:val="lt-LT"/>
              </w:rPr>
              <w:t>7.2.4.1.</w:t>
            </w:r>
            <w:r w:rsidRPr="00CE75FE">
              <w:rPr>
                <w:rFonts w:eastAsiaTheme="minorEastAsia" w:cstheme="minorHAnsi"/>
                <w:noProof/>
                <w:lang w:val="lt-LT" w:eastAsia="lt-LT"/>
              </w:rPr>
              <w:tab/>
            </w:r>
            <w:r w:rsidRPr="00CE75FE">
              <w:rPr>
                <w:rStyle w:val="Hipersaitas"/>
                <w:rFonts w:cstheme="minorHAnsi"/>
                <w:noProof/>
                <w:lang w:val="lt-LT"/>
              </w:rPr>
              <w:t>Fondų fondo (ar finansinės priemonės) sukūrimas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214</w:t>
            </w:r>
            <w:r w:rsidRPr="00CE75FE">
              <w:rPr>
                <w:rFonts w:cstheme="minorHAnsi"/>
                <w:noProof/>
                <w:webHidden/>
              </w:rPr>
              <w:fldChar w:fldCharType="end"/>
            </w:r>
          </w:hyperlink>
        </w:p>
        <w:p w14:paraId="5FEE589F"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81" w:history="1">
            <w:r w:rsidRPr="00CE75FE">
              <w:rPr>
                <w:rStyle w:val="Hipersaitas"/>
                <w:rFonts w:cstheme="minorHAnsi"/>
                <w:noProof/>
                <w:lang w:val="lt-LT"/>
              </w:rPr>
              <w:t>7.2.4.2.</w:t>
            </w:r>
            <w:r w:rsidRPr="00CE75FE">
              <w:rPr>
                <w:rFonts w:eastAsiaTheme="minorEastAsia" w:cstheme="minorHAnsi"/>
                <w:noProof/>
                <w:lang w:val="lt-LT" w:eastAsia="lt-LT"/>
              </w:rPr>
              <w:tab/>
            </w:r>
            <w:r w:rsidRPr="00CE75FE">
              <w:rPr>
                <w:rStyle w:val="Hipersaitas"/>
                <w:rFonts w:cstheme="minorHAnsi"/>
                <w:noProof/>
                <w:lang w:val="lt-LT"/>
              </w:rPr>
              <w:t>Asimetrinio rizikos fondo steigimas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215</w:t>
            </w:r>
            <w:r w:rsidRPr="00CE75FE">
              <w:rPr>
                <w:rFonts w:cstheme="minorHAnsi"/>
                <w:noProof/>
                <w:webHidden/>
              </w:rPr>
              <w:fldChar w:fldCharType="end"/>
            </w:r>
          </w:hyperlink>
        </w:p>
        <w:p w14:paraId="55CAC1C6"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82" w:history="1">
            <w:r w:rsidRPr="00CE75FE">
              <w:rPr>
                <w:rStyle w:val="Hipersaitas"/>
                <w:rFonts w:cstheme="minorHAnsi"/>
                <w:noProof/>
                <w:lang w:val="lt-LT"/>
              </w:rPr>
              <w:t>7.2.4.3.</w:t>
            </w:r>
            <w:r w:rsidRPr="00CE75FE">
              <w:rPr>
                <w:rFonts w:eastAsiaTheme="minorEastAsia" w:cstheme="minorHAnsi"/>
                <w:noProof/>
                <w:lang w:val="lt-LT" w:eastAsia="lt-LT"/>
              </w:rPr>
              <w:tab/>
            </w:r>
            <w:r w:rsidRPr="00CE75FE">
              <w:rPr>
                <w:rStyle w:val="Hipersaitas"/>
                <w:rFonts w:cstheme="minorHAnsi"/>
                <w:noProof/>
                <w:lang w:val="lt-LT"/>
              </w:rPr>
              <w:t>Fondų fondo ir investicinio fondo steigimas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216</w:t>
            </w:r>
            <w:r w:rsidRPr="00CE75FE">
              <w:rPr>
                <w:rFonts w:cstheme="minorHAnsi"/>
                <w:noProof/>
                <w:webHidden/>
              </w:rPr>
              <w:fldChar w:fldCharType="end"/>
            </w:r>
          </w:hyperlink>
        </w:p>
        <w:p w14:paraId="5E78A5FD" w14:textId="77777777" w:rsidR="00CE75FE" w:rsidRPr="00CE75FE" w:rsidRDefault="00CE75FE">
          <w:pPr>
            <w:pStyle w:val="Turinys2"/>
            <w:tabs>
              <w:tab w:val="left" w:pos="1320"/>
              <w:tab w:val="right" w:leader="dot" w:pos="9016"/>
            </w:tabs>
            <w:rPr>
              <w:rFonts w:eastAsiaTheme="minorEastAsia" w:cstheme="minorHAnsi"/>
              <w:noProof/>
              <w:lang w:val="lt-LT" w:eastAsia="lt-LT"/>
            </w:rPr>
          </w:pPr>
          <w:hyperlink w:anchor="_Toc25589983" w:history="1">
            <w:r w:rsidRPr="00CE75FE">
              <w:rPr>
                <w:rStyle w:val="Hipersaitas"/>
                <w:rFonts w:cstheme="minorHAnsi"/>
                <w:noProof/>
                <w:lang w:val="lt-LT"/>
              </w:rPr>
              <w:t>7.2.4.4.</w:t>
            </w:r>
            <w:r w:rsidRPr="00CE75FE">
              <w:rPr>
                <w:rFonts w:eastAsiaTheme="minorEastAsia" w:cstheme="minorHAnsi"/>
                <w:noProof/>
                <w:lang w:val="lt-LT" w:eastAsia="lt-LT"/>
              </w:rPr>
              <w:tab/>
            </w:r>
            <w:r w:rsidRPr="00CE75FE">
              <w:rPr>
                <w:rStyle w:val="Hipersaitas"/>
                <w:rFonts w:cstheme="minorHAnsi"/>
                <w:noProof/>
                <w:lang w:val="lt-LT"/>
              </w:rPr>
              <w:t>Siūloma įgyvendinti alternatyva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218</w:t>
            </w:r>
            <w:r w:rsidRPr="00CE75FE">
              <w:rPr>
                <w:rFonts w:cstheme="minorHAnsi"/>
                <w:noProof/>
                <w:webHidden/>
              </w:rPr>
              <w:fldChar w:fldCharType="end"/>
            </w:r>
          </w:hyperlink>
        </w:p>
        <w:p w14:paraId="5584CBAD"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84" w:history="1">
            <w:r w:rsidRPr="00CE75FE">
              <w:rPr>
                <w:rStyle w:val="Hipersaitas"/>
                <w:rFonts w:cstheme="minorHAnsi"/>
                <w:noProof/>
                <w:lang w:val="lt-LT"/>
              </w:rPr>
              <w:t>7.2.5.</w:t>
            </w:r>
            <w:r w:rsidRPr="00CE75FE">
              <w:rPr>
                <w:rFonts w:eastAsiaTheme="minorEastAsia" w:cstheme="minorHAnsi"/>
                <w:noProof/>
                <w:lang w:val="lt-LT" w:eastAsia="lt-LT"/>
              </w:rPr>
              <w:tab/>
            </w:r>
            <w:r w:rsidRPr="00CE75FE">
              <w:rPr>
                <w:rStyle w:val="Hipersaitas"/>
                <w:rFonts w:cstheme="minorHAnsi"/>
                <w:noProof/>
                <w:lang w:val="lt-LT"/>
              </w:rPr>
              <w:t>Tikėtinų rezultatų nustatymas ir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219</w:t>
            </w:r>
            <w:r w:rsidRPr="00CE75FE">
              <w:rPr>
                <w:rFonts w:cstheme="minorHAnsi"/>
                <w:noProof/>
                <w:webHidden/>
              </w:rPr>
              <w:fldChar w:fldCharType="end"/>
            </w:r>
          </w:hyperlink>
        </w:p>
        <w:p w14:paraId="628693D9"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85" w:history="1">
            <w:r w:rsidRPr="00CE75FE">
              <w:rPr>
                <w:rStyle w:val="Hipersaitas"/>
                <w:rFonts w:cstheme="minorHAnsi"/>
                <w:noProof/>
                <w:lang w:val="lt-LT"/>
              </w:rPr>
              <w:t>7.2.6.</w:t>
            </w:r>
            <w:r w:rsidRPr="00CE75FE">
              <w:rPr>
                <w:rFonts w:eastAsiaTheme="minorEastAsia" w:cstheme="minorHAnsi"/>
                <w:noProof/>
                <w:lang w:val="lt-LT" w:eastAsia="lt-LT"/>
              </w:rPr>
              <w:tab/>
            </w:r>
            <w:r w:rsidRPr="00CE75FE">
              <w:rPr>
                <w:rStyle w:val="Hipersaitas"/>
                <w:rFonts w:cstheme="minorHAnsi"/>
                <w:noProof/>
                <w:lang w:val="lt-LT"/>
              </w:rPr>
              <w:t>Finansinės priemonės rezultatų prisidėjimas prie strateginių tikslų</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220</w:t>
            </w:r>
            <w:r w:rsidRPr="00CE75FE">
              <w:rPr>
                <w:rFonts w:cstheme="minorHAnsi"/>
                <w:noProof/>
                <w:webHidden/>
              </w:rPr>
              <w:fldChar w:fldCharType="end"/>
            </w:r>
          </w:hyperlink>
        </w:p>
        <w:p w14:paraId="5FE2CA2A" w14:textId="77777777" w:rsidR="00CE75FE" w:rsidRPr="00CE75FE" w:rsidRDefault="00CE75FE">
          <w:pPr>
            <w:pStyle w:val="Turinys2"/>
            <w:tabs>
              <w:tab w:val="left" w:pos="1100"/>
              <w:tab w:val="right" w:leader="dot" w:pos="9016"/>
            </w:tabs>
            <w:rPr>
              <w:rFonts w:eastAsiaTheme="minorEastAsia" w:cstheme="minorHAnsi"/>
              <w:noProof/>
              <w:lang w:val="lt-LT" w:eastAsia="lt-LT"/>
            </w:rPr>
          </w:pPr>
          <w:hyperlink w:anchor="_Toc25589986" w:history="1">
            <w:r w:rsidRPr="00CE75FE">
              <w:rPr>
                <w:rStyle w:val="Hipersaitas"/>
                <w:rFonts w:cstheme="minorHAnsi"/>
                <w:noProof/>
                <w:lang w:val="lt-LT"/>
              </w:rPr>
              <w:t>7.2.7.</w:t>
            </w:r>
            <w:r w:rsidRPr="00CE75FE">
              <w:rPr>
                <w:rFonts w:eastAsiaTheme="minorEastAsia" w:cstheme="minorHAnsi"/>
                <w:noProof/>
                <w:lang w:val="lt-LT" w:eastAsia="lt-LT"/>
              </w:rPr>
              <w:tab/>
            </w:r>
            <w:r w:rsidRPr="00CE75FE">
              <w:rPr>
                <w:rStyle w:val="Hipersaitas"/>
                <w:rFonts w:cstheme="minorHAnsi"/>
                <w:noProof/>
                <w:lang w:val="lt-LT"/>
              </w:rPr>
              <w:t>Stebėsenos sistemos apibrėžimas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222</w:t>
            </w:r>
            <w:r w:rsidRPr="00CE75FE">
              <w:rPr>
                <w:rFonts w:cstheme="minorHAnsi"/>
                <w:noProof/>
                <w:webHidden/>
              </w:rPr>
              <w:fldChar w:fldCharType="end"/>
            </w:r>
          </w:hyperlink>
        </w:p>
        <w:p w14:paraId="1A72A166" w14:textId="77777777" w:rsidR="00CE75FE" w:rsidRPr="00CE75FE" w:rsidRDefault="00CE75FE">
          <w:pPr>
            <w:pStyle w:val="Turinys2"/>
            <w:tabs>
              <w:tab w:val="left" w:pos="880"/>
              <w:tab w:val="right" w:leader="dot" w:pos="9016"/>
            </w:tabs>
            <w:rPr>
              <w:rFonts w:eastAsiaTheme="minorEastAsia" w:cstheme="minorHAnsi"/>
              <w:noProof/>
              <w:lang w:val="lt-LT" w:eastAsia="lt-LT"/>
            </w:rPr>
          </w:pPr>
          <w:hyperlink w:anchor="_Toc25589987" w:history="1">
            <w:r w:rsidRPr="00CE75FE">
              <w:rPr>
                <w:rStyle w:val="Hipersaitas"/>
                <w:rFonts w:cstheme="minorHAnsi"/>
                <w:noProof/>
                <w:lang w:val="lt-LT"/>
              </w:rPr>
              <w:t>7.3.</w:t>
            </w:r>
            <w:r w:rsidRPr="00CE75FE">
              <w:rPr>
                <w:rFonts w:eastAsiaTheme="minorEastAsia" w:cstheme="minorHAnsi"/>
                <w:noProof/>
                <w:lang w:val="lt-LT" w:eastAsia="lt-LT"/>
              </w:rPr>
              <w:tab/>
            </w:r>
            <w:r w:rsidRPr="00CE75FE">
              <w:rPr>
                <w:rStyle w:val="Hipersaitas"/>
                <w:rFonts w:cstheme="minorHAnsi"/>
                <w:noProof/>
                <w:lang w:val="lt-LT"/>
              </w:rPr>
              <w:t>Savivaldybių viešųjų pastatų modernizavimo investavimo strategija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223</w:t>
            </w:r>
            <w:r w:rsidRPr="00CE75FE">
              <w:rPr>
                <w:rFonts w:cstheme="minorHAnsi"/>
                <w:noProof/>
                <w:webHidden/>
              </w:rPr>
              <w:fldChar w:fldCharType="end"/>
            </w:r>
          </w:hyperlink>
        </w:p>
        <w:p w14:paraId="3AA68E5C"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88" w:history="1">
            <w:r w:rsidRPr="00CE75FE">
              <w:rPr>
                <w:rStyle w:val="Hipersaitas"/>
                <w:rFonts w:cstheme="minorHAnsi"/>
                <w:noProof/>
                <w:lang w:val="lt-LT"/>
              </w:rPr>
              <w:t>7.3.1. Finansinių priemonių apimtis ir tiksliniai galutiniai naudos gavėjai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223</w:t>
            </w:r>
            <w:r w:rsidRPr="00CE75FE">
              <w:rPr>
                <w:rFonts w:cstheme="minorHAnsi"/>
                <w:noProof/>
                <w:webHidden/>
              </w:rPr>
              <w:fldChar w:fldCharType="end"/>
            </w:r>
          </w:hyperlink>
        </w:p>
        <w:p w14:paraId="22B04421"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89" w:history="1">
            <w:r w:rsidRPr="00CE75FE">
              <w:rPr>
                <w:rStyle w:val="Hipersaitas"/>
                <w:rFonts w:cstheme="minorHAnsi"/>
                <w:noProof/>
                <w:lang w:val="lt-LT"/>
              </w:rPr>
              <w:t>7.3.2. Finansinio produkto parinkimas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_Toc25589989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226</w:t>
            </w:r>
            <w:r w:rsidRPr="00CE75FE">
              <w:rPr>
                <w:rFonts w:cstheme="minorHAnsi"/>
                <w:noProof/>
                <w:webHidden/>
              </w:rPr>
              <w:fldChar w:fldCharType="end"/>
            </w:r>
          </w:hyperlink>
        </w:p>
        <w:p w14:paraId="5F325E42"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0" w:history="1">
            <w:r w:rsidRPr="00CE75FE">
              <w:rPr>
                <w:rStyle w:val="Hipersaitas"/>
                <w:rFonts w:cstheme="minorHAnsi"/>
                <w:noProof/>
                <w:lang w:val="lt-LT"/>
              </w:rPr>
              <w:t>7.3.3. Finansinės priemonės derinimas su parama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227</w:t>
            </w:r>
            <w:r w:rsidRPr="00CE75FE">
              <w:rPr>
                <w:rFonts w:cstheme="minorHAnsi"/>
                <w:noProof/>
                <w:webHidden/>
              </w:rPr>
              <w:fldChar w:fldCharType="end"/>
            </w:r>
          </w:hyperlink>
        </w:p>
        <w:p w14:paraId="2A56F3A1"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1" w:history="1">
            <w:r w:rsidRPr="00CE75FE">
              <w:rPr>
                <w:rStyle w:val="Hipersaitas"/>
                <w:rFonts w:cstheme="minorHAnsi"/>
                <w:noProof/>
                <w:lang w:val="lt-LT"/>
              </w:rPr>
              <w:t>7.3.4. Finansinės priemonės įgyvendinimo struktūra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228</w:t>
            </w:r>
            <w:r w:rsidRPr="00CE75FE">
              <w:rPr>
                <w:rFonts w:cstheme="minorHAnsi"/>
                <w:noProof/>
                <w:webHidden/>
              </w:rPr>
              <w:fldChar w:fldCharType="end"/>
            </w:r>
          </w:hyperlink>
        </w:p>
        <w:p w14:paraId="64CD1F4F"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2" w:history="1">
            <w:r w:rsidRPr="00CE75FE">
              <w:rPr>
                <w:rStyle w:val="Hipersaitas"/>
                <w:rFonts w:cstheme="minorHAnsi"/>
                <w:noProof/>
                <w:lang w:val="lt-LT"/>
              </w:rPr>
              <w:t>7.3.4.1 Finansinės priemonės arba fondų fondo sukūrimas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_Toc25589992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230</w:t>
            </w:r>
            <w:r w:rsidRPr="00CE75FE">
              <w:rPr>
                <w:rFonts w:cstheme="minorHAnsi"/>
                <w:noProof/>
                <w:webHidden/>
              </w:rPr>
              <w:fldChar w:fldCharType="end"/>
            </w:r>
          </w:hyperlink>
        </w:p>
        <w:p w14:paraId="2C36FFE7"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3" w:history="1">
            <w:r w:rsidRPr="00CE75FE">
              <w:rPr>
                <w:rStyle w:val="Hipersaitas"/>
                <w:rFonts w:cstheme="minorHAnsi"/>
                <w:noProof/>
                <w:lang w:val="lt-LT"/>
              </w:rPr>
              <w:t>7.3.4.2. Finansinės priemonės sukūrimas ir asimetrinio rizikos modelio taikymas pritraukiant privačias lėšas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_Toc25589993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232</w:t>
            </w:r>
            <w:r w:rsidRPr="00CE75FE">
              <w:rPr>
                <w:rFonts w:cstheme="minorHAnsi"/>
                <w:noProof/>
                <w:webHidden/>
              </w:rPr>
              <w:fldChar w:fldCharType="end"/>
            </w:r>
          </w:hyperlink>
        </w:p>
        <w:p w14:paraId="55041177"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4" w:history="1">
            <w:r w:rsidRPr="00CE75FE">
              <w:rPr>
                <w:rStyle w:val="Hipersaitas"/>
                <w:rFonts w:cstheme="minorHAnsi"/>
                <w:noProof/>
                <w:lang w:val="lt-LT"/>
              </w:rPr>
              <w:t>7.3.4.3. Finansinės priemonės ir investicinio fondo steigimas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_Toc25589994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233</w:t>
            </w:r>
            <w:r w:rsidRPr="00CE75FE">
              <w:rPr>
                <w:rFonts w:cstheme="minorHAnsi"/>
                <w:noProof/>
                <w:webHidden/>
              </w:rPr>
              <w:fldChar w:fldCharType="end"/>
            </w:r>
          </w:hyperlink>
        </w:p>
        <w:p w14:paraId="181EE630"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5" w:history="1">
            <w:r w:rsidRPr="00CE75FE">
              <w:rPr>
                <w:rStyle w:val="Hipersaitas"/>
                <w:rFonts w:cstheme="minorHAnsi"/>
                <w:noProof/>
                <w:lang w:val="lt-LT"/>
              </w:rPr>
              <w:t>7.3.4.4. Siūloma įgyvendinti alternatyva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_Toc25589995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235</w:t>
            </w:r>
            <w:r w:rsidRPr="00CE75FE">
              <w:rPr>
                <w:rFonts w:cstheme="minorHAnsi"/>
                <w:noProof/>
                <w:webHidden/>
              </w:rPr>
              <w:fldChar w:fldCharType="end"/>
            </w:r>
          </w:hyperlink>
        </w:p>
        <w:p w14:paraId="74717EC0"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6" w:history="1">
            <w:r w:rsidRPr="00CE75FE">
              <w:rPr>
                <w:rStyle w:val="Hipersaitas"/>
                <w:rFonts w:cstheme="minorHAnsi"/>
                <w:noProof/>
                <w:lang w:val="lt-LT"/>
              </w:rPr>
              <w:t>7.3.5. Tikėtinų rezultatų nustatymas ir skaičiavimas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_Toc25589996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236</w:t>
            </w:r>
            <w:r w:rsidRPr="00CE75FE">
              <w:rPr>
                <w:rFonts w:cstheme="minorHAnsi"/>
                <w:noProof/>
                <w:webHidden/>
              </w:rPr>
              <w:fldChar w:fldCharType="end"/>
            </w:r>
          </w:hyperlink>
        </w:p>
        <w:p w14:paraId="4118783F"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7" w:history="1">
            <w:r w:rsidRPr="00CE75FE">
              <w:rPr>
                <w:rStyle w:val="Hipersaitas"/>
                <w:rFonts w:cstheme="minorHAnsi"/>
                <w:noProof/>
                <w:lang w:val="lt-LT"/>
              </w:rPr>
              <w:t>7.3.6. Finansinės priemonės rezultatų prisidėjimas prie strateginių tikslų</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_Toc25589997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237</w:t>
            </w:r>
            <w:r w:rsidRPr="00CE75FE">
              <w:rPr>
                <w:rFonts w:cstheme="minorHAnsi"/>
                <w:noProof/>
                <w:webHidden/>
              </w:rPr>
              <w:fldChar w:fldCharType="end"/>
            </w:r>
          </w:hyperlink>
        </w:p>
        <w:p w14:paraId="62C9E353" w14:textId="77777777" w:rsidR="00CE75FE" w:rsidRPr="00CE75FE" w:rsidRDefault="00CE75FE">
          <w:pPr>
            <w:pStyle w:val="Turinys2"/>
            <w:tabs>
              <w:tab w:val="right" w:leader="dot" w:pos="9016"/>
            </w:tabs>
            <w:rPr>
              <w:rFonts w:eastAsiaTheme="minorEastAsia" w:cstheme="minorHAnsi"/>
              <w:noProof/>
              <w:lang w:val="lt-LT" w:eastAsia="lt-LT"/>
            </w:rPr>
          </w:pPr>
          <w:hyperlink w:anchor="_Toc25589998" w:history="1">
            <w:r w:rsidRPr="00CE75FE">
              <w:rPr>
                <w:rStyle w:val="Hipersaitas"/>
                <w:rFonts w:cstheme="minorHAnsi"/>
                <w:noProof/>
                <w:lang w:val="lt-LT"/>
              </w:rPr>
              <w:t>7.3.7. Stebėsenos sistemos apibrėžimas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_Toc25589998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238</w:t>
            </w:r>
            <w:r w:rsidRPr="00CE75FE">
              <w:rPr>
                <w:rFonts w:cstheme="minorHAnsi"/>
                <w:noProof/>
                <w:webHidden/>
              </w:rPr>
              <w:fldChar w:fldCharType="end"/>
            </w:r>
          </w:hyperlink>
        </w:p>
        <w:p w14:paraId="7622CA34" w14:textId="77777777" w:rsidR="00CE75FE" w:rsidRPr="00CE75FE" w:rsidRDefault="00CE75FE">
          <w:pPr>
            <w:pStyle w:val="Turinys1"/>
            <w:tabs>
              <w:tab w:val="left" w:pos="660"/>
              <w:tab w:val="right" w:leader="dot" w:pos="9016"/>
            </w:tabs>
            <w:rPr>
              <w:rFonts w:eastAsiaTheme="minorEastAsia" w:cstheme="minorHAnsi"/>
              <w:noProof/>
              <w:lang w:val="lt-LT" w:eastAsia="lt-LT"/>
            </w:rPr>
          </w:pPr>
          <w:hyperlink w:anchor="_Toc25589999" w:history="1">
            <w:r w:rsidRPr="00CE75FE">
              <w:rPr>
                <w:rStyle w:val="Hipersaitas"/>
                <w:rFonts w:cstheme="minorHAnsi"/>
                <w:noProof/>
                <w:lang w:val="lt-LT"/>
              </w:rPr>
              <w:t>8.</w:t>
            </w:r>
            <w:r w:rsidRPr="00CE75FE">
              <w:rPr>
                <w:rFonts w:eastAsiaTheme="minorEastAsia" w:cstheme="minorHAnsi"/>
                <w:noProof/>
                <w:lang w:val="lt-LT" w:eastAsia="lt-LT"/>
              </w:rPr>
              <w:tab/>
            </w:r>
            <w:r w:rsidRPr="00CE75FE">
              <w:rPr>
                <w:rStyle w:val="Hipersaitas"/>
                <w:rFonts w:cstheme="minorHAnsi"/>
                <w:noProof/>
                <w:lang w:val="lt-LT"/>
              </w:rPr>
              <w:t>A</w:t>
            </w:r>
            <w:bookmarkStart w:id="2" w:name="_GoBack"/>
            <w:bookmarkEnd w:id="2"/>
            <w:r w:rsidRPr="00CE75FE">
              <w:rPr>
                <w:rStyle w:val="Hipersaitas"/>
                <w:rFonts w:cstheme="minorHAnsi"/>
                <w:noProof/>
                <w:lang w:val="lt-LT"/>
              </w:rPr>
              <w:t>taskaitos pabaiga</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_Toc25589999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240</w:t>
            </w:r>
            <w:r w:rsidRPr="00CE75FE">
              <w:rPr>
                <w:rFonts w:cstheme="minorHAnsi"/>
                <w:noProof/>
                <w:webHidden/>
              </w:rPr>
              <w:fldChar w:fldCharType="end"/>
            </w:r>
          </w:hyperlink>
        </w:p>
        <w:p w14:paraId="2FB4320A" w14:textId="6B620A38" w:rsidR="00CE75FE" w:rsidRPr="00CE75FE" w:rsidRDefault="00CE75FE">
          <w:pPr>
            <w:pStyle w:val="Turinys1"/>
            <w:tabs>
              <w:tab w:val="left" w:pos="660"/>
              <w:tab w:val="right" w:leader="dot" w:pos="9016"/>
            </w:tabs>
            <w:rPr>
              <w:rFonts w:eastAsiaTheme="minorEastAsia" w:cstheme="minorHAnsi"/>
              <w:noProof/>
              <w:lang w:val="lt-LT" w:eastAsia="lt-LT"/>
            </w:rPr>
          </w:pPr>
          <w:r w:rsidRPr="00CE75FE">
            <w:rPr>
              <w:rStyle w:val="Hipersaitas"/>
              <w:rFonts w:cstheme="minorHAnsi"/>
              <w:noProof/>
              <w:u w:val="none"/>
            </w:rPr>
            <w:t xml:space="preserve">     </w:t>
          </w:r>
          <w:hyperlink w:anchor="_Toc25590000" w:history="1">
            <w:r w:rsidRPr="00CE75FE">
              <w:rPr>
                <w:rStyle w:val="Hipersaitas"/>
                <w:rFonts w:cstheme="minorHAnsi"/>
                <w:noProof/>
                <w:u w:val="none"/>
                <w:lang w:val="lt-LT"/>
              </w:rPr>
              <w:t>8.1.</w:t>
            </w:r>
            <w:r w:rsidRPr="00CE75FE">
              <w:rPr>
                <w:rFonts w:eastAsiaTheme="minorEastAsia" w:cstheme="minorHAnsi"/>
                <w:noProof/>
                <w:lang w:val="lt-LT" w:eastAsia="lt-LT"/>
              </w:rPr>
              <w:tab/>
            </w:r>
            <w:r w:rsidRPr="00CE75FE">
              <w:rPr>
                <w:rStyle w:val="Hipersaitas"/>
                <w:rFonts w:cstheme="minorHAnsi"/>
                <w:noProof/>
                <w:u w:val="none"/>
                <w:lang w:val="lt-LT"/>
              </w:rPr>
              <w:t>Nuostatos ex-ante vertinimo peržiūrėjimui</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_Toc25590000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240</w:t>
            </w:r>
            <w:r w:rsidRPr="00CE75FE">
              <w:rPr>
                <w:rFonts w:cstheme="minorHAnsi"/>
                <w:noProof/>
                <w:webHidden/>
              </w:rPr>
              <w:fldChar w:fldCharType="end"/>
            </w:r>
          </w:hyperlink>
        </w:p>
        <w:p w14:paraId="2EF07AEE" w14:textId="1A20F83E" w:rsidR="00CE75FE" w:rsidRPr="00CE75FE" w:rsidRDefault="00CE75FE">
          <w:pPr>
            <w:pStyle w:val="Turinys1"/>
            <w:tabs>
              <w:tab w:val="left" w:pos="660"/>
              <w:tab w:val="right" w:leader="dot" w:pos="9016"/>
            </w:tabs>
            <w:rPr>
              <w:rFonts w:eastAsiaTheme="minorEastAsia" w:cstheme="minorHAnsi"/>
              <w:noProof/>
              <w:lang w:val="lt-LT" w:eastAsia="lt-LT"/>
            </w:rPr>
          </w:pPr>
          <w:r w:rsidRPr="00CE75FE">
            <w:rPr>
              <w:rStyle w:val="Hipersaitas"/>
              <w:rFonts w:cstheme="minorHAnsi"/>
              <w:noProof/>
              <w:u w:val="none"/>
            </w:rPr>
            <w:t xml:space="preserve">     </w:t>
          </w:r>
          <w:hyperlink w:anchor="_Toc25590001" w:history="1">
            <w:r w:rsidRPr="00CE75FE">
              <w:rPr>
                <w:rStyle w:val="Hipersaitas"/>
                <w:rFonts w:cstheme="minorHAnsi"/>
                <w:noProof/>
                <w:u w:val="none"/>
                <w:lang w:val="lt-LT"/>
              </w:rPr>
              <w:t>8.2.</w:t>
            </w:r>
            <w:r w:rsidRPr="00CE75FE">
              <w:rPr>
                <w:rFonts w:eastAsiaTheme="minorEastAsia" w:cstheme="minorHAnsi"/>
                <w:noProof/>
                <w:lang w:val="lt-LT" w:eastAsia="lt-LT"/>
              </w:rPr>
              <w:tab/>
            </w:r>
            <w:r w:rsidRPr="00CE75FE">
              <w:rPr>
                <w:rStyle w:val="Hipersaitas"/>
                <w:rFonts w:cstheme="minorHAnsi"/>
                <w:noProof/>
                <w:u w:val="none"/>
                <w:lang w:val="lt-LT"/>
              </w:rPr>
              <w:t>Ex ante santrauka ir išvados</w:t>
            </w:r>
            <w:r w:rsidRPr="00CE75FE">
              <w:rPr>
                <w:rFonts w:cstheme="minorHAnsi"/>
                <w:noProof/>
                <w:webHidden/>
              </w:rPr>
              <w:tab/>
            </w:r>
            <w:r w:rsidRPr="00CE75FE">
              <w:rPr>
                <w:rFonts w:cstheme="minorHAnsi"/>
                <w:noProof/>
                <w:webHidden/>
              </w:rPr>
              <w:fldChar w:fldCharType="begin"/>
            </w:r>
            <w:r w:rsidRPr="00CE75FE">
              <w:rPr>
                <w:rFonts w:cstheme="minorHAnsi"/>
                <w:noProof/>
                <w:webHidden/>
              </w:rPr>
              <w:instrText xml:space="preserve"> PAGEREF _Toc25590001 \h </w:instrText>
            </w:r>
            <w:r w:rsidRPr="00CE75FE">
              <w:rPr>
                <w:rFonts w:cstheme="minorHAnsi"/>
                <w:noProof/>
                <w:webHidden/>
              </w:rPr>
            </w:r>
            <w:r w:rsidRPr="00CE75FE">
              <w:rPr>
                <w:rFonts w:cstheme="minorHAnsi"/>
                <w:noProof/>
                <w:webHidden/>
              </w:rPr>
              <w:fldChar w:fldCharType="separate"/>
            </w:r>
            <w:r w:rsidRPr="00CE75FE">
              <w:rPr>
                <w:rFonts w:cstheme="minorHAnsi"/>
                <w:noProof/>
                <w:webHidden/>
              </w:rPr>
              <w:t>241</w:t>
            </w:r>
            <w:r w:rsidRPr="00CE75FE">
              <w:rPr>
                <w:rFonts w:cstheme="minorHAnsi"/>
                <w:noProof/>
                <w:webHidden/>
              </w:rPr>
              <w:fldChar w:fldCharType="end"/>
            </w:r>
          </w:hyperlink>
        </w:p>
        <w:p w14:paraId="496B9EC8" w14:textId="47D23C27" w:rsidR="00EE14AD" w:rsidRPr="002142B8" w:rsidRDefault="00EE14AD">
          <w:pPr>
            <w:rPr>
              <w:rFonts w:ascii="Georgia" w:hAnsi="Georgia"/>
              <w:lang w:val="lt-LT"/>
            </w:rPr>
          </w:pPr>
          <w:r w:rsidRPr="00CE75FE">
            <w:rPr>
              <w:rFonts w:cstheme="minorHAnsi"/>
              <w:bCs/>
              <w:lang w:val="lt-LT"/>
            </w:rPr>
            <w:fldChar w:fldCharType="end"/>
          </w:r>
        </w:p>
      </w:sdtContent>
    </w:sdt>
    <w:p w14:paraId="40B74B4D" w14:textId="77777777" w:rsidR="00EE14AD" w:rsidRPr="002142B8" w:rsidRDefault="00EE14AD">
      <w:pPr>
        <w:rPr>
          <w:rFonts w:ascii="Georgia" w:eastAsiaTheme="majorEastAsia" w:hAnsi="Georgia" w:cstheme="majorBidi"/>
          <w:b/>
          <w:bCs/>
          <w:color w:val="365F91" w:themeColor="accent1" w:themeShade="BF"/>
          <w:lang w:val="lt-LT"/>
        </w:rPr>
      </w:pPr>
      <w:r w:rsidRPr="002142B8">
        <w:rPr>
          <w:rFonts w:ascii="Georgia" w:hAnsi="Georgia"/>
          <w:lang w:val="lt-LT"/>
        </w:rPr>
        <w:br w:type="page"/>
      </w:r>
    </w:p>
    <w:p w14:paraId="52D0B159" w14:textId="77777777" w:rsidR="00FC2E80" w:rsidRPr="002142B8" w:rsidRDefault="00FC2E80" w:rsidP="006977C2">
      <w:pPr>
        <w:pStyle w:val="Non-numberedHeading1"/>
        <w:rPr>
          <w:lang w:val="lt-LT"/>
        </w:rPr>
      </w:pPr>
      <w:bookmarkStart w:id="3" w:name="_Toc25589873"/>
      <w:r w:rsidRPr="002142B8">
        <w:rPr>
          <w:lang w:val="lt-LT"/>
        </w:rPr>
        <w:lastRenderedPageBreak/>
        <w:t>Lentelių sąrašas</w:t>
      </w:r>
      <w:bookmarkEnd w:id="3"/>
    </w:p>
    <w:p w14:paraId="2B307E26" w14:textId="77777777" w:rsidR="00FC2E80" w:rsidRPr="002142B8" w:rsidRDefault="00FC2E80" w:rsidP="00FC2E80">
      <w:pPr>
        <w:rPr>
          <w:lang w:val="lt-LT"/>
        </w:rPr>
      </w:pPr>
    </w:p>
    <w:p w14:paraId="001EC079" w14:textId="32722774" w:rsidR="00111EB2" w:rsidRPr="006C6C90" w:rsidRDefault="00FC2E80">
      <w:pPr>
        <w:pStyle w:val="Iliustracijsraas"/>
        <w:tabs>
          <w:tab w:val="right" w:leader="dot" w:pos="9016"/>
        </w:tabs>
        <w:rPr>
          <w:rStyle w:val="Hipersaitas"/>
          <w:rFonts w:ascii="Georgia" w:eastAsia="PMingLiU" w:hAnsi="Georgia" w:cs="Georgia"/>
          <w:bCs/>
          <w:noProof/>
          <w:sz w:val="18"/>
          <w:szCs w:val="18"/>
          <w:lang w:val="lt-LT"/>
        </w:rPr>
      </w:pPr>
      <w:r w:rsidRPr="002142B8">
        <w:rPr>
          <w:rFonts w:ascii="Georgia" w:hAnsi="Georgia"/>
          <w:b/>
          <w:lang w:val="lt-LT"/>
        </w:rPr>
        <w:fldChar w:fldCharType="begin"/>
      </w:r>
      <w:r w:rsidRPr="002142B8">
        <w:rPr>
          <w:rFonts w:ascii="Georgia" w:hAnsi="Georgia"/>
          <w:b/>
          <w:lang w:val="lt-LT"/>
        </w:rPr>
        <w:instrText xml:space="preserve"> TOC \h \z \c "Lentelė" </w:instrText>
      </w:r>
      <w:r w:rsidRPr="002142B8">
        <w:rPr>
          <w:rFonts w:ascii="Georgia" w:hAnsi="Georgia"/>
          <w:b/>
          <w:lang w:val="lt-LT"/>
        </w:rPr>
        <w:fldChar w:fldCharType="separate"/>
      </w:r>
      <w:hyperlink w:anchor="_Toc507939123" w:history="1">
        <w:r w:rsidR="00111EB2" w:rsidRPr="006C6C90">
          <w:rPr>
            <w:rStyle w:val="Hipersaitas"/>
            <w:rFonts w:ascii="Georgia" w:eastAsia="PMingLiU" w:hAnsi="Georgia" w:cs="Georgia"/>
            <w:bCs/>
            <w:noProof/>
            <w:sz w:val="18"/>
            <w:szCs w:val="18"/>
            <w:lang w:val="lt-LT"/>
          </w:rPr>
          <w:t>Lentelė 1. Energijos efektyvumo veiklų tipų suderinamumas su ES ir nacionaliniais strateginiais dokumentais</w:t>
        </w:r>
        <w:r w:rsidR="00111EB2" w:rsidRPr="006C6C90">
          <w:rPr>
            <w:rStyle w:val="Hipersaitas"/>
            <w:rFonts w:ascii="Georgia" w:eastAsia="PMingLiU" w:hAnsi="Georgia" w:cs="Georgia"/>
            <w:bCs/>
            <w:noProof/>
            <w:webHidden/>
            <w:sz w:val="18"/>
            <w:szCs w:val="18"/>
            <w:lang w:val="lt-LT"/>
          </w:rPr>
          <w:tab/>
        </w:r>
        <w:r w:rsidR="00111EB2" w:rsidRPr="006C6C90">
          <w:rPr>
            <w:rStyle w:val="Hipersaitas"/>
            <w:rFonts w:ascii="Georgia" w:eastAsia="PMingLiU" w:hAnsi="Georgia" w:cs="Georgia"/>
            <w:bCs/>
            <w:noProof/>
            <w:webHidden/>
            <w:sz w:val="18"/>
            <w:szCs w:val="18"/>
            <w:lang w:val="lt-LT"/>
          </w:rPr>
          <w:fldChar w:fldCharType="begin"/>
        </w:r>
        <w:r w:rsidR="00111EB2" w:rsidRPr="006C6C90">
          <w:rPr>
            <w:rStyle w:val="Hipersaitas"/>
            <w:rFonts w:ascii="Georgia" w:eastAsia="PMingLiU" w:hAnsi="Georgia" w:cs="Georgia"/>
            <w:bCs/>
            <w:noProof/>
            <w:webHidden/>
            <w:sz w:val="18"/>
            <w:szCs w:val="18"/>
            <w:lang w:val="lt-LT"/>
          </w:rPr>
          <w:instrText xml:space="preserve"> PAGEREF _Toc507939123 \h </w:instrText>
        </w:r>
        <w:r w:rsidR="00111EB2" w:rsidRPr="006C6C90">
          <w:rPr>
            <w:rStyle w:val="Hipersaitas"/>
            <w:rFonts w:ascii="Georgia" w:eastAsia="PMingLiU" w:hAnsi="Georgia" w:cs="Georgia"/>
            <w:bCs/>
            <w:noProof/>
            <w:webHidden/>
            <w:sz w:val="18"/>
            <w:szCs w:val="18"/>
            <w:lang w:val="lt-LT"/>
          </w:rPr>
        </w:r>
        <w:r w:rsidR="00111EB2" w:rsidRPr="006C6C90">
          <w:rPr>
            <w:rStyle w:val="Hipersaitas"/>
            <w:rFonts w:ascii="Georgia" w:eastAsia="PMingLiU" w:hAnsi="Georgia" w:cs="Georgia"/>
            <w:bCs/>
            <w:noProof/>
            <w:webHidden/>
            <w:sz w:val="18"/>
            <w:szCs w:val="18"/>
            <w:lang w:val="lt-LT"/>
          </w:rPr>
          <w:fldChar w:fldCharType="separate"/>
        </w:r>
        <w:r w:rsidR="009652A6">
          <w:rPr>
            <w:rStyle w:val="Hipersaitas"/>
            <w:rFonts w:ascii="Georgia" w:eastAsia="PMingLiU" w:hAnsi="Georgia" w:cs="Georgia"/>
            <w:bCs/>
            <w:noProof/>
            <w:webHidden/>
            <w:sz w:val="18"/>
            <w:szCs w:val="18"/>
            <w:lang w:val="lt-LT"/>
          </w:rPr>
          <w:t>19</w:t>
        </w:r>
        <w:r w:rsidR="00111EB2" w:rsidRPr="006C6C90">
          <w:rPr>
            <w:rStyle w:val="Hipersaitas"/>
            <w:rFonts w:ascii="Georgia" w:eastAsia="PMingLiU" w:hAnsi="Georgia" w:cs="Georgia"/>
            <w:bCs/>
            <w:noProof/>
            <w:webHidden/>
            <w:sz w:val="18"/>
            <w:szCs w:val="18"/>
            <w:lang w:val="lt-LT"/>
          </w:rPr>
          <w:fldChar w:fldCharType="end"/>
        </w:r>
      </w:hyperlink>
    </w:p>
    <w:p w14:paraId="36CA8F97" w14:textId="6AFA1845" w:rsidR="00111EB2" w:rsidRPr="006C6C90" w:rsidRDefault="00133798">
      <w:pPr>
        <w:pStyle w:val="Iliustracijsraas"/>
        <w:tabs>
          <w:tab w:val="right" w:leader="dot" w:pos="9016"/>
        </w:tabs>
        <w:rPr>
          <w:rStyle w:val="Hipersaitas"/>
          <w:rFonts w:ascii="Georgia" w:eastAsia="PMingLiU" w:hAnsi="Georgia" w:cs="Georgia"/>
          <w:bCs/>
          <w:noProof/>
          <w:sz w:val="18"/>
          <w:szCs w:val="18"/>
          <w:lang w:val="lt-LT"/>
        </w:rPr>
      </w:pPr>
      <w:hyperlink w:anchor="_Toc507939124" w:history="1">
        <w:r w:rsidR="00111EB2" w:rsidRPr="006C6C90">
          <w:rPr>
            <w:rStyle w:val="Hipersaitas"/>
            <w:rFonts w:ascii="Georgia" w:eastAsia="PMingLiU" w:hAnsi="Georgia" w:cs="Georgia"/>
            <w:bCs/>
            <w:noProof/>
            <w:sz w:val="18"/>
            <w:szCs w:val="18"/>
            <w:lang w:val="lt-LT"/>
          </w:rPr>
          <w:t>Lentelė 2. Finansinių priemonių ir paramos intensyvumo sumažinimo privalumai ir trūkumai</w:t>
        </w:r>
        <w:r w:rsidR="00111EB2" w:rsidRPr="006C6C90">
          <w:rPr>
            <w:rStyle w:val="Hipersaitas"/>
            <w:rFonts w:ascii="Georgia" w:eastAsia="PMingLiU" w:hAnsi="Georgia" w:cs="Georgia"/>
            <w:bCs/>
            <w:noProof/>
            <w:webHidden/>
            <w:sz w:val="18"/>
            <w:szCs w:val="18"/>
            <w:lang w:val="lt-LT"/>
          </w:rPr>
          <w:tab/>
        </w:r>
        <w:r w:rsidR="00111EB2" w:rsidRPr="006C6C90">
          <w:rPr>
            <w:rStyle w:val="Hipersaitas"/>
            <w:rFonts w:ascii="Georgia" w:eastAsia="PMingLiU" w:hAnsi="Georgia" w:cs="Georgia"/>
            <w:bCs/>
            <w:noProof/>
            <w:webHidden/>
            <w:sz w:val="18"/>
            <w:szCs w:val="18"/>
            <w:lang w:val="lt-LT"/>
          </w:rPr>
          <w:fldChar w:fldCharType="begin"/>
        </w:r>
        <w:r w:rsidR="00111EB2" w:rsidRPr="006C6C90">
          <w:rPr>
            <w:rStyle w:val="Hipersaitas"/>
            <w:rFonts w:ascii="Georgia" w:eastAsia="PMingLiU" w:hAnsi="Georgia" w:cs="Georgia"/>
            <w:bCs/>
            <w:noProof/>
            <w:webHidden/>
            <w:sz w:val="18"/>
            <w:szCs w:val="18"/>
            <w:lang w:val="lt-LT"/>
          </w:rPr>
          <w:instrText xml:space="preserve"> PAGEREF _Toc507939124 \h </w:instrText>
        </w:r>
        <w:r w:rsidR="00111EB2" w:rsidRPr="006C6C90">
          <w:rPr>
            <w:rStyle w:val="Hipersaitas"/>
            <w:rFonts w:ascii="Georgia" w:eastAsia="PMingLiU" w:hAnsi="Georgia" w:cs="Georgia"/>
            <w:bCs/>
            <w:noProof/>
            <w:webHidden/>
            <w:sz w:val="18"/>
            <w:szCs w:val="18"/>
            <w:lang w:val="lt-LT"/>
          </w:rPr>
        </w:r>
        <w:r w:rsidR="00111EB2" w:rsidRPr="006C6C90">
          <w:rPr>
            <w:rStyle w:val="Hipersaitas"/>
            <w:rFonts w:ascii="Georgia" w:eastAsia="PMingLiU" w:hAnsi="Georgia" w:cs="Georgia"/>
            <w:bCs/>
            <w:noProof/>
            <w:webHidden/>
            <w:sz w:val="18"/>
            <w:szCs w:val="18"/>
            <w:lang w:val="lt-LT"/>
          </w:rPr>
          <w:fldChar w:fldCharType="separate"/>
        </w:r>
        <w:r w:rsidR="009652A6">
          <w:rPr>
            <w:rStyle w:val="Hipersaitas"/>
            <w:rFonts w:ascii="Georgia" w:eastAsia="PMingLiU" w:hAnsi="Georgia" w:cs="Georgia"/>
            <w:bCs/>
            <w:noProof/>
            <w:webHidden/>
            <w:sz w:val="18"/>
            <w:szCs w:val="18"/>
            <w:lang w:val="lt-LT"/>
          </w:rPr>
          <w:t>21</w:t>
        </w:r>
        <w:r w:rsidR="00111EB2" w:rsidRPr="006C6C90">
          <w:rPr>
            <w:rStyle w:val="Hipersaitas"/>
            <w:rFonts w:ascii="Georgia" w:eastAsia="PMingLiU" w:hAnsi="Georgia" w:cs="Georgia"/>
            <w:bCs/>
            <w:noProof/>
            <w:webHidden/>
            <w:sz w:val="18"/>
            <w:szCs w:val="18"/>
            <w:lang w:val="lt-LT"/>
          </w:rPr>
          <w:fldChar w:fldCharType="end"/>
        </w:r>
      </w:hyperlink>
    </w:p>
    <w:p w14:paraId="13F35F17" w14:textId="7231EB97" w:rsidR="00111EB2" w:rsidRPr="006C6C90" w:rsidRDefault="00133798">
      <w:pPr>
        <w:pStyle w:val="Iliustracijsraas"/>
        <w:tabs>
          <w:tab w:val="right" w:leader="dot" w:pos="9016"/>
        </w:tabs>
        <w:rPr>
          <w:rStyle w:val="Hipersaitas"/>
          <w:rFonts w:ascii="Georgia" w:eastAsia="PMingLiU" w:hAnsi="Georgia" w:cs="Georgia"/>
          <w:bCs/>
          <w:noProof/>
          <w:sz w:val="18"/>
          <w:szCs w:val="18"/>
          <w:lang w:val="lt-LT"/>
        </w:rPr>
      </w:pPr>
      <w:hyperlink w:anchor="_Toc507939125" w:history="1">
        <w:r w:rsidR="00111EB2" w:rsidRPr="006C6C90">
          <w:rPr>
            <w:rStyle w:val="Hipersaitas"/>
            <w:rFonts w:ascii="Georgia" w:eastAsia="PMingLiU" w:hAnsi="Georgia" w:cs="Georgia"/>
            <w:bCs/>
            <w:noProof/>
            <w:sz w:val="18"/>
            <w:szCs w:val="18"/>
            <w:lang w:val="lt-LT"/>
          </w:rPr>
          <w:t>Lentelė 3. 2007-2013 m. periodu įgyvendintų finansinių priemonių tipai ir skaičius</w:t>
        </w:r>
        <w:r w:rsidR="00111EB2" w:rsidRPr="006C6C90">
          <w:rPr>
            <w:rStyle w:val="Hipersaitas"/>
            <w:rFonts w:ascii="Georgia" w:eastAsia="PMingLiU" w:hAnsi="Georgia" w:cs="Georgia"/>
            <w:bCs/>
            <w:noProof/>
            <w:webHidden/>
            <w:sz w:val="18"/>
            <w:szCs w:val="18"/>
            <w:lang w:val="lt-LT"/>
          </w:rPr>
          <w:tab/>
        </w:r>
        <w:r w:rsidR="00111EB2" w:rsidRPr="006C6C90">
          <w:rPr>
            <w:rStyle w:val="Hipersaitas"/>
            <w:rFonts w:ascii="Georgia" w:eastAsia="PMingLiU" w:hAnsi="Georgia" w:cs="Georgia"/>
            <w:bCs/>
            <w:noProof/>
            <w:webHidden/>
            <w:sz w:val="18"/>
            <w:szCs w:val="18"/>
            <w:lang w:val="lt-LT"/>
          </w:rPr>
          <w:fldChar w:fldCharType="begin"/>
        </w:r>
        <w:r w:rsidR="00111EB2" w:rsidRPr="006C6C90">
          <w:rPr>
            <w:rStyle w:val="Hipersaitas"/>
            <w:rFonts w:ascii="Georgia" w:eastAsia="PMingLiU" w:hAnsi="Georgia" w:cs="Georgia"/>
            <w:bCs/>
            <w:noProof/>
            <w:webHidden/>
            <w:sz w:val="18"/>
            <w:szCs w:val="18"/>
            <w:lang w:val="lt-LT"/>
          </w:rPr>
          <w:instrText xml:space="preserve"> PAGEREF _Toc507939125 \h </w:instrText>
        </w:r>
        <w:r w:rsidR="00111EB2" w:rsidRPr="006C6C90">
          <w:rPr>
            <w:rStyle w:val="Hipersaitas"/>
            <w:rFonts w:ascii="Georgia" w:eastAsia="PMingLiU" w:hAnsi="Georgia" w:cs="Georgia"/>
            <w:bCs/>
            <w:noProof/>
            <w:webHidden/>
            <w:sz w:val="18"/>
            <w:szCs w:val="18"/>
            <w:lang w:val="lt-LT"/>
          </w:rPr>
        </w:r>
        <w:r w:rsidR="00111EB2" w:rsidRPr="006C6C90">
          <w:rPr>
            <w:rStyle w:val="Hipersaitas"/>
            <w:rFonts w:ascii="Georgia" w:eastAsia="PMingLiU" w:hAnsi="Georgia" w:cs="Georgia"/>
            <w:bCs/>
            <w:noProof/>
            <w:webHidden/>
            <w:sz w:val="18"/>
            <w:szCs w:val="18"/>
            <w:lang w:val="lt-LT"/>
          </w:rPr>
          <w:fldChar w:fldCharType="separate"/>
        </w:r>
        <w:r w:rsidR="009652A6">
          <w:rPr>
            <w:rStyle w:val="Hipersaitas"/>
            <w:rFonts w:ascii="Georgia" w:eastAsia="PMingLiU" w:hAnsi="Georgia" w:cs="Georgia"/>
            <w:bCs/>
            <w:noProof/>
            <w:webHidden/>
            <w:sz w:val="18"/>
            <w:szCs w:val="18"/>
            <w:lang w:val="lt-LT"/>
          </w:rPr>
          <w:t>22</w:t>
        </w:r>
        <w:r w:rsidR="00111EB2" w:rsidRPr="006C6C90">
          <w:rPr>
            <w:rStyle w:val="Hipersaitas"/>
            <w:rFonts w:ascii="Georgia" w:eastAsia="PMingLiU" w:hAnsi="Georgia" w:cs="Georgia"/>
            <w:bCs/>
            <w:noProof/>
            <w:webHidden/>
            <w:sz w:val="18"/>
            <w:szCs w:val="18"/>
            <w:lang w:val="lt-LT"/>
          </w:rPr>
          <w:fldChar w:fldCharType="end"/>
        </w:r>
      </w:hyperlink>
    </w:p>
    <w:p w14:paraId="7A939EF0" w14:textId="156CA11B" w:rsidR="00111EB2" w:rsidRPr="006C6C90" w:rsidRDefault="00133798">
      <w:pPr>
        <w:pStyle w:val="Iliustracijsraas"/>
        <w:tabs>
          <w:tab w:val="right" w:leader="dot" w:pos="9016"/>
        </w:tabs>
        <w:rPr>
          <w:rStyle w:val="Hipersaitas"/>
          <w:rFonts w:ascii="Georgia" w:eastAsia="PMingLiU" w:hAnsi="Georgia" w:cs="Georgia"/>
          <w:bCs/>
          <w:noProof/>
          <w:sz w:val="18"/>
          <w:szCs w:val="18"/>
          <w:lang w:val="lt-LT"/>
        </w:rPr>
      </w:pPr>
      <w:hyperlink w:anchor="_Toc507939126" w:history="1">
        <w:r w:rsidR="00111EB2" w:rsidRPr="006C6C90">
          <w:rPr>
            <w:rStyle w:val="Hipersaitas"/>
            <w:rFonts w:ascii="Georgia" w:eastAsia="PMingLiU" w:hAnsi="Georgia" w:cs="Georgia"/>
            <w:bCs/>
            <w:noProof/>
            <w:sz w:val="18"/>
            <w:szCs w:val="18"/>
            <w:lang w:val="lt-LT"/>
          </w:rPr>
          <w:t>Lentelė 4. 2007–2013 m. ir 2014–2020 m. periodų finansinių priemonių panaudojimo skirtumai</w:t>
        </w:r>
        <w:r w:rsidR="00111EB2" w:rsidRPr="006C6C90">
          <w:rPr>
            <w:rStyle w:val="Hipersaitas"/>
            <w:rFonts w:ascii="Georgia" w:eastAsia="PMingLiU" w:hAnsi="Georgia" w:cs="Georgia"/>
            <w:bCs/>
            <w:noProof/>
            <w:webHidden/>
            <w:sz w:val="18"/>
            <w:szCs w:val="18"/>
            <w:lang w:val="lt-LT"/>
          </w:rPr>
          <w:tab/>
        </w:r>
        <w:r w:rsidR="00111EB2" w:rsidRPr="006C6C90">
          <w:rPr>
            <w:rStyle w:val="Hipersaitas"/>
            <w:rFonts w:ascii="Georgia" w:eastAsia="PMingLiU" w:hAnsi="Georgia" w:cs="Georgia"/>
            <w:bCs/>
            <w:noProof/>
            <w:webHidden/>
            <w:sz w:val="18"/>
            <w:szCs w:val="18"/>
            <w:lang w:val="lt-LT"/>
          </w:rPr>
          <w:fldChar w:fldCharType="begin"/>
        </w:r>
        <w:r w:rsidR="00111EB2" w:rsidRPr="006C6C90">
          <w:rPr>
            <w:rStyle w:val="Hipersaitas"/>
            <w:rFonts w:ascii="Georgia" w:eastAsia="PMingLiU" w:hAnsi="Georgia" w:cs="Georgia"/>
            <w:bCs/>
            <w:noProof/>
            <w:webHidden/>
            <w:sz w:val="18"/>
            <w:szCs w:val="18"/>
            <w:lang w:val="lt-LT"/>
          </w:rPr>
          <w:instrText xml:space="preserve"> PAGEREF _Toc507939126 \h </w:instrText>
        </w:r>
        <w:r w:rsidR="00111EB2" w:rsidRPr="006C6C90">
          <w:rPr>
            <w:rStyle w:val="Hipersaitas"/>
            <w:rFonts w:ascii="Georgia" w:eastAsia="PMingLiU" w:hAnsi="Georgia" w:cs="Georgia"/>
            <w:bCs/>
            <w:noProof/>
            <w:webHidden/>
            <w:sz w:val="18"/>
            <w:szCs w:val="18"/>
            <w:lang w:val="lt-LT"/>
          </w:rPr>
        </w:r>
        <w:r w:rsidR="00111EB2" w:rsidRPr="006C6C90">
          <w:rPr>
            <w:rStyle w:val="Hipersaitas"/>
            <w:rFonts w:ascii="Georgia" w:eastAsia="PMingLiU" w:hAnsi="Georgia" w:cs="Georgia"/>
            <w:bCs/>
            <w:noProof/>
            <w:webHidden/>
            <w:sz w:val="18"/>
            <w:szCs w:val="18"/>
            <w:lang w:val="lt-LT"/>
          </w:rPr>
          <w:fldChar w:fldCharType="separate"/>
        </w:r>
        <w:r w:rsidR="009652A6">
          <w:rPr>
            <w:rStyle w:val="Hipersaitas"/>
            <w:rFonts w:ascii="Georgia" w:eastAsia="PMingLiU" w:hAnsi="Georgia" w:cs="Georgia"/>
            <w:bCs/>
            <w:noProof/>
            <w:webHidden/>
            <w:sz w:val="18"/>
            <w:szCs w:val="18"/>
            <w:lang w:val="lt-LT"/>
          </w:rPr>
          <w:t>23</w:t>
        </w:r>
        <w:r w:rsidR="00111EB2" w:rsidRPr="006C6C90">
          <w:rPr>
            <w:rStyle w:val="Hipersaitas"/>
            <w:rFonts w:ascii="Georgia" w:eastAsia="PMingLiU" w:hAnsi="Georgia" w:cs="Georgia"/>
            <w:bCs/>
            <w:noProof/>
            <w:webHidden/>
            <w:sz w:val="18"/>
            <w:szCs w:val="18"/>
            <w:lang w:val="lt-LT"/>
          </w:rPr>
          <w:fldChar w:fldCharType="end"/>
        </w:r>
      </w:hyperlink>
    </w:p>
    <w:p w14:paraId="0C455620" w14:textId="0FC5C70A" w:rsidR="00111EB2" w:rsidRPr="00B136E3" w:rsidRDefault="00133798">
      <w:pPr>
        <w:pStyle w:val="Iliustracijsraas"/>
        <w:tabs>
          <w:tab w:val="right" w:leader="dot" w:pos="9016"/>
        </w:tabs>
        <w:rPr>
          <w:rFonts w:ascii="Georgia" w:eastAsiaTheme="minorEastAsia" w:hAnsi="Georgia"/>
          <w:noProof/>
          <w:sz w:val="18"/>
          <w:szCs w:val="18"/>
        </w:rPr>
      </w:pPr>
      <w:hyperlink w:anchor="_Toc507939127" w:history="1">
        <w:r w:rsidR="00111EB2" w:rsidRPr="006C6C90">
          <w:rPr>
            <w:rStyle w:val="Hipersaitas"/>
            <w:rFonts w:ascii="Georgia" w:eastAsia="PMingLiU" w:hAnsi="Georgia" w:cs="Georgia"/>
            <w:bCs/>
            <w:noProof/>
            <w:sz w:val="18"/>
            <w:szCs w:val="18"/>
            <w:lang w:val="lt-LT"/>
          </w:rPr>
          <w:t>Lentelė 5. Viešųjų pastatų skaičius ir tipai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_Toc507939127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31</w:t>
        </w:r>
        <w:r w:rsidR="00111EB2" w:rsidRPr="00B136E3">
          <w:rPr>
            <w:rFonts w:ascii="Georgia" w:hAnsi="Georgia"/>
            <w:noProof/>
            <w:webHidden/>
            <w:sz w:val="18"/>
            <w:szCs w:val="18"/>
          </w:rPr>
          <w:fldChar w:fldCharType="end"/>
        </w:r>
      </w:hyperlink>
    </w:p>
    <w:p w14:paraId="5B05C3B1" w14:textId="68ABE122" w:rsidR="00111EB2" w:rsidRPr="00B136E3" w:rsidRDefault="00133798">
      <w:pPr>
        <w:pStyle w:val="Iliustracijsraas"/>
        <w:tabs>
          <w:tab w:val="right" w:leader="dot" w:pos="9016"/>
        </w:tabs>
        <w:rPr>
          <w:rFonts w:ascii="Georgia" w:eastAsiaTheme="minorEastAsia" w:hAnsi="Georgia"/>
          <w:noProof/>
          <w:sz w:val="18"/>
          <w:szCs w:val="18"/>
        </w:rPr>
      </w:pPr>
      <w:hyperlink w:anchor="_Toc507939128" w:history="1">
        <w:r w:rsidR="00111EB2" w:rsidRPr="006C6C90">
          <w:rPr>
            <w:rStyle w:val="Hipersaitas"/>
            <w:rFonts w:ascii="Georgia" w:eastAsia="PMingLiU" w:hAnsi="Georgia" w:cs="Georgia"/>
            <w:bCs/>
            <w:noProof/>
            <w:sz w:val="18"/>
            <w:szCs w:val="18"/>
            <w:lang w:val="lt-LT"/>
          </w:rPr>
          <w:t>Lentelė 6. Viešosios paskirties pastatų pasiskirstymas pagal statybos metus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_Toc507939128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31</w:t>
        </w:r>
        <w:r w:rsidR="00111EB2" w:rsidRPr="00B136E3">
          <w:rPr>
            <w:rFonts w:ascii="Georgia" w:hAnsi="Georgia"/>
            <w:noProof/>
            <w:webHidden/>
            <w:sz w:val="18"/>
            <w:szCs w:val="18"/>
          </w:rPr>
          <w:fldChar w:fldCharType="end"/>
        </w:r>
      </w:hyperlink>
    </w:p>
    <w:p w14:paraId="073154BE" w14:textId="12FF3E24" w:rsidR="00111EB2" w:rsidRPr="00B136E3" w:rsidRDefault="00133798">
      <w:pPr>
        <w:pStyle w:val="Iliustracijsraas"/>
        <w:tabs>
          <w:tab w:val="right" w:leader="dot" w:pos="9016"/>
        </w:tabs>
        <w:rPr>
          <w:rFonts w:ascii="Georgia" w:eastAsiaTheme="minorEastAsia" w:hAnsi="Georgia"/>
          <w:noProof/>
          <w:sz w:val="18"/>
          <w:szCs w:val="18"/>
        </w:rPr>
      </w:pPr>
      <w:hyperlink w:anchor="_Toc507939129" w:history="1">
        <w:r w:rsidR="00111EB2" w:rsidRPr="006C6C90">
          <w:rPr>
            <w:rStyle w:val="Hipersaitas"/>
            <w:rFonts w:ascii="Georgia" w:eastAsia="Georgia" w:hAnsi="Georgia" w:cs="Arial Unicode MS"/>
            <w:iCs/>
            <w:noProof/>
            <w:sz w:val="18"/>
            <w:szCs w:val="18"/>
            <w:lang w:val="lt-LT"/>
          </w:rPr>
          <w:t xml:space="preserve">Lentelė 7. </w:t>
        </w:r>
        <w:r w:rsidR="00111EB2" w:rsidRPr="006C6C90">
          <w:rPr>
            <w:rStyle w:val="Hipersaitas"/>
            <w:rFonts w:ascii="Georgia" w:eastAsia="Georgia" w:hAnsi="Georgia" w:cs="Georgia"/>
            <w:iCs/>
            <w:noProof/>
            <w:sz w:val="18"/>
            <w:szCs w:val="18"/>
            <w:lang w:val="lt-LT"/>
          </w:rPr>
          <w:t>Viešųjų pastatų teritorinis pasiskirstymas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_Toc507939129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32</w:t>
        </w:r>
        <w:r w:rsidR="00111EB2" w:rsidRPr="00B136E3">
          <w:rPr>
            <w:rFonts w:ascii="Georgia" w:hAnsi="Georgia"/>
            <w:noProof/>
            <w:webHidden/>
            <w:sz w:val="18"/>
            <w:szCs w:val="18"/>
          </w:rPr>
          <w:fldChar w:fldCharType="end"/>
        </w:r>
      </w:hyperlink>
    </w:p>
    <w:p w14:paraId="0A8C9EAB" w14:textId="3EA8F14A" w:rsidR="00111EB2" w:rsidRPr="00B136E3" w:rsidRDefault="00133798">
      <w:pPr>
        <w:pStyle w:val="Iliustracijsraas"/>
        <w:tabs>
          <w:tab w:val="right" w:leader="dot" w:pos="9016"/>
        </w:tabs>
        <w:rPr>
          <w:rFonts w:ascii="Georgia" w:eastAsiaTheme="minorEastAsia" w:hAnsi="Georgia"/>
          <w:noProof/>
          <w:sz w:val="18"/>
          <w:szCs w:val="18"/>
        </w:rPr>
      </w:pPr>
      <w:hyperlink w:anchor="_Toc507939130" w:history="1">
        <w:r w:rsidR="00111EB2" w:rsidRPr="006C6C90">
          <w:rPr>
            <w:rStyle w:val="Hipersaitas"/>
            <w:rFonts w:ascii="Georgia" w:eastAsia="Georgia" w:hAnsi="Georgia" w:cs="Arial Unicode MS"/>
            <w:iCs/>
            <w:noProof/>
            <w:sz w:val="18"/>
            <w:szCs w:val="18"/>
            <w:lang w:val="lt-LT"/>
          </w:rPr>
          <w:t xml:space="preserve">Lentelė 8. </w:t>
        </w:r>
        <w:r w:rsidR="00111EB2" w:rsidRPr="006C6C90">
          <w:rPr>
            <w:rStyle w:val="Hipersaitas"/>
            <w:rFonts w:ascii="Georgia" w:eastAsia="Georgia" w:hAnsi="Georgia" w:cs="Georgia"/>
            <w:iCs/>
            <w:noProof/>
            <w:sz w:val="18"/>
            <w:szCs w:val="18"/>
            <w:lang w:val="lt-LT"/>
          </w:rPr>
          <w:t>Daugiabučiai namai pagal statybos metus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33</w:t>
        </w:r>
        <w:r w:rsidR="00111EB2" w:rsidRPr="00B136E3">
          <w:rPr>
            <w:rFonts w:ascii="Georgia" w:hAnsi="Georgia"/>
            <w:noProof/>
            <w:webHidden/>
            <w:sz w:val="18"/>
            <w:szCs w:val="18"/>
          </w:rPr>
          <w:fldChar w:fldCharType="end"/>
        </w:r>
      </w:hyperlink>
    </w:p>
    <w:p w14:paraId="4FAFCEF3" w14:textId="3E461A46" w:rsidR="00111EB2" w:rsidRPr="00B136E3" w:rsidRDefault="00133798">
      <w:pPr>
        <w:pStyle w:val="Iliustracijsraas"/>
        <w:tabs>
          <w:tab w:val="right" w:leader="dot" w:pos="9016"/>
        </w:tabs>
        <w:rPr>
          <w:rFonts w:ascii="Georgia" w:eastAsiaTheme="minorEastAsia" w:hAnsi="Georgia"/>
          <w:noProof/>
          <w:sz w:val="18"/>
          <w:szCs w:val="18"/>
        </w:rPr>
      </w:pPr>
      <w:hyperlink w:anchor="_Toc507939131" w:history="1">
        <w:r w:rsidR="00111EB2" w:rsidRPr="006C6C90">
          <w:rPr>
            <w:rStyle w:val="Hipersaitas"/>
            <w:rFonts w:ascii="Georgia" w:eastAsia="Georgia" w:hAnsi="Georgia" w:cs="Arial Unicode MS"/>
            <w:iCs/>
            <w:noProof/>
            <w:sz w:val="18"/>
            <w:szCs w:val="18"/>
            <w:lang w:val="lt-LT"/>
          </w:rPr>
          <w:t xml:space="preserve">Lentelė 9. </w:t>
        </w:r>
        <w:r w:rsidR="00111EB2" w:rsidRPr="006C6C90">
          <w:rPr>
            <w:rStyle w:val="Hipersaitas"/>
            <w:rFonts w:ascii="Georgia" w:eastAsia="Georgia" w:hAnsi="Georgia" w:cs="Georgia"/>
            <w:iCs/>
            <w:noProof/>
            <w:sz w:val="18"/>
            <w:szCs w:val="18"/>
            <w:lang w:val="lt-LT"/>
          </w:rPr>
          <w:t>Numatomi energijos vartojimo sutaupymai 2015-2023 metais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35</w:t>
        </w:r>
        <w:r w:rsidR="00111EB2" w:rsidRPr="00B136E3">
          <w:rPr>
            <w:rFonts w:ascii="Georgia" w:hAnsi="Georgia"/>
            <w:noProof/>
            <w:webHidden/>
            <w:sz w:val="18"/>
            <w:szCs w:val="18"/>
          </w:rPr>
          <w:fldChar w:fldCharType="end"/>
        </w:r>
      </w:hyperlink>
    </w:p>
    <w:p w14:paraId="26A32F66" w14:textId="741A405C" w:rsidR="00111EB2" w:rsidRPr="00B136E3" w:rsidRDefault="00133798">
      <w:pPr>
        <w:pStyle w:val="Iliustracijsraas"/>
        <w:tabs>
          <w:tab w:val="right" w:leader="dot" w:pos="9016"/>
        </w:tabs>
        <w:rPr>
          <w:rFonts w:ascii="Georgia" w:eastAsiaTheme="minorEastAsia" w:hAnsi="Georgia"/>
          <w:noProof/>
          <w:sz w:val="18"/>
          <w:szCs w:val="18"/>
        </w:rPr>
      </w:pPr>
      <w:hyperlink w:anchor="_Toc507939132" w:history="1">
        <w:r w:rsidR="00111EB2" w:rsidRPr="006C6C90">
          <w:rPr>
            <w:rStyle w:val="Hipersaitas"/>
            <w:rFonts w:ascii="Georgia" w:eastAsia="Georgia" w:hAnsi="Georgia" w:cs="Arial Unicode MS"/>
            <w:iCs/>
            <w:noProof/>
            <w:sz w:val="18"/>
            <w:szCs w:val="18"/>
            <w:lang w:val="lt-LT"/>
          </w:rPr>
          <w:t>Lentelė 10. Viešųjų pastatų p</w:t>
        </w:r>
        <w:r w:rsidR="00111EB2" w:rsidRPr="006C6C90">
          <w:rPr>
            <w:rStyle w:val="Hipersaitas"/>
            <w:rFonts w:ascii="Georgia" w:eastAsia="Georgia" w:hAnsi="Georgia" w:cs="Georgia"/>
            <w:iCs/>
            <w:noProof/>
            <w:sz w:val="18"/>
            <w:szCs w:val="18"/>
            <w:lang w:val="lt-LT"/>
          </w:rPr>
          <w:t>aklausos skaičiavimo prielaidos ir paklausos rodiklių skaičiavimas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36</w:t>
        </w:r>
        <w:r w:rsidR="00111EB2" w:rsidRPr="00B136E3">
          <w:rPr>
            <w:rFonts w:ascii="Georgia" w:hAnsi="Georgia"/>
            <w:noProof/>
            <w:webHidden/>
            <w:sz w:val="18"/>
            <w:szCs w:val="18"/>
          </w:rPr>
          <w:fldChar w:fldCharType="end"/>
        </w:r>
      </w:hyperlink>
    </w:p>
    <w:p w14:paraId="5D5E1DD7" w14:textId="3472F4D3" w:rsidR="00111EB2" w:rsidRPr="00B136E3" w:rsidRDefault="00133798">
      <w:pPr>
        <w:pStyle w:val="Iliustracijsraas"/>
        <w:tabs>
          <w:tab w:val="right" w:leader="dot" w:pos="9016"/>
        </w:tabs>
        <w:rPr>
          <w:rFonts w:ascii="Georgia" w:eastAsiaTheme="minorEastAsia" w:hAnsi="Georgia"/>
          <w:noProof/>
          <w:sz w:val="18"/>
          <w:szCs w:val="18"/>
        </w:rPr>
      </w:pPr>
      <w:hyperlink w:anchor="_Toc507939133" w:history="1">
        <w:r w:rsidR="00111EB2" w:rsidRPr="006C6C90">
          <w:rPr>
            <w:rStyle w:val="Hipersaitas"/>
            <w:rFonts w:ascii="Georgia" w:eastAsia="Georgia" w:hAnsi="Georgia" w:cs="Arial Unicode MS"/>
            <w:iCs/>
            <w:noProof/>
            <w:sz w:val="18"/>
            <w:szCs w:val="18"/>
            <w:lang w:val="lt-LT"/>
          </w:rPr>
          <w:t>Lentelė 11. Daugiabučių pastatų p</w:t>
        </w:r>
        <w:r w:rsidR="00111EB2" w:rsidRPr="006C6C90">
          <w:rPr>
            <w:rStyle w:val="Hipersaitas"/>
            <w:rFonts w:ascii="Georgia" w:eastAsia="Georgia" w:hAnsi="Georgia" w:cs="Georgia"/>
            <w:iCs/>
            <w:noProof/>
            <w:sz w:val="18"/>
            <w:szCs w:val="18"/>
            <w:lang w:val="lt-LT"/>
          </w:rPr>
          <w:t>aklausos skaičiavimo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38</w:t>
        </w:r>
        <w:r w:rsidR="00111EB2" w:rsidRPr="00B136E3">
          <w:rPr>
            <w:rFonts w:ascii="Georgia" w:hAnsi="Georgia"/>
            <w:noProof/>
            <w:webHidden/>
            <w:sz w:val="18"/>
            <w:szCs w:val="18"/>
          </w:rPr>
          <w:fldChar w:fldCharType="end"/>
        </w:r>
      </w:hyperlink>
    </w:p>
    <w:p w14:paraId="7EABAD60" w14:textId="2CADBD40" w:rsidR="00111EB2" w:rsidRPr="00B136E3" w:rsidRDefault="00133798">
      <w:pPr>
        <w:pStyle w:val="Iliustracijsraas"/>
        <w:tabs>
          <w:tab w:val="right" w:leader="dot" w:pos="9016"/>
        </w:tabs>
        <w:rPr>
          <w:rFonts w:ascii="Georgia" w:eastAsiaTheme="minorEastAsia" w:hAnsi="Georgia"/>
          <w:noProof/>
          <w:sz w:val="18"/>
          <w:szCs w:val="18"/>
        </w:rPr>
      </w:pPr>
      <w:hyperlink w:anchor="_Toc507939134" w:history="1">
        <w:r w:rsidR="00111EB2" w:rsidRPr="006C6C90">
          <w:rPr>
            <w:rStyle w:val="Hipersaitas"/>
            <w:rFonts w:ascii="Georgia" w:eastAsia="Georgia" w:hAnsi="Georgia" w:cs="Arial Unicode MS"/>
            <w:iCs/>
            <w:noProof/>
            <w:sz w:val="18"/>
            <w:szCs w:val="18"/>
            <w:lang w:val="lt-LT"/>
          </w:rPr>
          <w:t>Lentelė 12. Daugiabučių pastatų p</w:t>
        </w:r>
        <w:r w:rsidR="00111EB2" w:rsidRPr="006C6C90">
          <w:rPr>
            <w:rStyle w:val="Hipersaitas"/>
            <w:rFonts w:ascii="Georgia" w:eastAsia="Georgia" w:hAnsi="Georgia" w:cs="Georgia"/>
            <w:iCs/>
            <w:noProof/>
            <w:sz w:val="18"/>
            <w:szCs w:val="18"/>
            <w:lang w:val="lt-LT"/>
          </w:rPr>
          <w:t>aklausos skaičiavimo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39</w:t>
        </w:r>
        <w:r w:rsidR="00111EB2" w:rsidRPr="00B136E3">
          <w:rPr>
            <w:rFonts w:ascii="Georgia" w:hAnsi="Georgia"/>
            <w:noProof/>
            <w:webHidden/>
            <w:sz w:val="18"/>
            <w:szCs w:val="18"/>
          </w:rPr>
          <w:fldChar w:fldCharType="end"/>
        </w:r>
      </w:hyperlink>
    </w:p>
    <w:p w14:paraId="1B2727C6" w14:textId="1E1E8D83" w:rsidR="00111EB2" w:rsidRPr="00B136E3" w:rsidRDefault="00133798">
      <w:pPr>
        <w:pStyle w:val="Iliustracijsraas"/>
        <w:tabs>
          <w:tab w:val="right" w:leader="dot" w:pos="9016"/>
        </w:tabs>
        <w:rPr>
          <w:rFonts w:ascii="Georgia" w:eastAsiaTheme="minorEastAsia" w:hAnsi="Georgia"/>
          <w:noProof/>
          <w:sz w:val="18"/>
          <w:szCs w:val="18"/>
        </w:rPr>
      </w:pPr>
      <w:hyperlink w:anchor="_Toc507939135" w:history="1">
        <w:r w:rsidR="00111EB2" w:rsidRPr="006C6C90">
          <w:rPr>
            <w:rStyle w:val="Hipersaitas"/>
            <w:rFonts w:ascii="Georgia" w:eastAsia="Georgia" w:hAnsi="Georgia" w:cs="Arial Unicode MS"/>
            <w:iCs/>
            <w:noProof/>
            <w:sz w:val="18"/>
            <w:szCs w:val="18"/>
            <w:lang w:val="lt-LT"/>
          </w:rPr>
          <w:t>Lentelė 13. Daugiabučių namų, prijungtų prie centralizuotos šilumos sistemos, modernizavimo tikslai Nacionalinėje energetikos strategijoje</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40</w:t>
        </w:r>
        <w:r w:rsidR="00111EB2" w:rsidRPr="00B136E3">
          <w:rPr>
            <w:rFonts w:ascii="Georgia" w:hAnsi="Georgia"/>
            <w:noProof/>
            <w:webHidden/>
            <w:sz w:val="18"/>
            <w:szCs w:val="18"/>
          </w:rPr>
          <w:fldChar w:fldCharType="end"/>
        </w:r>
      </w:hyperlink>
    </w:p>
    <w:p w14:paraId="482D9FFC" w14:textId="29EC4F10" w:rsidR="00111EB2" w:rsidRPr="00B136E3" w:rsidRDefault="00133798">
      <w:pPr>
        <w:pStyle w:val="Iliustracijsraas"/>
        <w:tabs>
          <w:tab w:val="right" w:leader="dot" w:pos="9016"/>
        </w:tabs>
        <w:rPr>
          <w:rFonts w:ascii="Georgia" w:eastAsiaTheme="minorEastAsia" w:hAnsi="Georgia"/>
          <w:noProof/>
          <w:sz w:val="18"/>
          <w:szCs w:val="18"/>
        </w:rPr>
      </w:pPr>
      <w:hyperlink w:anchor="_Toc507939136" w:history="1">
        <w:r w:rsidR="00111EB2" w:rsidRPr="006C6C90">
          <w:rPr>
            <w:rStyle w:val="Hipersaitas"/>
            <w:rFonts w:ascii="Georgia" w:eastAsia="Georgia" w:hAnsi="Georgia" w:cs="Arial Unicode MS"/>
            <w:iCs/>
            <w:noProof/>
            <w:sz w:val="18"/>
            <w:szCs w:val="18"/>
            <w:lang w:val="lt-LT"/>
          </w:rPr>
          <w:t>Lentelė 14. Daugiabučių namų renovacijos tvarkaraštis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40</w:t>
        </w:r>
        <w:r w:rsidR="00111EB2" w:rsidRPr="00B136E3">
          <w:rPr>
            <w:rFonts w:ascii="Georgia" w:hAnsi="Georgia"/>
            <w:noProof/>
            <w:webHidden/>
            <w:sz w:val="18"/>
            <w:szCs w:val="18"/>
          </w:rPr>
          <w:fldChar w:fldCharType="end"/>
        </w:r>
      </w:hyperlink>
    </w:p>
    <w:p w14:paraId="195F6436" w14:textId="04FAE170" w:rsidR="00111EB2" w:rsidRPr="00B136E3" w:rsidRDefault="00133798">
      <w:pPr>
        <w:pStyle w:val="Iliustracijsraas"/>
        <w:tabs>
          <w:tab w:val="right" w:leader="dot" w:pos="9016"/>
        </w:tabs>
        <w:rPr>
          <w:rFonts w:ascii="Georgia" w:eastAsiaTheme="minorEastAsia" w:hAnsi="Georgia"/>
          <w:noProof/>
          <w:sz w:val="18"/>
          <w:szCs w:val="18"/>
        </w:rPr>
      </w:pPr>
      <w:hyperlink w:anchor="_Toc507939137" w:history="1">
        <w:r w:rsidR="00111EB2" w:rsidRPr="006C6C90">
          <w:rPr>
            <w:rStyle w:val="Hipersaitas"/>
            <w:rFonts w:ascii="Georgia" w:eastAsia="Georgia" w:hAnsi="Georgia" w:cs="Arial Unicode MS"/>
            <w:iCs/>
            <w:noProof/>
            <w:sz w:val="18"/>
            <w:szCs w:val="18"/>
            <w:lang w:val="lt-LT"/>
          </w:rPr>
          <w:t>Lentelė 15. Daugiabučių namų paklausos skaičiavimas remiantis Nacionalinės energetikos strategijos tikslais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40</w:t>
        </w:r>
        <w:r w:rsidR="00111EB2" w:rsidRPr="00B136E3">
          <w:rPr>
            <w:rFonts w:ascii="Georgia" w:hAnsi="Georgia"/>
            <w:noProof/>
            <w:webHidden/>
            <w:sz w:val="18"/>
            <w:szCs w:val="18"/>
          </w:rPr>
          <w:fldChar w:fldCharType="end"/>
        </w:r>
      </w:hyperlink>
    </w:p>
    <w:p w14:paraId="7B94210A" w14:textId="56A4A248" w:rsidR="00111EB2" w:rsidRPr="00B136E3" w:rsidRDefault="00133798">
      <w:pPr>
        <w:pStyle w:val="Iliustracijsraas"/>
        <w:tabs>
          <w:tab w:val="right" w:leader="dot" w:pos="9016"/>
        </w:tabs>
        <w:rPr>
          <w:rFonts w:ascii="Georgia" w:eastAsiaTheme="minorEastAsia" w:hAnsi="Georgia"/>
          <w:noProof/>
          <w:sz w:val="18"/>
          <w:szCs w:val="18"/>
        </w:rPr>
      </w:pPr>
      <w:hyperlink w:anchor="_Toc507939138" w:history="1">
        <w:r w:rsidR="00111EB2" w:rsidRPr="006C6C90">
          <w:rPr>
            <w:rStyle w:val="Hipersaitas"/>
            <w:rFonts w:ascii="Georgia" w:eastAsia="Georgia" w:hAnsi="Georgia" w:cs="Arial Unicode MS"/>
            <w:iCs/>
            <w:noProof/>
            <w:sz w:val="18"/>
            <w:szCs w:val="18"/>
            <w:lang w:val="lt-LT"/>
          </w:rPr>
          <w:t>Lentelė 16. Daugiabučių paklausos skaičiavimo metodų ir jų rezultatų  apibendrinimas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41</w:t>
        </w:r>
        <w:r w:rsidR="00111EB2" w:rsidRPr="00B136E3">
          <w:rPr>
            <w:rFonts w:ascii="Georgia" w:hAnsi="Georgia"/>
            <w:noProof/>
            <w:webHidden/>
            <w:sz w:val="18"/>
            <w:szCs w:val="18"/>
          </w:rPr>
          <w:fldChar w:fldCharType="end"/>
        </w:r>
      </w:hyperlink>
    </w:p>
    <w:p w14:paraId="7CC46A06" w14:textId="65CA11F4" w:rsidR="00111EB2" w:rsidRPr="00B136E3" w:rsidRDefault="00133798">
      <w:pPr>
        <w:pStyle w:val="Iliustracijsraas"/>
        <w:tabs>
          <w:tab w:val="right" w:leader="dot" w:pos="9016"/>
        </w:tabs>
        <w:rPr>
          <w:rFonts w:ascii="Georgia" w:eastAsiaTheme="minorEastAsia" w:hAnsi="Georgia"/>
          <w:noProof/>
          <w:sz w:val="18"/>
          <w:szCs w:val="18"/>
        </w:rPr>
      </w:pPr>
      <w:hyperlink w:anchor="_Toc507939139" w:history="1">
        <w:r w:rsidR="00111EB2" w:rsidRPr="006C6C90">
          <w:rPr>
            <w:rStyle w:val="Hipersaitas"/>
            <w:rFonts w:ascii="Georgia" w:eastAsia="Georgia" w:hAnsi="Georgia" w:cs="Arial Unicode MS"/>
            <w:iCs/>
            <w:noProof/>
            <w:sz w:val="18"/>
            <w:szCs w:val="18"/>
            <w:lang w:val="lt-LT"/>
          </w:rPr>
          <w:t>Lentelė 17. Gatvių apšvietimo tinklo modernizavimo p</w:t>
        </w:r>
        <w:r w:rsidR="00111EB2" w:rsidRPr="006C6C90">
          <w:rPr>
            <w:rStyle w:val="Hipersaitas"/>
            <w:rFonts w:ascii="Georgia" w:eastAsia="Georgia" w:hAnsi="Georgia" w:cs="Georgia"/>
            <w:iCs/>
            <w:noProof/>
            <w:sz w:val="18"/>
            <w:szCs w:val="18"/>
            <w:lang w:val="lt-LT"/>
          </w:rPr>
          <w:t>aklausos skaičiavimo prielaidos ir paklausos rodiklių skaičiavimas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_Toc507939139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41</w:t>
        </w:r>
        <w:r w:rsidR="00111EB2" w:rsidRPr="00B136E3">
          <w:rPr>
            <w:rFonts w:ascii="Georgia" w:hAnsi="Georgia"/>
            <w:noProof/>
            <w:webHidden/>
            <w:sz w:val="18"/>
            <w:szCs w:val="18"/>
          </w:rPr>
          <w:fldChar w:fldCharType="end"/>
        </w:r>
      </w:hyperlink>
    </w:p>
    <w:p w14:paraId="16246FE1" w14:textId="1E085892" w:rsidR="00111EB2" w:rsidRPr="00B136E3" w:rsidRDefault="00133798">
      <w:pPr>
        <w:pStyle w:val="Iliustracijsraas"/>
        <w:tabs>
          <w:tab w:val="right" w:leader="dot" w:pos="9016"/>
        </w:tabs>
        <w:rPr>
          <w:rFonts w:ascii="Georgia" w:eastAsiaTheme="minorEastAsia" w:hAnsi="Georgia"/>
          <w:noProof/>
          <w:sz w:val="18"/>
          <w:szCs w:val="18"/>
        </w:rPr>
      </w:pPr>
      <w:hyperlink w:anchor="_Toc507939140" w:history="1">
        <w:r w:rsidR="00111EB2" w:rsidRPr="006C6C90">
          <w:rPr>
            <w:rStyle w:val="Hipersaitas"/>
            <w:rFonts w:ascii="Georgia" w:eastAsia="Georgia" w:hAnsi="Georgia" w:cs="Arial Unicode MS"/>
            <w:iCs/>
            <w:noProof/>
            <w:sz w:val="18"/>
            <w:szCs w:val="18"/>
            <w:lang w:val="lt-LT"/>
          </w:rPr>
          <w:t>Lentelė 18. Paklausos apibendrinimas visiems infrastruktūros tipams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42</w:t>
        </w:r>
        <w:r w:rsidR="00111EB2" w:rsidRPr="00B136E3">
          <w:rPr>
            <w:rFonts w:ascii="Georgia" w:hAnsi="Georgia"/>
            <w:noProof/>
            <w:webHidden/>
            <w:sz w:val="18"/>
            <w:szCs w:val="18"/>
          </w:rPr>
          <w:fldChar w:fldCharType="end"/>
        </w:r>
      </w:hyperlink>
    </w:p>
    <w:p w14:paraId="0EE4BC6B" w14:textId="7EB48F8B" w:rsidR="00111EB2" w:rsidRPr="00B136E3" w:rsidRDefault="00133798">
      <w:pPr>
        <w:pStyle w:val="Iliustracijsraas"/>
        <w:tabs>
          <w:tab w:val="right" w:leader="dot" w:pos="9016"/>
        </w:tabs>
        <w:rPr>
          <w:rFonts w:ascii="Georgia" w:eastAsiaTheme="minorEastAsia" w:hAnsi="Georgia"/>
          <w:noProof/>
          <w:sz w:val="18"/>
          <w:szCs w:val="18"/>
        </w:rPr>
      </w:pPr>
      <w:hyperlink w:anchor="_Toc507939141" w:history="1">
        <w:r w:rsidR="00111EB2" w:rsidRPr="006C6C90">
          <w:rPr>
            <w:rStyle w:val="Hipersaitas"/>
            <w:rFonts w:ascii="Georgia" w:eastAsia="Georgia" w:hAnsi="Georgia" w:cs="Arial Unicode MS"/>
            <w:iCs/>
            <w:noProof/>
            <w:sz w:val="18"/>
            <w:szCs w:val="18"/>
            <w:lang w:val="lt-LT"/>
          </w:rPr>
          <w:t xml:space="preserve">Lentelė 19. </w:t>
        </w:r>
        <w:r w:rsidR="00111EB2" w:rsidRPr="006C6C90">
          <w:rPr>
            <w:rStyle w:val="Hipersaitas"/>
            <w:rFonts w:ascii="Georgia" w:eastAsia="Georgia" w:hAnsi="Georgia" w:cs="Georgia"/>
            <w:iCs/>
            <w:noProof/>
            <w:sz w:val="18"/>
            <w:szCs w:val="18"/>
            <w:lang w:val="lt-LT"/>
          </w:rPr>
          <w:t>JESSICA KF 2009-2013 m. paskelbtų kvietimų charakteristikos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44</w:t>
        </w:r>
        <w:r w:rsidR="00111EB2" w:rsidRPr="00B136E3">
          <w:rPr>
            <w:rFonts w:ascii="Georgia" w:hAnsi="Georgia"/>
            <w:noProof/>
            <w:webHidden/>
            <w:sz w:val="18"/>
            <w:szCs w:val="18"/>
          </w:rPr>
          <w:fldChar w:fldCharType="end"/>
        </w:r>
      </w:hyperlink>
    </w:p>
    <w:p w14:paraId="781D18C1" w14:textId="75E7D3B5" w:rsidR="00111EB2" w:rsidRPr="00B136E3" w:rsidRDefault="00133798">
      <w:pPr>
        <w:pStyle w:val="Iliustracijsraas"/>
        <w:tabs>
          <w:tab w:val="right" w:leader="dot" w:pos="9016"/>
        </w:tabs>
        <w:rPr>
          <w:rFonts w:ascii="Georgia" w:eastAsiaTheme="minorEastAsia" w:hAnsi="Georgia"/>
          <w:noProof/>
          <w:sz w:val="18"/>
          <w:szCs w:val="18"/>
        </w:rPr>
      </w:pPr>
      <w:hyperlink w:anchor="_Toc507939142" w:history="1">
        <w:r w:rsidR="00111EB2" w:rsidRPr="006C6C90">
          <w:rPr>
            <w:rStyle w:val="Hipersaitas"/>
            <w:rFonts w:ascii="Georgia" w:eastAsia="Georgia" w:hAnsi="Georgia" w:cs="Arial Unicode MS"/>
            <w:iCs/>
            <w:noProof/>
            <w:sz w:val="18"/>
            <w:szCs w:val="18"/>
            <w:lang w:val="lt-LT"/>
          </w:rPr>
          <w:t>Lentelė 20. Viešųjų pastatų renovacijos Ūkio ministerijos 2007-2013 m. priemonių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45</w:t>
        </w:r>
        <w:r w:rsidR="00111EB2" w:rsidRPr="00B136E3">
          <w:rPr>
            <w:rFonts w:ascii="Georgia" w:hAnsi="Georgia"/>
            <w:noProof/>
            <w:webHidden/>
            <w:sz w:val="18"/>
            <w:szCs w:val="18"/>
          </w:rPr>
          <w:fldChar w:fldCharType="end"/>
        </w:r>
      </w:hyperlink>
    </w:p>
    <w:p w14:paraId="0F4B93AF" w14:textId="104223C2" w:rsidR="00111EB2" w:rsidRPr="00B136E3" w:rsidRDefault="00133798">
      <w:pPr>
        <w:pStyle w:val="Iliustracijsraas"/>
        <w:tabs>
          <w:tab w:val="right" w:leader="dot" w:pos="9016"/>
        </w:tabs>
        <w:rPr>
          <w:rFonts w:ascii="Georgia" w:eastAsiaTheme="minorEastAsia" w:hAnsi="Georgia"/>
          <w:noProof/>
          <w:sz w:val="18"/>
          <w:szCs w:val="18"/>
        </w:rPr>
      </w:pPr>
      <w:hyperlink w:anchor="_Toc507939143" w:history="1">
        <w:r w:rsidR="00111EB2" w:rsidRPr="006C6C90">
          <w:rPr>
            <w:rStyle w:val="Hipersaitas"/>
            <w:rFonts w:ascii="Georgia" w:eastAsia="Georgia" w:hAnsi="Georgia" w:cs="Arial Unicode MS"/>
            <w:iCs/>
            <w:noProof/>
            <w:sz w:val="18"/>
            <w:szCs w:val="18"/>
            <w:lang w:val="lt-LT"/>
          </w:rPr>
          <w:t>Lentelė 21. Priemonės ir įsteigti fondai siekiant veiksmų programos 4 prioriteto „Energijos efektyvumo ir atsinaujinančių išteklių energijos gamybos ir naudojimo skatinimas“ 2014-2020 metais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46</w:t>
        </w:r>
        <w:r w:rsidR="00111EB2" w:rsidRPr="00B136E3">
          <w:rPr>
            <w:rFonts w:ascii="Georgia" w:hAnsi="Georgia"/>
            <w:noProof/>
            <w:webHidden/>
            <w:sz w:val="18"/>
            <w:szCs w:val="18"/>
          </w:rPr>
          <w:fldChar w:fldCharType="end"/>
        </w:r>
      </w:hyperlink>
    </w:p>
    <w:p w14:paraId="616D65E2" w14:textId="648DE9B6" w:rsidR="00111EB2" w:rsidRPr="00B136E3" w:rsidRDefault="00133798">
      <w:pPr>
        <w:pStyle w:val="Iliustracijsraas"/>
        <w:tabs>
          <w:tab w:val="right" w:leader="dot" w:pos="9016"/>
        </w:tabs>
        <w:rPr>
          <w:rFonts w:ascii="Georgia" w:eastAsiaTheme="minorEastAsia" w:hAnsi="Georgia"/>
          <w:noProof/>
          <w:sz w:val="18"/>
          <w:szCs w:val="18"/>
        </w:rPr>
      </w:pPr>
      <w:hyperlink w:anchor="_Toc507939144" w:history="1">
        <w:r w:rsidR="00111EB2" w:rsidRPr="006C6C90">
          <w:rPr>
            <w:rStyle w:val="Hipersaitas"/>
            <w:rFonts w:ascii="Georgia" w:eastAsia="Georgia" w:hAnsi="Georgia" w:cs="Arial Unicode MS"/>
            <w:iCs/>
            <w:noProof/>
            <w:sz w:val="18"/>
            <w:szCs w:val="18"/>
            <w:lang w:val="lt-LT"/>
          </w:rPr>
          <w:t>Lentelė 22. EIB kvietimai finansiniams tarpininkams atrinkti ir priemonės pilnas finansavimas 2017-2023 m.</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50</w:t>
        </w:r>
        <w:r w:rsidR="00111EB2" w:rsidRPr="00B136E3">
          <w:rPr>
            <w:rFonts w:ascii="Georgia" w:hAnsi="Georgia"/>
            <w:noProof/>
            <w:webHidden/>
            <w:sz w:val="18"/>
            <w:szCs w:val="18"/>
          </w:rPr>
          <w:fldChar w:fldCharType="end"/>
        </w:r>
      </w:hyperlink>
    </w:p>
    <w:p w14:paraId="3CEA699E" w14:textId="0030F5C1" w:rsidR="00111EB2" w:rsidRPr="00B136E3" w:rsidRDefault="00133798">
      <w:pPr>
        <w:pStyle w:val="Iliustracijsraas"/>
        <w:tabs>
          <w:tab w:val="right" w:leader="dot" w:pos="9016"/>
        </w:tabs>
        <w:rPr>
          <w:rFonts w:ascii="Georgia" w:eastAsiaTheme="minorEastAsia" w:hAnsi="Georgia"/>
          <w:noProof/>
          <w:sz w:val="18"/>
          <w:szCs w:val="18"/>
        </w:rPr>
      </w:pPr>
      <w:hyperlink w:anchor="_Toc507939145" w:history="1">
        <w:r w:rsidR="00111EB2" w:rsidRPr="006C6C90">
          <w:rPr>
            <w:rStyle w:val="Hipersaitas"/>
            <w:rFonts w:ascii="Georgia" w:eastAsia="Georgia" w:hAnsi="Georgia" w:cs="Arial Unicode MS"/>
            <w:iCs/>
            <w:noProof/>
            <w:sz w:val="18"/>
            <w:szCs w:val="18"/>
            <w:lang w:val="lt-LT"/>
          </w:rPr>
          <w:t>Lentelė 23. Komercinių bankų portfelio prognozė (mln. EUR)</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52</w:t>
        </w:r>
        <w:r w:rsidR="00111EB2" w:rsidRPr="00B136E3">
          <w:rPr>
            <w:rFonts w:ascii="Georgia" w:hAnsi="Georgia"/>
            <w:noProof/>
            <w:webHidden/>
            <w:sz w:val="18"/>
            <w:szCs w:val="18"/>
          </w:rPr>
          <w:fldChar w:fldCharType="end"/>
        </w:r>
      </w:hyperlink>
    </w:p>
    <w:p w14:paraId="07E29610" w14:textId="3B30C96C" w:rsidR="00111EB2" w:rsidRPr="00B136E3" w:rsidRDefault="00133798">
      <w:pPr>
        <w:pStyle w:val="Iliustracijsraas"/>
        <w:tabs>
          <w:tab w:val="right" w:leader="dot" w:pos="9016"/>
        </w:tabs>
        <w:rPr>
          <w:rFonts w:ascii="Georgia" w:eastAsiaTheme="minorEastAsia" w:hAnsi="Georgia"/>
          <w:noProof/>
          <w:sz w:val="18"/>
          <w:szCs w:val="18"/>
        </w:rPr>
      </w:pPr>
      <w:hyperlink w:anchor="_Toc507939146" w:history="1">
        <w:r w:rsidR="00111EB2" w:rsidRPr="006C6C90">
          <w:rPr>
            <w:rStyle w:val="Hipersaitas"/>
            <w:rFonts w:ascii="Georgia" w:hAnsi="Georgia"/>
            <w:noProof/>
            <w:sz w:val="18"/>
            <w:szCs w:val="18"/>
            <w:lang w:val="lt-LT"/>
          </w:rPr>
          <w:t>Lentelė 24. Savivaldybių skolinimosi padėtis 2017-09-30 d.</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56</w:t>
        </w:r>
        <w:r w:rsidR="00111EB2" w:rsidRPr="00B136E3">
          <w:rPr>
            <w:rFonts w:ascii="Georgia" w:hAnsi="Georgia"/>
            <w:noProof/>
            <w:webHidden/>
            <w:sz w:val="18"/>
            <w:szCs w:val="18"/>
          </w:rPr>
          <w:fldChar w:fldCharType="end"/>
        </w:r>
      </w:hyperlink>
    </w:p>
    <w:p w14:paraId="1AA3981D" w14:textId="3512A9B3" w:rsidR="00111EB2" w:rsidRPr="00B136E3" w:rsidRDefault="00133798">
      <w:pPr>
        <w:pStyle w:val="Iliustracijsraas"/>
        <w:tabs>
          <w:tab w:val="right" w:leader="dot" w:pos="9016"/>
        </w:tabs>
        <w:rPr>
          <w:rFonts w:ascii="Georgia" w:eastAsiaTheme="minorEastAsia" w:hAnsi="Georgia"/>
          <w:noProof/>
          <w:sz w:val="18"/>
          <w:szCs w:val="18"/>
        </w:rPr>
      </w:pPr>
      <w:hyperlink w:anchor="_Toc507939147" w:history="1">
        <w:r w:rsidR="00111EB2" w:rsidRPr="006C6C90">
          <w:rPr>
            <w:rStyle w:val="Hipersaitas"/>
            <w:rFonts w:ascii="Georgia" w:hAnsi="Georgia"/>
            <w:noProof/>
            <w:sz w:val="18"/>
            <w:szCs w:val="18"/>
            <w:lang w:val="lt-LT"/>
          </w:rPr>
          <w:t>Lentelė 25. Finansavimo pasiūla 2017 m.</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56</w:t>
        </w:r>
        <w:r w:rsidR="00111EB2" w:rsidRPr="00B136E3">
          <w:rPr>
            <w:rFonts w:ascii="Georgia" w:hAnsi="Georgia"/>
            <w:noProof/>
            <w:webHidden/>
            <w:sz w:val="18"/>
            <w:szCs w:val="18"/>
          </w:rPr>
          <w:fldChar w:fldCharType="end"/>
        </w:r>
      </w:hyperlink>
    </w:p>
    <w:p w14:paraId="110F6223" w14:textId="6665B97D" w:rsidR="00111EB2" w:rsidRPr="00B136E3" w:rsidRDefault="00133798">
      <w:pPr>
        <w:pStyle w:val="Iliustracijsraas"/>
        <w:tabs>
          <w:tab w:val="right" w:leader="dot" w:pos="9016"/>
        </w:tabs>
        <w:rPr>
          <w:rFonts w:ascii="Georgia" w:eastAsiaTheme="minorEastAsia" w:hAnsi="Georgia"/>
          <w:noProof/>
          <w:sz w:val="18"/>
          <w:szCs w:val="18"/>
        </w:rPr>
      </w:pPr>
      <w:hyperlink w:anchor="_Toc507939148" w:history="1">
        <w:r w:rsidR="00111EB2" w:rsidRPr="006C6C90">
          <w:rPr>
            <w:rStyle w:val="Hipersaitas"/>
            <w:rFonts w:ascii="Georgia" w:eastAsia="Georgia" w:hAnsi="Georgia" w:cs="Arial Unicode MS"/>
            <w:iCs/>
            <w:noProof/>
            <w:sz w:val="18"/>
            <w:szCs w:val="18"/>
            <w:lang w:val="lt-LT"/>
          </w:rPr>
          <w:t>Lentelė 26. Rinkos investicijų trūkumo įvertinimo duomenys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58</w:t>
        </w:r>
        <w:r w:rsidR="00111EB2" w:rsidRPr="00B136E3">
          <w:rPr>
            <w:rFonts w:ascii="Georgia" w:hAnsi="Georgia"/>
            <w:noProof/>
            <w:webHidden/>
            <w:sz w:val="18"/>
            <w:szCs w:val="18"/>
          </w:rPr>
          <w:fldChar w:fldCharType="end"/>
        </w:r>
      </w:hyperlink>
    </w:p>
    <w:p w14:paraId="163484C7" w14:textId="30DDD459" w:rsidR="00111EB2" w:rsidRPr="00B136E3" w:rsidRDefault="00133798">
      <w:pPr>
        <w:pStyle w:val="Iliustracijsraas"/>
        <w:tabs>
          <w:tab w:val="right" w:leader="dot" w:pos="9016"/>
        </w:tabs>
        <w:rPr>
          <w:rFonts w:ascii="Georgia" w:eastAsiaTheme="minorEastAsia" w:hAnsi="Georgia"/>
          <w:noProof/>
          <w:sz w:val="18"/>
          <w:szCs w:val="18"/>
        </w:rPr>
      </w:pPr>
      <w:hyperlink w:anchor="_Toc507939149" w:history="1">
        <w:r w:rsidR="00111EB2" w:rsidRPr="006C6C90">
          <w:rPr>
            <w:rStyle w:val="Hipersaitas"/>
            <w:rFonts w:ascii="Georgia" w:eastAsia="Georgia" w:hAnsi="Georgia" w:cs="Arial Unicode MS"/>
            <w:iCs/>
            <w:noProof/>
            <w:sz w:val="18"/>
            <w:szCs w:val="18"/>
            <w:lang w:val="lt-LT"/>
          </w:rPr>
          <w:t>Lentelė 27. Rinkos gyvybingumo ir investicijų trūkumo priežastys ir jų aprašymas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_Toc507939149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58</w:t>
        </w:r>
        <w:r w:rsidR="00111EB2" w:rsidRPr="00B136E3">
          <w:rPr>
            <w:rFonts w:ascii="Georgia" w:hAnsi="Georgia"/>
            <w:noProof/>
            <w:webHidden/>
            <w:sz w:val="18"/>
            <w:szCs w:val="18"/>
          </w:rPr>
          <w:fldChar w:fldCharType="end"/>
        </w:r>
      </w:hyperlink>
    </w:p>
    <w:p w14:paraId="77D67246" w14:textId="246C646B" w:rsidR="00111EB2" w:rsidRPr="00B136E3" w:rsidRDefault="00133798">
      <w:pPr>
        <w:pStyle w:val="Iliustracijsraas"/>
        <w:tabs>
          <w:tab w:val="right" w:leader="dot" w:pos="9016"/>
        </w:tabs>
        <w:rPr>
          <w:rFonts w:ascii="Georgia" w:eastAsiaTheme="minorEastAsia" w:hAnsi="Georgia"/>
          <w:noProof/>
          <w:sz w:val="18"/>
          <w:szCs w:val="18"/>
        </w:rPr>
      </w:pPr>
      <w:hyperlink w:anchor="_Toc507939150" w:history="1">
        <w:r w:rsidR="00111EB2" w:rsidRPr="006C6C90">
          <w:rPr>
            <w:rStyle w:val="Hipersaitas"/>
            <w:rFonts w:ascii="Georgia" w:eastAsia="PMingLiU" w:hAnsi="Georgia" w:cs="Times New Roman"/>
            <w:bCs/>
            <w:noProof/>
            <w:sz w:val="18"/>
            <w:szCs w:val="18"/>
            <w:lang w:val="lt-LT"/>
          </w:rPr>
          <w:t>Lentelė 28</w:t>
        </w:r>
        <w:r w:rsidR="00111EB2" w:rsidRPr="006C6C90">
          <w:rPr>
            <w:rStyle w:val="Hipersaitas"/>
            <w:rFonts w:ascii="Georgia" w:eastAsia="PMingLiU" w:hAnsi="Georgia" w:cs="Arial"/>
            <w:bCs/>
            <w:noProof/>
            <w:sz w:val="18"/>
            <w:szCs w:val="18"/>
            <w:lang w:val="lt-LT"/>
          </w:rPr>
          <w:t xml:space="preserve">. </w:t>
        </w:r>
        <w:r w:rsidR="00111EB2" w:rsidRPr="006C6C90">
          <w:rPr>
            <w:rStyle w:val="Hipersaitas"/>
            <w:rFonts w:ascii="Georgia" w:eastAsia="PMingLiU" w:hAnsi="Georgia" w:cs="Times New Roman"/>
            <w:bCs/>
            <w:noProof/>
            <w:sz w:val="18"/>
            <w:szCs w:val="18"/>
            <w:lang w:val="lt-LT"/>
          </w:rPr>
          <w:t>ERPB veiklos rodikliai Lietuvoje</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69</w:t>
        </w:r>
        <w:r w:rsidR="00111EB2" w:rsidRPr="00B136E3">
          <w:rPr>
            <w:rFonts w:ascii="Georgia" w:hAnsi="Georgia"/>
            <w:noProof/>
            <w:webHidden/>
            <w:sz w:val="18"/>
            <w:szCs w:val="18"/>
          </w:rPr>
          <w:fldChar w:fldCharType="end"/>
        </w:r>
      </w:hyperlink>
    </w:p>
    <w:p w14:paraId="78EAD92B" w14:textId="78857CC5" w:rsidR="00111EB2" w:rsidRPr="00B136E3" w:rsidRDefault="00133798">
      <w:pPr>
        <w:pStyle w:val="Iliustracijsraas"/>
        <w:tabs>
          <w:tab w:val="right" w:leader="dot" w:pos="9016"/>
        </w:tabs>
        <w:rPr>
          <w:rFonts w:ascii="Georgia" w:eastAsiaTheme="minorEastAsia" w:hAnsi="Georgia"/>
          <w:noProof/>
          <w:sz w:val="18"/>
          <w:szCs w:val="18"/>
        </w:rPr>
      </w:pPr>
      <w:hyperlink w:anchor="_Toc507939151" w:history="1">
        <w:r w:rsidR="00111EB2" w:rsidRPr="006C6C90">
          <w:rPr>
            <w:rStyle w:val="Hipersaitas"/>
            <w:rFonts w:ascii="Georgia" w:eastAsia="PMingLiU" w:hAnsi="Georgia" w:cs="Times New Roman"/>
            <w:bCs/>
            <w:noProof/>
            <w:sz w:val="18"/>
            <w:szCs w:val="18"/>
            <w:lang w:val="lt-LT"/>
          </w:rPr>
          <w:t>Lentelė 29. ERPB siūlomų produktų sąlygos.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71</w:t>
        </w:r>
        <w:r w:rsidR="00111EB2" w:rsidRPr="00B136E3">
          <w:rPr>
            <w:rFonts w:ascii="Georgia" w:hAnsi="Georgia"/>
            <w:noProof/>
            <w:webHidden/>
            <w:sz w:val="18"/>
            <w:szCs w:val="18"/>
          </w:rPr>
          <w:fldChar w:fldCharType="end"/>
        </w:r>
      </w:hyperlink>
    </w:p>
    <w:p w14:paraId="649A3CA2" w14:textId="797E9247" w:rsidR="00111EB2" w:rsidRPr="00B136E3" w:rsidRDefault="00133798">
      <w:pPr>
        <w:pStyle w:val="Iliustracijsraas"/>
        <w:tabs>
          <w:tab w:val="right" w:leader="dot" w:pos="9016"/>
        </w:tabs>
        <w:rPr>
          <w:rFonts w:ascii="Georgia" w:eastAsiaTheme="minorEastAsia" w:hAnsi="Georgia"/>
          <w:noProof/>
          <w:sz w:val="18"/>
          <w:szCs w:val="18"/>
        </w:rPr>
      </w:pPr>
      <w:hyperlink w:anchor="_Toc507939152" w:history="1">
        <w:r w:rsidR="00111EB2" w:rsidRPr="006C6C90">
          <w:rPr>
            <w:rStyle w:val="Hipersaitas"/>
            <w:rFonts w:ascii="Georgia" w:eastAsia="PMingLiU" w:hAnsi="Georgia" w:cs="Times New Roman"/>
            <w:bCs/>
            <w:noProof/>
            <w:sz w:val="18"/>
            <w:szCs w:val="18"/>
            <w:lang w:val="lt-LT"/>
          </w:rPr>
          <w:t>Lentelė 30. ŠIB siūlomų finansinių produktų sąlygos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74</w:t>
        </w:r>
        <w:r w:rsidR="00111EB2" w:rsidRPr="00B136E3">
          <w:rPr>
            <w:rFonts w:ascii="Georgia" w:hAnsi="Georgia"/>
            <w:noProof/>
            <w:webHidden/>
            <w:sz w:val="18"/>
            <w:szCs w:val="18"/>
          </w:rPr>
          <w:fldChar w:fldCharType="end"/>
        </w:r>
      </w:hyperlink>
    </w:p>
    <w:p w14:paraId="0C14EFFE" w14:textId="37D59097" w:rsidR="00111EB2" w:rsidRPr="00B136E3" w:rsidRDefault="00133798">
      <w:pPr>
        <w:pStyle w:val="Iliustracijsraas"/>
        <w:tabs>
          <w:tab w:val="right" w:leader="dot" w:pos="9016"/>
        </w:tabs>
        <w:rPr>
          <w:rFonts w:ascii="Georgia" w:eastAsiaTheme="minorEastAsia" w:hAnsi="Georgia"/>
          <w:noProof/>
          <w:sz w:val="18"/>
          <w:szCs w:val="18"/>
        </w:rPr>
      </w:pPr>
      <w:hyperlink w:anchor="_Toc507939153" w:history="1">
        <w:r w:rsidR="00111EB2" w:rsidRPr="006C6C90">
          <w:rPr>
            <w:rStyle w:val="Hipersaitas"/>
            <w:rFonts w:ascii="Georgia" w:eastAsia="PMingLiU" w:hAnsi="Georgia" w:cs="Times New Roman"/>
            <w:bCs/>
            <w:noProof/>
            <w:sz w:val="18"/>
            <w:szCs w:val="18"/>
            <w:lang w:val="lt-LT"/>
          </w:rPr>
          <w:t>Lentelė 31. EIB siūlomų finansinių produktų sąlygos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79</w:t>
        </w:r>
        <w:r w:rsidR="00111EB2" w:rsidRPr="00B136E3">
          <w:rPr>
            <w:rFonts w:ascii="Georgia" w:hAnsi="Georgia"/>
            <w:noProof/>
            <w:webHidden/>
            <w:sz w:val="18"/>
            <w:szCs w:val="18"/>
          </w:rPr>
          <w:fldChar w:fldCharType="end"/>
        </w:r>
      </w:hyperlink>
    </w:p>
    <w:p w14:paraId="1A478E49" w14:textId="2CAF05A4" w:rsidR="00111EB2" w:rsidRPr="00B136E3" w:rsidRDefault="00133798">
      <w:pPr>
        <w:pStyle w:val="Iliustracijsraas"/>
        <w:tabs>
          <w:tab w:val="right" w:leader="dot" w:pos="9016"/>
        </w:tabs>
        <w:rPr>
          <w:rFonts w:ascii="Georgia" w:eastAsiaTheme="minorEastAsia" w:hAnsi="Georgia"/>
          <w:noProof/>
          <w:sz w:val="18"/>
          <w:szCs w:val="18"/>
        </w:rPr>
      </w:pPr>
      <w:hyperlink w:anchor="_Toc507939154" w:history="1">
        <w:r w:rsidR="00111EB2" w:rsidRPr="006C6C90">
          <w:rPr>
            <w:rStyle w:val="Hipersaitas"/>
            <w:rFonts w:ascii="Georgia" w:eastAsia="PMingLiU" w:hAnsi="Georgia" w:cs="Times New Roman"/>
            <w:bCs/>
            <w:noProof/>
            <w:sz w:val="18"/>
            <w:szCs w:val="18"/>
            <w:lang w:val="lt-LT"/>
          </w:rPr>
          <w:t xml:space="preserve">Lentelė 32. </w:t>
        </w:r>
        <w:r w:rsidR="00111EB2" w:rsidRPr="006C6C90">
          <w:rPr>
            <w:rStyle w:val="Hipersaitas"/>
            <w:rFonts w:ascii="Georgia" w:eastAsia="PMingLiU" w:hAnsi="Georgia" w:cs="Arial"/>
            <w:bCs/>
            <w:noProof/>
            <w:sz w:val="18"/>
            <w:szCs w:val="18"/>
            <w:lang w:val="lt-LT"/>
          </w:rPr>
          <w:t>ETVB</w:t>
        </w:r>
        <w:r w:rsidR="00111EB2" w:rsidRPr="006C6C90">
          <w:rPr>
            <w:rStyle w:val="Hipersaitas"/>
            <w:rFonts w:ascii="Georgia" w:eastAsia="PMingLiU" w:hAnsi="Georgia" w:cs="Times New Roman"/>
            <w:bCs/>
            <w:noProof/>
            <w:sz w:val="18"/>
            <w:szCs w:val="18"/>
            <w:lang w:val="lt-LT"/>
          </w:rPr>
          <w:t xml:space="preserve"> siūlomų finansinių produktų sąlygos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81</w:t>
        </w:r>
        <w:r w:rsidR="00111EB2" w:rsidRPr="00B136E3">
          <w:rPr>
            <w:rFonts w:ascii="Georgia" w:hAnsi="Georgia"/>
            <w:noProof/>
            <w:webHidden/>
            <w:sz w:val="18"/>
            <w:szCs w:val="18"/>
          </w:rPr>
          <w:fldChar w:fldCharType="end"/>
        </w:r>
      </w:hyperlink>
    </w:p>
    <w:p w14:paraId="462A4409" w14:textId="098168C4" w:rsidR="00111EB2" w:rsidRPr="00B136E3" w:rsidRDefault="00133798">
      <w:pPr>
        <w:pStyle w:val="Iliustracijsraas"/>
        <w:tabs>
          <w:tab w:val="right" w:leader="dot" w:pos="9016"/>
        </w:tabs>
        <w:rPr>
          <w:rFonts w:ascii="Georgia" w:eastAsiaTheme="minorEastAsia" w:hAnsi="Georgia"/>
          <w:noProof/>
          <w:sz w:val="18"/>
          <w:szCs w:val="18"/>
        </w:rPr>
      </w:pPr>
      <w:hyperlink w:anchor="_Toc507939155" w:history="1">
        <w:r w:rsidR="00111EB2" w:rsidRPr="006C6C90">
          <w:rPr>
            <w:rStyle w:val="Hipersaitas"/>
            <w:rFonts w:ascii="Georgia" w:eastAsia="Georgia" w:hAnsi="Georgia" w:cs="Arial Unicode MS"/>
            <w:iCs/>
            <w:noProof/>
            <w:sz w:val="18"/>
            <w:szCs w:val="18"/>
            <w:lang w:val="lt-LT"/>
          </w:rPr>
          <w:t>Lentelė 33. ESCO modelio rizikos.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82</w:t>
        </w:r>
        <w:r w:rsidR="00111EB2" w:rsidRPr="00B136E3">
          <w:rPr>
            <w:rFonts w:ascii="Georgia" w:hAnsi="Georgia"/>
            <w:noProof/>
            <w:webHidden/>
            <w:sz w:val="18"/>
            <w:szCs w:val="18"/>
          </w:rPr>
          <w:fldChar w:fldCharType="end"/>
        </w:r>
      </w:hyperlink>
    </w:p>
    <w:p w14:paraId="5E80EBFA" w14:textId="52C59CA1" w:rsidR="00111EB2" w:rsidRPr="00B136E3" w:rsidRDefault="00133798">
      <w:pPr>
        <w:pStyle w:val="Iliustracijsraas"/>
        <w:tabs>
          <w:tab w:val="right" w:leader="dot" w:pos="9016"/>
        </w:tabs>
        <w:rPr>
          <w:rFonts w:ascii="Georgia" w:eastAsiaTheme="minorEastAsia" w:hAnsi="Georgia"/>
          <w:noProof/>
          <w:sz w:val="18"/>
          <w:szCs w:val="18"/>
        </w:rPr>
      </w:pPr>
      <w:hyperlink w:anchor="_Toc507939156" w:history="1">
        <w:r w:rsidR="00111EB2" w:rsidRPr="006C6C90">
          <w:rPr>
            <w:rStyle w:val="Hipersaitas"/>
            <w:rFonts w:ascii="Georgia" w:hAnsi="Georgia"/>
            <w:noProof/>
            <w:sz w:val="18"/>
            <w:szCs w:val="18"/>
            <w:lang w:val="lt-LT"/>
          </w:rPr>
          <w:t>Lentelė 34. Privačių investuotojų lėšų pritraukimas į fondų fondo lygmenį.</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85</w:t>
        </w:r>
        <w:r w:rsidR="00111EB2" w:rsidRPr="00B136E3">
          <w:rPr>
            <w:rFonts w:ascii="Georgia" w:hAnsi="Georgia"/>
            <w:noProof/>
            <w:webHidden/>
            <w:sz w:val="18"/>
            <w:szCs w:val="18"/>
          </w:rPr>
          <w:fldChar w:fldCharType="end"/>
        </w:r>
      </w:hyperlink>
    </w:p>
    <w:p w14:paraId="12E9C671" w14:textId="3B030A29" w:rsidR="00111EB2" w:rsidRPr="00B136E3" w:rsidRDefault="00133798">
      <w:pPr>
        <w:pStyle w:val="Iliustracijsraas"/>
        <w:tabs>
          <w:tab w:val="right" w:leader="dot" w:pos="9016"/>
        </w:tabs>
        <w:rPr>
          <w:rFonts w:ascii="Georgia" w:eastAsiaTheme="minorEastAsia" w:hAnsi="Georgia"/>
          <w:noProof/>
          <w:sz w:val="18"/>
          <w:szCs w:val="18"/>
        </w:rPr>
      </w:pPr>
      <w:hyperlink w:anchor="_Toc507939157" w:history="1">
        <w:r w:rsidR="00111EB2" w:rsidRPr="006C6C90">
          <w:rPr>
            <w:rStyle w:val="Hipersaitas"/>
            <w:rFonts w:ascii="Georgia" w:hAnsi="Georgia"/>
            <w:noProof/>
            <w:sz w:val="18"/>
            <w:szCs w:val="18"/>
            <w:lang w:val="lt-LT"/>
          </w:rPr>
          <w:t>Lentelė 35. Privačių investuotojų lėšų pritraukimas į finansinės priemonės lygmenį</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86</w:t>
        </w:r>
        <w:r w:rsidR="00111EB2" w:rsidRPr="00B136E3">
          <w:rPr>
            <w:rFonts w:ascii="Georgia" w:hAnsi="Georgia"/>
            <w:noProof/>
            <w:webHidden/>
            <w:sz w:val="18"/>
            <w:szCs w:val="18"/>
          </w:rPr>
          <w:fldChar w:fldCharType="end"/>
        </w:r>
      </w:hyperlink>
    </w:p>
    <w:p w14:paraId="2D6E90C1" w14:textId="4C85551A" w:rsidR="00111EB2" w:rsidRPr="00B136E3" w:rsidRDefault="00133798">
      <w:pPr>
        <w:pStyle w:val="Iliustracijsraas"/>
        <w:tabs>
          <w:tab w:val="right" w:leader="dot" w:pos="9016"/>
        </w:tabs>
        <w:rPr>
          <w:rFonts w:ascii="Georgia" w:eastAsiaTheme="minorEastAsia" w:hAnsi="Georgia"/>
          <w:noProof/>
          <w:sz w:val="18"/>
          <w:szCs w:val="18"/>
        </w:rPr>
      </w:pPr>
      <w:hyperlink w:anchor="_Toc507939158" w:history="1">
        <w:r w:rsidR="00111EB2" w:rsidRPr="006C6C90">
          <w:rPr>
            <w:rStyle w:val="Hipersaitas"/>
            <w:rFonts w:ascii="Georgia" w:hAnsi="Georgia"/>
            <w:noProof/>
            <w:sz w:val="18"/>
            <w:szCs w:val="18"/>
            <w:lang w:val="lt-LT"/>
          </w:rPr>
          <w:t>Lentelė 36. Daugiabučių namų renovacijos jautrumo analizės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90</w:t>
        </w:r>
        <w:r w:rsidR="00111EB2" w:rsidRPr="00B136E3">
          <w:rPr>
            <w:rFonts w:ascii="Georgia" w:hAnsi="Georgia"/>
            <w:noProof/>
            <w:webHidden/>
            <w:sz w:val="18"/>
            <w:szCs w:val="18"/>
          </w:rPr>
          <w:fldChar w:fldCharType="end"/>
        </w:r>
      </w:hyperlink>
    </w:p>
    <w:p w14:paraId="05B3FC55" w14:textId="5B28EB80" w:rsidR="00111EB2" w:rsidRPr="00B136E3" w:rsidRDefault="00133798">
      <w:pPr>
        <w:pStyle w:val="Iliustracijsraas"/>
        <w:tabs>
          <w:tab w:val="right" w:leader="dot" w:pos="9016"/>
        </w:tabs>
        <w:rPr>
          <w:rFonts w:ascii="Georgia" w:eastAsiaTheme="minorEastAsia" w:hAnsi="Georgia"/>
          <w:noProof/>
          <w:sz w:val="18"/>
          <w:szCs w:val="18"/>
        </w:rPr>
      </w:pPr>
      <w:hyperlink w:anchor="_Toc507939159" w:history="1">
        <w:r w:rsidR="00111EB2" w:rsidRPr="006C6C90">
          <w:rPr>
            <w:rStyle w:val="Hipersaitas"/>
            <w:rFonts w:ascii="Georgia" w:hAnsi="Georgia"/>
            <w:noProof/>
            <w:sz w:val="18"/>
            <w:szCs w:val="18"/>
            <w:lang w:val="lt-LT"/>
          </w:rPr>
          <w:t>Lentelė 37. Sutaupytos energijos ir subsidijos poreikio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_Toc507939159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90</w:t>
        </w:r>
        <w:r w:rsidR="00111EB2" w:rsidRPr="00B136E3">
          <w:rPr>
            <w:rFonts w:ascii="Georgia" w:hAnsi="Georgia"/>
            <w:noProof/>
            <w:webHidden/>
            <w:sz w:val="18"/>
            <w:szCs w:val="18"/>
          </w:rPr>
          <w:fldChar w:fldCharType="end"/>
        </w:r>
      </w:hyperlink>
    </w:p>
    <w:p w14:paraId="64E3EF8A" w14:textId="58B3D66D" w:rsidR="00111EB2" w:rsidRPr="00B136E3" w:rsidRDefault="00133798">
      <w:pPr>
        <w:pStyle w:val="Iliustracijsraas"/>
        <w:tabs>
          <w:tab w:val="right" w:leader="dot" w:pos="9016"/>
        </w:tabs>
        <w:rPr>
          <w:rFonts w:ascii="Georgia" w:eastAsiaTheme="minorEastAsia" w:hAnsi="Georgia"/>
          <w:noProof/>
          <w:sz w:val="18"/>
          <w:szCs w:val="18"/>
        </w:rPr>
      </w:pPr>
      <w:hyperlink w:anchor="_Toc507939160" w:history="1">
        <w:r w:rsidR="00111EB2" w:rsidRPr="006C6C90">
          <w:rPr>
            <w:rStyle w:val="Hipersaitas"/>
            <w:rFonts w:ascii="Georgia" w:hAnsi="Georgia"/>
            <w:noProof/>
            <w:sz w:val="18"/>
            <w:szCs w:val="18"/>
            <w:lang w:val="lt-LT"/>
          </w:rPr>
          <w:t>Lentelė 38. Investicijų ir subsidijos poreikio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91</w:t>
        </w:r>
        <w:r w:rsidR="00111EB2" w:rsidRPr="00B136E3">
          <w:rPr>
            <w:rFonts w:ascii="Georgia" w:hAnsi="Georgia"/>
            <w:noProof/>
            <w:webHidden/>
            <w:sz w:val="18"/>
            <w:szCs w:val="18"/>
          </w:rPr>
          <w:fldChar w:fldCharType="end"/>
        </w:r>
      </w:hyperlink>
    </w:p>
    <w:p w14:paraId="176976D9" w14:textId="5F472352" w:rsidR="00111EB2" w:rsidRPr="00B136E3" w:rsidRDefault="00133798">
      <w:pPr>
        <w:pStyle w:val="Iliustracijsraas"/>
        <w:tabs>
          <w:tab w:val="right" w:leader="dot" w:pos="9016"/>
        </w:tabs>
        <w:rPr>
          <w:rFonts w:ascii="Georgia" w:eastAsiaTheme="minorEastAsia" w:hAnsi="Georgia"/>
          <w:noProof/>
          <w:sz w:val="18"/>
          <w:szCs w:val="18"/>
        </w:rPr>
      </w:pPr>
      <w:hyperlink w:anchor="_Toc507939161" w:history="1">
        <w:r w:rsidR="00111EB2" w:rsidRPr="006C6C90">
          <w:rPr>
            <w:rStyle w:val="Hipersaitas"/>
            <w:rFonts w:ascii="Georgia" w:hAnsi="Georgia"/>
            <w:noProof/>
            <w:sz w:val="18"/>
            <w:szCs w:val="18"/>
            <w:lang w:val="lt-LT"/>
          </w:rPr>
          <w:t>Lentelė 39. Šilumos kainos ir galimo sutaupymo santykio jautrumo analizės rezultatai (su subsidija)</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91</w:t>
        </w:r>
        <w:r w:rsidR="00111EB2" w:rsidRPr="00B136E3">
          <w:rPr>
            <w:rFonts w:ascii="Georgia" w:hAnsi="Georgia"/>
            <w:noProof/>
            <w:webHidden/>
            <w:sz w:val="18"/>
            <w:szCs w:val="18"/>
          </w:rPr>
          <w:fldChar w:fldCharType="end"/>
        </w:r>
      </w:hyperlink>
    </w:p>
    <w:p w14:paraId="44012405" w14:textId="230137EF" w:rsidR="00111EB2" w:rsidRPr="00B136E3" w:rsidRDefault="00133798">
      <w:pPr>
        <w:pStyle w:val="Iliustracijsraas"/>
        <w:tabs>
          <w:tab w:val="right" w:leader="dot" w:pos="9016"/>
        </w:tabs>
        <w:rPr>
          <w:rFonts w:ascii="Georgia" w:eastAsiaTheme="minorEastAsia" w:hAnsi="Georgia"/>
          <w:noProof/>
          <w:sz w:val="18"/>
          <w:szCs w:val="18"/>
        </w:rPr>
      </w:pPr>
      <w:hyperlink w:anchor="_Toc507939162" w:history="1">
        <w:r w:rsidR="00111EB2" w:rsidRPr="006C6C90">
          <w:rPr>
            <w:rStyle w:val="Hipersaitas"/>
            <w:rFonts w:ascii="Georgia" w:hAnsi="Georgia"/>
            <w:noProof/>
            <w:sz w:val="18"/>
            <w:szCs w:val="18"/>
            <w:lang w:val="lt-LT"/>
          </w:rPr>
          <w:t>Lentelė 40. Šilumos kainos ir galimo sutaupymo santykio jautrumo analizės rezultatai (be subsidijos)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92</w:t>
        </w:r>
        <w:r w:rsidR="00111EB2" w:rsidRPr="00B136E3">
          <w:rPr>
            <w:rFonts w:ascii="Georgia" w:hAnsi="Georgia"/>
            <w:noProof/>
            <w:webHidden/>
            <w:sz w:val="18"/>
            <w:szCs w:val="18"/>
          </w:rPr>
          <w:fldChar w:fldCharType="end"/>
        </w:r>
      </w:hyperlink>
    </w:p>
    <w:p w14:paraId="7ACFAEB3" w14:textId="1B4F6E18" w:rsidR="00111EB2" w:rsidRPr="00B136E3" w:rsidRDefault="00133798">
      <w:pPr>
        <w:pStyle w:val="Iliustracijsraas"/>
        <w:tabs>
          <w:tab w:val="right" w:leader="dot" w:pos="9016"/>
        </w:tabs>
        <w:rPr>
          <w:rFonts w:ascii="Georgia" w:eastAsiaTheme="minorEastAsia" w:hAnsi="Georgia"/>
          <w:noProof/>
          <w:sz w:val="18"/>
          <w:szCs w:val="18"/>
        </w:rPr>
      </w:pPr>
      <w:hyperlink w:anchor="_Toc507939163" w:history="1">
        <w:r w:rsidR="00111EB2" w:rsidRPr="006C6C90">
          <w:rPr>
            <w:rStyle w:val="Hipersaitas"/>
            <w:rFonts w:ascii="Georgia" w:hAnsi="Georgia"/>
            <w:noProof/>
            <w:sz w:val="18"/>
            <w:szCs w:val="18"/>
            <w:lang w:val="lt-LT"/>
          </w:rPr>
          <w:t>Lentelė 41. Energijos kainos ir subsidijos elemento santykio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92</w:t>
        </w:r>
        <w:r w:rsidR="00111EB2" w:rsidRPr="00B136E3">
          <w:rPr>
            <w:rFonts w:ascii="Georgia" w:hAnsi="Georgia"/>
            <w:noProof/>
            <w:webHidden/>
            <w:sz w:val="18"/>
            <w:szCs w:val="18"/>
          </w:rPr>
          <w:fldChar w:fldCharType="end"/>
        </w:r>
      </w:hyperlink>
    </w:p>
    <w:p w14:paraId="0C6E15E5" w14:textId="043A0590" w:rsidR="00111EB2" w:rsidRPr="00B136E3" w:rsidRDefault="00133798">
      <w:pPr>
        <w:pStyle w:val="Iliustracijsraas"/>
        <w:tabs>
          <w:tab w:val="right" w:leader="dot" w:pos="9016"/>
        </w:tabs>
        <w:rPr>
          <w:rFonts w:ascii="Georgia" w:eastAsiaTheme="minorEastAsia" w:hAnsi="Georgia"/>
          <w:noProof/>
          <w:sz w:val="18"/>
          <w:szCs w:val="18"/>
        </w:rPr>
      </w:pPr>
      <w:hyperlink w:anchor="_Toc507939164" w:history="1">
        <w:r w:rsidR="00111EB2" w:rsidRPr="006C6C90">
          <w:rPr>
            <w:rStyle w:val="Hipersaitas"/>
            <w:rFonts w:ascii="Georgia" w:hAnsi="Georgia"/>
            <w:noProof/>
            <w:sz w:val="18"/>
            <w:szCs w:val="18"/>
            <w:lang w:val="lt-LT"/>
          </w:rPr>
          <w:t>Lentelė 42. Energijos kainos augimo ir subsidijos elemento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92</w:t>
        </w:r>
        <w:r w:rsidR="00111EB2" w:rsidRPr="00B136E3">
          <w:rPr>
            <w:rFonts w:ascii="Georgia" w:hAnsi="Georgia"/>
            <w:noProof/>
            <w:webHidden/>
            <w:sz w:val="18"/>
            <w:szCs w:val="18"/>
          </w:rPr>
          <w:fldChar w:fldCharType="end"/>
        </w:r>
      </w:hyperlink>
    </w:p>
    <w:p w14:paraId="764AB83F" w14:textId="70EBDD98" w:rsidR="00111EB2" w:rsidRPr="00B136E3" w:rsidRDefault="00133798">
      <w:pPr>
        <w:pStyle w:val="Iliustracijsraas"/>
        <w:tabs>
          <w:tab w:val="right" w:leader="dot" w:pos="9016"/>
        </w:tabs>
        <w:rPr>
          <w:rFonts w:ascii="Georgia" w:eastAsiaTheme="minorEastAsia" w:hAnsi="Georgia"/>
          <w:noProof/>
          <w:sz w:val="18"/>
          <w:szCs w:val="18"/>
        </w:rPr>
      </w:pPr>
      <w:hyperlink w:anchor="_Toc507939165" w:history="1">
        <w:r w:rsidR="00111EB2" w:rsidRPr="006C6C90">
          <w:rPr>
            <w:rStyle w:val="Hipersaitas"/>
            <w:rFonts w:ascii="Georgia" w:hAnsi="Georgia"/>
            <w:noProof/>
            <w:sz w:val="18"/>
            <w:szCs w:val="18"/>
            <w:lang w:val="lt-LT"/>
          </w:rPr>
          <w:t>Lentelė 43. Energijos suvartojimo prieš renovaciją ir subsidijos elemento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93</w:t>
        </w:r>
        <w:r w:rsidR="00111EB2" w:rsidRPr="00B136E3">
          <w:rPr>
            <w:rFonts w:ascii="Georgia" w:hAnsi="Georgia"/>
            <w:noProof/>
            <w:webHidden/>
            <w:sz w:val="18"/>
            <w:szCs w:val="18"/>
          </w:rPr>
          <w:fldChar w:fldCharType="end"/>
        </w:r>
      </w:hyperlink>
    </w:p>
    <w:p w14:paraId="2B8B42B9" w14:textId="720BD2EB" w:rsidR="00111EB2" w:rsidRPr="00B136E3" w:rsidRDefault="00133798">
      <w:pPr>
        <w:pStyle w:val="Iliustracijsraas"/>
        <w:tabs>
          <w:tab w:val="right" w:leader="dot" w:pos="9016"/>
        </w:tabs>
        <w:rPr>
          <w:rFonts w:ascii="Georgia" w:eastAsiaTheme="minorEastAsia" w:hAnsi="Georgia"/>
          <w:noProof/>
          <w:sz w:val="18"/>
          <w:szCs w:val="18"/>
        </w:rPr>
      </w:pPr>
      <w:hyperlink w:anchor="_Toc507939166" w:history="1">
        <w:r w:rsidR="00111EB2" w:rsidRPr="006C6C90">
          <w:rPr>
            <w:rStyle w:val="Hipersaitas"/>
            <w:rFonts w:ascii="Georgia" w:hAnsi="Georgia"/>
            <w:noProof/>
            <w:sz w:val="18"/>
            <w:szCs w:val="18"/>
            <w:lang w:val="lt-LT"/>
          </w:rPr>
          <w:t>Lentelė 44. Viešųjų pastatų renovacijos jautrumo analizės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94</w:t>
        </w:r>
        <w:r w:rsidR="00111EB2" w:rsidRPr="00B136E3">
          <w:rPr>
            <w:rFonts w:ascii="Georgia" w:hAnsi="Georgia"/>
            <w:noProof/>
            <w:webHidden/>
            <w:sz w:val="18"/>
            <w:szCs w:val="18"/>
          </w:rPr>
          <w:fldChar w:fldCharType="end"/>
        </w:r>
      </w:hyperlink>
    </w:p>
    <w:p w14:paraId="188B742C" w14:textId="12C48889" w:rsidR="00111EB2" w:rsidRPr="00B136E3" w:rsidRDefault="00133798">
      <w:pPr>
        <w:pStyle w:val="Iliustracijsraas"/>
        <w:tabs>
          <w:tab w:val="right" w:leader="dot" w:pos="9016"/>
        </w:tabs>
        <w:rPr>
          <w:rFonts w:ascii="Georgia" w:eastAsiaTheme="minorEastAsia" w:hAnsi="Georgia"/>
          <w:noProof/>
          <w:sz w:val="18"/>
          <w:szCs w:val="18"/>
        </w:rPr>
      </w:pPr>
      <w:hyperlink w:anchor="_Toc507939167" w:history="1">
        <w:r w:rsidR="00111EB2" w:rsidRPr="006C6C90">
          <w:rPr>
            <w:rStyle w:val="Hipersaitas"/>
            <w:rFonts w:ascii="Georgia" w:hAnsi="Georgia"/>
            <w:noProof/>
            <w:sz w:val="18"/>
            <w:szCs w:val="18"/>
            <w:lang w:val="lt-LT"/>
          </w:rPr>
          <w:t>Lentelė 45. Sutaupytos energijos ir subsidijos poreikio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95</w:t>
        </w:r>
        <w:r w:rsidR="00111EB2" w:rsidRPr="00B136E3">
          <w:rPr>
            <w:rFonts w:ascii="Georgia" w:hAnsi="Georgia"/>
            <w:noProof/>
            <w:webHidden/>
            <w:sz w:val="18"/>
            <w:szCs w:val="18"/>
          </w:rPr>
          <w:fldChar w:fldCharType="end"/>
        </w:r>
      </w:hyperlink>
    </w:p>
    <w:p w14:paraId="38F481F8" w14:textId="326D9061" w:rsidR="00111EB2" w:rsidRPr="00B136E3" w:rsidRDefault="00133798">
      <w:pPr>
        <w:pStyle w:val="Iliustracijsraas"/>
        <w:tabs>
          <w:tab w:val="right" w:leader="dot" w:pos="9016"/>
        </w:tabs>
        <w:rPr>
          <w:rFonts w:ascii="Georgia" w:eastAsiaTheme="minorEastAsia" w:hAnsi="Georgia"/>
          <w:noProof/>
          <w:sz w:val="18"/>
          <w:szCs w:val="18"/>
        </w:rPr>
      </w:pPr>
      <w:hyperlink w:anchor="_Toc507939168" w:history="1">
        <w:r w:rsidR="00111EB2" w:rsidRPr="006C6C90">
          <w:rPr>
            <w:rStyle w:val="Hipersaitas"/>
            <w:rFonts w:ascii="Georgia" w:hAnsi="Georgia"/>
            <w:noProof/>
            <w:sz w:val="18"/>
            <w:szCs w:val="18"/>
            <w:lang w:val="lt-LT"/>
          </w:rPr>
          <w:t>Lentelė 46. Subsidijos poreikio ir renovacijos kaštų santykio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95</w:t>
        </w:r>
        <w:r w:rsidR="00111EB2" w:rsidRPr="00B136E3">
          <w:rPr>
            <w:rFonts w:ascii="Georgia" w:hAnsi="Georgia"/>
            <w:noProof/>
            <w:webHidden/>
            <w:sz w:val="18"/>
            <w:szCs w:val="18"/>
          </w:rPr>
          <w:fldChar w:fldCharType="end"/>
        </w:r>
      </w:hyperlink>
    </w:p>
    <w:p w14:paraId="172AD399" w14:textId="6C5EE23A" w:rsidR="00111EB2" w:rsidRPr="00B136E3" w:rsidRDefault="00133798">
      <w:pPr>
        <w:pStyle w:val="Iliustracijsraas"/>
        <w:tabs>
          <w:tab w:val="right" w:leader="dot" w:pos="9016"/>
        </w:tabs>
        <w:rPr>
          <w:rFonts w:ascii="Georgia" w:eastAsiaTheme="minorEastAsia" w:hAnsi="Georgia"/>
          <w:noProof/>
          <w:sz w:val="18"/>
          <w:szCs w:val="18"/>
        </w:rPr>
      </w:pPr>
      <w:hyperlink w:anchor="_Toc507939169" w:history="1">
        <w:r w:rsidR="00111EB2" w:rsidRPr="006C6C90">
          <w:rPr>
            <w:rStyle w:val="Hipersaitas"/>
            <w:rFonts w:ascii="Georgia" w:hAnsi="Georgia"/>
            <w:noProof/>
            <w:sz w:val="18"/>
            <w:szCs w:val="18"/>
            <w:lang w:val="lt-LT"/>
          </w:rPr>
          <w:t>Lentelė 47. Šilumos kainos (EUR/kWh) ir galimo sutaupymo santykio jautrumo analizės rezultatai (su 40 proc. subsidija)</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_Toc507939169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96</w:t>
        </w:r>
        <w:r w:rsidR="00111EB2" w:rsidRPr="00B136E3">
          <w:rPr>
            <w:rFonts w:ascii="Georgia" w:hAnsi="Georgia"/>
            <w:noProof/>
            <w:webHidden/>
            <w:sz w:val="18"/>
            <w:szCs w:val="18"/>
          </w:rPr>
          <w:fldChar w:fldCharType="end"/>
        </w:r>
      </w:hyperlink>
    </w:p>
    <w:p w14:paraId="61045984" w14:textId="6681E8D5" w:rsidR="00111EB2" w:rsidRPr="00B136E3" w:rsidRDefault="00133798">
      <w:pPr>
        <w:pStyle w:val="Iliustracijsraas"/>
        <w:tabs>
          <w:tab w:val="right" w:leader="dot" w:pos="9016"/>
        </w:tabs>
        <w:rPr>
          <w:rFonts w:ascii="Georgia" w:eastAsiaTheme="minorEastAsia" w:hAnsi="Georgia"/>
          <w:noProof/>
          <w:sz w:val="18"/>
          <w:szCs w:val="18"/>
        </w:rPr>
      </w:pPr>
      <w:hyperlink w:anchor="_Toc507939170" w:history="1">
        <w:r w:rsidR="00111EB2" w:rsidRPr="006C6C90">
          <w:rPr>
            <w:rStyle w:val="Hipersaitas"/>
            <w:rFonts w:ascii="Georgia" w:hAnsi="Georgia"/>
            <w:noProof/>
            <w:sz w:val="18"/>
            <w:szCs w:val="18"/>
            <w:lang w:val="lt-LT"/>
          </w:rPr>
          <w:t>Lentelė 48. Šilumos kainos (EUR/kWh) ir galimo sutaupymo santykio jautrumo analizė (be subsidijos)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96</w:t>
        </w:r>
        <w:r w:rsidR="00111EB2" w:rsidRPr="00B136E3">
          <w:rPr>
            <w:rFonts w:ascii="Georgia" w:hAnsi="Georgia"/>
            <w:noProof/>
            <w:webHidden/>
            <w:sz w:val="18"/>
            <w:szCs w:val="18"/>
          </w:rPr>
          <w:fldChar w:fldCharType="end"/>
        </w:r>
      </w:hyperlink>
    </w:p>
    <w:p w14:paraId="7EEAFAFC" w14:textId="21B1CBE6" w:rsidR="00111EB2" w:rsidRPr="00B136E3" w:rsidRDefault="00133798">
      <w:pPr>
        <w:pStyle w:val="Iliustracijsraas"/>
        <w:tabs>
          <w:tab w:val="right" w:leader="dot" w:pos="9016"/>
        </w:tabs>
        <w:rPr>
          <w:rFonts w:ascii="Georgia" w:eastAsiaTheme="minorEastAsia" w:hAnsi="Georgia"/>
          <w:noProof/>
          <w:sz w:val="18"/>
          <w:szCs w:val="18"/>
        </w:rPr>
      </w:pPr>
      <w:hyperlink w:anchor="_Toc507939171" w:history="1">
        <w:r w:rsidR="00111EB2" w:rsidRPr="006C6C90">
          <w:rPr>
            <w:rStyle w:val="Hipersaitas"/>
            <w:rFonts w:ascii="Georgia" w:hAnsi="Georgia"/>
            <w:noProof/>
            <w:sz w:val="18"/>
            <w:szCs w:val="18"/>
            <w:lang w:val="lt-LT"/>
          </w:rPr>
          <w:t>Lentelė 49. Energijos kainos (EUR/kWh) ir subsidijos elemento santykio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97</w:t>
        </w:r>
        <w:r w:rsidR="00111EB2" w:rsidRPr="00B136E3">
          <w:rPr>
            <w:rFonts w:ascii="Georgia" w:hAnsi="Georgia"/>
            <w:noProof/>
            <w:webHidden/>
            <w:sz w:val="18"/>
            <w:szCs w:val="18"/>
          </w:rPr>
          <w:fldChar w:fldCharType="end"/>
        </w:r>
      </w:hyperlink>
    </w:p>
    <w:p w14:paraId="17AB942E" w14:textId="2965D6EE" w:rsidR="00111EB2" w:rsidRPr="00B136E3" w:rsidRDefault="00133798">
      <w:pPr>
        <w:pStyle w:val="Iliustracijsraas"/>
        <w:tabs>
          <w:tab w:val="right" w:leader="dot" w:pos="9016"/>
        </w:tabs>
        <w:rPr>
          <w:rFonts w:ascii="Georgia" w:eastAsiaTheme="minorEastAsia" w:hAnsi="Georgia"/>
          <w:noProof/>
          <w:sz w:val="18"/>
          <w:szCs w:val="18"/>
        </w:rPr>
      </w:pPr>
      <w:hyperlink w:anchor="_Toc507939172" w:history="1">
        <w:r w:rsidR="00111EB2" w:rsidRPr="006C6C90">
          <w:rPr>
            <w:rStyle w:val="Hipersaitas"/>
            <w:rFonts w:ascii="Georgia" w:hAnsi="Georgia"/>
            <w:noProof/>
            <w:sz w:val="18"/>
            <w:szCs w:val="18"/>
            <w:lang w:val="lt-LT"/>
          </w:rPr>
          <w:t>Lentelė 50. Energijos kainos augimo ir subsidijos elemento jautrumo analizė.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97</w:t>
        </w:r>
        <w:r w:rsidR="00111EB2" w:rsidRPr="00B136E3">
          <w:rPr>
            <w:rFonts w:ascii="Georgia" w:hAnsi="Georgia"/>
            <w:noProof/>
            <w:webHidden/>
            <w:sz w:val="18"/>
            <w:szCs w:val="18"/>
          </w:rPr>
          <w:fldChar w:fldCharType="end"/>
        </w:r>
      </w:hyperlink>
    </w:p>
    <w:p w14:paraId="2C605B4A" w14:textId="0934F64B" w:rsidR="00111EB2" w:rsidRPr="00B136E3" w:rsidRDefault="00133798">
      <w:pPr>
        <w:pStyle w:val="Iliustracijsraas"/>
        <w:tabs>
          <w:tab w:val="right" w:leader="dot" w:pos="9016"/>
        </w:tabs>
        <w:rPr>
          <w:rFonts w:ascii="Georgia" w:eastAsiaTheme="minorEastAsia" w:hAnsi="Georgia"/>
          <w:noProof/>
          <w:sz w:val="18"/>
          <w:szCs w:val="18"/>
        </w:rPr>
      </w:pPr>
      <w:hyperlink w:anchor="_Toc507939173" w:history="1">
        <w:r w:rsidR="00111EB2" w:rsidRPr="006C6C90">
          <w:rPr>
            <w:rStyle w:val="Hipersaitas"/>
            <w:rFonts w:ascii="Georgia" w:hAnsi="Georgia"/>
            <w:noProof/>
            <w:sz w:val="18"/>
            <w:szCs w:val="18"/>
            <w:lang w:val="lt-LT"/>
          </w:rPr>
          <w:t>Lentelė 51. Scenarijaus Nr. 1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100</w:t>
        </w:r>
        <w:r w:rsidR="00111EB2" w:rsidRPr="00B136E3">
          <w:rPr>
            <w:rFonts w:ascii="Georgia" w:hAnsi="Georgia"/>
            <w:noProof/>
            <w:webHidden/>
            <w:sz w:val="18"/>
            <w:szCs w:val="18"/>
          </w:rPr>
          <w:fldChar w:fldCharType="end"/>
        </w:r>
      </w:hyperlink>
    </w:p>
    <w:p w14:paraId="079AF0AA" w14:textId="61B31E17" w:rsidR="00111EB2" w:rsidRPr="00B136E3" w:rsidRDefault="00133798">
      <w:pPr>
        <w:pStyle w:val="Iliustracijsraas"/>
        <w:tabs>
          <w:tab w:val="right" w:leader="dot" w:pos="9016"/>
        </w:tabs>
        <w:rPr>
          <w:rFonts w:ascii="Georgia" w:eastAsiaTheme="minorEastAsia" w:hAnsi="Georgia"/>
          <w:noProof/>
          <w:sz w:val="18"/>
          <w:szCs w:val="18"/>
        </w:rPr>
      </w:pPr>
      <w:hyperlink w:anchor="_Toc507939174" w:history="1">
        <w:r w:rsidR="00111EB2" w:rsidRPr="006C6C90">
          <w:rPr>
            <w:rStyle w:val="Hipersaitas"/>
            <w:rFonts w:ascii="Georgia" w:hAnsi="Georgia"/>
            <w:noProof/>
            <w:sz w:val="18"/>
            <w:szCs w:val="18"/>
            <w:lang w:val="lt-LT"/>
          </w:rPr>
          <w:t>Lentelė 52. Scenarijaus Nr. 1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102</w:t>
        </w:r>
        <w:r w:rsidR="00111EB2" w:rsidRPr="00B136E3">
          <w:rPr>
            <w:rFonts w:ascii="Georgia" w:hAnsi="Georgia"/>
            <w:noProof/>
            <w:webHidden/>
            <w:sz w:val="18"/>
            <w:szCs w:val="18"/>
          </w:rPr>
          <w:fldChar w:fldCharType="end"/>
        </w:r>
      </w:hyperlink>
    </w:p>
    <w:p w14:paraId="5E0F67DF" w14:textId="309793C2" w:rsidR="00111EB2" w:rsidRPr="00B136E3" w:rsidRDefault="00133798">
      <w:pPr>
        <w:pStyle w:val="Iliustracijsraas"/>
        <w:tabs>
          <w:tab w:val="right" w:leader="dot" w:pos="9016"/>
        </w:tabs>
        <w:rPr>
          <w:rFonts w:ascii="Georgia" w:eastAsiaTheme="minorEastAsia" w:hAnsi="Georgia"/>
          <w:noProof/>
          <w:sz w:val="18"/>
          <w:szCs w:val="18"/>
        </w:rPr>
      </w:pPr>
      <w:hyperlink w:anchor="_Toc507939175" w:history="1">
        <w:r w:rsidR="00111EB2" w:rsidRPr="006C6C90">
          <w:rPr>
            <w:rStyle w:val="Hipersaitas"/>
            <w:rFonts w:ascii="Georgia" w:hAnsi="Georgia"/>
            <w:noProof/>
            <w:sz w:val="18"/>
            <w:szCs w:val="18"/>
            <w:lang w:val="lt-LT"/>
          </w:rPr>
          <w:t>Lentelė 53. Scenarijaus Nr. 1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102</w:t>
        </w:r>
        <w:r w:rsidR="00111EB2" w:rsidRPr="00B136E3">
          <w:rPr>
            <w:rFonts w:ascii="Georgia" w:hAnsi="Georgia"/>
            <w:noProof/>
            <w:webHidden/>
            <w:sz w:val="18"/>
            <w:szCs w:val="18"/>
          </w:rPr>
          <w:fldChar w:fldCharType="end"/>
        </w:r>
      </w:hyperlink>
    </w:p>
    <w:p w14:paraId="1010C61C" w14:textId="6D8C001B" w:rsidR="00111EB2" w:rsidRPr="00B136E3" w:rsidRDefault="00133798">
      <w:pPr>
        <w:pStyle w:val="Iliustracijsraas"/>
        <w:tabs>
          <w:tab w:val="right" w:leader="dot" w:pos="9016"/>
        </w:tabs>
        <w:rPr>
          <w:rFonts w:ascii="Georgia" w:eastAsiaTheme="minorEastAsia" w:hAnsi="Georgia"/>
          <w:noProof/>
          <w:sz w:val="18"/>
          <w:szCs w:val="18"/>
        </w:rPr>
      </w:pPr>
      <w:hyperlink w:anchor="_Toc507939176" w:history="1">
        <w:r w:rsidR="00111EB2" w:rsidRPr="006C6C90">
          <w:rPr>
            <w:rStyle w:val="Hipersaitas"/>
            <w:rFonts w:ascii="Georgia" w:hAnsi="Georgia"/>
            <w:noProof/>
            <w:sz w:val="18"/>
            <w:szCs w:val="18"/>
            <w:lang w:val="lt-LT"/>
          </w:rPr>
          <w:t>Lentelė 54. Pagrindinės pirmo nuostolio portfelinės garantijos sąlygos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103</w:t>
        </w:r>
        <w:r w:rsidR="00111EB2" w:rsidRPr="00B136E3">
          <w:rPr>
            <w:rFonts w:ascii="Georgia" w:hAnsi="Georgia"/>
            <w:noProof/>
            <w:webHidden/>
            <w:sz w:val="18"/>
            <w:szCs w:val="18"/>
          </w:rPr>
          <w:fldChar w:fldCharType="end"/>
        </w:r>
      </w:hyperlink>
    </w:p>
    <w:p w14:paraId="6E8CC974" w14:textId="53076E0C" w:rsidR="00111EB2" w:rsidRPr="00B136E3" w:rsidRDefault="00133798">
      <w:pPr>
        <w:pStyle w:val="Iliustracijsraas"/>
        <w:tabs>
          <w:tab w:val="right" w:leader="dot" w:pos="9016"/>
        </w:tabs>
        <w:rPr>
          <w:rFonts w:ascii="Georgia" w:eastAsiaTheme="minorEastAsia" w:hAnsi="Georgia"/>
          <w:noProof/>
          <w:sz w:val="18"/>
          <w:szCs w:val="18"/>
        </w:rPr>
      </w:pPr>
      <w:hyperlink w:anchor="_Toc507939177" w:history="1">
        <w:r w:rsidR="00111EB2" w:rsidRPr="006C6C90">
          <w:rPr>
            <w:rStyle w:val="Hipersaitas"/>
            <w:rFonts w:ascii="Georgia" w:hAnsi="Georgia"/>
            <w:noProof/>
            <w:sz w:val="18"/>
            <w:szCs w:val="18"/>
            <w:lang w:val="lt-LT"/>
          </w:rPr>
          <w:t>Lentelė 55. Scenarijaus Nr. 2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104</w:t>
        </w:r>
        <w:r w:rsidR="00111EB2" w:rsidRPr="00B136E3">
          <w:rPr>
            <w:rFonts w:ascii="Georgia" w:hAnsi="Georgia"/>
            <w:noProof/>
            <w:webHidden/>
            <w:sz w:val="18"/>
            <w:szCs w:val="18"/>
          </w:rPr>
          <w:fldChar w:fldCharType="end"/>
        </w:r>
      </w:hyperlink>
    </w:p>
    <w:p w14:paraId="2A196A91" w14:textId="5A2D4CAC" w:rsidR="00111EB2" w:rsidRPr="00B136E3" w:rsidRDefault="00133798">
      <w:pPr>
        <w:pStyle w:val="Iliustracijsraas"/>
        <w:tabs>
          <w:tab w:val="right" w:leader="dot" w:pos="9016"/>
        </w:tabs>
        <w:rPr>
          <w:rFonts w:ascii="Georgia" w:eastAsiaTheme="minorEastAsia" w:hAnsi="Georgia"/>
          <w:noProof/>
          <w:sz w:val="18"/>
          <w:szCs w:val="18"/>
        </w:rPr>
      </w:pPr>
      <w:hyperlink w:anchor="_Toc507939178" w:history="1">
        <w:r w:rsidR="00111EB2" w:rsidRPr="006C6C90">
          <w:rPr>
            <w:rStyle w:val="Hipersaitas"/>
            <w:rFonts w:ascii="Georgia" w:hAnsi="Georgia"/>
            <w:noProof/>
            <w:sz w:val="18"/>
            <w:szCs w:val="18"/>
            <w:lang w:val="lt-LT"/>
          </w:rPr>
          <w:t>Lentelė 56. Scenarijaus Nr. 2 paskolų finansinės priemonės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105</w:t>
        </w:r>
        <w:r w:rsidR="00111EB2" w:rsidRPr="00B136E3">
          <w:rPr>
            <w:rFonts w:ascii="Georgia" w:hAnsi="Georgia"/>
            <w:noProof/>
            <w:webHidden/>
            <w:sz w:val="18"/>
            <w:szCs w:val="18"/>
          </w:rPr>
          <w:fldChar w:fldCharType="end"/>
        </w:r>
      </w:hyperlink>
    </w:p>
    <w:p w14:paraId="2C1A073B" w14:textId="2A84C02C" w:rsidR="00111EB2" w:rsidRPr="00B136E3" w:rsidRDefault="00133798">
      <w:pPr>
        <w:pStyle w:val="Iliustracijsraas"/>
        <w:tabs>
          <w:tab w:val="right" w:leader="dot" w:pos="9016"/>
        </w:tabs>
        <w:rPr>
          <w:rFonts w:ascii="Georgia" w:eastAsiaTheme="minorEastAsia" w:hAnsi="Georgia"/>
          <w:noProof/>
          <w:sz w:val="18"/>
          <w:szCs w:val="18"/>
        </w:rPr>
      </w:pPr>
      <w:hyperlink w:anchor="_Toc507939179" w:history="1">
        <w:r w:rsidR="00111EB2" w:rsidRPr="006C6C90">
          <w:rPr>
            <w:rStyle w:val="Hipersaitas"/>
            <w:rFonts w:ascii="Georgia" w:hAnsi="Georgia"/>
            <w:noProof/>
            <w:sz w:val="18"/>
            <w:szCs w:val="18"/>
            <w:lang w:val="lt-LT"/>
          </w:rPr>
          <w:t>Lentelė 57. Scenarijaus Nr. 2 garantijų finansinės priemonės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_Toc507939179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105</w:t>
        </w:r>
        <w:r w:rsidR="00111EB2" w:rsidRPr="00B136E3">
          <w:rPr>
            <w:rFonts w:ascii="Georgia" w:hAnsi="Georgia"/>
            <w:noProof/>
            <w:webHidden/>
            <w:sz w:val="18"/>
            <w:szCs w:val="18"/>
          </w:rPr>
          <w:fldChar w:fldCharType="end"/>
        </w:r>
      </w:hyperlink>
    </w:p>
    <w:p w14:paraId="7D943201" w14:textId="7861D8CB" w:rsidR="00111EB2" w:rsidRPr="00B136E3" w:rsidRDefault="00133798">
      <w:pPr>
        <w:pStyle w:val="Iliustracijsraas"/>
        <w:tabs>
          <w:tab w:val="right" w:leader="dot" w:pos="9016"/>
        </w:tabs>
        <w:rPr>
          <w:rFonts w:ascii="Georgia" w:eastAsiaTheme="minorEastAsia" w:hAnsi="Georgia"/>
          <w:noProof/>
          <w:sz w:val="18"/>
          <w:szCs w:val="18"/>
        </w:rPr>
      </w:pPr>
      <w:hyperlink w:anchor="_Toc507939180" w:history="1">
        <w:r w:rsidR="00111EB2" w:rsidRPr="006C6C90">
          <w:rPr>
            <w:rStyle w:val="Hipersaitas"/>
            <w:rFonts w:ascii="Georgia" w:hAnsi="Georgia"/>
            <w:noProof/>
            <w:sz w:val="18"/>
            <w:szCs w:val="18"/>
            <w:lang w:val="lt-LT"/>
          </w:rPr>
          <w:t>Lentelė 58. Scenarijaus Nr. 2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106</w:t>
        </w:r>
        <w:r w:rsidR="00111EB2" w:rsidRPr="00B136E3">
          <w:rPr>
            <w:rFonts w:ascii="Georgia" w:hAnsi="Georgia"/>
            <w:noProof/>
            <w:webHidden/>
            <w:sz w:val="18"/>
            <w:szCs w:val="18"/>
          </w:rPr>
          <w:fldChar w:fldCharType="end"/>
        </w:r>
      </w:hyperlink>
    </w:p>
    <w:p w14:paraId="394F4CD2" w14:textId="567403D1" w:rsidR="00111EB2" w:rsidRPr="00B136E3" w:rsidRDefault="00133798">
      <w:pPr>
        <w:pStyle w:val="Iliustracijsraas"/>
        <w:tabs>
          <w:tab w:val="right" w:leader="dot" w:pos="9016"/>
        </w:tabs>
        <w:rPr>
          <w:rFonts w:ascii="Georgia" w:eastAsiaTheme="minorEastAsia" w:hAnsi="Georgia"/>
          <w:noProof/>
          <w:sz w:val="18"/>
          <w:szCs w:val="18"/>
        </w:rPr>
      </w:pPr>
      <w:hyperlink w:anchor="_Toc507939181" w:history="1">
        <w:r w:rsidR="00111EB2" w:rsidRPr="006C6C90">
          <w:rPr>
            <w:rStyle w:val="Hipersaitas"/>
            <w:rFonts w:ascii="Georgia" w:hAnsi="Georgia"/>
            <w:noProof/>
            <w:sz w:val="18"/>
            <w:szCs w:val="18"/>
            <w:lang w:val="lt-LT"/>
          </w:rPr>
          <w:t xml:space="preserve">Lentelė 59. Scenarijaus Nr. </w:t>
        </w:r>
        <w:r w:rsidR="00111EB2" w:rsidRPr="006C6C90">
          <w:rPr>
            <w:rStyle w:val="Hipersaitas"/>
            <w:rFonts w:ascii="Georgia" w:hAnsi="Georgia"/>
            <w:noProof/>
            <w:sz w:val="18"/>
            <w:szCs w:val="18"/>
          </w:rPr>
          <w:t>2</w:t>
        </w:r>
        <w:r w:rsidR="00111EB2" w:rsidRPr="006C6C90">
          <w:rPr>
            <w:rStyle w:val="Hipersaitas"/>
            <w:rFonts w:ascii="Georgia" w:hAnsi="Georgia"/>
            <w:noProof/>
            <w:sz w:val="18"/>
            <w:szCs w:val="18"/>
            <w:lang w:val="lt-LT"/>
          </w:rPr>
          <w:t xml:space="preserve"> rezultatai, esant Pradinės ataskaitos prielaidoms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106</w:t>
        </w:r>
        <w:r w:rsidR="00111EB2" w:rsidRPr="00B136E3">
          <w:rPr>
            <w:rFonts w:ascii="Georgia" w:hAnsi="Georgia"/>
            <w:noProof/>
            <w:webHidden/>
            <w:sz w:val="18"/>
            <w:szCs w:val="18"/>
          </w:rPr>
          <w:fldChar w:fldCharType="end"/>
        </w:r>
      </w:hyperlink>
    </w:p>
    <w:p w14:paraId="3242E2E4" w14:textId="4F4F2F12" w:rsidR="00111EB2" w:rsidRPr="00B136E3" w:rsidRDefault="00133798">
      <w:pPr>
        <w:pStyle w:val="Iliustracijsraas"/>
        <w:tabs>
          <w:tab w:val="right" w:leader="dot" w:pos="9016"/>
        </w:tabs>
        <w:rPr>
          <w:rFonts w:ascii="Georgia" w:eastAsiaTheme="minorEastAsia" w:hAnsi="Georgia"/>
          <w:noProof/>
          <w:sz w:val="18"/>
          <w:szCs w:val="18"/>
        </w:rPr>
      </w:pPr>
      <w:hyperlink w:anchor="_Toc507939182" w:history="1">
        <w:r w:rsidR="00111EB2" w:rsidRPr="006C6C90">
          <w:rPr>
            <w:rStyle w:val="Hipersaitas"/>
            <w:rFonts w:ascii="Georgia" w:hAnsi="Georgia"/>
            <w:noProof/>
            <w:sz w:val="18"/>
            <w:szCs w:val="18"/>
            <w:lang w:val="lt-LT"/>
          </w:rPr>
          <w:t>Lentelė 60. Scenarijaus Nr. 3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106</w:t>
        </w:r>
        <w:r w:rsidR="00111EB2" w:rsidRPr="00B136E3">
          <w:rPr>
            <w:rFonts w:ascii="Georgia" w:hAnsi="Georgia"/>
            <w:noProof/>
            <w:webHidden/>
            <w:sz w:val="18"/>
            <w:szCs w:val="18"/>
          </w:rPr>
          <w:fldChar w:fldCharType="end"/>
        </w:r>
      </w:hyperlink>
    </w:p>
    <w:p w14:paraId="4B070D0F" w14:textId="09CA0507" w:rsidR="00111EB2" w:rsidRPr="00B136E3" w:rsidRDefault="00133798">
      <w:pPr>
        <w:pStyle w:val="Iliustracijsraas"/>
        <w:tabs>
          <w:tab w:val="right" w:leader="dot" w:pos="9016"/>
        </w:tabs>
        <w:rPr>
          <w:rFonts w:ascii="Georgia" w:eastAsiaTheme="minorEastAsia" w:hAnsi="Georgia"/>
          <w:noProof/>
          <w:sz w:val="18"/>
          <w:szCs w:val="18"/>
        </w:rPr>
      </w:pPr>
      <w:hyperlink w:anchor="_Toc507939183" w:history="1">
        <w:r w:rsidR="00111EB2" w:rsidRPr="006C6C90">
          <w:rPr>
            <w:rStyle w:val="Hipersaitas"/>
            <w:rFonts w:ascii="Georgia" w:hAnsi="Georgia"/>
            <w:noProof/>
            <w:sz w:val="18"/>
            <w:szCs w:val="18"/>
            <w:lang w:val="lt-LT"/>
          </w:rPr>
          <w:t>Lentelė 61. Scenarijaus Nr. 3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108</w:t>
        </w:r>
        <w:r w:rsidR="00111EB2" w:rsidRPr="00B136E3">
          <w:rPr>
            <w:rFonts w:ascii="Georgia" w:hAnsi="Georgia"/>
            <w:noProof/>
            <w:webHidden/>
            <w:sz w:val="18"/>
            <w:szCs w:val="18"/>
          </w:rPr>
          <w:fldChar w:fldCharType="end"/>
        </w:r>
      </w:hyperlink>
    </w:p>
    <w:p w14:paraId="688CD62F" w14:textId="0942E559" w:rsidR="00111EB2" w:rsidRPr="00B136E3" w:rsidRDefault="00133798">
      <w:pPr>
        <w:pStyle w:val="Iliustracijsraas"/>
        <w:tabs>
          <w:tab w:val="right" w:leader="dot" w:pos="9016"/>
        </w:tabs>
        <w:rPr>
          <w:rFonts w:ascii="Georgia" w:eastAsiaTheme="minorEastAsia" w:hAnsi="Georgia"/>
          <w:noProof/>
          <w:sz w:val="18"/>
          <w:szCs w:val="18"/>
        </w:rPr>
      </w:pPr>
      <w:hyperlink w:anchor="_Toc507939184" w:history="1">
        <w:r w:rsidR="00111EB2" w:rsidRPr="006C6C90">
          <w:rPr>
            <w:rStyle w:val="Hipersaitas"/>
            <w:rFonts w:ascii="Georgia" w:hAnsi="Georgia"/>
            <w:noProof/>
            <w:sz w:val="18"/>
            <w:szCs w:val="18"/>
            <w:lang w:val="lt-LT"/>
          </w:rPr>
          <w:t>Lentelė 62. Scenarijaus Nr. 3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108</w:t>
        </w:r>
        <w:r w:rsidR="00111EB2" w:rsidRPr="00B136E3">
          <w:rPr>
            <w:rFonts w:ascii="Georgia" w:hAnsi="Georgia"/>
            <w:noProof/>
            <w:webHidden/>
            <w:sz w:val="18"/>
            <w:szCs w:val="18"/>
          </w:rPr>
          <w:fldChar w:fldCharType="end"/>
        </w:r>
      </w:hyperlink>
    </w:p>
    <w:p w14:paraId="7E01ABD4" w14:textId="52B95DF3" w:rsidR="00111EB2" w:rsidRPr="00B136E3" w:rsidRDefault="00133798">
      <w:pPr>
        <w:pStyle w:val="Iliustracijsraas"/>
        <w:tabs>
          <w:tab w:val="right" w:leader="dot" w:pos="9016"/>
        </w:tabs>
        <w:rPr>
          <w:rFonts w:ascii="Georgia" w:eastAsiaTheme="minorEastAsia" w:hAnsi="Georgia"/>
          <w:noProof/>
          <w:sz w:val="18"/>
          <w:szCs w:val="18"/>
        </w:rPr>
      </w:pPr>
      <w:hyperlink w:anchor="_Toc507939185" w:history="1">
        <w:r w:rsidR="00111EB2" w:rsidRPr="006C6C90">
          <w:rPr>
            <w:rStyle w:val="Hipersaitas"/>
            <w:rFonts w:ascii="Georgia" w:hAnsi="Georgia"/>
            <w:noProof/>
            <w:sz w:val="18"/>
            <w:szCs w:val="18"/>
            <w:lang w:val="lt-LT"/>
          </w:rPr>
          <w:t>Lentelė 63. Scenarijaus Nr. 4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110</w:t>
        </w:r>
        <w:r w:rsidR="00111EB2" w:rsidRPr="00B136E3">
          <w:rPr>
            <w:rFonts w:ascii="Georgia" w:hAnsi="Georgia"/>
            <w:noProof/>
            <w:webHidden/>
            <w:sz w:val="18"/>
            <w:szCs w:val="18"/>
          </w:rPr>
          <w:fldChar w:fldCharType="end"/>
        </w:r>
      </w:hyperlink>
    </w:p>
    <w:p w14:paraId="2129CD4B" w14:textId="7F1F0897" w:rsidR="00111EB2" w:rsidRPr="00B136E3" w:rsidRDefault="00133798">
      <w:pPr>
        <w:pStyle w:val="Iliustracijsraas"/>
        <w:tabs>
          <w:tab w:val="right" w:leader="dot" w:pos="9016"/>
        </w:tabs>
        <w:rPr>
          <w:rFonts w:ascii="Georgia" w:eastAsiaTheme="minorEastAsia" w:hAnsi="Georgia"/>
          <w:noProof/>
          <w:sz w:val="18"/>
          <w:szCs w:val="18"/>
        </w:rPr>
      </w:pPr>
      <w:hyperlink w:anchor="_Toc507939186" w:history="1">
        <w:r w:rsidR="00111EB2" w:rsidRPr="006C6C90">
          <w:rPr>
            <w:rStyle w:val="Hipersaitas"/>
            <w:rFonts w:ascii="Georgia" w:hAnsi="Georgia"/>
            <w:noProof/>
            <w:sz w:val="18"/>
            <w:szCs w:val="18"/>
            <w:lang w:val="lt-LT"/>
          </w:rPr>
          <w:t xml:space="preserve">Lentelė 64. Scenarijaus Nr. </w:t>
        </w:r>
        <w:r w:rsidR="00111EB2" w:rsidRPr="006C6C90">
          <w:rPr>
            <w:rStyle w:val="Hipersaitas"/>
            <w:rFonts w:ascii="Georgia" w:hAnsi="Georgia"/>
            <w:noProof/>
            <w:sz w:val="18"/>
            <w:szCs w:val="18"/>
          </w:rPr>
          <w:t>4</w:t>
        </w:r>
        <w:r w:rsidR="00111EB2" w:rsidRPr="006C6C90">
          <w:rPr>
            <w:rStyle w:val="Hipersaitas"/>
            <w:rFonts w:ascii="Georgia" w:hAnsi="Georgia"/>
            <w:noProof/>
            <w:sz w:val="18"/>
            <w:szCs w:val="18"/>
            <w:lang w:val="lt-LT"/>
          </w:rPr>
          <w:t xml:space="preserve">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111</w:t>
        </w:r>
        <w:r w:rsidR="00111EB2" w:rsidRPr="00B136E3">
          <w:rPr>
            <w:rFonts w:ascii="Georgia" w:hAnsi="Georgia"/>
            <w:noProof/>
            <w:webHidden/>
            <w:sz w:val="18"/>
            <w:szCs w:val="18"/>
          </w:rPr>
          <w:fldChar w:fldCharType="end"/>
        </w:r>
      </w:hyperlink>
    </w:p>
    <w:p w14:paraId="5BB571AA" w14:textId="6ED8D0E4" w:rsidR="00111EB2" w:rsidRPr="00B136E3" w:rsidRDefault="00133798">
      <w:pPr>
        <w:pStyle w:val="Iliustracijsraas"/>
        <w:tabs>
          <w:tab w:val="right" w:leader="dot" w:pos="9016"/>
        </w:tabs>
        <w:rPr>
          <w:rFonts w:ascii="Georgia" w:eastAsiaTheme="minorEastAsia" w:hAnsi="Georgia"/>
          <w:noProof/>
          <w:sz w:val="18"/>
          <w:szCs w:val="18"/>
        </w:rPr>
      </w:pPr>
      <w:hyperlink w:anchor="_Toc507939187" w:history="1">
        <w:r w:rsidR="00111EB2" w:rsidRPr="006C6C90">
          <w:rPr>
            <w:rStyle w:val="Hipersaitas"/>
            <w:rFonts w:ascii="Georgia" w:hAnsi="Georgia"/>
            <w:noProof/>
            <w:sz w:val="18"/>
            <w:szCs w:val="18"/>
            <w:lang w:val="lt-LT"/>
          </w:rPr>
          <w:t>Lentelė 65. Scenarijaus Nr. 4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111</w:t>
        </w:r>
        <w:r w:rsidR="00111EB2" w:rsidRPr="00B136E3">
          <w:rPr>
            <w:rFonts w:ascii="Georgia" w:hAnsi="Georgia"/>
            <w:noProof/>
            <w:webHidden/>
            <w:sz w:val="18"/>
            <w:szCs w:val="18"/>
          </w:rPr>
          <w:fldChar w:fldCharType="end"/>
        </w:r>
      </w:hyperlink>
    </w:p>
    <w:p w14:paraId="5AD6622B" w14:textId="40E8C712" w:rsidR="00111EB2" w:rsidRPr="00B136E3" w:rsidRDefault="00133798">
      <w:pPr>
        <w:pStyle w:val="Iliustracijsraas"/>
        <w:tabs>
          <w:tab w:val="right" w:leader="dot" w:pos="9016"/>
        </w:tabs>
        <w:rPr>
          <w:rFonts w:ascii="Georgia" w:eastAsiaTheme="minorEastAsia" w:hAnsi="Georgia"/>
          <w:noProof/>
          <w:sz w:val="18"/>
          <w:szCs w:val="18"/>
        </w:rPr>
      </w:pPr>
      <w:hyperlink w:anchor="_Toc507939188" w:history="1">
        <w:r w:rsidR="00111EB2" w:rsidRPr="006C6C90">
          <w:rPr>
            <w:rStyle w:val="Hipersaitas"/>
            <w:rFonts w:ascii="Georgia" w:hAnsi="Georgia"/>
            <w:noProof/>
            <w:sz w:val="18"/>
            <w:szCs w:val="18"/>
            <w:lang w:val="lt-LT"/>
          </w:rPr>
          <w:t>Lentelė 66. Scenarijaus Nr. 5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111</w:t>
        </w:r>
        <w:r w:rsidR="00111EB2" w:rsidRPr="00B136E3">
          <w:rPr>
            <w:rFonts w:ascii="Georgia" w:hAnsi="Georgia"/>
            <w:noProof/>
            <w:webHidden/>
            <w:sz w:val="18"/>
            <w:szCs w:val="18"/>
          </w:rPr>
          <w:fldChar w:fldCharType="end"/>
        </w:r>
      </w:hyperlink>
    </w:p>
    <w:p w14:paraId="6D80FC89" w14:textId="0935960B" w:rsidR="00111EB2" w:rsidRPr="00B136E3" w:rsidRDefault="00133798">
      <w:pPr>
        <w:pStyle w:val="Iliustracijsraas"/>
        <w:tabs>
          <w:tab w:val="right" w:leader="dot" w:pos="9016"/>
        </w:tabs>
        <w:rPr>
          <w:rFonts w:ascii="Georgia" w:eastAsiaTheme="minorEastAsia" w:hAnsi="Georgia"/>
          <w:noProof/>
          <w:sz w:val="18"/>
          <w:szCs w:val="18"/>
        </w:rPr>
      </w:pPr>
      <w:hyperlink w:anchor="_Toc507939189" w:history="1">
        <w:r w:rsidR="00111EB2" w:rsidRPr="006C6C90">
          <w:rPr>
            <w:rStyle w:val="Hipersaitas"/>
            <w:rFonts w:ascii="Georgia" w:hAnsi="Georgia"/>
            <w:noProof/>
            <w:sz w:val="18"/>
            <w:szCs w:val="18"/>
            <w:lang w:val="lt-LT"/>
          </w:rPr>
          <w:t>Lentelė 67. Scenarijaus Nr. 5 paskolų finansinės priemonės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_Toc507939189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113</w:t>
        </w:r>
        <w:r w:rsidR="00111EB2" w:rsidRPr="00B136E3">
          <w:rPr>
            <w:rFonts w:ascii="Georgia" w:hAnsi="Georgia"/>
            <w:noProof/>
            <w:webHidden/>
            <w:sz w:val="18"/>
            <w:szCs w:val="18"/>
          </w:rPr>
          <w:fldChar w:fldCharType="end"/>
        </w:r>
      </w:hyperlink>
    </w:p>
    <w:p w14:paraId="086509B6" w14:textId="45E8E84B" w:rsidR="00111EB2" w:rsidRPr="00B136E3" w:rsidRDefault="00133798">
      <w:pPr>
        <w:pStyle w:val="Iliustracijsraas"/>
        <w:tabs>
          <w:tab w:val="right" w:leader="dot" w:pos="9016"/>
        </w:tabs>
        <w:rPr>
          <w:rFonts w:ascii="Georgia" w:eastAsiaTheme="minorEastAsia" w:hAnsi="Georgia"/>
          <w:noProof/>
          <w:sz w:val="18"/>
          <w:szCs w:val="18"/>
        </w:rPr>
      </w:pPr>
      <w:hyperlink w:anchor="_Toc507939190" w:history="1">
        <w:r w:rsidR="00111EB2" w:rsidRPr="006C6C90">
          <w:rPr>
            <w:rStyle w:val="Hipersaitas"/>
            <w:rFonts w:ascii="Georgia" w:hAnsi="Georgia"/>
            <w:noProof/>
            <w:sz w:val="18"/>
            <w:szCs w:val="18"/>
            <w:lang w:val="lt-LT"/>
          </w:rPr>
          <w:t>Lentelė 68. Scenarijaus Nr. 5 garantijų finansinės priemonės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114</w:t>
        </w:r>
        <w:r w:rsidR="00111EB2" w:rsidRPr="00B136E3">
          <w:rPr>
            <w:rFonts w:ascii="Georgia" w:hAnsi="Georgia"/>
            <w:noProof/>
            <w:webHidden/>
            <w:sz w:val="18"/>
            <w:szCs w:val="18"/>
          </w:rPr>
          <w:fldChar w:fldCharType="end"/>
        </w:r>
      </w:hyperlink>
    </w:p>
    <w:p w14:paraId="27323B00" w14:textId="73CB52E5" w:rsidR="00111EB2" w:rsidRPr="00B136E3" w:rsidRDefault="00133798">
      <w:pPr>
        <w:pStyle w:val="Iliustracijsraas"/>
        <w:tabs>
          <w:tab w:val="right" w:leader="dot" w:pos="9016"/>
        </w:tabs>
        <w:rPr>
          <w:rFonts w:ascii="Georgia" w:eastAsiaTheme="minorEastAsia" w:hAnsi="Georgia"/>
          <w:noProof/>
          <w:sz w:val="18"/>
          <w:szCs w:val="18"/>
        </w:rPr>
      </w:pPr>
      <w:hyperlink w:anchor="_Toc507939191" w:history="1">
        <w:r w:rsidR="00111EB2" w:rsidRPr="006C6C90">
          <w:rPr>
            <w:rStyle w:val="Hipersaitas"/>
            <w:rFonts w:ascii="Georgia" w:hAnsi="Georgia"/>
            <w:noProof/>
            <w:sz w:val="18"/>
            <w:szCs w:val="18"/>
            <w:lang w:val="lt-LT"/>
          </w:rPr>
          <w:t>Lentelė 69. Scenarijaus Nr. 5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114</w:t>
        </w:r>
        <w:r w:rsidR="00111EB2" w:rsidRPr="00B136E3">
          <w:rPr>
            <w:rFonts w:ascii="Georgia" w:hAnsi="Georgia"/>
            <w:noProof/>
            <w:webHidden/>
            <w:sz w:val="18"/>
            <w:szCs w:val="18"/>
          </w:rPr>
          <w:fldChar w:fldCharType="end"/>
        </w:r>
      </w:hyperlink>
    </w:p>
    <w:p w14:paraId="4D0E2519" w14:textId="36461A71" w:rsidR="00111EB2" w:rsidRPr="00B136E3" w:rsidRDefault="00133798">
      <w:pPr>
        <w:pStyle w:val="Iliustracijsraas"/>
        <w:tabs>
          <w:tab w:val="right" w:leader="dot" w:pos="9016"/>
        </w:tabs>
        <w:rPr>
          <w:rFonts w:ascii="Georgia" w:eastAsiaTheme="minorEastAsia" w:hAnsi="Georgia"/>
          <w:noProof/>
          <w:sz w:val="18"/>
          <w:szCs w:val="18"/>
        </w:rPr>
      </w:pPr>
      <w:hyperlink w:anchor="_Toc507939192" w:history="1">
        <w:r w:rsidR="00111EB2" w:rsidRPr="006C6C90">
          <w:rPr>
            <w:rStyle w:val="Hipersaitas"/>
            <w:rFonts w:ascii="Georgia" w:hAnsi="Georgia"/>
            <w:noProof/>
            <w:sz w:val="18"/>
            <w:szCs w:val="18"/>
            <w:lang w:val="lt-LT"/>
          </w:rPr>
          <w:t>Lentelė 70. Centrinės valdžios viešųjų pastatų scenarijų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115</w:t>
        </w:r>
        <w:r w:rsidR="00111EB2" w:rsidRPr="00B136E3">
          <w:rPr>
            <w:rFonts w:ascii="Georgia" w:hAnsi="Georgia"/>
            <w:noProof/>
            <w:webHidden/>
            <w:sz w:val="18"/>
            <w:szCs w:val="18"/>
          </w:rPr>
          <w:fldChar w:fldCharType="end"/>
        </w:r>
      </w:hyperlink>
    </w:p>
    <w:p w14:paraId="32B20F78" w14:textId="227D4A91" w:rsidR="00111EB2" w:rsidRPr="00B136E3" w:rsidRDefault="00133798">
      <w:pPr>
        <w:pStyle w:val="Iliustracijsraas"/>
        <w:tabs>
          <w:tab w:val="right" w:leader="dot" w:pos="9016"/>
        </w:tabs>
        <w:rPr>
          <w:rFonts w:ascii="Georgia" w:eastAsiaTheme="minorEastAsia" w:hAnsi="Georgia"/>
          <w:noProof/>
          <w:sz w:val="18"/>
          <w:szCs w:val="18"/>
        </w:rPr>
      </w:pPr>
      <w:hyperlink w:anchor="_Toc507939193" w:history="1">
        <w:r w:rsidR="00111EB2" w:rsidRPr="006C6C90">
          <w:rPr>
            <w:rStyle w:val="Hipersaitas"/>
            <w:rFonts w:ascii="Georgia" w:hAnsi="Georgia"/>
            <w:noProof/>
            <w:sz w:val="18"/>
            <w:szCs w:val="18"/>
            <w:lang w:val="lt-LT"/>
          </w:rPr>
          <w:t>Lentelė 71. Scenarijaus Nr. 1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118</w:t>
        </w:r>
        <w:r w:rsidR="00111EB2" w:rsidRPr="00B136E3">
          <w:rPr>
            <w:rFonts w:ascii="Georgia" w:hAnsi="Georgia"/>
            <w:noProof/>
            <w:webHidden/>
            <w:sz w:val="18"/>
            <w:szCs w:val="18"/>
          </w:rPr>
          <w:fldChar w:fldCharType="end"/>
        </w:r>
      </w:hyperlink>
    </w:p>
    <w:p w14:paraId="74082AD5" w14:textId="5EA1860D" w:rsidR="00111EB2" w:rsidRPr="00B136E3" w:rsidRDefault="00133798">
      <w:pPr>
        <w:pStyle w:val="Iliustracijsraas"/>
        <w:tabs>
          <w:tab w:val="right" w:leader="dot" w:pos="9016"/>
        </w:tabs>
        <w:rPr>
          <w:rFonts w:ascii="Georgia" w:eastAsiaTheme="minorEastAsia" w:hAnsi="Georgia"/>
          <w:noProof/>
          <w:sz w:val="18"/>
          <w:szCs w:val="18"/>
        </w:rPr>
      </w:pPr>
      <w:hyperlink w:anchor="_Toc507939194" w:history="1">
        <w:r w:rsidR="00111EB2" w:rsidRPr="006C6C90">
          <w:rPr>
            <w:rStyle w:val="Hipersaitas"/>
            <w:rFonts w:ascii="Georgia" w:hAnsi="Georgia"/>
            <w:noProof/>
            <w:sz w:val="18"/>
            <w:szCs w:val="18"/>
            <w:lang w:val="lt-LT"/>
          </w:rPr>
          <w:t>Lentelė 72. Scenarijaus Nr. 2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119</w:t>
        </w:r>
        <w:r w:rsidR="00111EB2" w:rsidRPr="00B136E3">
          <w:rPr>
            <w:rFonts w:ascii="Georgia" w:hAnsi="Georgia"/>
            <w:noProof/>
            <w:webHidden/>
            <w:sz w:val="18"/>
            <w:szCs w:val="18"/>
          </w:rPr>
          <w:fldChar w:fldCharType="end"/>
        </w:r>
      </w:hyperlink>
    </w:p>
    <w:p w14:paraId="78602F14" w14:textId="2BB83363" w:rsidR="00111EB2" w:rsidRPr="00B136E3" w:rsidRDefault="00133798">
      <w:pPr>
        <w:pStyle w:val="Iliustracijsraas"/>
        <w:tabs>
          <w:tab w:val="right" w:leader="dot" w:pos="9016"/>
        </w:tabs>
        <w:rPr>
          <w:rFonts w:ascii="Georgia" w:eastAsiaTheme="minorEastAsia" w:hAnsi="Georgia"/>
          <w:noProof/>
          <w:sz w:val="18"/>
          <w:szCs w:val="18"/>
        </w:rPr>
      </w:pPr>
      <w:hyperlink w:anchor="_Toc507939195" w:history="1">
        <w:r w:rsidR="00111EB2" w:rsidRPr="006C6C90">
          <w:rPr>
            <w:rStyle w:val="Hipersaitas"/>
            <w:rFonts w:ascii="Georgia" w:hAnsi="Georgia"/>
            <w:noProof/>
            <w:sz w:val="18"/>
            <w:szCs w:val="18"/>
            <w:lang w:val="lt-LT"/>
          </w:rPr>
          <w:t>Lentelė 73. Scenarijaus Nr. 3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120</w:t>
        </w:r>
        <w:r w:rsidR="00111EB2" w:rsidRPr="00B136E3">
          <w:rPr>
            <w:rFonts w:ascii="Georgia" w:hAnsi="Georgia"/>
            <w:noProof/>
            <w:webHidden/>
            <w:sz w:val="18"/>
            <w:szCs w:val="18"/>
          </w:rPr>
          <w:fldChar w:fldCharType="end"/>
        </w:r>
      </w:hyperlink>
    </w:p>
    <w:p w14:paraId="1CFAFC4B" w14:textId="6C1FA9AA" w:rsidR="00111EB2" w:rsidRPr="00B136E3" w:rsidRDefault="00133798">
      <w:pPr>
        <w:pStyle w:val="Iliustracijsraas"/>
        <w:tabs>
          <w:tab w:val="right" w:leader="dot" w:pos="9016"/>
        </w:tabs>
        <w:rPr>
          <w:rFonts w:ascii="Georgia" w:eastAsiaTheme="minorEastAsia" w:hAnsi="Georgia"/>
          <w:noProof/>
          <w:sz w:val="18"/>
          <w:szCs w:val="18"/>
        </w:rPr>
      </w:pPr>
      <w:hyperlink w:anchor="_Toc507939196" w:history="1">
        <w:r w:rsidR="00111EB2" w:rsidRPr="006C6C90">
          <w:rPr>
            <w:rStyle w:val="Hipersaitas"/>
            <w:rFonts w:ascii="Georgia" w:hAnsi="Georgia"/>
            <w:noProof/>
            <w:sz w:val="18"/>
            <w:szCs w:val="18"/>
            <w:lang w:val="lt-LT"/>
          </w:rPr>
          <w:t>Lentelė 74. Scenarijaus Nr. 4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121</w:t>
        </w:r>
        <w:r w:rsidR="00111EB2" w:rsidRPr="00B136E3">
          <w:rPr>
            <w:rFonts w:ascii="Georgia" w:hAnsi="Georgia"/>
            <w:noProof/>
            <w:webHidden/>
            <w:sz w:val="18"/>
            <w:szCs w:val="18"/>
          </w:rPr>
          <w:fldChar w:fldCharType="end"/>
        </w:r>
      </w:hyperlink>
    </w:p>
    <w:p w14:paraId="63AD7D9E" w14:textId="0727731F" w:rsidR="00111EB2" w:rsidRPr="00B136E3" w:rsidRDefault="00133798">
      <w:pPr>
        <w:pStyle w:val="Iliustracijsraas"/>
        <w:tabs>
          <w:tab w:val="right" w:leader="dot" w:pos="9016"/>
        </w:tabs>
        <w:rPr>
          <w:rFonts w:ascii="Georgia" w:eastAsiaTheme="minorEastAsia" w:hAnsi="Georgia"/>
          <w:noProof/>
          <w:sz w:val="18"/>
          <w:szCs w:val="18"/>
        </w:rPr>
      </w:pPr>
      <w:hyperlink w:anchor="_Toc507939197" w:history="1">
        <w:r w:rsidR="00111EB2" w:rsidRPr="006C6C90">
          <w:rPr>
            <w:rStyle w:val="Hipersaitas"/>
            <w:rFonts w:ascii="Georgia" w:hAnsi="Georgia"/>
            <w:noProof/>
            <w:sz w:val="18"/>
            <w:szCs w:val="18"/>
            <w:lang w:val="lt-LT"/>
          </w:rPr>
          <w:t>Lentelė 75. Savivaldybės viešųjų pastatų scenarijų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122</w:t>
        </w:r>
        <w:r w:rsidR="00111EB2" w:rsidRPr="00B136E3">
          <w:rPr>
            <w:rFonts w:ascii="Georgia" w:hAnsi="Georgia"/>
            <w:noProof/>
            <w:webHidden/>
            <w:sz w:val="18"/>
            <w:szCs w:val="18"/>
          </w:rPr>
          <w:fldChar w:fldCharType="end"/>
        </w:r>
      </w:hyperlink>
    </w:p>
    <w:p w14:paraId="11B91555" w14:textId="0EED8142" w:rsidR="00111EB2" w:rsidRPr="00B136E3" w:rsidRDefault="00133798">
      <w:pPr>
        <w:pStyle w:val="Iliustracijsraas"/>
        <w:tabs>
          <w:tab w:val="right" w:leader="dot" w:pos="9016"/>
        </w:tabs>
        <w:rPr>
          <w:rFonts w:ascii="Georgia" w:eastAsiaTheme="minorEastAsia" w:hAnsi="Georgia"/>
          <w:noProof/>
          <w:sz w:val="18"/>
          <w:szCs w:val="18"/>
        </w:rPr>
      </w:pPr>
      <w:hyperlink w:anchor="_Toc507939198" w:history="1">
        <w:r w:rsidR="00111EB2" w:rsidRPr="006C6C90">
          <w:rPr>
            <w:rStyle w:val="Hipersaitas"/>
            <w:rFonts w:ascii="Georgia" w:hAnsi="Georgia"/>
            <w:noProof/>
            <w:sz w:val="18"/>
            <w:szCs w:val="18"/>
            <w:lang w:val="lt-LT"/>
          </w:rPr>
          <w:t>Lentelė 76. Scenarijaus Nr. 1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125</w:t>
        </w:r>
        <w:r w:rsidR="00111EB2" w:rsidRPr="00B136E3">
          <w:rPr>
            <w:rFonts w:ascii="Georgia" w:hAnsi="Georgia"/>
            <w:noProof/>
            <w:webHidden/>
            <w:sz w:val="18"/>
            <w:szCs w:val="18"/>
          </w:rPr>
          <w:fldChar w:fldCharType="end"/>
        </w:r>
      </w:hyperlink>
    </w:p>
    <w:p w14:paraId="047405D2" w14:textId="1C1B3BD3" w:rsidR="00111EB2" w:rsidRPr="00B136E3" w:rsidRDefault="00133798">
      <w:pPr>
        <w:pStyle w:val="Iliustracijsraas"/>
        <w:tabs>
          <w:tab w:val="right" w:leader="dot" w:pos="9016"/>
        </w:tabs>
        <w:rPr>
          <w:rFonts w:ascii="Georgia" w:eastAsiaTheme="minorEastAsia" w:hAnsi="Georgia"/>
          <w:noProof/>
          <w:sz w:val="18"/>
          <w:szCs w:val="18"/>
        </w:rPr>
      </w:pPr>
      <w:hyperlink w:anchor="_Toc507939199" w:history="1">
        <w:r w:rsidR="00111EB2" w:rsidRPr="006C6C90">
          <w:rPr>
            <w:rStyle w:val="Hipersaitas"/>
            <w:rFonts w:ascii="Georgia" w:hAnsi="Georgia"/>
            <w:noProof/>
            <w:sz w:val="18"/>
            <w:szCs w:val="18"/>
            <w:lang w:val="lt-LT"/>
          </w:rPr>
          <w:t>Lentelė 77. Scenarijaus Nr. 2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_Toc507939199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126</w:t>
        </w:r>
        <w:r w:rsidR="00111EB2" w:rsidRPr="00B136E3">
          <w:rPr>
            <w:rFonts w:ascii="Georgia" w:hAnsi="Georgia"/>
            <w:noProof/>
            <w:webHidden/>
            <w:sz w:val="18"/>
            <w:szCs w:val="18"/>
          </w:rPr>
          <w:fldChar w:fldCharType="end"/>
        </w:r>
      </w:hyperlink>
    </w:p>
    <w:p w14:paraId="720FF5A5" w14:textId="411C6B95" w:rsidR="00111EB2" w:rsidRPr="00B136E3" w:rsidRDefault="00133798">
      <w:pPr>
        <w:pStyle w:val="Iliustracijsraas"/>
        <w:tabs>
          <w:tab w:val="right" w:leader="dot" w:pos="9016"/>
        </w:tabs>
        <w:rPr>
          <w:rFonts w:ascii="Georgia" w:eastAsiaTheme="minorEastAsia" w:hAnsi="Georgia"/>
          <w:noProof/>
          <w:sz w:val="18"/>
          <w:szCs w:val="18"/>
        </w:rPr>
      </w:pPr>
      <w:hyperlink w:anchor="_Toc507939200" w:history="1">
        <w:r w:rsidR="00111EB2" w:rsidRPr="006C6C90">
          <w:rPr>
            <w:rStyle w:val="Hipersaitas"/>
            <w:rFonts w:ascii="Georgia" w:hAnsi="Georgia"/>
            <w:noProof/>
            <w:sz w:val="18"/>
            <w:szCs w:val="18"/>
            <w:lang w:val="lt-LT"/>
          </w:rPr>
          <w:t>Lentelė 78. Scenarijaus Nr. 3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127</w:t>
        </w:r>
        <w:r w:rsidR="00111EB2" w:rsidRPr="00B136E3">
          <w:rPr>
            <w:rFonts w:ascii="Georgia" w:hAnsi="Georgia"/>
            <w:noProof/>
            <w:webHidden/>
            <w:sz w:val="18"/>
            <w:szCs w:val="18"/>
          </w:rPr>
          <w:fldChar w:fldCharType="end"/>
        </w:r>
      </w:hyperlink>
    </w:p>
    <w:p w14:paraId="694FA929" w14:textId="1BF6DA4C" w:rsidR="00111EB2" w:rsidRPr="00B136E3" w:rsidRDefault="00133798">
      <w:pPr>
        <w:pStyle w:val="Iliustracijsraas"/>
        <w:tabs>
          <w:tab w:val="right" w:leader="dot" w:pos="9016"/>
        </w:tabs>
        <w:rPr>
          <w:rFonts w:ascii="Georgia" w:eastAsiaTheme="minorEastAsia" w:hAnsi="Georgia"/>
          <w:noProof/>
          <w:sz w:val="18"/>
          <w:szCs w:val="18"/>
        </w:rPr>
      </w:pPr>
      <w:hyperlink w:anchor="_Toc507939201" w:history="1">
        <w:r w:rsidR="00111EB2" w:rsidRPr="006C6C90">
          <w:rPr>
            <w:rStyle w:val="Hipersaitas"/>
            <w:rFonts w:ascii="Georgia" w:hAnsi="Georgia"/>
            <w:noProof/>
            <w:sz w:val="18"/>
            <w:szCs w:val="18"/>
            <w:lang w:val="lt-LT"/>
          </w:rPr>
          <w:t>Lentelė 79. Scenarijaus Nr. 4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128</w:t>
        </w:r>
        <w:r w:rsidR="00111EB2" w:rsidRPr="00B136E3">
          <w:rPr>
            <w:rFonts w:ascii="Georgia" w:hAnsi="Georgia"/>
            <w:noProof/>
            <w:webHidden/>
            <w:sz w:val="18"/>
            <w:szCs w:val="18"/>
          </w:rPr>
          <w:fldChar w:fldCharType="end"/>
        </w:r>
      </w:hyperlink>
    </w:p>
    <w:p w14:paraId="30196B3A" w14:textId="63DA762D" w:rsidR="00111EB2" w:rsidRPr="00B136E3" w:rsidRDefault="00133798">
      <w:pPr>
        <w:pStyle w:val="Iliustracijsraas"/>
        <w:tabs>
          <w:tab w:val="right" w:leader="dot" w:pos="9016"/>
        </w:tabs>
        <w:rPr>
          <w:rFonts w:ascii="Georgia" w:eastAsiaTheme="minorEastAsia" w:hAnsi="Georgia"/>
          <w:noProof/>
          <w:sz w:val="18"/>
          <w:szCs w:val="18"/>
        </w:rPr>
      </w:pPr>
      <w:hyperlink w:anchor="_Toc507939202" w:history="1">
        <w:r w:rsidR="00111EB2" w:rsidRPr="006C6C90">
          <w:rPr>
            <w:rStyle w:val="Hipersaitas"/>
            <w:rFonts w:ascii="Georgia" w:hAnsi="Georgia"/>
            <w:noProof/>
            <w:sz w:val="18"/>
            <w:szCs w:val="18"/>
            <w:lang w:val="lt-LT"/>
          </w:rPr>
          <w:t>Lentelė 80. Gatvių apšvietimo scenarijų prielaidos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128</w:t>
        </w:r>
        <w:r w:rsidR="00111EB2" w:rsidRPr="00B136E3">
          <w:rPr>
            <w:rFonts w:ascii="Georgia" w:hAnsi="Georgia"/>
            <w:noProof/>
            <w:webHidden/>
            <w:sz w:val="18"/>
            <w:szCs w:val="18"/>
          </w:rPr>
          <w:fldChar w:fldCharType="end"/>
        </w:r>
      </w:hyperlink>
    </w:p>
    <w:p w14:paraId="5A336809" w14:textId="139A9EC9" w:rsidR="00111EB2" w:rsidRPr="00B136E3" w:rsidRDefault="00133798">
      <w:pPr>
        <w:pStyle w:val="Iliustracijsraas"/>
        <w:tabs>
          <w:tab w:val="right" w:leader="dot" w:pos="9016"/>
        </w:tabs>
        <w:rPr>
          <w:rFonts w:ascii="Georgia" w:eastAsiaTheme="minorEastAsia" w:hAnsi="Georgia"/>
          <w:noProof/>
          <w:sz w:val="18"/>
          <w:szCs w:val="18"/>
        </w:rPr>
      </w:pPr>
      <w:hyperlink w:anchor="_Toc507939203" w:history="1">
        <w:r w:rsidR="00111EB2" w:rsidRPr="006C6C90">
          <w:rPr>
            <w:rStyle w:val="Hipersaitas"/>
            <w:rFonts w:ascii="Georgia" w:hAnsi="Georgia"/>
            <w:noProof/>
            <w:sz w:val="18"/>
            <w:szCs w:val="18"/>
            <w:lang w:val="lt-LT"/>
          </w:rPr>
          <w:t>Lentelė 81. Scenarijaus Nr. 1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131</w:t>
        </w:r>
        <w:r w:rsidR="00111EB2" w:rsidRPr="00B136E3">
          <w:rPr>
            <w:rFonts w:ascii="Georgia" w:hAnsi="Georgia"/>
            <w:noProof/>
            <w:webHidden/>
            <w:sz w:val="18"/>
            <w:szCs w:val="18"/>
          </w:rPr>
          <w:fldChar w:fldCharType="end"/>
        </w:r>
      </w:hyperlink>
    </w:p>
    <w:p w14:paraId="012B048E" w14:textId="4236AE30" w:rsidR="00111EB2" w:rsidRPr="00B136E3" w:rsidRDefault="00133798">
      <w:pPr>
        <w:pStyle w:val="Iliustracijsraas"/>
        <w:tabs>
          <w:tab w:val="right" w:leader="dot" w:pos="9016"/>
        </w:tabs>
        <w:rPr>
          <w:rFonts w:ascii="Georgia" w:eastAsiaTheme="minorEastAsia" w:hAnsi="Georgia"/>
          <w:noProof/>
          <w:sz w:val="18"/>
          <w:szCs w:val="18"/>
        </w:rPr>
      </w:pPr>
      <w:hyperlink w:anchor="_Toc507939204" w:history="1">
        <w:r w:rsidR="00111EB2" w:rsidRPr="006C6C90">
          <w:rPr>
            <w:rStyle w:val="Hipersaitas"/>
            <w:rFonts w:ascii="Georgia" w:hAnsi="Georgia"/>
            <w:noProof/>
            <w:sz w:val="18"/>
            <w:szCs w:val="18"/>
            <w:lang w:val="lt-LT"/>
          </w:rPr>
          <w:t>Lentelė 82. Scenarijaus Nr. 2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132</w:t>
        </w:r>
        <w:r w:rsidR="00111EB2" w:rsidRPr="00B136E3">
          <w:rPr>
            <w:rFonts w:ascii="Georgia" w:hAnsi="Georgia"/>
            <w:noProof/>
            <w:webHidden/>
            <w:sz w:val="18"/>
            <w:szCs w:val="18"/>
          </w:rPr>
          <w:fldChar w:fldCharType="end"/>
        </w:r>
      </w:hyperlink>
    </w:p>
    <w:p w14:paraId="6A5A628C" w14:textId="184953C3" w:rsidR="00111EB2" w:rsidRPr="00B136E3" w:rsidRDefault="00133798">
      <w:pPr>
        <w:pStyle w:val="Iliustracijsraas"/>
        <w:tabs>
          <w:tab w:val="right" w:leader="dot" w:pos="9016"/>
        </w:tabs>
        <w:rPr>
          <w:rFonts w:ascii="Georgia" w:eastAsiaTheme="minorEastAsia" w:hAnsi="Georgia"/>
          <w:noProof/>
          <w:sz w:val="18"/>
          <w:szCs w:val="18"/>
        </w:rPr>
      </w:pPr>
      <w:hyperlink w:anchor="_Toc507939205" w:history="1">
        <w:r w:rsidR="00111EB2" w:rsidRPr="006C6C90">
          <w:rPr>
            <w:rStyle w:val="Hipersaitas"/>
            <w:rFonts w:ascii="Georgia" w:hAnsi="Georgia"/>
            <w:noProof/>
            <w:sz w:val="18"/>
            <w:szCs w:val="18"/>
            <w:lang w:val="lt-LT"/>
          </w:rPr>
          <w:t>Lentelė 83. Scenarijaus Nr. 3 lengvatinių paskolų finansinė priemonė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134</w:t>
        </w:r>
        <w:r w:rsidR="00111EB2" w:rsidRPr="00B136E3">
          <w:rPr>
            <w:rFonts w:ascii="Georgia" w:hAnsi="Georgia"/>
            <w:noProof/>
            <w:webHidden/>
            <w:sz w:val="18"/>
            <w:szCs w:val="18"/>
          </w:rPr>
          <w:fldChar w:fldCharType="end"/>
        </w:r>
      </w:hyperlink>
    </w:p>
    <w:p w14:paraId="28838016" w14:textId="5390D7F5" w:rsidR="00111EB2" w:rsidRPr="00B136E3" w:rsidRDefault="00133798">
      <w:pPr>
        <w:pStyle w:val="Iliustracijsraas"/>
        <w:tabs>
          <w:tab w:val="right" w:leader="dot" w:pos="9016"/>
        </w:tabs>
        <w:rPr>
          <w:rFonts w:ascii="Georgia" w:eastAsiaTheme="minorEastAsia" w:hAnsi="Georgia"/>
          <w:noProof/>
          <w:sz w:val="18"/>
          <w:szCs w:val="18"/>
        </w:rPr>
      </w:pPr>
      <w:hyperlink w:anchor="_Toc507939206" w:history="1">
        <w:r w:rsidR="00111EB2" w:rsidRPr="006C6C90">
          <w:rPr>
            <w:rStyle w:val="Hipersaitas"/>
            <w:rFonts w:ascii="Georgia" w:hAnsi="Georgia"/>
            <w:noProof/>
            <w:sz w:val="18"/>
            <w:szCs w:val="18"/>
            <w:lang w:val="lt-LT"/>
          </w:rPr>
          <w:t>Lentelė 84. Scenarijaus Nr. 4 garantijų priemonės įgyvendinimo prognozė</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135</w:t>
        </w:r>
        <w:r w:rsidR="00111EB2" w:rsidRPr="00B136E3">
          <w:rPr>
            <w:rFonts w:ascii="Georgia" w:hAnsi="Georgia"/>
            <w:noProof/>
            <w:webHidden/>
            <w:sz w:val="18"/>
            <w:szCs w:val="18"/>
          </w:rPr>
          <w:fldChar w:fldCharType="end"/>
        </w:r>
      </w:hyperlink>
    </w:p>
    <w:p w14:paraId="57D58829" w14:textId="4F2CEAAC" w:rsidR="00111EB2" w:rsidRPr="00B136E3" w:rsidRDefault="00133798">
      <w:pPr>
        <w:pStyle w:val="Iliustracijsraas"/>
        <w:tabs>
          <w:tab w:val="right" w:leader="dot" w:pos="9016"/>
        </w:tabs>
        <w:rPr>
          <w:rFonts w:ascii="Georgia" w:eastAsiaTheme="minorEastAsia" w:hAnsi="Georgia"/>
          <w:noProof/>
          <w:sz w:val="18"/>
          <w:szCs w:val="18"/>
        </w:rPr>
      </w:pPr>
      <w:hyperlink w:anchor="_Toc507939207" w:history="1">
        <w:r w:rsidR="00111EB2" w:rsidRPr="006C6C90">
          <w:rPr>
            <w:rStyle w:val="Hipersaitas"/>
            <w:rFonts w:ascii="Georgia" w:hAnsi="Georgia"/>
            <w:noProof/>
            <w:sz w:val="18"/>
            <w:szCs w:val="18"/>
            <w:lang w:val="lt-LT"/>
          </w:rPr>
          <w:t>Lentelė 85. Daugiabučių modernizavimo</w:t>
        </w:r>
        <w:r w:rsidR="00111EB2" w:rsidRPr="006C6C90">
          <w:rPr>
            <w:rStyle w:val="Hipersaitas"/>
            <w:rFonts w:ascii="Georgia" w:hAnsi="Georgia" w:cs="Georgia"/>
            <w:noProof/>
            <w:sz w:val="18"/>
            <w:szCs w:val="18"/>
            <w:lang w:val="lt-LT"/>
          </w:rPr>
          <w:t xml:space="preserve"> finansavimo sverto efekto rodikliai pagal atskirus scenarijus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140</w:t>
        </w:r>
        <w:r w:rsidR="00111EB2" w:rsidRPr="00B136E3">
          <w:rPr>
            <w:rFonts w:ascii="Georgia" w:hAnsi="Georgia"/>
            <w:noProof/>
            <w:webHidden/>
            <w:sz w:val="18"/>
            <w:szCs w:val="18"/>
          </w:rPr>
          <w:fldChar w:fldCharType="end"/>
        </w:r>
      </w:hyperlink>
    </w:p>
    <w:p w14:paraId="35D56144" w14:textId="1B26B000" w:rsidR="00111EB2" w:rsidRPr="00B136E3" w:rsidRDefault="00133798">
      <w:pPr>
        <w:pStyle w:val="Iliustracijsraas"/>
        <w:tabs>
          <w:tab w:val="right" w:leader="dot" w:pos="9016"/>
        </w:tabs>
        <w:rPr>
          <w:rFonts w:ascii="Georgia" w:eastAsiaTheme="minorEastAsia" w:hAnsi="Georgia"/>
          <w:noProof/>
          <w:sz w:val="18"/>
          <w:szCs w:val="18"/>
        </w:rPr>
      </w:pPr>
      <w:hyperlink w:anchor="_Toc507939208" w:history="1">
        <w:r w:rsidR="00111EB2" w:rsidRPr="006C6C90">
          <w:rPr>
            <w:rStyle w:val="Hipersaitas"/>
            <w:rFonts w:ascii="Georgia" w:hAnsi="Georgia"/>
            <w:noProof/>
            <w:sz w:val="18"/>
            <w:szCs w:val="18"/>
            <w:lang w:val="lt-LT"/>
          </w:rPr>
          <w:t xml:space="preserve">Lentelė 86. </w:t>
        </w:r>
        <w:r w:rsidR="00111EB2" w:rsidRPr="006C6C90">
          <w:rPr>
            <w:rStyle w:val="Hipersaitas"/>
            <w:rFonts w:ascii="Georgia" w:hAnsi="Georgia" w:cs="Georgia"/>
            <w:noProof/>
            <w:sz w:val="18"/>
            <w:szCs w:val="18"/>
            <w:lang w:val="lt-LT"/>
          </w:rPr>
          <w:t>Centrinės valdžios pastatų ir gatvių apšvietimo renovacijos finansavimo sverto efekto rodikliai pagal atskirus scenarijus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141</w:t>
        </w:r>
        <w:r w:rsidR="00111EB2" w:rsidRPr="00B136E3">
          <w:rPr>
            <w:rFonts w:ascii="Georgia" w:hAnsi="Georgia"/>
            <w:noProof/>
            <w:webHidden/>
            <w:sz w:val="18"/>
            <w:szCs w:val="18"/>
          </w:rPr>
          <w:fldChar w:fldCharType="end"/>
        </w:r>
      </w:hyperlink>
    </w:p>
    <w:p w14:paraId="56013569" w14:textId="06E85F98" w:rsidR="00111EB2" w:rsidRPr="00B136E3" w:rsidRDefault="00133798">
      <w:pPr>
        <w:pStyle w:val="Iliustracijsraas"/>
        <w:tabs>
          <w:tab w:val="right" w:leader="dot" w:pos="9016"/>
        </w:tabs>
        <w:rPr>
          <w:rFonts w:ascii="Georgia" w:eastAsiaTheme="minorEastAsia" w:hAnsi="Georgia"/>
          <w:noProof/>
          <w:sz w:val="18"/>
          <w:szCs w:val="18"/>
        </w:rPr>
      </w:pPr>
      <w:hyperlink w:anchor="_Toc507939209" w:history="1">
        <w:r w:rsidR="00111EB2" w:rsidRPr="006C6C90">
          <w:rPr>
            <w:rStyle w:val="Hipersaitas"/>
            <w:rFonts w:ascii="Georgia" w:hAnsi="Georgia"/>
            <w:noProof/>
            <w:sz w:val="18"/>
            <w:szCs w:val="18"/>
            <w:lang w:val="lt-LT"/>
          </w:rPr>
          <w:t xml:space="preserve">Lentelė 87. </w:t>
        </w:r>
        <w:r w:rsidR="00111EB2" w:rsidRPr="006C6C90">
          <w:rPr>
            <w:rStyle w:val="Hipersaitas"/>
            <w:rFonts w:ascii="Georgia" w:hAnsi="Georgia" w:cs="Georgia"/>
            <w:noProof/>
            <w:sz w:val="18"/>
            <w:szCs w:val="18"/>
            <w:lang w:val="lt-LT"/>
          </w:rPr>
          <w:t>Savivaldybių viešųjų pastatų modernizavimo finansinio sverto efekto rodikliai pagal atskirus scenarijus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_Toc507939209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141</w:t>
        </w:r>
        <w:r w:rsidR="00111EB2" w:rsidRPr="00B136E3">
          <w:rPr>
            <w:rFonts w:ascii="Georgia" w:hAnsi="Georgia"/>
            <w:noProof/>
            <w:webHidden/>
            <w:sz w:val="18"/>
            <w:szCs w:val="18"/>
          </w:rPr>
          <w:fldChar w:fldCharType="end"/>
        </w:r>
      </w:hyperlink>
    </w:p>
    <w:p w14:paraId="076AD078" w14:textId="16776A71" w:rsidR="00111EB2" w:rsidRPr="00B136E3" w:rsidRDefault="00133798">
      <w:pPr>
        <w:pStyle w:val="Iliustracijsraas"/>
        <w:tabs>
          <w:tab w:val="right" w:leader="dot" w:pos="9016"/>
        </w:tabs>
        <w:rPr>
          <w:rFonts w:ascii="Georgia" w:eastAsiaTheme="minorEastAsia" w:hAnsi="Georgia"/>
          <w:noProof/>
          <w:sz w:val="18"/>
          <w:szCs w:val="18"/>
        </w:rPr>
      </w:pPr>
      <w:hyperlink w:anchor="_Toc507939210" w:history="1">
        <w:r w:rsidR="00111EB2" w:rsidRPr="006C6C90">
          <w:rPr>
            <w:rStyle w:val="Hipersaitas"/>
            <w:rFonts w:ascii="Georgia" w:hAnsi="Georgia"/>
            <w:noProof/>
            <w:sz w:val="18"/>
            <w:szCs w:val="18"/>
            <w:lang w:val="lt-LT"/>
          </w:rPr>
          <w:t>Lentelė 88. Skirtingų scenarijų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142</w:t>
        </w:r>
        <w:r w:rsidR="00111EB2" w:rsidRPr="00B136E3">
          <w:rPr>
            <w:rFonts w:ascii="Georgia" w:hAnsi="Georgia"/>
            <w:noProof/>
            <w:webHidden/>
            <w:sz w:val="18"/>
            <w:szCs w:val="18"/>
          </w:rPr>
          <w:fldChar w:fldCharType="end"/>
        </w:r>
      </w:hyperlink>
    </w:p>
    <w:p w14:paraId="27CC3E79" w14:textId="4136BB36" w:rsidR="00111EB2" w:rsidRPr="00B136E3" w:rsidRDefault="00133798">
      <w:pPr>
        <w:pStyle w:val="Iliustracijsraas"/>
        <w:tabs>
          <w:tab w:val="right" w:leader="dot" w:pos="9016"/>
        </w:tabs>
        <w:rPr>
          <w:rFonts w:ascii="Georgia" w:eastAsiaTheme="minorEastAsia" w:hAnsi="Georgia"/>
          <w:noProof/>
          <w:sz w:val="18"/>
          <w:szCs w:val="18"/>
        </w:rPr>
      </w:pPr>
      <w:hyperlink w:anchor="_Toc507939211" w:history="1">
        <w:r w:rsidR="00111EB2" w:rsidRPr="006C6C90">
          <w:rPr>
            <w:rStyle w:val="Hipersaitas"/>
            <w:rFonts w:ascii="Georgia" w:hAnsi="Georgia"/>
            <w:noProof/>
            <w:sz w:val="18"/>
            <w:szCs w:val="18"/>
            <w:lang w:val="lt-LT"/>
          </w:rPr>
          <w:t>Lentelė 89. Skirtingų finansinių priemonių kiekybinių rezultatų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143</w:t>
        </w:r>
        <w:r w:rsidR="00111EB2" w:rsidRPr="00B136E3">
          <w:rPr>
            <w:rFonts w:ascii="Georgia" w:hAnsi="Georgia"/>
            <w:noProof/>
            <w:webHidden/>
            <w:sz w:val="18"/>
            <w:szCs w:val="18"/>
          </w:rPr>
          <w:fldChar w:fldCharType="end"/>
        </w:r>
      </w:hyperlink>
    </w:p>
    <w:p w14:paraId="6185683E" w14:textId="2D96450A" w:rsidR="00111EB2" w:rsidRPr="00B136E3" w:rsidRDefault="00133798">
      <w:pPr>
        <w:pStyle w:val="Iliustracijsraas"/>
        <w:tabs>
          <w:tab w:val="right" w:leader="dot" w:pos="9016"/>
        </w:tabs>
        <w:rPr>
          <w:rFonts w:ascii="Georgia" w:eastAsiaTheme="minorEastAsia" w:hAnsi="Georgia"/>
          <w:noProof/>
          <w:sz w:val="18"/>
          <w:szCs w:val="18"/>
        </w:rPr>
      </w:pPr>
      <w:hyperlink w:anchor="_Toc507939212" w:history="1">
        <w:r w:rsidR="00111EB2" w:rsidRPr="006C6C90">
          <w:rPr>
            <w:rStyle w:val="Hipersaitas"/>
            <w:rFonts w:ascii="Georgia" w:hAnsi="Georgia"/>
            <w:noProof/>
            <w:sz w:val="18"/>
            <w:szCs w:val="18"/>
            <w:lang w:val="lt-LT"/>
          </w:rPr>
          <w:t>Lentelė 90. Skirtingų scenarijų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144</w:t>
        </w:r>
        <w:r w:rsidR="00111EB2" w:rsidRPr="00B136E3">
          <w:rPr>
            <w:rFonts w:ascii="Georgia" w:hAnsi="Georgia"/>
            <w:noProof/>
            <w:webHidden/>
            <w:sz w:val="18"/>
            <w:szCs w:val="18"/>
          </w:rPr>
          <w:fldChar w:fldCharType="end"/>
        </w:r>
      </w:hyperlink>
    </w:p>
    <w:p w14:paraId="55FD0CE1" w14:textId="478F7498" w:rsidR="00111EB2" w:rsidRPr="00B136E3" w:rsidRDefault="00133798">
      <w:pPr>
        <w:pStyle w:val="Iliustracijsraas"/>
        <w:tabs>
          <w:tab w:val="right" w:leader="dot" w:pos="9016"/>
        </w:tabs>
        <w:rPr>
          <w:rFonts w:ascii="Georgia" w:eastAsiaTheme="minorEastAsia" w:hAnsi="Georgia"/>
          <w:noProof/>
          <w:sz w:val="18"/>
          <w:szCs w:val="18"/>
        </w:rPr>
      </w:pPr>
      <w:hyperlink w:anchor="_Toc507939213" w:history="1">
        <w:r w:rsidR="00111EB2" w:rsidRPr="006C6C90">
          <w:rPr>
            <w:rStyle w:val="Hipersaitas"/>
            <w:rFonts w:ascii="Georgia" w:hAnsi="Georgia"/>
            <w:noProof/>
            <w:sz w:val="18"/>
            <w:szCs w:val="18"/>
            <w:lang w:val="lt-LT"/>
          </w:rPr>
          <w:t>Lentelė 91. Skirtingų scenarijų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146</w:t>
        </w:r>
        <w:r w:rsidR="00111EB2" w:rsidRPr="00B136E3">
          <w:rPr>
            <w:rFonts w:ascii="Georgia" w:hAnsi="Georgia"/>
            <w:noProof/>
            <w:webHidden/>
            <w:sz w:val="18"/>
            <w:szCs w:val="18"/>
          </w:rPr>
          <w:fldChar w:fldCharType="end"/>
        </w:r>
      </w:hyperlink>
    </w:p>
    <w:p w14:paraId="67E40554" w14:textId="65F01953" w:rsidR="00111EB2" w:rsidRPr="00B136E3" w:rsidRDefault="00133798">
      <w:pPr>
        <w:pStyle w:val="Iliustracijsraas"/>
        <w:tabs>
          <w:tab w:val="right" w:leader="dot" w:pos="9016"/>
        </w:tabs>
        <w:rPr>
          <w:rFonts w:ascii="Georgia" w:eastAsiaTheme="minorEastAsia" w:hAnsi="Georgia"/>
          <w:noProof/>
          <w:sz w:val="18"/>
          <w:szCs w:val="18"/>
        </w:rPr>
      </w:pPr>
      <w:hyperlink w:anchor="_Toc507939214" w:history="1">
        <w:r w:rsidR="00111EB2" w:rsidRPr="006C6C90">
          <w:rPr>
            <w:rStyle w:val="Hipersaitas"/>
            <w:rFonts w:ascii="Georgia" w:hAnsi="Georgia"/>
            <w:noProof/>
            <w:sz w:val="18"/>
            <w:szCs w:val="18"/>
            <w:lang w:val="lt-LT"/>
          </w:rPr>
          <w:t>Lentelė 92. Finansinių priemonių įgyvendinimo finansinė pažanga</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178</w:t>
        </w:r>
        <w:r w:rsidR="00111EB2" w:rsidRPr="00B136E3">
          <w:rPr>
            <w:rFonts w:ascii="Georgia" w:hAnsi="Georgia"/>
            <w:noProof/>
            <w:webHidden/>
            <w:sz w:val="18"/>
            <w:szCs w:val="18"/>
          </w:rPr>
          <w:fldChar w:fldCharType="end"/>
        </w:r>
      </w:hyperlink>
    </w:p>
    <w:p w14:paraId="31AD4F71" w14:textId="2B1F1AAF" w:rsidR="00111EB2" w:rsidRPr="00B136E3" w:rsidRDefault="00133798">
      <w:pPr>
        <w:pStyle w:val="Iliustracijsraas"/>
        <w:tabs>
          <w:tab w:val="right" w:leader="dot" w:pos="9016"/>
        </w:tabs>
        <w:rPr>
          <w:rFonts w:ascii="Georgia" w:eastAsiaTheme="minorEastAsia" w:hAnsi="Georgia"/>
          <w:noProof/>
          <w:sz w:val="18"/>
          <w:szCs w:val="18"/>
        </w:rPr>
      </w:pPr>
      <w:hyperlink w:anchor="_Toc507939215" w:history="1">
        <w:r w:rsidR="00111EB2" w:rsidRPr="006C6C90">
          <w:rPr>
            <w:rStyle w:val="Hipersaitas"/>
            <w:rFonts w:ascii="Georgia" w:hAnsi="Georgia"/>
            <w:noProof/>
            <w:sz w:val="18"/>
            <w:szCs w:val="18"/>
            <w:lang w:val="lt-LT"/>
          </w:rPr>
          <w:t>Lentelė 93</w:t>
        </w:r>
        <w:r w:rsidR="00111EB2" w:rsidRPr="006C6C90">
          <w:rPr>
            <w:rStyle w:val="Hipersaitas"/>
            <w:rFonts w:ascii="Georgia" w:hAnsi="Georgia"/>
            <w:iCs/>
            <w:noProof/>
            <w:sz w:val="18"/>
            <w:szCs w:val="18"/>
            <w:lang w:val="lt-LT"/>
          </w:rPr>
          <w:t xml:space="preserve">. </w:t>
        </w:r>
        <w:r w:rsidR="00111EB2" w:rsidRPr="006C6C90">
          <w:rPr>
            <w:rStyle w:val="Hipersaitas"/>
            <w:rFonts w:ascii="Georgia" w:hAnsi="Georgia"/>
            <w:noProof/>
            <w:sz w:val="18"/>
            <w:szCs w:val="18"/>
            <w:lang w:val="lt-LT"/>
          </w:rPr>
          <w:t>Energijos efektyvumo/atsinaujinančių energijos išteklių projektus finansuojančios finansinės priemonės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179</w:t>
        </w:r>
        <w:r w:rsidR="00111EB2" w:rsidRPr="00B136E3">
          <w:rPr>
            <w:rFonts w:ascii="Georgia" w:hAnsi="Georgia"/>
            <w:noProof/>
            <w:webHidden/>
            <w:sz w:val="18"/>
            <w:szCs w:val="18"/>
          </w:rPr>
          <w:fldChar w:fldCharType="end"/>
        </w:r>
      </w:hyperlink>
    </w:p>
    <w:p w14:paraId="60CD796A" w14:textId="793D2D87" w:rsidR="00111EB2" w:rsidRPr="00B136E3" w:rsidRDefault="00133798">
      <w:pPr>
        <w:pStyle w:val="Iliustracijsraas"/>
        <w:tabs>
          <w:tab w:val="right" w:leader="dot" w:pos="9016"/>
        </w:tabs>
        <w:rPr>
          <w:rFonts w:ascii="Georgia" w:eastAsiaTheme="minorEastAsia" w:hAnsi="Georgia"/>
          <w:noProof/>
          <w:sz w:val="18"/>
          <w:szCs w:val="18"/>
        </w:rPr>
      </w:pPr>
      <w:hyperlink w:anchor="_Toc507939216" w:history="1">
        <w:r w:rsidR="00111EB2" w:rsidRPr="006C6C90">
          <w:rPr>
            <w:rStyle w:val="Hipersaitas"/>
            <w:rFonts w:ascii="Georgia" w:hAnsi="Georgia"/>
            <w:noProof/>
            <w:sz w:val="18"/>
            <w:szCs w:val="18"/>
            <w:lang w:val="lt-LT"/>
          </w:rPr>
          <w:t>Lentelė 94</w:t>
        </w:r>
        <w:r w:rsidR="00111EB2" w:rsidRPr="006C6C90">
          <w:rPr>
            <w:rStyle w:val="Hipersaitas"/>
            <w:rFonts w:ascii="Georgia" w:hAnsi="Georgia"/>
            <w:iCs/>
            <w:noProof/>
            <w:sz w:val="18"/>
            <w:szCs w:val="18"/>
            <w:lang w:val="lt-LT"/>
          </w:rPr>
          <w:t xml:space="preserve">. </w:t>
        </w:r>
        <w:r w:rsidR="00111EB2" w:rsidRPr="006C6C90">
          <w:rPr>
            <w:rStyle w:val="Hipersaitas"/>
            <w:rFonts w:ascii="Georgia" w:hAnsi="Georgia"/>
            <w:noProof/>
            <w:sz w:val="18"/>
            <w:szCs w:val="18"/>
            <w:lang w:val="lt-LT"/>
          </w:rPr>
          <w:t>Energijos efektyvumo ir atsinaujinančių energijos išteklių projektų finansavimas pagal siūlomų produktų tipus ir išmokėtas lėšas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180</w:t>
        </w:r>
        <w:r w:rsidR="00111EB2" w:rsidRPr="00B136E3">
          <w:rPr>
            <w:rFonts w:ascii="Georgia" w:hAnsi="Georgia"/>
            <w:noProof/>
            <w:webHidden/>
            <w:sz w:val="18"/>
            <w:szCs w:val="18"/>
          </w:rPr>
          <w:fldChar w:fldCharType="end"/>
        </w:r>
      </w:hyperlink>
    </w:p>
    <w:p w14:paraId="45B7CFC5" w14:textId="5051E77B" w:rsidR="00111EB2" w:rsidRPr="00B136E3" w:rsidRDefault="00133798">
      <w:pPr>
        <w:pStyle w:val="Iliustracijsraas"/>
        <w:tabs>
          <w:tab w:val="right" w:leader="dot" w:pos="9016"/>
        </w:tabs>
        <w:rPr>
          <w:rFonts w:ascii="Georgia" w:eastAsiaTheme="minorEastAsia" w:hAnsi="Georgia"/>
          <w:noProof/>
          <w:sz w:val="18"/>
          <w:szCs w:val="18"/>
        </w:rPr>
      </w:pPr>
      <w:hyperlink w:anchor="_Toc507939217" w:history="1">
        <w:r w:rsidR="00111EB2" w:rsidRPr="006C6C90">
          <w:rPr>
            <w:rStyle w:val="Hipersaitas"/>
            <w:rFonts w:ascii="Georgia" w:hAnsi="Georgia"/>
            <w:noProof/>
            <w:sz w:val="18"/>
            <w:szCs w:val="18"/>
            <w:lang w:val="lt-LT"/>
          </w:rPr>
          <w:t>Lentelė 95. JESSICA fondų fondo tęsinio alternatyvos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195</w:t>
        </w:r>
        <w:r w:rsidR="00111EB2" w:rsidRPr="00B136E3">
          <w:rPr>
            <w:rFonts w:ascii="Georgia" w:hAnsi="Georgia"/>
            <w:noProof/>
            <w:webHidden/>
            <w:sz w:val="18"/>
            <w:szCs w:val="18"/>
          </w:rPr>
          <w:fldChar w:fldCharType="end"/>
        </w:r>
      </w:hyperlink>
    </w:p>
    <w:p w14:paraId="37AA8080" w14:textId="7DA52F37" w:rsidR="00111EB2" w:rsidRPr="00B136E3" w:rsidRDefault="00133798">
      <w:pPr>
        <w:pStyle w:val="Iliustracijsraas"/>
        <w:tabs>
          <w:tab w:val="right" w:leader="dot" w:pos="9016"/>
        </w:tabs>
        <w:rPr>
          <w:rFonts w:ascii="Georgia" w:eastAsiaTheme="minorEastAsia" w:hAnsi="Georgia"/>
          <w:noProof/>
          <w:sz w:val="18"/>
          <w:szCs w:val="18"/>
        </w:rPr>
      </w:pPr>
      <w:hyperlink w:anchor="_Toc507939218" w:history="1">
        <w:r w:rsidR="00111EB2" w:rsidRPr="006C6C90">
          <w:rPr>
            <w:rStyle w:val="Hipersaitas"/>
            <w:rFonts w:ascii="Georgia" w:hAnsi="Georgia"/>
            <w:noProof/>
            <w:sz w:val="18"/>
            <w:szCs w:val="18"/>
            <w:lang w:val="lt-LT"/>
          </w:rPr>
          <w:t>Lentelė 96. Naujos paskolų priemonės daugiabučių modernizavimui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197</w:t>
        </w:r>
        <w:r w:rsidR="00111EB2" w:rsidRPr="00B136E3">
          <w:rPr>
            <w:rFonts w:ascii="Georgia" w:hAnsi="Georgia"/>
            <w:noProof/>
            <w:webHidden/>
            <w:sz w:val="18"/>
            <w:szCs w:val="18"/>
          </w:rPr>
          <w:fldChar w:fldCharType="end"/>
        </w:r>
      </w:hyperlink>
    </w:p>
    <w:p w14:paraId="2310705D" w14:textId="442ACC68" w:rsidR="00111EB2" w:rsidRPr="00B136E3" w:rsidRDefault="00133798">
      <w:pPr>
        <w:pStyle w:val="Iliustracijsraas"/>
        <w:tabs>
          <w:tab w:val="right" w:leader="dot" w:pos="9016"/>
        </w:tabs>
        <w:rPr>
          <w:rFonts w:ascii="Georgia" w:eastAsiaTheme="minorEastAsia" w:hAnsi="Georgia"/>
          <w:noProof/>
          <w:sz w:val="18"/>
          <w:szCs w:val="18"/>
        </w:rPr>
      </w:pPr>
      <w:hyperlink w:anchor="_Toc507939219" w:history="1">
        <w:r w:rsidR="00111EB2" w:rsidRPr="006C6C90">
          <w:rPr>
            <w:rStyle w:val="Hipersaitas"/>
            <w:rFonts w:ascii="Georgia" w:hAnsi="Georgia"/>
            <w:noProof/>
            <w:sz w:val="18"/>
            <w:szCs w:val="18"/>
            <w:lang w:val="lt-LT"/>
          </w:rPr>
          <w:t>Lentelė 97. Garantijų priemonės daugiabučių modernizavimui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_Toc507939219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199</w:t>
        </w:r>
        <w:r w:rsidR="00111EB2" w:rsidRPr="00B136E3">
          <w:rPr>
            <w:rFonts w:ascii="Georgia" w:hAnsi="Georgia"/>
            <w:noProof/>
            <w:webHidden/>
            <w:sz w:val="18"/>
            <w:szCs w:val="18"/>
          </w:rPr>
          <w:fldChar w:fldCharType="end"/>
        </w:r>
      </w:hyperlink>
    </w:p>
    <w:p w14:paraId="48B36CA9" w14:textId="00FDAF5C" w:rsidR="00111EB2" w:rsidRPr="00B136E3" w:rsidRDefault="00133798">
      <w:pPr>
        <w:pStyle w:val="Iliustracijsraas"/>
        <w:tabs>
          <w:tab w:val="right" w:leader="dot" w:pos="9016"/>
        </w:tabs>
        <w:rPr>
          <w:rFonts w:ascii="Georgia" w:eastAsiaTheme="minorEastAsia" w:hAnsi="Georgia"/>
          <w:noProof/>
          <w:sz w:val="18"/>
          <w:szCs w:val="18"/>
        </w:rPr>
      </w:pPr>
      <w:hyperlink w:anchor="_Toc507939220" w:history="1">
        <w:r w:rsidR="00111EB2" w:rsidRPr="006C6C90">
          <w:rPr>
            <w:rStyle w:val="Hipersaitas"/>
            <w:rFonts w:ascii="Georgia" w:hAnsi="Georgia"/>
            <w:noProof/>
            <w:sz w:val="18"/>
            <w:szCs w:val="18"/>
            <w:lang w:val="lt-LT"/>
          </w:rPr>
          <w:t>Lentelė 98. Juridinio asmens statusą turinčio fondo alternatyvos daugiabučių modernizavimui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200</w:t>
        </w:r>
        <w:r w:rsidR="00111EB2" w:rsidRPr="00B136E3">
          <w:rPr>
            <w:rFonts w:ascii="Georgia" w:hAnsi="Georgia"/>
            <w:noProof/>
            <w:webHidden/>
            <w:sz w:val="18"/>
            <w:szCs w:val="18"/>
          </w:rPr>
          <w:fldChar w:fldCharType="end"/>
        </w:r>
      </w:hyperlink>
    </w:p>
    <w:p w14:paraId="265C772C" w14:textId="01983EC3" w:rsidR="00111EB2" w:rsidRPr="00B136E3" w:rsidRDefault="00133798">
      <w:pPr>
        <w:pStyle w:val="Iliustracijsraas"/>
        <w:tabs>
          <w:tab w:val="right" w:leader="dot" w:pos="9016"/>
        </w:tabs>
        <w:rPr>
          <w:rFonts w:ascii="Georgia" w:eastAsiaTheme="minorEastAsia" w:hAnsi="Georgia"/>
          <w:noProof/>
          <w:sz w:val="18"/>
          <w:szCs w:val="18"/>
        </w:rPr>
      </w:pPr>
      <w:hyperlink w:anchor="_Toc507939221" w:history="1">
        <w:r w:rsidR="00111EB2" w:rsidRPr="006C6C90">
          <w:rPr>
            <w:rStyle w:val="Hipersaitas"/>
            <w:rFonts w:ascii="Georgia" w:hAnsi="Georgia"/>
            <w:noProof/>
            <w:sz w:val="18"/>
            <w:szCs w:val="18"/>
            <w:lang w:val="lt-LT"/>
          </w:rPr>
          <w:t>Lentelė 99. Tikėtini finansinės priemonės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202</w:t>
        </w:r>
        <w:r w:rsidR="00111EB2" w:rsidRPr="00B136E3">
          <w:rPr>
            <w:rFonts w:ascii="Georgia" w:hAnsi="Georgia"/>
            <w:noProof/>
            <w:webHidden/>
            <w:sz w:val="18"/>
            <w:szCs w:val="18"/>
          </w:rPr>
          <w:fldChar w:fldCharType="end"/>
        </w:r>
      </w:hyperlink>
    </w:p>
    <w:p w14:paraId="44549C6A" w14:textId="1A7DD11B" w:rsidR="00111EB2" w:rsidRPr="00B136E3" w:rsidRDefault="00133798">
      <w:pPr>
        <w:pStyle w:val="Iliustracijsraas"/>
        <w:tabs>
          <w:tab w:val="right" w:leader="dot" w:pos="9016"/>
        </w:tabs>
        <w:rPr>
          <w:rFonts w:ascii="Georgia" w:eastAsiaTheme="minorEastAsia" w:hAnsi="Georgia"/>
          <w:noProof/>
          <w:sz w:val="18"/>
          <w:szCs w:val="18"/>
        </w:rPr>
      </w:pPr>
      <w:hyperlink w:anchor="_Toc507939222" w:history="1">
        <w:r w:rsidR="00111EB2" w:rsidRPr="006C6C90">
          <w:rPr>
            <w:rStyle w:val="Hipersaitas"/>
            <w:rFonts w:ascii="Georgia" w:hAnsi="Georgia"/>
            <w:noProof/>
            <w:sz w:val="18"/>
            <w:szCs w:val="18"/>
            <w:lang w:val="lt-LT"/>
          </w:rPr>
          <w:t>Lentelė 100. Tikėtini daugiabučių renovacijos</w:t>
        </w:r>
        <w:r w:rsidR="00111EB2" w:rsidRPr="006C6C90">
          <w:rPr>
            <w:rStyle w:val="Hipersaitas"/>
            <w:rFonts w:ascii="Georgia" w:eastAsia="Times New Roman" w:hAnsi="Georgia"/>
            <w:noProof/>
            <w:sz w:val="18"/>
            <w:szCs w:val="18"/>
            <w:lang w:val="lt-LT" w:eastAsia="lt-LT"/>
          </w:rPr>
          <w:t xml:space="preserve"> </w:t>
        </w:r>
        <w:r w:rsidR="00111EB2" w:rsidRPr="006C6C90">
          <w:rPr>
            <w:rStyle w:val="Hipersaitas"/>
            <w:rFonts w:ascii="Georgia" w:hAnsi="Georgia"/>
            <w:noProof/>
            <w:sz w:val="18"/>
            <w:szCs w:val="18"/>
            <w:lang w:val="lt-LT"/>
          </w:rPr>
          <w:t>energijos sutaupymo ir taršos mažinimo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203</w:t>
        </w:r>
        <w:r w:rsidR="00111EB2" w:rsidRPr="00B136E3">
          <w:rPr>
            <w:rFonts w:ascii="Georgia" w:hAnsi="Georgia"/>
            <w:noProof/>
            <w:webHidden/>
            <w:sz w:val="18"/>
            <w:szCs w:val="18"/>
          </w:rPr>
          <w:fldChar w:fldCharType="end"/>
        </w:r>
      </w:hyperlink>
    </w:p>
    <w:p w14:paraId="7D0168A5" w14:textId="0E382031" w:rsidR="00111EB2" w:rsidRPr="00B136E3" w:rsidRDefault="00133798">
      <w:pPr>
        <w:pStyle w:val="Iliustracijsraas"/>
        <w:tabs>
          <w:tab w:val="right" w:leader="dot" w:pos="9016"/>
        </w:tabs>
        <w:rPr>
          <w:rFonts w:ascii="Georgia" w:eastAsiaTheme="minorEastAsia" w:hAnsi="Georgia"/>
          <w:noProof/>
          <w:sz w:val="18"/>
          <w:szCs w:val="18"/>
        </w:rPr>
      </w:pPr>
      <w:hyperlink w:anchor="_Toc507939223" w:history="1">
        <w:r w:rsidR="00111EB2" w:rsidRPr="006C6C90">
          <w:rPr>
            <w:rStyle w:val="Hipersaitas"/>
            <w:rFonts w:ascii="Georgia" w:hAnsi="Georgia"/>
            <w:noProof/>
            <w:sz w:val="18"/>
            <w:szCs w:val="18"/>
            <w:lang w:val="lt-LT"/>
          </w:rPr>
          <w:t>Lentelė 101. Pirmosios fondo kūrimo alternatyvos viešiesiems pastatams ir gatvių apšvietimui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215</w:t>
        </w:r>
        <w:r w:rsidR="00111EB2" w:rsidRPr="00B136E3">
          <w:rPr>
            <w:rFonts w:ascii="Georgia" w:hAnsi="Georgia"/>
            <w:noProof/>
            <w:webHidden/>
            <w:sz w:val="18"/>
            <w:szCs w:val="18"/>
          </w:rPr>
          <w:fldChar w:fldCharType="end"/>
        </w:r>
      </w:hyperlink>
    </w:p>
    <w:p w14:paraId="3A186F7D" w14:textId="65145011" w:rsidR="00111EB2" w:rsidRPr="00B136E3" w:rsidRDefault="00133798">
      <w:pPr>
        <w:pStyle w:val="Iliustracijsraas"/>
        <w:tabs>
          <w:tab w:val="right" w:leader="dot" w:pos="9016"/>
        </w:tabs>
        <w:rPr>
          <w:rFonts w:ascii="Georgia" w:eastAsiaTheme="minorEastAsia" w:hAnsi="Georgia"/>
          <w:noProof/>
          <w:sz w:val="18"/>
          <w:szCs w:val="18"/>
        </w:rPr>
      </w:pPr>
      <w:hyperlink w:anchor="_Toc507939224" w:history="1">
        <w:r w:rsidR="00111EB2" w:rsidRPr="006C6C90">
          <w:rPr>
            <w:rStyle w:val="Hipersaitas"/>
            <w:rFonts w:ascii="Georgia" w:hAnsi="Georgia"/>
            <w:noProof/>
            <w:sz w:val="18"/>
            <w:szCs w:val="18"/>
            <w:lang w:val="lt-LT"/>
          </w:rPr>
          <w:t>Lentelė 102. Antrosios fondo kūrimo alternatyvos viešiesiems pastatams ir gatvių apšvietimui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216</w:t>
        </w:r>
        <w:r w:rsidR="00111EB2" w:rsidRPr="00B136E3">
          <w:rPr>
            <w:rFonts w:ascii="Georgia" w:hAnsi="Georgia"/>
            <w:noProof/>
            <w:webHidden/>
            <w:sz w:val="18"/>
            <w:szCs w:val="18"/>
          </w:rPr>
          <w:fldChar w:fldCharType="end"/>
        </w:r>
      </w:hyperlink>
    </w:p>
    <w:p w14:paraId="5679D777" w14:textId="46BAB2E1" w:rsidR="00111EB2" w:rsidRPr="00B136E3" w:rsidRDefault="00133798">
      <w:pPr>
        <w:pStyle w:val="Iliustracijsraas"/>
        <w:tabs>
          <w:tab w:val="right" w:leader="dot" w:pos="9016"/>
        </w:tabs>
        <w:rPr>
          <w:rFonts w:ascii="Georgia" w:eastAsiaTheme="minorEastAsia" w:hAnsi="Georgia"/>
          <w:noProof/>
          <w:sz w:val="18"/>
          <w:szCs w:val="18"/>
        </w:rPr>
      </w:pPr>
      <w:hyperlink w:anchor="_Toc507939225" w:history="1">
        <w:r w:rsidR="00111EB2" w:rsidRPr="006C6C90">
          <w:rPr>
            <w:rStyle w:val="Hipersaitas"/>
            <w:rFonts w:ascii="Georgia" w:hAnsi="Georgia"/>
            <w:noProof/>
            <w:sz w:val="18"/>
            <w:szCs w:val="18"/>
            <w:lang w:val="lt-LT"/>
          </w:rPr>
          <w:t>Lentelė 103. Trečiosios fondo kūrimo alternatyvos viešiesiems pastatams ir gatvių apšvietimui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217</w:t>
        </w:r>
        <w:r w:rsidR="00111EB2" w:rsidRPr="00B136E3">
          <w:rPr>
            <w:rFonts w:ascii="Georgia" w:hAnsi="Georgia"/>
            <w:noProof/>
            <w:webHidden/>
            <w:sz w:val="18"/>
            <w:szCs w:val="18"/>
          </w:rPr>
          <w:fldChar w:fldCharType="end"/>
        </w:r>
      </w:hyperlink>
    </w:p>
    <w:p w14:paraId="1B4BCDE5" w14:textId="13848C8F" w:rsidR="00111EB2" w:rsidRPr="00B136E3" w:rsidRDefault="00133798">
      <w:pPr>
        <w:pStyle w:val="Iliustracijsraas"/>
        <w:tabs>
          <w:tab w:val="right" w:leader="dot" w:pos="9016"/>
        </w:tabs>
        <w:rPr>
          <w:rFonts w:ascii="Georgia" w:eastAsiaTheme="minorEastAsia" w:hAnsi="Georgia"/>
          <w:noProof/>
          <w:sz w:val="18"/>
          <w:szCs w:val="18"/>
        </w:rPr>
      </w:pPr>
      <w:hyperlink w:anchor="_Toc507939226" w:history="1">
        <w:r w:rsidR="00111EB2" w:rsidRPr="006C6C90">
          <w:rPr>
            <w:rStyle w:val="Hipersaitas"/>
            <w:rFonts w:ascii="Georgia" w:hAnsi="Georgia"/>
            <w:noProof/>
            <w:sz w:val="18"/>
            <w:szCs w:val="18"/>
            <w:lang w:val="lt-LT"/>
          </w:rPr>
          <w:t>Lentelė 104. Tikėtini finansinės priemonės rezultatai centrinės valdžios pastatų renovacijai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_Toc507939226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219</w:t>
        </w:r>
        <w:r w:rsidR="00111EB2" w:rsidRPr="00B136E3">
          <w:rPr>
            <w:rFonts w:ascii="Georgia" w:hAnsi="Georgia"/>
            <w:noProof/>
            <w:webHidden/>
            <w:sz w:val="18"/>
            <w:szCs w:val="18"/>
          </w:rPr>
          <w:fldChar w:fldCharType="end"/>
        </w:r>
      </w:hyperlink>
    </w:p>
    <w:p w14:paraId="46267F9D" w14:textId="28F11A9E" w:rsidR="00111EB2" w:rsidRPr="00B136E3" w:rsidRDefault="00133798">
      <w:pPr>
        <w:pStyle w:val="Iliustracijsraas"/>
        <w:tabs>
          <w:tab w:val="right" w:leader="dot" w:pos="9016"/>
        </w:tabs>
        <w:rPr>
          <w:rFonts w:ascii="Georgia" w:eastAsiaTheme="minorEastAsia" w:hAnsi="Georgia"/>
          <w:noProof/>
          <w:sz w:val="18"/>
          <w:szCs w:val="18"/>
        </w:rPr>
      </w:pPr>
      <w:hyperlink w:anchor="_Toc507939227" w:history="1">
        <w:r w:rsidR="00111EB2" w:rsidRPr="006C6C90">
          <w:rPr>
            <w:rStyle w:val="Hipersaitas"/>
            <w:rFonts w:ascii="Georgia" w:hAnsi="Georgia"/>
            <w:noProof/>
            <w:sz w:val="18"/>
            <w:szCs w:val="18"/>
            <w:lang w:val="lt-LT"/>
          </w:rPr>
          <w:t>Lentelė 105. Tikėtini finansinės priemonės rezultatai gatvių apšvietimui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_Toc507939227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219</w:t>
        </w:r>
        <w:r w:rsidR="00111EB2" w:rsidRPr="00B136E3">
          <w:rPr>
            <w:rFonts w:ascii="Georgia" w:hAnsi="Georgia"/>
            <w:noProof/>
            <w:webHidden/>
            <w:sz w:val="18"/>
            <w:szCs w:val="18"/>
          </w:rPr>
          <w:fldChar w:fldCharType="end"/>
        </w:r>
      </w:hyperlink>
    </w:p>
    <w:p w14:paraId="4DFA976E" w14:textId="6C7D4681" w:rsidR="00111EB2" w:rsidRPr="00B136E3" w:rsidRDefault="00133798">
      <w:pPr>
        <w:pStyle w:val="Iliustracijsraas"/>
        <w:tabs>
          <w:tab w:val="right" w:leader="dot" w:pos="9016"/>
        </w:tabs>
        <w:rPr>
          <w:rFonts w:ascii="Georgia" w:eastAsiaTheme="minorEastAsia" w:hAnsi="Georgia"/>
          <w:noProof/>
          <w:sz w:val="18"/>
          <w:szCs w:val="18"/>
        </w:rPr>
      </w:pPr>
      <w:hyperlink w:anchor="_Toc507939228" w:history="1">
        <w:r w:rsidR="00111EB2" w:rsidRPr="006C6C90">
          <w:rPr>
            <w:rStyle w:val="Hipersaitas"/>
            <w:rFonts w:ascii="Georgia" w:hAnsi="Georgia"/>
            <w:noProof/>
            <w:sz w:val="18"/>
            <w:szCs w:val="18"/>
            <w:lang w:val="lt-LT"/>
          </w:rPr>
          <w:t>Lentelė 106. Tikėtini centrinės valdžios pastatų renovacijos energijos sutaupymo ir taršos mažinimo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_Toc507939228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221</w:t>
        </w:r>
        <w:r w:rsidR="00111EB2" w:rsidRPr="00B136E3">
          <w:rPr>
            <w:rFonts w:ascii="Georgia" w:hAnsi="Georgia"/>
            <w:noProof/>
            <w:webHidden/>
            <w:sz w:val="18"/>
            <w:szCs w:val="18"/>
          </w:rPr>
          <w:fldChar w:fldCharType="end"/>
        </w:r>
      </w:hyperlink>
    </w:p>
    <w:p w14:paraId="2190384C" w14:textId="2753B67A" w:rsidR="00111EB2" w:rsidRPr="00B136E3" w:rsidRDefault="00133798">
      <w:pPr>
        <w:pStyle w:val="Iliustracijsraas"/>
        <w:tabs>
          <w:tab w:val="right" w:leader="dot" w:pos="9016"/>
        </w:tabs>
        <w:rPr>
          <w:rFonts w:ascii="Georgia" w:eastAsiaTheme="minorEastAsia" w:hAnsi="Georgia"/>
          <w:noProof/>
          <w:sz w:val="18"/>
          <w:szCs w:val="18"/>
        </w:rPr>
      </w:pPr>
      <w:hyperlink w:anchor="_Toc507939229" w:history="1">
        <w:r w:rsidR="00111EB2" w:rsidRPr="006C6C90">
          <w:rPr>
            <w:rStyle w:val="Hipersaitas"/>
            <w:rFonts w:ascii="Georgia" w:hAnsi="Georgia"/>
            <w:noProof/>
            <w:sz w:val="18"/>
            <w:szCs w:val="18"/>
            <w:lang w:val="lt-LT"/>
          </w:rPr>
          <w:t xml:space="preserve">Lentelė 107. Tikėtini </w:t>
        </w:r>
        <w:r w:rsidR="00111EB2" w:rsidRPr="006C6C90">
          <w:rPr>
            <w:rStyle w:val="Hipersaitas"/>
            <w:rFonts w:ascii="Georgia" w:eastAsia="Times New Roman" w:hAnsi="Georgia"/>
            <w:noProof/>
            <w:sz w:val="18"/>
            <w:szCs w:val="18"/>
            <w:lang w:val="lt-LT" w:eastAsia="lt-LT"/>
          </w:rPr>
          <w:t xml:space="preserve">gatvių apšvietimo modernizavimo </w:t>
        </w:r>
        <w:r w:rsidR="00111EB2" w:rsidRPr="006C6C90">
          <w:rPr>
            <w:rStyle w:val="Hipersaitas"/>
            <w:rFonts w:ascii="Georgia" w:hAnsi="Georgia"/>
            <w:noProof/>
            <w:sz w:val="18"/>
            <w:szCs w:val="18"/>
            <w:lang w:val="lt-LT"/>
          </w:rPr>
          <w:t>energijos sutaupymo ir taršos mažinimo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_Toc507939229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221</w:t>
        </w:r>
        <w:r w:rsidR="00111EB2" w:rsidRPr="00B136E3">
          <w:rPr>
            <w:rFonts w:ascii="Georgia" w:hAnsi="Georgia"/>
            <w:noProof/>
            <w:webHidden/>
            <w:sz w:val="18"/>
            <w:szCs w:val="18"/>
          </w:rPr>
          <w:fldChar w:fldCharType="end"/>
        </w:r>
      </w:hyperlink>
    </w:p>
    <w:p w14:paraId="34CC6D37" w14:textId="0969FA65" w:rsidR="00111EB2" w:rsidRPr="00B136E3" w:rsidRDefault="00133798">
      <w:pPr>
        <w:pStyle w:val="Iliustracijsraas"/>
        <w:tabs>
          <w:tab w:val="right" w:leader="dot" w:pos="9016"/>
        </w:tabs>
        <w:rPr>
          <w:rFonts w:ascii="Georgia" w:eastAsiaTheme="minorEastAsia" w:hAnsi="Georgia"/>
          <w:noProof/>
          <w:sz w:val="18"/>
          <w:szCs w:val="18"/>
        </w:rPr>
      </w:pPr>
      <w:hyperlink w:anchor="_Toc507939230" w:history="1">
        <w:r w:rsidR="00111EB2" w:rsidRPr="006C6C90">
          <w:rPr>
            <w:rStyle w:val="Hipersaitas"/>
            <w:rFonts w:ascii="Georgia" w:hAnsi="Georgia"/>
            <w:noProof/>
            <w:sz w:val="18"/>
            <w:szCs w:val="18"/>
            <w:lang w:val="lt-LT"/>
          </w:rPr>
          <w:t>Lentelė 108. Rekomenduojamų teisės aktų pakeitimų sąrašas savivaldybių viešųjų pastatų modernizavimo finansinės priemonės įgyvendinimui.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_Toc507939230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224</w:t>
        </w:r>
        <w:r w:rsidR="00111EB2" w:rsidRPr="00B136E3">
          <w:rPr>
            <w:rFonts w:ascii="Georgia" w:hAnsi="Georgia"/>
            <w:noProof/>
            <w:webHidden/>
            <w:sz w:val="18"/>
            <w:szCs w:val="18"/>
          </w:rPr>
          <w:fldChar w:fldCharType="end"/>
        </w:r>
      </w:hyperlink>
    </w:p>
    <w:p w14:paraId="218693E6" w14:textId="3C42BC3C" w:rsidR="00111EB2" w:rsidRPr="00B136E3" w:rsidRDefault="00133798">
      <w:pPr>
        <w:pStyle w:val="Iliustracijsraas"/>
        <w:tabs>
          <w:tab w:val="right" w:leader="dot" w:pos="9016"/>
        </w:tabs>
        <w:rPr>
          <w:rFonts w:ascii="Georgia" w:eastAsiaTheme="minorEastAsia" w:hAnsi="Georgia"/>
          <w:noProof/>
          <w:sz w:val="18"/>
          <w:szCs w:val="18"/>
        </w:rPr>
      </w:pPr>
      <w:hyperlink w:anchor="_Toc507939231" w:history="1">
        <w:r w:rsidR="00111EB2" w:rsidRPr="006C6C90">
          <w:rPr>
            <w:rStyle w:val="Hipersaitas"/>
            <w:rFonts w:ascii="Georgia" w:hAnsi="Georgia"/>
            <w:noProof/>
            <w:sz w:val="18"/>
            <w:szCs w:val="18"/>
            <w:lang w:val="lt-LT"/>
          </w:rPr>
          <w:t>Lentelė 109. Pirmosios finansinės priemonės kūrimo ir valdymo alternatyvos viešiesiems pastatams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_Toc507939231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232</w:t>
        </w:r>
        <w:r w:rsidR="00111EB2" w:rsidRPr="00B136E3">
          <w:rPr>
            <w:rFonts w:ascii="Georgia" w:hAnsi="Georgia"/>
            <w:noProof/>
            <w:webHidden/>
            <w:sz w:val="18"/>
            <w:szCs w:val="18"/>
          </w:rPr>
          <w:fldChar w:fldCharType="end"/>
        </w:r>
      </w:hyperlink>
    </w:p>
    <w:p w14:paraId="42E4ABE1" w14:textId="098911E2" w:rsidR="00111EB2" w:rsidRPr="00B136E3" w:rsidRDefault="00133798">
      <w:pPr>
        <w:pStyle w:val="Iliustracijsraas"/>
        <w:tabs>
          <w:tab w:val="right" w:leader="dot" w:pos="9016"/>
        </w:tabs>
        <w:rPr>
          <w:rFonts w:ascii="Georgia" w:eastAsiaTheme="minorEastAsia" w:hAnsi="Georgia"/>
          <w:noProof/>
          <w:sz w:val="18"/>
          <w:szCs w:val="18"/>
        </w:rPr>
      </w:pPr>
      <w:hyperlink w:anchor="_Toc507939232" w:history="1">
        <w:r w:rsidR="00111EB2" w:rsidRPr="006C6C90">
          <w:rPr>
            <w:rStyle w:val="Hipersaitas"/>
            <w:rFonts w:ascii="Georgia" w:hAnsi="Georgia"/>
            <w:noProof/>
            <w:sz w:val="18"/>
            <w:szCs w:val="18"/>
            <w:lang w:val="lt-LT"/>
          </w:rPr>
          <w:t>Lentelė 110. Antrosios fondo kūrimo alternatyvos savivaldybių viešiesiems pastatams modernizuoti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_Toc507939232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233</w:t>
        </w:r>
        <w:r w:rsidR="00111EB2" w:rsidRPr="00B136E3">
          <w:rPr>
            <w:rFonts w:ascii="Georgia" w:hAnsi="Georgia"/>
            <w:noProof/>
            <w:webHidden/>
            <w:sz w:val="18"/>
            <w:szCs w:val="18"/>
          </w:rPr>
          <w:fldChar w:fldCharType="end"/>
        </w:r>
      </w:hyperlink>
    </w:p>
    <w:p w14:paraId="59A2C1F6" w14:textId="3FC7FC12" w:rsidR="00111EB2" w:rsidRPr="00B136E3" w:rsidRDefault="00133798">
      <w:pPr>
        <w:pStyle w:val="Iliustracijsraas"/>
        <w:tabs>
          <w:tab w:val="right" w:leader="dot" w:pos="9016"/>
        </w:tabs>
        <w:rPr>
          <w:rFonts w:ascii="Georgia" w:eastAsiaTheme="minorEastAsia" w:hAnsi="Georgia"/>
          <w:noProof/>
          <w:sz w:val="18"/>
          <w:szCs w:val="18"/>
        </w:rPr>
      </w:pPr>
      <w:hyperlink w:anchor="_Toc507939233" w:history="1">
        <w:r w:rsidR="00111EB2" w:rsidRPr="006C6C90">
          <w:rPr>
            <w:rStyle w:val="Hipersaitas"/>
            <w:rFonts w:ascii="Georgia" w:hAnsi="Georgia"/>
            <w:noProof/>
            <w:sz w:val="18"/>
            <w:szCs w:val="18"/>
            <w:lang w:val="lt-LT"/>
          </w:rPr>
          <w:t>Lentelė 111. Trečiosios fondo kūrimo alternatyvos savivaldybių viešiesiems pastatams modernizuoti privalumų ir trūkumų palyginimas</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_Toc507939233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235</w:t>
        </w:r>
        <w:r w:rsidR="00111EB2" w:rsidRPr="00B136E3">
          <w:rPr>
            <w:rFonts w:ascii="Georgia" w:hAnsi="Georgia"/>
            <w:noProof/>
            <w:webHidden/>
            <w:sz w:val="18"/>
            <w:szCs w:val="18"/>
          </w:rPr>
          <w:fldChar w:fldCharType="end"/>
        </w:r>
      </w:hyperlink>
    </w:p>
    <w:p w14:paraId="53F7D16F" w14:textId="7A60C101" w:rsidR="00111EB2" w:rsidRPr="00B136E3" w:rsidRDefault="00133798">
      <w:pPr>
        <w:pStyle w:val="Iliustracijsraas"/>
        <w:tabs>
          <w:tab w:val="right" w:leader="dot" w:pos="9016"/>
        </w:tabs>
        <w:rPr>
          <w:rFonts w:ascii="Georgia" w:eastAsiaTheme="minorEastAsia" w:hAnsi="Georgia"/>
          <w:noProof/>
          <w:sz w:val="18"/>
          <w:szCs w:val="18"/>
        </w:rPr>
      </w:pPr>
      <w:hyperlink w:anchor="_Toc507939234" w:history="1">
        <w:r w:rsidR="00111EB2" w:rsidRPr="006C6C90">
          <w:rPr>
            <w:rStyle w:val="Hipersaitas"/>
            <w:rFonts w:ascii="Georgia" w:hAnsi="Georgia"/>
            <w:noProof/>
            <w:sz w:val="18"/>
            <w:szCs w:val="18"/>
            <w:lang w:val="lt-LT"/>
          </w:rPr>
          <w:t>Lentelė 112. Tikėtini finansinės priemonės rezultatai savivaldybių viešųjų pastatų modernizavimui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_Toc507939234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236</w:t>
        </w:r>
        <w:r w:rsidR="00111EB2" w:rsidRPr="00B136E3">
          <w:rPr>
            <w:rFonts w:ascii="Georgia" w:hAnsi="Georgia"/>
            <w:noProof/>
            <w:webHidden/>
            <w:sz w:val="18"/>
            <w:szCs w:val="18"/>
          </w:rPr>
          <w:fldChar w:fldCharType="end"/>
        </w:r>
      </w:hyperlink>
    </w:p>
    <w:p w14:paraId="652A6BB5" w14:textId="64473756" w:rsidR="00111EB2" w:rsidRPr="00F91954" w:rsidRDefault="00133798">
      <w:pPr>
        <w:pStyle w:val="Iliustracijsraas"/>
        <w:tabs>
          <w:tab w:val="right" w:leader="dot" w:pos="9016"/>
        </w:tabs>
        <w:rPr>
          <w:rFonts w:ascii="Georgia" w:eastAsiaTheme="minorEastAsia" w:hAnsi="Georgia"/>
          <w:noProof/>
          <w:sz w:val="18"/>
          <w:szCs w:val="18"/>
        </w:rPr>
      </w:pPr>
      <w:hyperlink w:anchor="_Toc507939235" w:history="1">
        <w:r w:rsidR="00111EB2" w:rsidRPr="006C6C90">
          <w:rPr>
            <w:rStyle w:val="Hipersaitas"/>
            <w:rFonts w:ascii="Georgia" w:hAnsi="Georgia"/>
            <w:noProof/>
            <w:sz w:val="18"/>
            <w:szCs w:val="18"/>
            <w:lang w:val="lt-LT"/>
          </w:rPr>
          <w:t xml:space="preserve">Lentelė 113. Tikėtini </w:t>
        </w:r>
        <w:r w:rsidR="00111EB2" w:rsidRPr="006C6C90">
          <w:rPr>
            <w:rStyle w:val="Hipersaitas"/>
            <w:rFonts w:ascii="Georgia" w:eastAsia="Times New Roman" w:hAnsi="Georgia"/>
            <w:noProof/>
            <w:sz w:val="18"/>
            <w:szCs w:val="18"/>
            <w:lang w:val="lt-LT" w:eastAsia="lt-LT"/>
          </w:rPr>
          <w:t xml:space="preserve">savivaldybių pastatų modernizacijos </w:t>
        </w:r>
        <w:r w:rsidR="00111EB2" w:rsidRPr="006C6C90">
          <w:rPr>
            <w:rStyle w:val="Hipersaitas"/>
            <w:rFonts w:ascii="Georgia" w:hAnsi="Georgia"/>
            <w:noProof/>
            <w:sz w:val="18"/>
            <w:szCs w:val="18"/>
            <w:lang w:val="lt-LT"/>
          </w:rPr>
          <w:t>energijos sutaupymo ir taršos mažinimo rezultatai</w:t>
        </w:r>
        <w:r w:rsidR="00111EB2" w:rsidRPr="00B136E3">
          <w:rPr>
            <w:rFonts w:ascii="Georgia" w:hAnsi="Georgia"/>
            <w:noProof/>
            <w:webHidden/>
            <w:sz w:val="18"/>
            <w:szCs w:val="18"/>
          </w:rPr>
          <w:tab/>
        </w:r>
        <w:r w:rsidR="00111EB2" w:rsidRPr="00B136E3">
          <w:rPr>
            <w:rFonts w:ascii="Georgia" w:hAnsi="Georgia"/>
            <w:noProof/>
            <w:webHidden/>
            <w:sz w:val="18"/>
            <w:szCs w:val="18"/>
          </w:rPr>
          <w:fldChar w:fldCharType="begin"/>
        </w:r>
        <w:r w:rsidR="00111EB2" w:rsidRPr="00B136E3">
          <w:rPr>
            <w:rFonts w:ascii="Georgia" w:hAnsi="Georgia"/>
            <w:noProof/>
            <w:webHidden/>
            <w:sz w:val="18"/>
            <w:szCs w:val="18"/>
          </w:rPr>
          <w:instrText xml:space="preserve"> PAGEREF _Toc507939235 \h </w:instrText>
        </w:r>
        <w:r w:rsidR="00111EB2" w:rsidRPr="00B136E3">
          <w:rPr>
            <w:rFonts w:ascii="Georgia" w:hAnsi="Georgia"/>
            <w:noProof/>
            <w:webHidden/>
            <w:sz w:val="18"/>
            <w:szCs w:val="18"/>
          </w:rPr>
        </w:r>
        <w:r w:rsidR="00111EB2" w:rsidRPr="00B136E3">
          <w:rPr>
            <w:rFonts w:ascii="Georgia" w:hAnsi="Georgia"/>
            <w:noProof/>
            <w:webHidden/>
            <w:sz w:val="18"/>
            <w:szCs w:val="18"/>
          </w:rPr>
          <w:fldChar w:fldCharType="separate"/>
        </w:r>
        <w:r w:rsidR="009652A6">
          <w:rPr>
            <w:rFonts w:ascii="Georgia" w:hAnsi="Georgia"/>
            <w:noProof/>
            <w:webHidden/>
            <w:sz w:val="18"/>
            <w:szCs w:val="18"/>
          </w:rPr>
          <w:t>238</w:t>
        </w:r>
        <w:r w:rsidR="00111EB2" w:rsidRPr="00B136E3">
          <w:rPr>
            <w:rFonts w:ascii="Georgia" w:hAnsi="Georgia"/>
            <w:noProof/>
            <w:webHidden/>
            <w:sz w:val="18"/>
            <w:szCs w:val="18"/>
          </w:rPr>
          <w:fldChar w:fldCharType="end"/>
        </w:r>
      </w:hyperlink>
    </w:p>
    <w:p w14:paraId="4F6F3220" w14:textId="179F4E13" w:rsidR="00FC2E80" w:rsidRPr="002142B8" w:rsidRDefault="00FC2E80" w:rsidP="00E91778">
      <w:pPr>
        <w:jc w:val="both"/>
        <w:rPr>
          <w:rFonts w:ascii="Georgia" w:hAnsi="Georgia"/>
          <w:b/>
          <w:lang w:val="lt-LT"/>
        </w:rPr>
      </w:pPr>
      <w:r w:rsidRPr="002142B8">
        <w:rPr>
          <w:rFonts w:ascii="Georgia" w:hAnsi="Georgia"/>
          <w:b/>
          <w:lang w:val="lt-LT"/>
        </w:rPr>
        <w:fldChar w:fldCharType="end"/>
      </w:r>
    </w:p>
    <w:p w14:paraId="77E2E172" w14:textId="77777777" w:rsidR="00FC2E80" w:rsidRPr="002142B8" w:rsidRDefault="00FC2E80" w:rsidP="009F55BB">
      <w:pPr>
        <w:jc w:val="both"/>
        <w:rPr>
          <w:rFonts w:ascii="Georgia" w:hAnsi="Georgia"/>
          <w:b/>
          <w:lang w:val="lt-LT"/>
        </w:rPr>
      </w:pPr>
      <w:r w:rsidRPr="002142B8">
        <w:rPr>
          <w:rFonts w:ascii="Georgia" w:hAnsi="Georgia"/>
          <w:b/>
          <w:lang w:val="lt-LT"/>
        </w:rPr>
        <w:br w:type="page"/>
      </w:r>
    </w:p>
    <w:p w14:paraId="55EFBADD" w14:textId="77777777" w:rsidR="0010799D" w:rsidRPr="002142B8" w:rsidRDefault="0010799D" w:rsidP="006977C2">
      <w:pPr>
        <w:pStyle w:val="Non-numberedHeading1"/>
        <w:rPr>
          <w:lang w:val="lt-LT"/>
        </w:rPr>
      </w:pPr>
      <w:bookmarkStart w:id="4" w:name="_Toc25589874"/>
      <w:r w:rsidRPr="002142B8">
        <w:rPr>
          <w:lang w:val="lt-LT"/>
        </w:rPr>
        <w:lastRenderedPageBreak/>
        <w:t>Paveikslų sąrašas</w:t>
      </w:r>
      <w:bookmarkEnd w:id="4"/>
    </w:p>
    <w:p w14:paraId="68E09237" w14:textId="77777777" w:rsidR="0010799D" w:rsidRPr="002142B8" w:rsidRDefault="0010799D" w:rsidP="009F55BB">
      <w:pPr>
        <w:jc w:val="both"/>
        <w:rPr>
          <w:rFonts w:ascii="Georgia" w:hAnsi="Georgia"/>
          <w:lang w:val="lt-LT"/>
        </w:rPr>
      </w:pPr>
    </w:p>
    <w:p w14:paraId="2C7A8CF3" w14:textId="2218DFF8" w:rsidR="00111EB2" w:rsidRPr="00F91954" w:rsidRDefault="0010799D">
      <w:pPr>
        <w:pStyle w:val="Iliustracijsraas"/>
        <w:tabs>
          <w:tab w:val="right" w:leader="dot" w:pos="9016"/>
        </w:tabs>
        <w:rPr>
          <w:rFonts w:ascii="Georgia" w:eastAsiaTheme="minorEastAsia" w:hAnsi="Georgia"/>
          <w:noProof/>
          <w:sz w:val="18"/>
          <w:szCs w:val="18"/>
        </w:rPr>
      </w:pPr>
      <w:r w:rsidRPr="00F91954">
        <w:rPr>
          <w:rFonts w:ascii="Georgia" w:hAnsi="Georgia"/>
          <w:i/>
          <w:sz w:val="18"/>
          <w:szCs w:val="18"/>
          <w:lang w:val="lt-LT"/>
        </w:rPr>
        <w:fldChar w:fldCharType="begin"/>
      </w:r>
      <w:r w:rsidRPr="00F91954">
        <w:rPr>
          <w:rFonts w:ascii="Georgia" w:hAnsi="Georgia"/>
          <w:i/>
          <w:sz w:val="18"/>
          <w:szCs w:val="18"/>
          <w:lang w:val="lt-LT"/>
        </w:rPr>
        <w:instrText xml:space="preserve"> TOC \h \z \c "Paveikslas" </w:instrText>
      </w:r>
      <w:r w:rsidRPr="00F91954">
        <w:rPr>
          <w:rFonts w:ascii="Georgia" w:hAnsi="Georgia"/>
          <w:i/>
          <w:sz w:val="18"/>
          <w:szCs w:val="18"/>
          <w:lang w:val="lt-LT"/>
        </w:rPr>
        <w:fldChar w:fldCharType="separate"/>
      </w:r>
      <w:hyperlink w:anchor="_Toc507939260" w:history="1">
        <w:r w:rsidR="00111EB2" w:rsidRPr="00F91954">
          <w:rPr>
            <w:rStyle w:val="Hipersaitas"/>
            <w:rFonts w:ascii="Georgia" w:hAnsi="Georgia"/>
            <w:noProof/>
            <w:sz w:val="18"/>
            <w:szCs w:val="18"/>
            <w:lang w:val="lt-LT"/>
          </w:rPr>
          <w:t>Paveikslas 1.</w:t>
        </w:r>
        <w:r w:rsidR="00111EB2" w:rsidRPr="00F91954">
          <w:rPr>
            <w:rStyle w:val="Hipersaitas"/>
            <w:rFonts w:ascii="Georgia" w:hAnsi="Georgia" w:cs="Georgia"/>
            <w:noProof/>
            <w:sz w:val="18"/>
            <w:szCs w:val="18"/>
            <w:lang w:val="lt-LT"/>
          </w:rPr>
          <w:t xml:space="preserve"> Finansinių priemonių įgyvendinimo 2014-2020 m. periodu alternatyvos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_Toc507939260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25</w:t>
        </w:r>
        <w:r w:rsidR="00111EB2" w:rsidRPr="006C6C90">
          <w:rPr>
            <w:rFonts w:ascii="Georgia" w:hAnsi="Georgia"/>
            <w:noProof/>
            <w:webHidden/>
            <w:sz w:val="18"/>
            <w:szCs w:val="18"/>
          </w:rPr>
          <w:fldChar w:fldCharType="end"/>
        </w:r>
      </w:hyperlink>
    </w:p>
    <w:p w14:paraId="747E060A" w14:textId="6A14E638" w:rsidR="00111EB2" w:rsidRPr="00F91954" w:rsidRDefault="00133798">
      <w:pPr>
        <w:pStyle w:val="Iliustracijsraas"/>
        <w:tabs>
          <w:tab w:val="right" w:leader="dot" w:pos="9016"/>
        </w:tabs>
        <w:rPr>
          <w:rFonts w:ascii="Georgia" w:eastAsiaTheme="minorEastAsia" w:hAnsi="Georgia"/>
          <w:noProof/>
          <w:sz w:val="18"/>
          <w:szCs w:val="18"/>
        </w:rPr>
      </w:pPr>
      <w:hyperlink w:anchor="_Toc507939261" w:history="1">
        <w:r w:rsidR="00111EB2" w:rsidRPr="00F91954">
          <w:rPr>
            <w:rStyle w:val="Hipersaitas"/>
            <w:rFonts w:ascii="Georgia" w:hAnsi="Georgia"/>
            <w:noProof/>
            <w:sz w:val="18"/>
            <w:szCs w:val="18"/>
            <w:lang w:val="lt-LT"/>
          </w:rPr>
          <w:t xml:space="preserve">Paveikslas 2. </w:t>
        </w:r>
        <w:r w:rsidR="00111EB2" w:rsidRPr="00F91954">
          <w:rPr>
            <w:rStyle w:val="Hipersaitas"/>
            <w:rFonts w:ascii="Georgia" w:hAnsi="Georgia" w:cs="Georgia"/>
            <w:noProof/>
            <w:sz w:val="18"/>
            <w:szCs w:val="18"/>
            <w:lang w:val="lt-LT"/>
          </w:rPr>
          <w:t>Finansinių priemonių valdymo ir įgyvendinimo alternatyvos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_Toc507939261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28</w:t>
        </w:r>
        <w:r w:rsidR="00111EB2" w:rsidRPr="006C6C90">
          <w:rPr>
            <w:rFonts w:ascii="Georgia" w:hAnsi="Georgia"/>
            <w:noProof/>
            <w:webHidden/>
            <w:sz w:val="18"/>
            <w:szCs w:val="18"/>
          </w:rPr>
          <w:fldChar w:fldCharType="end"/>
        </w:r>
      </w:hyperlink>
    </w:p>
    <w:p w14:paraId="21BA9D94" w14:textId="71297433" w:rsidR="00111EB2" w:rsidRPr="00F91954" w:rsidRDefault="00133798">
      <w:pPr>
        <w:pStyle w:val="Iliustracijsraas"/>
        <w:tabs>
          <w:tab w:val="right" w:leader="dot" w:pos="9016"/>
        </w:tabs>
        <w:rPr>
          <w:rFonts w:ascii="Georgia" w:eastAsiaTheme="minorEastAsia" w:hAnsi="Georgia"/>
          <w:noProof/>
          <w:sz w:val="18"/>
          <w:szCs w:val="18"/>
        </w:rPr>
      </w:pPr>
      <w:hyperlink w:anchor="_Toc507939262" w:history="1">
        <w:r w:rsidR="00111EB2" w:rsidRPr="00F91954">
          <w:rPr>
            <w:rStyle w:val="Hipersaitas"/>
            <w:rFonts w:ascii="Georgia" w:hAnsi="Georgia"/>
            <w:noProof/>
            <w:sz w:val="18"/>
            <w:szCs w:val="18"/>
            <w:lang w:val="lt-LT"/>
          </w:rPr>
          <w:t>Paveikslas 3. Galimos finansinės priemonės įgyvendinimo struktūros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_Toc507939262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29</w:t>
        </w:r>
        <w:r w:rsidR="00111EB2" w:rsidRPr="006C6C90">
          <w:rPr>
            <w:rFonts w:ascii="Georgia" w:hAnsi="Georgia"/>
            <w:noProof/>
            <w:webHidden/>
            <w:sz w:val="18"/>
            <w:szCs w:val="18"/>
          </w:rPr>
          <w:fldChar w:fldCharType="end"/>
        </w:r>
      </w:hyperlink>
    </w:p>
    <w:p w14:paraId="0F3BF8A2" w14:textId="0280FC10" w:rsidR="00111EB2" w:rsidRPr="00F91954" w:rsidRDefault="00133798">
      <w:pPr>
        <w:pStyle w:val="Iliustracijsraas"/>
        <w:tabs>
          <w:tab w:val="right" w:leader="dot" w:pos="9016"/>
        </w:tabs>
        <w:rPr>
          <w:rFonts w:ascii="Georgia" w:eastAsiaTheme="minorEastAsia" w:hAnsi="Georgia"/>
          <w:noProof/>
          <w:sz w:val="18"/>
          <w:szCs w:val="18"/>
        </w:rPr>
      </w:pPr>
      <w:hyperlink w:anchor="_Toc507939263" w:history="1">
        <w:r w:rsidR="00111EB2" w:rsidRPr="00F91954">
          <w:rPr>
            <w:rStyle w:val="Hipersaitas"/>
            <w:rFonts w:ascii="Georgia" w:eastAsia="Georgia" w:hAnsi="Georgia" w:cs="Arial Unicode MS"/>
            <w:iCs/>
            <w:noProof/>
            <w:sz w:val="18"/>
            <w:szCs w:val="18"/>
            <w:lang w:val="lt-LT"/>
          </w:rPr>
          <w:t>Paveikslas 4. Ne finansų korporacijoms išduotos naujos paskolos 2011 – 2017 m.</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_Toc507939263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51</w:t>
        </w:r>
        <w:r w:rsidR="00111EB2" w:rsidRPr="006C6C90">
          <w:rPr>
            <w:rFonts w:ascii="Georgia" w:hAnsi="Georgia"/>
            <w:noProof/>
            <w:webHidden/>
            <w:sz w:val="18"/>
            <w:szCs w:val="18"/>
          </w:rPr>
          <w:fldChar w:fldCharType="end"/>
        </w:r>
      </w:hyperlink>
    </w:p>
    <w:p w14:paraId="0ABE055E" w14:textId="638A6ED2" w:rsidR="00111EB2" w:rsidRPr="00F91954" w:rsidRDefault="00133798">
      <w:pPr>
        <w:pStyle w:val="Iliustracijsraas"/>
        <w:tabs>
          <w:tab w:val="right" w:leader="dot" w:pos="9016"/>
        </w:tabs>
        <w:rPr>
          <w:rFonts w:ascii="Georgia" w:eastAsiaTheme="minorEastAsia" w:hAnsi="Georgia"/>
          <w:noProof/>
          <w:sz w:val="18"/>
          <w:szCs w:val="18"/>
        </w:rPr>
      </w:pPr>
      <w:hyperlink w:anchor="_Toc507939264" w:history="1">
        <w:r w:rsidR="00111EB2" w:rsidRPr="00F91954">
          <w:rPr>
            <w:rStyle w:val="Hipersaitas"/>
            <w:rFonts w:ascii="Georgia" w:eastAsia="Georgia" w:hAnsi="Georgia" w:cs="Arial Unicode MS"/>
            <w:iCs/>
            <w:noProof/>
            <w:sz w:val="18"/>
            <w:szCs w:val="18"/>
            <w:lang w:val="lt-LT"/>
          </w:rPr>
          <w:t>Paveikslas 5. Pinigų finansų įstaigų paskolos euro zonos ne finansų bendrovėms, pradinis terminas nuo 5 metų – likučių palūkanų normos.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_Toc507939264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53</w:t>
        </w:r>
        <w:r w:rsidR="00111EB2" w:rsidRPr="006C6C90">
          <w:rPr>
            <w:rFonts w:ascii="Georgia" w:hAnsi="Georgia"/>
            <w:noProof/>
            <w:webHidden/>
            <w:sz w:val="18"/>
            <w:szCs w:val="18"/>
          </w:rPr>
          <w:fldChar w:fldCharType="end"/>
        </w:r>
      </w:hyperlink>
    </w:p>
    <w:p w14:paraId="36E0A890" w14:textId="7F1ABF2B" w:rsidR="00111EB2" w:rsidRPr="00F91954" w:rsidRDefault="00133798">
      <w:pPr>
        <w:pStyle w:val="Iliustracijsraas"/>
        <w:tabs>
          <w:tab w:val="right" w:leader="dot" w:pos="9016"/>
        </w:tabs>
        <w:rPr>
          <w:rFonts w:ascii="Georgia" w:eastAsiaTheme="minorEastAsia" w:hAnsi="Georgia"/>
          <w:noProof/>
          <w:sz w:val="18"/>
          <w:szCs w:val="18"/>
        </w:rPr>
      </w:pPr>
      <w:hyperlink w:anchor="_Toc507939265" w:history="1">
        <w:r w:rsidR="00111EB2" w:rsidRPr="00F91954">
          <w:rPr>
            <w:rStyle w:val="Hipersaitas"/>
            <w:rFonts w:ascii="Georgia" w:hAnsi="Georgia"/>
            <w:noProof/>
            <w:sz w:val="18"/>
            <w:szCs w:val="18"/>
            <w:lang w:val="lt-LT"/>
          </w:rPr>
          <w:t xml:space="preserve">Paveikslas 6. </w:t>
        </w:r>
        <w:r w:rsidR="00111EB2" w:rsidRPr="00F91954">
          <w:rPr>
            <w:rStyle w:val="Hipersaitas"/>
            <w:rFonts w:ascii="Georgia" w:eastAsia="Times New Roman" w:hAnsi="Georgia"/>
            <w:noProof/>
            <w:sz w:val="18"/>
            <w:szCs w:val="18"/>
            <w:lang w:val="lt-LT" w:eastAsia="lt-LT"/>
          </w:rPr>
          <w:t>ESCO modelio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_Toc507939265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63</w:t>
        </w:r>
        <w:r w:rsidR="00111EB2" w:rsidRPr="006C6C90">
          <w:rPr>
            <w:rFonts w:ascii="Georgia" w:hAnsi="Georgia"/>
            <w:noProof/>
            <w:webHidden/>
            <w:sz w:val="18"/>
            <w:szCs w:val="18"/>
          </w:rPr>
          <w:fldChar w:fldCharType="end"/>
        </w:r>
      </w:hyperlink>
    </w:p>
    <w:p w14:paraId="63AF65BE" w14:textId="60393212" w:rsidR="00111EB2" w:rsidRPr="00F91954" w:rsidRDefault="00133798">
      <w:pPr>
        <w:pStyle w:val="Iliustracijsraas"/>
        <w:tabs>
          <w:tab w:val="right" w:leader="dot" w:pos="9016"/>
        </w:tabs>
        <w:rPr>
          <w:rFonts w:ascii="Georgia" w:eastAsiaTheme="minorEastAsia" w:hAnsi="Georgia"/>
          <w:noProof/>
          <w:sz w:val="18"/>
          <w:szCs w:val="18"/>
        </w:rPr>
      </w:pPr>
      <w:hyperlink w:anchor="_Toc507939266" w:history="1">
        <w:r w:rsidR="00111EB2" w:rsidRPr="00F91954">
          <w:rPr>
            <w:rStyle w:val="Hipersaitas"/>
            <w:rFonts w:ascii="Georgia" w:hAnsi="Georgia"/>
            <w:noProof/>
            <w:sz w:val="18"/>
            <w:szCs w:val="18"/>
            <w:lang w:val="lt-LT"/>
          </w:rPr>
          <w:t xml:space="preserve">Paveikslas 7. </w:t>
        </w:r>
        <w:r w:rsidR="00111EB2" w:rsidRPr="00F91954">
          <w:rPr>
            <w:rStyle w:val="Hipersaitas"/>
            <w:rFonts w:ascii="Georgia" w:eastAsia="Times New Roman" w:hAnsi="Georgia"/>
            <w:noProof/>
            <w:sz w:val="18"/>
            <w:szCs w:val="18"/>
            <w:lang w:val="lt-LT" w:eastAsia="lt-LT"/>
          </w:rPr>
          <w:t>ESCO modelio naudos pasiskirstymas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_Toc507939266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64</w:t>
        </w:r>
        <w:r w:rsidR="00111EB2" w:rsidRPr="006C6C90">
          <w:rPr>
            <w:rFonts w:ascii="Georgia" w:hAnsi="Georgia"/>
            <w:noProof/>
            <w:webHidden/>
            <w:sz w:val="18"/>
            <w:szCs w:val="18"/>
          </w:rPr>
          <w:fldChar w:fldCharType="end"/>
        </w:r>
      </w:hyperlink>
    </w:p>
    <w:p w14:paraId="5ADF0429" w14:textId="54B74943" w:rsidR="00111EB2" w:rsidRPr="00F91954" w:rsidRDefault="00133798">
      <w:pPr>
        <w:pStyle w:val="Iliustracijsraas"/>
        <w:tabs>
          <w:tab w:val="right" w:leader="dot" w:pos="9016"/>
        </w:tabs>
        <w:rPr>
          <w:rFonts w:ascii="Georgia" w:eastAsiaTheme="minorEastAsia" w:hAnsi="Georgia"/>
          <w:noProof/>
          <w:sz w:val="18"/>
          <w:szCs w:val="18"/>
        </w:rPr>
      </w:pPr>
      <w:hyperlink w:anchor="_Toc507939267" w:history="1">
        <w:r w:rsidR="00111EB2" w:rsidRPr="00F91954">
          <w:rPr>
            <w:rStyle w:val="Hipersaitas"/>
            <w:rFonts w:ascii="Georgia" w:hAnsi="Georgia"/>
            <w:noProof/>
            <w:sz w:val="18"/>
            <w:szCs w:val="18"/>
            <w:lang w:val="lt-LT"/>
          </w:rPr>
          <w:t>Paveikslas 8. ERPB portfelio raida Lietuvoje 2009-2016 metais ir finansuojamų projektų pasiskirstymas pagal sektorius 2017 m. birželio 30 d.</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_Toc507939267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70</w:t>
        </w:r>
        <w:r w:rsidR="00111EB2" w:rsidRPr="006C6C90">
          <w:rPr>
            <w:rFonts w:ascii="Georgia" w:hAnsi="Georgia"/>
            <w:noProof/>
            <w:webHidden/>
            <w:sz w:val="18"/>
            <w:szCs w:val="18"/>
          </w:rPr>
          <w:fldChar w:fldCharType="end"/>
        </w:r>
      </w:hyperlink>
    </w:p>
    <w:p w14:paraId="38AF8671" w14:textId="23FB7C08" w:rsidR="00111EB2" w:rsidRPr="00F91954" w:rsidRDefault="00133798">
      <w:pPr>
        <w:pStyle w:val="Iliustracijsraas"/>
        <w:tabs>
          <w:tab w:val="right" w:leader="dot" w:pos="9016"/>
        </w:tabs>
        <w:rPr>
          <w:rFonts w:ascii="Georgia" w:eastAsiaTheme="minorEastAsia" w:hAnsi="Georgia"/>
          <w:noProof/>
          <w:sz w:val="18"/>
          <w:szCs w:val="18"/>
        </w:rPr>
      </w:pPr>
      <w:hyperlink w:anchor="_Toc507939268" w:history="1">
        <w:r w:rsidR="00111EB2" w:rsidRPr="00F91954">
          <w:rPr>
            <w:rStyle w:val="Hipersaitas"/>
            <w:rFonts w:ascii="Georgia" w:hAnsi="Georgia"/>
            <w:noProof/>
            <w:sz w:val="18"/>
            <w:szCs w:val="18"/>
            <w:lang w:val="lt-LT"/>
          </w:rPr>
          <w:t>Paveikslas 9. ŠIB portfelio raida Lietuvoje ir finansuojamų projektų pasiskirstymas pagal sektorių 2007-2017 metais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_Toc507939268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74</w:t>
        </w:r>
        <w:r w:rsidR="00111EB2" w:rsidRPr="006C6C90">
          <w:rPr>
            <w:rFonts w:ascii="Georgia" w:hAnsi="Georgia"/>
            <w:noProof/>
            <w:webHidden/>
            <w:sz w:val="18"/>
            <w:szCs w:val="18"/>
          </w:rPr>
          <w:fldChar w:fldCharType="end"/>
        </w:r>
      </w:hyperlink>
    </w:p>
    <w:p w14:paraId="40C565F5" w14:textId="7151A87B" w:rsidR="00111EB2" w:rsidRPr="00F91954" w:rsidRDefault="00133798">
      <w:pPr>
        <w:pStyle w:val="Iliustracijsraas"/>
        <w:tabs>
          <w:tab w:val="right" w:leader="dot" w:pos="9016"/>
        </w:tabs>
        <w:rPr>
          <w:rFonts w:ascii="Georgia" w:eastAsiaTheme="minorEastAsia" w:hAnsi="Georgia"/>
          <w:noProof/>
          <w:sz w:val="18"/>
          <w:szCs w:val="18"/>
        </w:rPr>
      </w:pPr>
      <w:hyperlink w:anchor="_Toc507939269" w:history="1">
        <w:r w:rsidR="00111EB2" w:rsidRPr="00F91954">
          <w:rPr>
            <w:rStyle w:val="Hipersaitas"/>
            <w:rFonts w:ascii="Georgia" w:hAnsi="Georgia"/>
            <w:noProof/>
            <w:sz w:val="18"/>
            <w:szCs w:val="18"/>
            <w:lang w:val="lt-LT"/>
          </w:rPr>
          <w:t>Paveikslas 10. EIB portfelio raida Lietuvoje 2009-2016 metais ir finansuojamų projektų pasiskirstymas pagal sektorių 2012-2016 metais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_Toc507939269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78</w:t>
        </w:r>
        <w:r w:rsidR="00111EB2" w:rsidRPr="006C6C90">
          <w:rPr>
            <w:rFonts w:ascii="Georgia" w:hAnsi="Georgia"/>
            <w:noProof/>
            <w:webHidden/>
            <w:sz w:val="18"/>
            <w:szCs w:val="18"/>
          </w:rPr>
          <w:fldChar w:fldCharType="end"/>
        </w:r>
      </w:hyperlink>
    </w:p>
    <w:p w14:paraId="6FE537BA" w14:textId="3A99E523" w:rsidR="00111EB2" w:rsidRPr="00F91954" w:rsidRDefault="00133798">
      <w:pPr>
        <w:pStyle w:val="Iliustracijsraas"/>
        <w:tabs>
          <w:tab w:val="right" w:leader="dot" w:pos="9016"/>
        </w:tabs>
        <w:rPr>
          <w:rFonts w:ascii="Georgia" w:eastAsiaTheme="minorEastAsia" w:hAnsi="Georgia"/>
          <w:noProof/>
          <w:sz w:val="18"/>
          <w:szCs w:val="18"/>
        </w:rPr>
      </w:pPr>
      <w:hyperlink w:anchor="_Toc507939270" w:history="1">
        <w:r w:rsidR="00111EB2" w:rsidRPr="00F91954">
          <w:rPr>
            <w:rStyle w:val="Hipersaitas"/>
            <w:rFonts w:ascii="Georgia" w:hAnsi="Georgia"/>
            <w:noProof/>
            <w:sz w:val="18"/>
            <w:szCs w:val="18"/>
            <w:lang w:val="lt-LT"/>
          </w:rPr>
          <w:t>Paveikslas 11. Finansinės priemonės lygiai, kuriuose galimas papildomų lėšų pritraukimas.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_Toc507939270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85</w:t>
        </w:r>
        <w:r w:rsidR="00111EB2" w:rsidRPr="006C6C90">
          <w:rPr>
            <w:rFonts w:ascii="Georgia" w:hAnsi="Georgia"/>
            <w:noProof/>
            <w:webHidden/>
            <w:sz w:val="18"/>
            <w:szCs w:val="18"/>
          </w:rPr>
          <w:fldChar w:fldCharType="end"/>
        </w:r>
      </w:hyperlink>
    </w:p>
    <w:p w14:paraId="4797BE99" w14:textId="1B8105E4" w:rsidR="00111EB2" w:rsidRPr="00F91954" w:rsidRDefault="00133798">
      <w:pPr>
        <w:pStyle w:val="Iliustracijsraas"/>
        <w:tabs>
          <w:tab w:val="right" w:leader="dot" w:pos="9016"/>
        </w:tabs>
        <w:rPr>
          <w:rFonts w:ascii="Georgia" w:eastAsiaTheme="minorEastAsia" w:hAnsi="Georgia"/>
          <w:noProof/>
          <w:sz w:val="18"/>
          <w:szCs w:val="18"/>
        </w:rPr>
      </w:pPr>
      <w:hyperlink w:anchor="_Toc507939271" w:history="1">
        <w:r w:rsidR="00111EB2" w:rsidRPr="00F91954">
          <w:rPr>
            <w:rStyle w:val="Hipersaitas"/>
            <w:rFonts w:ascii="Georgia" w:hAnsi="Georgia"/>
            <w:noProof/>
            <w:sz w:val="18"/>
            <w:szCs w:val="18"/>
            <w:lang w:val="lt-LT"/>
          </w:rPr>
          <w:t>Paveikslas 12. Daugiabučių scenarijaus Nr. 1 veikimo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_Toc507939271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100</w:t>
        </w:r>
        <w:r w:rsidR="00111EB2" w:rsidRPr="006C6C90">
          <w:rPr>
            <w:rFonts w:ascii="Georgia" w:hAnsi="Georgia"/>
            <w:noProof/>
            <w:webHidden/>
            <w:sz w:val="18"/>
            <w:szCs w:val="18"/>
          </w:rPr>
          <w:fldChar w:fldCharType="end"/>
        </w:r>
      </w:hyperlink>
    </w:p>
    <w:p w14:paraId="2377E04E" w14:textId="05F11F6A" w:rsidR="00111EB2" w:rsidRPr="00F91954" w:rsidRDefault="00133798">
      <w:pPr>
        <w:pStyle w:val="Iliustracijsraas"/>
        <w:tabs>
          <w:tab w:val="right" w:leader="dot" w:pos="9016"/>
        </w:tabs>
        <w:rPr>
          <w:rFonts w:ascii="Georgia" w:eastAsiaTheme="minorEastAsia" w:hAnsi="Georgia"/>
          <w:noProof/>
          <w:sz w:val="18"/>
          <w:szCs w:val="18"/>
        </w:rPr>
      </w:pPr>
      <w:hyperlink w:anchor="_Toc507939272" w:history="1">
        <w:r w:rsidR="00111EB2" w:rsidRPr="00F91954">
          <w:rPr>
            <w:rStyle w:val="Hipersaitas"/>
            <w:rFonts w:ascii="Georgia" w:hAnsi="Georgia"/>
            <w:noProof/>
            <w:sz w:val="18"/>
            <w:szCs w:val="18"/>
            <w:lang w:val="lt-LT"/>
          </w:rPr>
          <w:t>Paveikslas 13. Daugiabučių scenarijaus Nr. 2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_Toc507939272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103</w:t>
        </w:r>
        <w:r w:rsidR="00111EB2" w:rsidRPr="006C6C90">
          <w:rPr>
            <w:rFonts w:ascii="Georgia" w:hAnsi="Georgia"/>
            <w:noProof/>
            <w:webHidden/>
            <w:sz w:val="18"/>
            <w:szCs w:val="18"/>
          </w:rPr>
          <w:fldChar w:fldCharType="end"/>
        </w:r>
      </w:hyperlink>
    </w:p>
    <w:p w14:paraId="48E4D951" w14:textId="022EE9FD" w:rsidR="00111EB2" w:rsidRPr="00F91954" w:rsidRDefault="00133798">
      <w:pPr>
        <w:pStyle w:val="Iliustracijsraas"/>
        <w:tabs>
          <w:tab w:val="right" w:leader="dot" w:pos="9016"/>
        </w:tabs>
        <w:rPr>
          <w:rFonts w:ascii="Georgia" w:eastAsiaTheme="minorEastAsia" w:hAnsi="Georgia"/>
          <w:noProof/>
          <w:sz w:val="18"/>
          <w:szCs w:val="18"/>
        </w:rPr>
      </w:pPr>
      <w:hyperlink w:anchor="_Toc507939273" w:history="1">
        <w:r w:rsidR="00111EB2" w:rsidRPr="00F91954">
          <w:rPr>
            <w:rStyle w:val="Hipersaitas"/>
            <w:rFonts w:ascii="Georgia" w:hAnsi="Georgia"/>
            <w:noProof/>
            <w:sz w:val="18"/>
            <w:szCs w:val="18"/>
            <w:lang w:val="lt-LT"/>
          </w:rPr>
          <w:t>Paveikslas 14. Daugiabučių scenarijaus Nr. 4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_Toc507939273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109</w:t>
        </w:r>
        <w:r w:rsidR="00111EB2" w:rsidRPr="006C6C90">
          <w:rPr>
            <w:rFonts w:ascii="Georgia" w:hAnsi="Georgia"/>
            <w:noProof/>
            <w:webHidden/>
            <w:sz w:val="18"/>
            <w:szCs w:val="18"/>
          </w:rPr>
          <w:fldChar w:fldCharType="end"/>
        </w:r>
      </w:hyperlink>
    </w:p>
    <w:p w14:paraId="0E71CF1F" w14:textId="31642D98" w:rsidR="00111EB2" w:rsidRPr="00F91954" w:rsidRDefault="00133798">
      <w:pPr>
        <w:pStyle w:val="Iliustracijsraas"/>
        <w:tabs>
          <w:tab w:val="right" w:leader="dot" w:pos="9016"/>
        </w:tabs>
        <w:rPr>
          <w:rFonts w:ascii="Georgia" w:eastAsiaTheme="minorEastAsia" w:hAnsi="Georgia"/>
          <w:noProof/>
          <w:sz w:val="18"/>
          <w:szCs w:val="18"/>
        </w:rPr>
      </w:pPr>
      <w:hyperlink w:anchor="_Toc507939274" w:history="1">
        <w:r w:rsidR="00111EB2" w:rsidRPr="00F91954">
          <w:rPr>
            <w:rStyle w:val="Hipersaitas"/>
            <w:rFonts w:ascii="Georgia" w:hAnsi="Georgia"/>
            <w:noProof/>
            <w:sz w:val="18"/>
            <w:szCs w:val="18"/>
            <w:lang w:val="lt-LT"/>
          </w:rPr>
          <w:t>Paveikslas 15. Viešųjų pastatų scenarijaus Nr. 1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_Toc507939274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117</w:t>
        </w:r>
        <w:r w:rsidR="00111EB2" w:rsidRPr="006C6C90">
          <w:rPr>
            <w:rFonts w:ascii="Georgia" w:hAnsi="Georgia"/>
            <w:noProof/>
            <w:webHidden/>
            <w:sz w:val="18"/>
            <w:szCs w:val="18"/>
          </w:rPr>
          <w:fldChar w:fldCharType="end"/>
        </w:r>
      </w:hyperlink>
    </w:p>
    <w:p w14:paraId="3F2391CF" w14:textId="106AE743" w:rsidR="00111EB2" w:rsidRPr="00F91954" w:rsidRDefault="00133798">
      <w:pPr>
        <w:pStyle w:val="Iliustracijsraas"/>
        <w:tabs>
          <w:tab w:val="right" w:leader="dot" w:pos="9016"/>
        </w:tabs>
        <w:rPr>
          <w:rFonts w:ascii="Georgia" w:eastAsiaTheme="minorEastAsia" w:hAnsi="Georgia"/>
          <w:noProof/>
          <w:sz w:val="18"/>
          <w:szCs w:val="18"/>
        </w:rPr>
      </w:pPr>
      <w:hyperlink w:anchor="_Toc507939275" w:history="1">
        <w:r w:rsidR="00111EB2" w:rsidRPr="00F91954">
          <w:rPr>
            <w:rStyle w:val="Hipersaitas"/>
            <w:rFonts w:ascii="Georgia" w:hAnsi="Georgia"/>
            <w:noProof/>
            <w:sz w:val="18"/>
            <w:szCs w:val="18"/>
            <w:lang w:val="lt-LT"/>
          </w:rPr>
          <w:t>Paveikslas 16. Viešųjų pastatų scenarijaus Nr. 2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_Toc507939275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118</w:t>
        </w:r>
        <w:r w:rsidR="00111EB2" w:rsidRPr="006C6C90">
          <w:rPr>
            <w:rFonts w:ascii="Georgia" w:hAnsi="Georgia"/>
            <w:noProof/>
            <w:webHidden/>
            <w:sz w:val="18"/>
            <w:szCs w:val="18"/>
          </w:rPr>
          <w:fldChar w:fldCharType="end"/>
        </w:r>
      </w:hyperlink>
    </w:p>
    <w:p w14:paraId="529D78DB" w14:textId="7E6F8F24" w:rsidR="00111EB2" w:rsidRPr="00F91954" w:rsidRDefault="00133798">
      <w:pPr>
        <w:pStyle w:val="Iliustracijsraas"/>
        <w:tabs>
          <w:tab w:val="right" w:leader="dot" w:pos="9016"/>
        </w:tabs>
        <w:rPr>
          <w:rFonts w:ascii="Georgia" w:eastAsiaTheme="minorEastAsia" w:hAnsi="Georgia"/>
          <w:noProof/>
          <w:sz w:val="18"/>
          <w:szCs w:val="18"/>
        </w:rPr>
      </w:pPr>
      <w:hyperlink w:anchor="_Toc507939276" w:history="1">
        <w:r w:rsidR="00111EB2" w:rsidRPr="00F91954">
          <w:rPr>
            <w:rStyle w:val="Hipersaitas"/>
            <w:rFonts w:ascii="Georgia" w:hAnsi="Georgia"/>
            <w:noProof/>
            <w:sz w:val="18"/>
            <w:szCs w:val="18"/>
            <w:lang w:val="lt-LT"/>
          </w:rPr>
          <w:t>Paveikslas 17. Viešųjų pastatų scenarijaus Nr. 3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_Toc507939276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119</w:t>
        </w:r>
        <w:r w:rsidR="00111EB2" w:rsidRPr="006C6C90">
          <w:rPr>
            <w:rFonts w:ascii="Georgia" w:hAnsi="Georgia"/>
            <w:noProof/>
            <w:webHidden/>
            <w:sz w:val="18"/>
            <w:szCs w:val="18"/>
          </w:rPr>
          <w:fldChar w:fldCharType="end"/>
        </w:r>
      </w:hyperlink>
    </w:p>
    <w:p w14:paraId="7E324E69" w14:textId="00FF7C1C" w:rsidR="00111EB2" w:rsidRPr="00F91954" w:rsidRDefault="00133798">
      <w:pPr>
        <w:pStyle w:val="Iliustracijsraas"/>
        <w:tabs>
          <w:tab w:val="right" w:leader="dot" w:pos="9016"/>
        </w:tabs>
        <w:rPr>
          <w:rFonts w:ascii="Georgia" w:eastAsiaTheme="minorEastAsia" w:hAnsi="Georgia"/>
          <w:noProof/>
          <w:sz w:val="18"/>
          <w:szCs w:val="18"/>
        </w:rPr>
      </w:pPr>
      <w:hyperlink w:anchor="_Toc507939277" w:history="1">
        <w:r w:rsidR="00111EB2" w:rsidRPr="00F91954">
          <w:rPr>
            <w:rStyle w:val="Hipersaitas"/>
            <w:rFonts w:ascii="Georgia" w:hAnsi="Georgia"/>
            <w:noProof/>
            <w:sz w:val="18"/>
            <w:szCs w:val="18"/>
            <w:lang w:val="lt-LT"/>
          </w:rPr>
          <w:t>Paveikslas 18. Viešųjų pastatų scenarijaus Nr. 4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_Toc507939277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120</w:t>
        </w:r>
        <w:r w:rsidR="00111EB2" w:rsidRPr="006C6C90">
          <w:rPr>
            <w:rFonts w:ascii="Georgia" w:hAnsi="Georgia"/>
            <w:noProof/>
            <w:webHidden/>
            <w:sz w:val="18"/>
            <w:szCs w:val="18"/>
          </w:rPr>
          <w:fldChar w:fldCharType="end"/>
        </w:r>
      </w:hyperlink>
    </w:p>
    <w:p w14:paraId="6AF6FEB7" w14:textId="5FBE4435" w:rsidR="00111EB2" w:rsidRPr="00F91954" w:rsidRDefault="00133798">
      <w:pPr>
        <w:pStyle w:val="Iliustracijsraas"/>
        <w:tabs>
          <w:tab w:val="right" w:leader="dot" w:pos="9016"/>
        </w:tabs>
        <w:rPr>
          <w:rFonts w:ascii="Georgia" w:eastAsiaTheme="minorEastAsia" w:hAnsi="Georgia"/>
          <w:noProof/>
          <w:sz w:val="18"/>
          <w:szCs w:val="18"/>
        </w:rPr>
      </w:pPr>
      <w:hyperlink w:anchor="_Toc507939278" w:history="1">
        <w:r w:rsidR="00111EB2" w:rsidRPr="00F91954">
          <w:rPr>
            <w:rStyle w:val="Hipersaitas"/>
            <w:rFonts w:ascii="Georgia" w:hAnsi="Georgia"/>
            <w:noProof/>
            <w:sz w:val="18"/>
            <w:szCs w:val="18"/>
            <w:lang w:val="lt-LT"/>
          </w:rPr>
          <w:t>Paveikslas 19. Savivaldybių viešųjų pastatų scenarijaus Nr. 1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_Toc507939278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124</w:t>
        </w:r>
        <w:r w:rsidR="00111EB2" w:rsidRPr="006C6C90">
          <w:rPr>
            <w:rFonts w:ascii="Georgia" w:hAnsi="Georgia"/>
            <w:noProof/>
            <w:webHidden/>
            <w:sz w:val="18"/>
            <w:szCs w:val="18"/>
          </w:rPr>
          <w:fldChar w:fldCharType="end"/>
        </w:r>
      </w:hyperlink>
    </w:p>
    <w:p w14:paraId="209693F7" w14:textId="68A24A07" w:rsidR="00111EB2" w:rsidRPr="00F91954" w:rsidRDefault="00133798">
      <w:pPr>
        <w:pStyle w:val="Iliustracijsraas"/>
        <w:tabs>
          <w:tab w:val="right" w:leader="dot" w:pos="9016"/>
        </w:tabs>
        <w:rPr>
          <w:rFonts w:ascii="Georgia" w:eastAsiaTheme="minorEastAsia" w:hAnsi="Georgia"/>
          <w:noProof/>
          <w:sz w:val="18"/>
          <w:szCs w:val="18"/>
        </w:rPr>
      </w:pPr>
      <w:hyperlink w:anchor="_Toc507939279" w:history="1">
        <w:r w:rsidR="00111EB2" w:rsidRPr="00F91954">
          <w:rPr>
            <w:rStyle w:val="Hipersaitas"/>
            <w:rFonts w:ascii="Georgia" w:hAnsi="Georgia"/>
            <w:noProof/>
            <w:sz w:val="18"/>
            <w:szCs w:val="18"/>
            <w:lang w:val="lt-LT"/>
          </w:rPr>
          <w:t>Paveikslas 20. Savivaldybių viešųjų pastatų scenarijaus Nr. 2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_Toc507939279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125</w:t>
        </w:r>
        <w:r w:rsidR="00111EB2" w:rsidRPr="006C6C90">
          <w:rPr>
            <w:rFonts w:ascii="Georgia" w:hAnsi="Georgia"/>
            <w:noProof/>
            <w:webHidden/>
            <w:sz w:val="18"/>
            <w:szCs w:val="18"/>
          </w:rPr>
          <w:fldChar w:fldCharType="end"/>
        </w:r>
      </w:hyperlink>
    </w:p>
    <w:p w14:paraId="4BB72A58" w14:textId="2E799C58" w:rsidR="00111EB2" w:rsidRPr="00F91954" w:rsidRDefault="00133798">
      <w:pPr>
        <w:pStyle w:val="Iliustracijsraas"/>
        <w:tabs>
          <w:tab w:val="right" w:leader="dot" w:pos="9016"/>
        </w:tabs>
        <w:rPr>
          <w:rFonts w:ascii="Georgia" w:eastAsiaTheme="minorEastAsia" w:hAnsi="Georgia"/>
          <w:noProof/>
          <w:sz w:val="18"/>
          <w:szCs w:val="18"/>
        </w:rPr>
      </w:pPr>
      <w:hyperlink w:anchor="_Toc507939280" w:history="1">
        <w:r w:rsidR="00111EB2" w:rsidRPr="00F91954">
          <w:rPr>
            <w:rStyle w:val="Hipersaitas"/>
            <w:rFonts w:ascii="Georgia" w:hAnsi="Georgia"/>
            <w:noProof/>
            <w:sz w:val="18"/>
            <w:szCs w:val="18"/>
            <w:lang w:val="lt-LT"/>
          </w:rPr>
          <w:t>Paveikslas 21. Savivaldybių viešųjų pastatų scenarijaus Nr. 3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_Toc507939280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126</w:t>
        </w:r>
        <w:r w:rsidR="00111EB2" w:rsidRPr="006C6C90">
          <w:rPr>
            <w:rFonts w:ascii="Georgia" w:hAnsi="Georgia"/>
            <w:noProof/>
            <w:webHidden/>
            <w:sz w:val="18"/>
            <w:szCs w:val="18"/>
          </w:rPr>
          <w:fldChar w:fldCharType="end"/>
        </w:r>
      </w:hyperlink>
    </w:p>
    <w:p w14:paraId="4CE053F9" w14:textId="764909CA" w:rsidR="00111EB2" w:rsidRPr="00F91954" w:rsidRDefault="00133798">
      <w:pPr>
        <w:pStyle w:val="Iliustracijsraas"/>
        <w:tabs>
          <w:tab w:val="right" w:leader="dot" w:pos="9016"/>
        </w:tabs>
        <w:rPr>
          <w:rFonts w:ascii="Georgia" w:eastAsiaTheme="minorEastAsia" w:hAnsi="Georgia"/>
          <w:noProof/>
          <w:sz w:val="18"/>
          <w:szCs w:val="18"/>
        </w:rPr>
      </w:pPr>
      <w:hyperlink w:anchor="_Toc507939281" w:history="1">
        <w:r w:rsidR="00111EB2" w:rsidRPr="00F91954">
          <w:rPr>
            <w:rStyle w:val="Hipersaitas"/>
            <w:rFonts w:ascii="Georgia" w:hAnsi="Georgia"/>
            <w:noProof/>
            <w:sz w:val="18"/>
            <w:szCs w:val="18"/>
            <w:lang w:val="lt-LT"/>
          </w:rPr>
          <w:t>Paveikslas 22. Savivaldybių viešųjų pastatų scenarijaus Nr. 4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_Toc507939281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127</w:t>
        </w:r>
        <w:r w:rsidR="00111EB2" w:rsidRPr="006C6C90">
          <w:rPr>
            <w:rFonts w:ascii="Georgia" w:hAnsi="Georgia"/>
            <w:noProof/>
            <w:webHidden/>
            <w:sz w:val="18"/>
            <w:szCs w:val="18"/>
          </w:rPr>
          <w:fldChar w:fldCharType="end"/>
        </w:r>
      </w:hyperlink>
    </w:p>
    <w:p w14:paraId="550267C6" w14:textId="64F19273" w:rsidR="00111EB2" w:rsidRPr="00F91954" w:rsidRDefault="00133798">
      <w:pPr>
        <w:pStyle w:val="Iliustracijsraas"/>
        <w:tabs>
          <w:tab w:val="right" w:leader="dot" w:pos="9016"/>
        </w:tabs>
        <w:rPr>
          <w:rFonts w:ascii="Georgia" w:eastAsiaTheme="minorEastAsia" w:hAnsi="Georgia"/>
          <w:noProof/>
          <w:sz w:val="18"/>
          <w:szCs w:val="18"/>
        </w:rPr>
      </w:pPr>
      <w:hyperlink w:anchor="_Toc507939282" w:history="1">
        <w:r w:rsidR="00111EB2" w:rsidRPr="00F91954">
          <w:rPr>
            <w:rStyle w:val="Hipersaitas"/>
            <w:rFonts w:ascii="Georgia" w:hAnsi="Georgia"/>
            <w:noProof/>
            <w:sz w:val="18"/>
            <w:szCs w:val="18"/>
            <w:lang w:val="lt-LT"/>
          </w:rPr>
          <w:t>Paveikslas 23. Gatvių apšvietimo scenarijaus Nr. 1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_Toc507939282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131</w:t>
        </w:r>
        <w:r w:rsidR="00111EB2" w:rsidRPr="006C6C90">
          <w:rPr>
            <w:rFonts w:ascii="Georgia" w:hAnsi="Georgia"/>
            <w:noProof/>
            <w:webHidden/>
            <w:sz w:val="18"/>
            <w:szCs w:val="18"/>
          </w:rPr>
          <w:fldChar w:fldCharType="end"/>
        </w:r>
      </w:hyperlink>
    </w:p>
    <w:p w14:paraId="5853FB7B" w14:textId="7615B183" w:rsidR="00111EB2" w:rsidRPr="00F91954" w:rsidRDefault="00133798">
      <w:pPr>
        <w:pStyle w:val="Iliustracijsraas"/>
        <w:tabs>
          <w:tab w:val="right" w:leader="dot" w:pos="9016"/>
        </w:tabs>
        <w:rPr>
          <w:rFonts w:ascii="Georgia" w:eastAsiaTheme="minorEastAsia" w:hAnsi="Georgia"/>
          <w:noProof/>
          <w:sz w:val="18"/>
          <w:szCs w:val="18"/>
        </w:rPr>
      </w:pPr>
      <w:hyperlink w:anchor="_Toc507939283" w:history="1">
        <w:r w:rsidR="00111EB2" w:rsidRPr="00F91954">
          <w:rPr>
            <w:rStyle w:val="Hipersaitas"/>
            <w:rFonts w:ascii="Georgia" w:hAnsi="Georgia"/>
            <w:noProof/>
            <w:sz w:val="18"/>
            <w:szCs w:val="18"/>
            <w:lang w:val="lt-LT"/>
          </w:rPr>
          <w:t>Paveikslas 24. Gatvių apšvietimo scenarijaus Nr. 2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_Toc507939283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131</w:t>
        </w:r>
        <w:r w:rsidR="00111EB2" w:rsidRPr="006C6C90">
          <w:rPr>
            <w:rFonts w:ascii="Georgia" w:hAnsi="Georgia"/>
            <w:noProof/>
            <w:webHidden/>
            <w:sz w:val="18"/>
            <w:szCs w:val="18"/>
          </w:rPr>
          <w:fldChar w:fldCharType="end"/>
        </w:r>
      </w:hyperlink>
    </w:p>
    <w:p w14:paraId="28E394BF" w14:textId="18FF63B8" w:rsidR="00111EB2" w:rsidRPr="00F91954" w:rsidRDefault="00133798">
      <w:pPr>
        <w:pStyle w:val="Iliustracijsraas"/>
        <w:tabs>
          <w:tab w:val="right" w:leader="dot" w:pos="9016"/>
        </w:tabs>
        <w:rPr>
          <w:rFonts w:ascii="Georgia" w:eastAsiaTheme="minorEastAsia" w:hAnsi="Georgia"/>
          <w:noProof/>
          <w:sz w:val="18"/>
          <w:szCs w:val="18"/>
        </w:rPr>
      </w:pPr>
      <w:hyperlink w:anchor="_Toc507939284" w:history="1">
        <w:r w:rsidR="00111EB2" w:rsidRPr="00F91954">
          <w:rPr>
            <w:rStyle w:val="Hipersaitas"/>
            <w:rFonts w:ascii="Georgia" w:hAnsi="Georgia"/>
            <w:noProof/>
            <w:sz w:val="18"/>
            <w:szCs w:val="18"/>
            <w:lang w:val="lt-LT"/>
          </w:rPr>
          <w:t>Paveikslas 25. Gatvių apšvietimo scenarijaus Nr. 3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_Toc507939284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133</w:t>
        </w:r>
        <w:r w:rsidR="00111EB2" w:rsidRPr="006C6C90">
          <w:rPr>
            <w:rFonts w:ascii="Georgia" w:hAnsi="Georgia"/>
            <w:noProof/>
            <w:webHidden/>
            <w:sz w:val="18"/>
            <w:szCs w:val="18"/>
          </w:rPr>
          <w:fldChar w:fldCharType="end"/>
        </w:r>
      </w:hyperlink>
    </w:p>
    <w:p w14:paraId="3DCE2EEA" w14:textId="7D192031" w:rsidR="00111EB2" w:rsidRPr="00F91954" w:rsidRDefault="00133798">
      <w:pPr>
        <w:pStyle w:val="Iliustracijsraas"/>
        <w:tabs>
          <w:tab w:val="right" w:leader="dot" w:pos="9016"/>
        </w:tabs>
        <w:rPr>
          <w:rFonts w:ascii="Georgia" w:eastAsiaTheme="minorEastAsia" w:hAnsi="Georgia"/>
          <w:noProof/>
          <w:sz w:val="18"/>
          <w:szCs w:val="18"/>
        </w:rPr>
      </w:pPr>
      <w:hyperlink w:anchor="_Toc507939285" w:history="1">
        <w:r w:rsidR="00111EB2" w:rsidRPr="00F91954">
          <w:rPr>
            <w:rStyle w:val="Hipersaitas"/>
            <w:rFonts w:ascii="Georgia" w:hAnsi="Georgia"/>
            <w:noProof/>
            <w:sz w:val="18"/>
            <w:szCs w:val="18"/>
            <w:lang w:val="lt-LT"/>
          </w:rPr>
          <w:t>Paveikslas 26. Gatvių apšvietimo scenarijaus Nr. 4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_Toc507939285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134</w:t>
        </w:r>
        <w:r w:rsidR="00111EB2" w:rsidRPr="006C6C90">
          <w:rPr>
            <w:rFonts w:ascii="Georgia" w:hAnsi="Georgia"/>
            <w:noProof/>
            <w:webHidden/>
            <w:sz w:val="18"/>
            <w:szCs w:val="18"/>
          </w:rPr>
          <w:fldChar w:fldCharType="end"/>
        </w:r>
      </w:hyperlink>
    </w:p>
    <w:p w14:paraId="29EAA472" w14:textId="18A7D50C" w:rsidR="00111EB2" w:rsidRPr="00F91954" w:rsidRDefault="00133798">
      <w:pPr>
        <w:pStyle w:val="Iliustracijsraas"/>
        <w:tabs>
          <w:tab w:val="right" w:leader="dot" w:pos="9016"/>
        </w:tabs>
        <w:rPr>
          <w:rFonts w:ascii="Georgia" w:eastAsiaTheme="minorEastAsia" w:hAnsi="Georgia"/>
          <w:noProof/>
          <w:sz w:val="18"/>
          <w:szCs w:val="18"/>
        </w:rPr>
      </w:pPr>
      <w:hyperlink w:anchor="_Toc507939286" w:history="1">
        <w:r w:rsidR="00111EB2" w:rsidRPr="00F91954">
          <w:rPr>
            <w:rStyle w:val="Hipersaitas"/>
            <w:rFonts w:ascii="Georgia" w:hAnsi="Georgia"/>
            <w:noProof/>
            <w:sz w:val="18"/>
            <w:szCs w:val="18"/>
            <w:lang w:val="lt-LT"/>
          </w:rPr>
          <w:t>Paveikslas 27. Siūloma paskolinės finansinės priemonės įgyvendinimo struktūra.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_Toc507939286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194</w:t>
        </w:r>
        <w:r w:rsidR="00111EB2" w:rsidRPr="006C6C90">
          <w:rPr>
            <w:rFonts w:ascii="Georgia" w:hAnsi="Georgia"/>
            <w:noProof/>
            <w:webHidden/>
            <w:sz w:val="18"/>
            <w:szCs w:val="18"/>
          </w:rPr>
          <w:fldChar w:fldCharType="end"/>
        </w:r>
      </w:hyperlink>
    </w:p>
    <w:p w14:paraId="29B3704C" w14:textId="4521659D" w:rsidR="00111EB2" w:rsidRPr="00F91954" w:rsidRDefault="00133798">
      <w:pPr>
        <w:pStyle w:val="Iliustracijsraas"/>
        <w:tabs>
          <w:tab w:val="right" w:leader="dot" w:pos="9016"/>
        </w:tabs>
        <w:rPr>
          <w:rFonts w:ascii="Georgia" w:eastAsiaTheme="minorEastAsia" w:hAnsi="Georgia"/>
          <w:noProof/>
          <w:sz w:val="18"/>
          <w:szCs w:val="18"/>
        </w:rPr>
      </w:pPr>
      <w:hyperlink w:anchor="_Toc507939287" w:history="1">
        <w:r w:rsidR="00111EB2" w:rsidRPr="00F91954">
          <w:rPr>
            <w:rStyle w:val="Hipersaitas"/>
            <w:rFonts w:ascii="Georgia" w:hAnsi="Georgia"/>
            <w:noProof/>
            <w:sz w:val="18"/>
            <w:szCs w:val="18"/>
            <w:lang w:val="lt-LT"/>
          </w:rPr>
          <w:t>Paveikslas 28. Siūlomos garantijų finansinės priemonės įgyvendinimo struktūros.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_Toc507939287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198</w:t>
        </w:r>
        <w:r w:rsidR="00111EB2" w:rsidRPr="006C6C90">
          <w:rPr>
            <w:rFonts w:ascii="Georgia" w:hAnsi="Georgia"/>
            <w:noProof/>
            <w:webHidden/>
            <w:sz w:val="18"/>
            <w:szCs w:val="18"/>
          </w:rPr>
          <w:fldChar w:fldCharType="end"/>
        </w:r>
      </w:hyperlink>
    </w:p>
    <w:p w14:paraId="63E7E701" w14:textId="26605C35" w:rsidR="00111EB2" w:rsidRPr="00F91954" w:rsidRDefault="00133798">
      <w:pPr>
        <w:pStyle w:val="Iliustracijsraas"/>
        <w:tabs>
          <w:tab w:val="right" w:leader="dot" w:pos="9016"/>
        </w:tabs>
        <w:rPr>
          <w:rFonts w:ascii="Georgia" w:eastAsiaTheme="minorEastAsia" w:hAnsi="Georgia"/>
          <w:noProof/>
          <w:sz w:val="18"/>
          <w:szCs w:val="18"/>
        </w:rPr>
      </w:pPr>
      <w:hyperlink w:anchor="_Toc507939288" w:history="1">
        <w:r w:rsidR="00111EB2" w:rsidRPr="00F91954">
          <w:rPr>
            <w:rStyle w:val="Hipersaitas"/>
            <w:rFonts w:ascii="Georgia" w:hAnsi="Georgia"/>
            <w:noProof/>
            <w:sz w:val="18"/>
            <w:szCs w:val="18"/>
            <w:lang w:val="lt-LT"/>
          </w:rPr>
          <w:t>Paveikslas 29. Juridinio asmens statusą turinčio fondo steigimas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_Toc507939288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199</w:t>
        </w:r>
        <w:r w:rsidR="00111EB2" w:rsidRPr="006C6C90">
          <w:rPr>
            <w:rFonts w:ascii="Georgia" w:hAnsi="Georgia"/>
            <w:noProof/>
            <w:webHidden/>
            <w:sz w:val="18"/>
            <w:szCs w:val="18"/>
          </w:rPr>
          <w:fldChar w:fldCharType="end"/>
        </w:r>
      </w:hyperlink>
    </w:p>
    <w:p w14:paraId="5295F192" w14:textId="6C1321EA" w:rsidR="00111EB2" w:rsidRPr="00F91954" w:rsidRDefault="00133798">
      <w:pPr>
        <w:pStyle w:val="Iliustracijsraas"/>
        <w:tabs>
          <w:tab w:val="right" w:leader="dot" w:pos="9016"/>
        </w:tabs>
        <w:rPr>
          <w:rFonts w:ascii="Georgia" w:eastAsiaTheme="minorEastAsia" w:hAnsi="Georgia"/>
          <w:noProof/>
          <w:sz w:val="18"/>
          <w:szCs w:val="18"/>
        </w:rPr>
      </w:pPr>
      <w:hyperlink w:anchor="_Toc507939289" w:history="1">
        <w:r w:rsidR="00111EB2" w:rsidRPr="00F91954">
          <w:rPr>
            <w:rStyle w:val="Hipersaitas"/>
            <w:rFonts w:ascii="Georgia" w:hAnsi="Georgia"/>
            <w:noProof/>
            <w:sz w:val="18"/>
            <w:szCs w:val="18"/>
            <w:lang w:val="lt-LT"/>
          </w:rPr>
          <w:t>Paveikslas 30. Pagrindiniai stebėsenos elementai</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_Toc507939289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204</w:t>
        </w:r>
        <w:r w:rsidR="00111EB2" w:rsidRPr="006C6C90">
          <w:rPr>
            <w:rFonts w:ascii="Georgia" w:hAnsi="Georgia"/>
            <w:noProof/>
            <w:webHidden/>
            <w:sz w:val="18"/>
            <w:szCs w:val="18"/>
          </w:rPr>
          <w:fldChar w:fldCharType="end"/>
        </w:r>
      </w:hyperlink>
    </w:p>
    <w:p w14:paraId="5D615091" w14:textId="33347040" w:rsidR="00111EB2" w:rsidRPr="00F91954" w:rsidRDefault="00133798">
      <w:pPr>
        <w:pStyle w:val="Iliustracijsraas"/>
        <w:tabs>
          <w:tab w:val="right" w:leader="dot" w:pos="9016"/>
        </w:tabs>
        <w:rPr>
          <w:rFonts w:ascii="Georgia" w:eastAsiaTheme="minorEastAsia" w:hAnsi="Georgia"/>
          <w:noProof/>
          <w:sz w:val="18"/>
          <w:szCs w:val="18"/>
        </w:rPr>
      </w:pPr>
      <w:hyperlink w:anchor="_Toc507939290" w:history="1">
        <w:r w:rsidR="00111EB2" w:rsidRPr="00F91954">
          <w:rPr>
            <w:rStyle w:val="Hipersaitas"/>
            <w:rFonts w:ascii="Georgia" w:hAnsi="Georgia"/>
            <w:noProof/>
            <w:sz w:val="18"/>
            <w:szCs w:val="18"/>
            <w:lang w:val="lt-LT"/>
          </w:rPr>
          <w:t xml:space="preserve">Paveikslas 31. </w:t>
        </w:r>
        <w:r w:rsidR="00111EB2" w:rsidRPr="00F91954">
          <w:rPr>
            <w:rStyle w:val="Hipersaitas"/>
            <w:rFonts w:ascii="Georgia" w:eastAsia="Times New Roman" w:hAnsi="Georgia"/>
            <w:noProof/>
            <w:sz w:val="18"/>
            <w:szCs w:val="18"/>
            <w:lang w:val="lt-LT" w:eastAsia="lt-LT"/>
          </w:rPr>
          <w:t>Siūloma centrinės valdžios pastatų renovacijos, naudojant finansines priemones,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_Toc507939290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207</w:t>
        </w:r>
        <w:r w:rsidR="00111EB2" w:rsidRPr="006C6C90">
          <w:rPr>
            <w:rFonts w:ascii="Georgia" w:hAnsi="Georgia"/>
            <w:noProof/>
            <w:webHidden/>
            <w:sz w:val="18"/>
            <w:szCs w:val="18"/>
          </w:rPr>
          <w:fldChar w:fldCharType="end"/>
        </w:r>
      </w:hyperlink>
    </w:p>
    <w:p w14:paraId="795CC568" w14:textId="408EAFE6" w:rsidR="00111EB2" w:rsidRPr="00F91954" w:rsidRDefault="00133798">
      <w:pPr>
        <w:pStyle w:val="Iliustracijsraas"/>
        <w:tabs>
          <w:tab w:val="right" w:leader="dot" w:pos="9016"/>
        </w:tabs>
        <w:rPr>
          <w:rFonts w:ascii="Georgia" w:eastAsiaTheme="minorEastAsia" w:hAnsi="Georgia"/>
          <w:noProof/>
          <w:sz w:val="18"/>
          <w:szCs w:val="18"/>
        </w:rPr>
      </w:pPr>
      <w:hyperlink w:anchor="_Toc507939291" w:history="1">
        <w:r w:rsidR="00111EB2" w:rsidRPr="00F91954">
          <w:rPr>
            <w:rStyle w:val="Hipersaitas"/>
            <w:rFonts w:ascii="Georgia" w:hAnsi="Georgia"/>
            <w:noProof/>
            <w:sz w:val="18"/>
            <w:szCs w:val="18"/>
            <w:lang w:val="lt-LT"/>
          </w:rPr>
          <w:t>Paveikslas 32. Siūloma gatvių apšvietimo atnaujinimo, naudojant finansines priemones,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_Toc507939291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208</w:t>
        </w:r>
        <w:r w:rsidR="00111EB2" w:rsidRPr="006C6C90">
          <w:rPr>
            <w:rFonts w:ascii="Georgia" w:hAnsi="Georgia"/>
            <w:noProof/>
            <w:webHidden/>
            <w:sz w:val="18"/>
            <w:szCs w:val="18"/>
          </w:rPr>
          <w:fldChar w:fldCharType="end"/>
        </w:r>
      </w:hyperlink>
    </w:p>
    <w:p w14:paraId="770E14D9" w14:textId="1B86B19B" w:rsidR="00111EB2" w:rsidRPr="00F91954" w:rsidRDefault="00133798">
      <w:pPr>
        <w:pStyle w:val="Iliustracijsraas"/>
        <w:tabs>
          <w:tab w:val="right" w:leader="dot" w:pos="9016"/>
        </w:tabs>
        <w:rPr>
          <w:rFonts w:ascii="Georgia" w:eastAsiaTheme="minorEastAsia" w:hAnsi="Georgia"/>
          <w:noProof/>
          <w:sz w:val="18"/>
          <w:szCs w:val="18"/>
        </w:rPr>
      </w:pPr>
      <w:hyperlink w:anchor="_Toc507939292" w:history="1">
        <w:r w:rsidR="00111EB2" w:rsidRPr="00F91954">
          <w:rPr>
            <w:rStyle w:val="Hipersaitas"/>
            <w:rFonts w:ascii="Georgia" w:hAnsi="Georgia"/>
            <w:noProof/>
            <w:sz w:val="18"/>
            <w:szCs w:val="18"/>
            <w:lang w:val="lt-LT"/>
          </w:rPr>
          <w:t>Paveikslas 33. II ir III valdymo struktūros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_Toc507939292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213</w:t>
        </w:r>
        <w:r w:rsidR="00111EB2" w:rsidRPr="006C6C90">
          <w:rPr>
            <w:rFonts w:ascii="Georgia" w:hAnsi="Georgia"/>
            <w:noProof/>
            <w:webHidden/>
            <w:sz w:val="18"/>
            <w:szCs w:val="18"/>
          </w:rPr>
          <w:fldChar w:fldCharType="end"/>
        </w:r>
      </w:hyperlink>
    </w:p>
    <w:p w14:paraId="7242C296" w14:textId="694CBD42" w:rsidR="00111EB2" w:rsidRPr="00F91954" w:rsidRDefault="00133798">
      <w:pPr>
        <w:pStyle w:val="Iliustracijsraas"/>
        <w:tabs>
          <w:tab w:val="right" w:leader="dot" w:pos="9016"/>
        </w:tabs>
        <w:rPr>
          <w:rFonts w:ascii="Georgia" w:eastAsiaTheme="minorEastAsia" w:hAnsi="Georgia"/>
          <w:noProof/>
          <w:sz w:val="18"/>
          <w:szCs w:val="18"/>
        </w:rPr>
      </w:pPr>
      <w:hyperlink w:anchor="_Toc507939293" w:history="1">
        <w:r w:rsidR="00111EB2" w:rsidRPr="00F91954">
          <w:rPr>
            <w:rStyle w:val="Hipersaitas"/>
            <w:rFonts w:ascii="Georgia" w:hAnsi="Georgia"/>
            <w:noProof/>
            <w:sz w:val="18"/>
            <w:szCs w:val="18"/>
            <w:lang w:val="lt-LT"/>
          </w:rPr>
          <w:t>Paveikslas 34. Siūloma valdymo struktūra fondų fondui.</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_Toc507939293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213</w:t>
        </w:r>
        <w:r w:rsidR="00111EB2" w:rsidRPr="006C6C90">
          <w:rPr>
            <w:rFonts w:ascii="Georgia" w:hAnsi="Georgia"/>
            <w:noProof/>
            <w:webHidden/>
            <w:sz w:val="18"/>
            <w:szCs w:val="18"/>
          </w:rPr>
          <w:fldChar w:fldCharType="end"/>
        </w:r>
      </w:hyperlink>
    </w:p>
    <w:p w14:paraId="062FFB24" w14:textId="2D03920B" w:rsidR="00111EB2" w:rsidRPr="00F91954" w:rsidRDefault="00133798">
      <w:pPr>
        <w:pStyle w:val="Iliustracijsraas"/>
        <w:tabs>
          <w:tab w:val="right" w:leader="dot" w:pos="9016"/>
        </w:tabs>
        <w:rPr>
          <w:rFonts w:ascii="Georgia" w:eastAsiaTheme="minorEastAsia" w:hAnsi="Georgia"/>
          <w:noProof/>
          <w:sz w:val="18"/>
          <w:szCs w:val="18"/>
        </w:rPr>
      </w:pPr>
      <w:hyperlink w:anchor="_Toc507939294" w:history="1">
        <w:r w:rsidR="00111EB2" w:rsidRPr="00F91954">
          <w:rPr>
            <w:rStyle w:val="Hipersaitas"/>
            <w:rFonts w:ascii="Georgia" w:hAnsi="Georgia"/>
            <w:noProof/>
            <w:sz w:val="18"/>
            <w:szCs w:val="18"/>
            <w:lang w:val="lt-LT"/>
          </w:rPr>
          <w:t xml:space="preserve">Paveikslas 35. Fondų </w:t>
        </w:r>
        <w:r w:rsidR="00111EB2" w:rsidRPr="00F91954">
          <w:rPr>
            <w:rStyle w:val="Hipersaitas"/>
            <w:rFonts w:ascii="Georgia" w:eastAsia="Times New Roman" w:hAnsi="Georgia"/>
            <w:noProof/>
            <w:sz w:val="18"/>
            <w:szCs w:val="18"/>
            <w:lang w:val="lt-LT" w:eastAsia="lt-LT"/>
          </w:rPr>
          <w:t>fondo sukūrimas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_Toc507939294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214</w:t>
        </w:r>
        <w:r w:rsidR="00111EB2" w:rsidRPr="006C6C90">
          <w:rPr>
            <w:rFonts w:ascii="Georgia" w:hAnsi="Georgia"/>
            <w:noProof/>
            <w:webHidden/>
            <w:sz w:val="18"/>
            <w:szCs w:val="18"/>
          </w:rPr>
          <w:fldChar w:fldCharType="end"/>
        </w:r>
      </w:hyperlink>
    </w:p>
    <w:p w14:paraId="79C25749" w14:textId="7D9AF727" w:rsidR="00111EB2" w:rsidRPr="00F91954" w:rsidRDefault="00133798">
      <w:pPr>
        <w:pStyle w:val="Iliustracijsraas"/>
        <w:tabs>
          <w:tab w:val="right" w:leader="dot" w:pos="9016"/>
        </w:tabs>
        <w:rPr>
          <w:rFonts w:ascii="Georgia" w:eastAsiaTheme="minorEastAsia" w:hAnsi="Georgia"/>
          <w:noProof/>
          <w:sz w:val="18"/>
          <w:szCs w:val="18"/>
        </w:rPr>
      </w:pPr>
      <w:hyperlink w:anchor="_Toc507939295" w:history="1">
        <w:r w:rsidR="00111EB2" w:rsidRPr="00F91954">
          <w:rPr>
            <w:rStyle w:val="Hipersaitas"/>
            <w:rFonts w:ascii="Georgia" w:hAnsi="Georgia"/>
            <w:noProof/>
            <w:sz w:val="18"/>
            <w:szCs w:val="18"/>
            <w:lang w:val="lt-LT"/>
          </w:rPr>
          <w:t>Paveikslas 36.</w:t>
        </w:r>
        <w:r w:rsidR="00111EB2" w:rsidRPr="00F91954">
          <w:rPr>
            <w:rStyle w:val="Hipersaitas"/>
            <w:rFonts w:ascii="Georgia" w:eastAsia="Times New Roman" w:hAnsi="Georgia"/>
            <w:noProof/>
            <w:sz w:val="18"/>
            <w:szCs w:val="18"/>
            <w:lang w:val="lt-LT" w:eastAsia="lt-LT"/>
          </w:rPr>
          <w:t xml:space="preserve"> Juridinio asmens statusą turinčio fondo steigimas Lietuvoje</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_Toc507939295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215</w:t>
        </w:r>
        <w:r w:rsidR="00111EB2" w:rsidRPr="006C6C90">
          <w:rPr>
            <w:rFonts w:ascii="Georgia" w:hAnsi="Georgia"/>
            <w:noProof/>
            <w:webHidden/>
            <w:sz w:val="18"/>
            <w:szCs w:val="18"/>
          </w:rPr>
          <w:fldChar w:fldCharType="end"/>
        </w:r>
      </w:hyperlink>
    </w:p>
    <w:p w14:paraId="2F9B891A" w14:textId="0E6365BE" w:rsidR="00111EB2" w:rsidRPr="00F91954" w:rsidRDefault="00133798">
      <w:pPr>
        <w:pStyle w:val="Iliustracijsraas"/>
        <w:tabs>
          <w:tab w:val="right" w:leader="dot" w:pos="9016"/>
        </w:tabs>
        <w:rPr>
          <w:rFonts w:ascii="Georgia" w:eastAsiaTheme="minorEastAsia" w:hAnsi="Georgia"/>
          <w:noProof/>
          <w:sz w:val="18"/>
          <w:szCs w:val="18"/>
        </w:rPr>
      </w:pPr>
      <w:hyperlink w:anchor="_Toc507939296" w:history="1">
        <w:r w:rsidR="00111EB2" w:rsidRPr="00F91954">
          <w:rPr>
            <w:rStyle w:val="Hipersaitas"/>
            <w:rFonts w:ascii="Georgia" w:hAnsi="Georgia"/>
            <w:noProof/>
            <w:sz w:val="18"/>
            <w:szCs w:val="18"/>
            <w:lang w:val="lt-LT"/>
          </w:rPr>
          <w:t xml:space="preserve">Paveikslas 37. </w:t>
        </w:r>
        <w:r w:rsidR="00111EB2" w:rsidRPr="00F91954">
          <w:rPr>
            <w:rStyle w:val="Hipersaitas"/>
            <w:rFonts w:ascii="Georgia" w:eastAsia="Times New Roman" w:hAnsi="Georgia"/>
            <w:noProof/>
            <w:sz w:val="18"/>
            <w:szCs w:val="18"/>
            <w:lang w:val="lt-LT" w:eastAsia="lt-LT"/>
          </w:rPr>
          <w:t>2014-2020 lėšų investavimas fondą (sąskaitų rinkinį finansų įstaigoje) ir investicinio fondo steigimas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_Toc507939296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217</w:t>
        </w:r>
        <w:r w:rsidR="00111EB2" w:rsidRPr="006C6C90">
          <w:rPr>
            <w:rFonts w:ascii="Georgia" w:hAnsi="Georgia"/>
            <w:noProof/>
            <w:webHidden/>
            <w:sz w:val="18"/>
            <w:szCs w:val="18"/>
          </w:rPr>
          <w:fldChar w:fldCharType="end"/>
        </w:r>
      </w:hyperlink>
    </w:p>
    <w:p w14:paraId="7CE76E67" w14:textId="1FD356AE" w:rsidR="00111EB2" w:rsidRPr="00F91954" w:rsidRDefault="00133798">
      <w:pPr>
        <w:pStyle w:val="Iliustracijsraas"/>
        <w:tabs>
          <w:tab w:val="right" w:leader="dot" w:pos="9016"/>
        </w:tabs>
        <w:rPr>
          <w:rFonts w:ascii="Georgia" w:eastAsiaTheme="minorEastAsia" w:hAnsi="Georgia"/>
          <w:noProof/>
          <w:sz w:val="18"/>
          <w:szCs w:val="18"/>
        </w:rPr>
      </w:pPr>
      <w:hyperlink w:anchor="_Toc507939297" w:history="1">
        <w:r w:rsidR="00111EB2" w:rsidRPr="00F91954">
          <w:rPr>
            <w:rStyle w:val="Hipersaitas"/>
            <w:rFonts w:ascii="Georgia" w:hAnsi="Georgia"/>
            <w:noProof/>
            <w:sz w:val="18"/>
            <w:szCs w:val="18"/>
            <w:lang w:val="lt-LT"/>
          </w:rPr>
          <w:t>Paveikslas 38. Pagrindiniai stebėsenos elementai</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_Toc507939297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222</w:t>
        </w:r>
        <w:r w:rsidR="00111EB2" w:rsidRPr="006C6C90">
          <w:rPr>
            <w:rFonts w:ascii="Georgia" w:hAnsi="Georgia"/>
            <w:noProof/>
            <w:webHidden/>
            <w:sz w:val="18"/>
            <w:szCs w:val="18"/>
          </w:rPr>
          <w:fldChar w:fldCharType="end"/>
        </w:r>
      </w:hyperlink>
    </w:p>
    <w:p w14:paraId="55835BF4" w14:textId="6AA85C18" w:rsidR="00111EB2" w:rsidRPr="00F91954" w:rsidRDefault="00133798">
      <w:pPr>
        <w:pStyle w:val="Iliustracijsraas"/>
        <w:tabs>
          <w:tab w:val="right" w:leader="dot" w:pos="9016"/>
        </w:tabs>
        <w:rPr>
          <w:rFonts w:ascii="Georgia" w:eastAsiaTheme="minorEastAsia" w:hAnsi="Georgia"/>
          <w:noProof/>
          <w:sz w:val="18"/>
          <w:szCs w:val="18"/>
        </w:rPr>
      </w:pPr>
      <w:hyperlink w:anchor="_Toc507939298" w:history="1">
        <w:r w:rsidR="00111EB2" w:rsidRPr="00F91954">
          <w:rPr>
            <w:rStyle w:val="Hipersaitas"/>
            <w:rFonts w:ascii="Georgia" w:hAnsi="Georgia"/>
            <w:noProof/>
            <w:sz w:val="18"/>
            <w:szCs w:val="18"/>
            <w:lang w:val="lt-LT"/>
          </w:rPr>
          <w:t xml:space="preserve">Paveikslas 39. </w:t>
        </w:r>
        <w:r w:rsidR="00111EB2" w:rsidRPr="00F91954">
          <w:rPr>
            <w:rStyle w:val="Hipersaitas"/>
            <w:rFonts w:ascii="Georgia" w:eastAsia="Times New Roman" w:hAnsi="Georgia"/>
            <w:noProof/>
            <w:sz w:val="18"/>
            <w:szCs w:val="18"/>
            <w:lang w:val="lt-LT" w:eastAsia="lt-LT"/>
          </w:rPr>
          <w:t>Siūloma savivaldybių viešųjų pastatų renovacijos, naudojant finansines priemones, schema</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_Toc507939298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227</w:t>
        </w:r>
        <w:r w:rsidR="00111EB2" w:rsidRPr="006C6C90">
          <w:rPr>
            <w:rFonts w:ascii="Georgia" w:hAnsi="Georgia"/>
            <w:noProof/>
            <w:webHidden/>
            <w:sz w:val="18"/>
            <w:szCs w:val="18"/>
          </w:rPr>
          <w:fldChar w:fldCharType="end"/>
        </w:r>
      </w:hyperlink>
    </w:p>
    <w:p w14:paraId="2B6B8745" w14:textId="120C6421" w:rsidR="00111EB2" w:rsidRPr="00F91954" w:rsidRDefault="00133798">
      <w:pPr>
        <w:pStyle w:val="Iliustracijsraas"/>
        <w:tabs>
          <w:tab w:val="right" w:leader="dot" w:pos="9016"/>
        </w:tabs>
        <w:rPr>
          <w:rFonts w:ascii="Georgia" w:eastAsiaTheme="minorEastAsia" w:hAnsi="Georgia"/>
          <w:noProof/>
          <w:sz w:val="18"/>
          <w:szCs w:val="18"/>
        </w:rPr>
      </w:pPr>
      <w:hyperlink w:anchor="_Toc507939299" w:history="1">
        <w:r w:rsidR="00111EB2" w:rsidRPr="00F91954">
          <w:rPr>
            <w:rStyle w:val="Hipersaitas"/>
            <w:rFonts w:ascii="Georgia" w:hAnsi="Georgia"/>
            <w:noProof/>
            <w:sz w:val="18"/>
            <w:szCs w:val="18"/>
            <w:lang w:val="lt-LT"/>
          </w:rPr>
          <w:t>Paveikslas 40. Finansinės priemonės arba fondų fondo valdymo struktūros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_Toc507939299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229</w:t>
        </w:r>
        <w:r w:rsidR="00111EB2" w:rsidRPr="006C6C90">
          <w:rPr>
            <w:rFonts w:ascii="Georgia" w:hAnsi="Georgia"/>
            <w:noProof/>
            <w:webHidden/>
            <w:sz w:val="18"/>
            <w:szCs w:val="18"/>
          </w:rPr>
          <w:fldChar w:fldCharType="end"/>
        </w:r>
      </w:hyperlink>
    </w:p>
    <w:p w14:paraId="57311D8F" w14:textId="7D8870E8" w:rsidR="00111EB2" w:rsidRPr="00F91954" w:rsidRDefault="00133798">
      <w:pPr>
        <w:pStyle w:val="Iliustracijsraas"/>
        <w:tabs>
          <w:tab w:val="right" w:leader="dot" w:pos="9016"/>
        </w:tabs>
        <w:rPr>
          <w:rFonts w:ascii="Georgia" w:eastAsiaTheme="minorEastAsia" w:hAnsi="Georgia"/>
          <w:noProof/>
          <w:sz w:val="18"/>
          <w:szCs w:val="18"/>
        </w:rPr>
      </w:pPr>
      <w:hyperlink w:anchor="_Toc507939300" w:history="1">
        <w:r w:rsidR="00111EB2" w:rsidRPr="00F91954">
          <w:rPr>
            <w:rStyle w:val="Hipersaitas"/>
            <w:rFonts w:ascii="Georgia" w:hAnsi="Georgia"/>
            <w:noProof/>
            <w:sz w:val="18"/>
            <w:szCs w:val="18"/>
            <w:lang w:val="lt-LT"/>
          </w:rPr>
          <w:t xml:space="preserve">Paveikslas 41. Finansinės priemonės arba fondų </w:t>
        </w:r>
        <w:r w:rsidR="00111EB2" w:rsidRPr="00F91954">
          <w:rPr>
            <w:rStyle w:val="Hipersaitas"/>
            <w:rFonts w:ascii="Georgia" w:eastAsia="Times New Roman" w:hAnsi="Georgia"/>
            <w:noProof/>
            <w:sz w:val="18"/>
            <w:szCs w:val="18"/>
            <w:lang w:val="lt-LT" w:eastAsia="lt-LT"/>
          </w:rPr>
          <w:t>fondo sukūrimas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_Toc507939300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231</w:t>
        </w:r>
        <w:r w:rsidR="00111EB2" w:rsidRPr="006C6C90">
          <w:rPr>
            <w:rFonts w:ascii="Georgia" w:hAnsi="Georgia"/>
            <w:noProof/>
            <w:webHidden/>
            <w:sz w:val="18"/>
            <w:szCs w:val="18"/>
          </w:rPr>
          <w:fldChar w:fldCharType="end"/>
        </w:r>
      </w:hyperlink>
    </w:p>
    <w:p w14:paraId="1247D955" w14:textId="6C8FC28B" w:rsidR="00111EB2" w:rsidRPr="00F91954" w:rsidRDefault="00133798">
      <w:pPr>
        <w:pStyle w:val="Iliustracijsraas"/>
        <w:tabs>
          <w:tab w:val="right" w:leader="dot" w:pos="9016"/>
        </w:tabs>
        <w:rPr>
          <w:rFonts w:ascii="Georgia" w:eastAsiaTheme="minorEastAsia" w:hAnsi="Georgia"/>
          <w:noProof/>
          <w:sz w:val="18"/>
          <w:szCs w:val="18"/>
        </w:rPr>
      </w:pPr>
      <w:hyperlink w:anchor="_Toc507939301" w:history="1">
        <w:r w:rsidR="00111EB2" w:rsidRPr="00F91954">
          <w:rPr>
            <w:rStyle w:val="Hipersaitas"/>
            <w:rFonts w:ascii="Georgia" w:hAnsi="Georgia"/>
            <w:noProof/>
            <w:sz w:val="18"/>
            <w:szCs w:val="18"/>
            <w:lang w:val="lt-LT"/>
          </w:rPr>
          <w:t>Paveikslas 42.</w:t>
        </w:r>
        <w:r w:rsidR="00111EB2" w:rsidRPr="00F91954">
          <w:rPr>
            <w:rStyle w:val="Hipersaitas"/>
            <w:rFonts w:ascii="Georgia" w:eastAsia="Times New Roman" w:hAnsi="Georgia"/>
            <w:noProof/>
            <w:sz w:val="18"/>
            <w:szCs w:val="18"/>
            <w:lang w:val="lt-LT" w:eastAsia="lt-LT"/>
          </w:rPr>
          <w:t xml:space="preserve"> Juridinio asmens statusą turinčio fondo steigimas Lietuvoje</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_Toc507939301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232</w:t>
        </w:r>
        <w:r w:rsidR="00111EB2" w:rsidRPr="006C6C90">
          <w:rPr>
            <w:rFonts w:ascii="Georgia" w:hAnsi="Georgia"/>
            <w:noProof/>
            <w:webHidden/>
            <w:sz w:val="18"/>
            <w:szCs w:val="18"/>
          </w:rPr>
          <w:fldChar w:fldCharType="end"/>
        </w:r>
      </w:hyperlink>
    </w:p>
    <w:p w14:paraId="6969584F" w14:textId="1753CE2D" w:rsidR="00111EB2" w:rsidRPr="00F91954" w:rsidRDefault="00133798">
      <w:pPr>
        <w:pStyle w:val="Iliustracijsraas"/>
        <w:tabs>
          <w:tab w:val="right" w:leader="dot" w:pos="9016"/>
        </w:tabs>
        <w:rPr>
          <w:rFonts w:ascii="Georgia" w:eastAsiaTheme="minorEastAsia" w:hAnsi="Georgia"/>
          <w:noProof/>
          <w:sz w:val="18"/>
          <w:szCs w:val="18"/>
        </w:rPr>
      </w:pPr>
      <w:hyperlink w:anchor="_Toc507939302" w:history="1">
        <w:r w:rsidR="00111EB2" w:rsidRPr="00F91954">
          <w:rPr>
            <w:rStyle w:val="Hipersaitas"/>
            <w:rFonts w:ascii="Georgia" w:hAnsi="Georgia"/>
            <w:noProof/>
            <w:sz w:val="18"/>
            <w:szCs w:val="18"/>
            <w:lang w:val="lt-LT"/>
          </w:rPr>
          <w:t xml:space="preserve">Paveikslas 43. </w:t>
        </w:r>
        <w:r w:rsidR="00111EB2" w:rsidRPr="00F91954">
          <w:rPr>
            <w:rStyle w:val="Hipersaitas"/>
            <w:rFonts w:ascii="Georgia" w:eastAsia="Times New Roman" w:hAnsi="Georgia"/>
            <w:noProof/>
            <w:sz w:val="18"/>
            <w:szCs w:val="18"/>
            <w:lang w:val="lt-LT" w:eastAsia="lt-LT"/>
          </w:rPr>
          <w:t>2014-2020 lėšų investavimas į finansinę priemonę (sąskaitų rinkinį finansų įstaigoje) ir investicinio fondo steigimas</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_Toc507939302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234</w:t>
        </w:r>
        <w:r w:rsidR="00111EB2" w:rsidRPr="006C6C90">
          <w:rPr>
            <w:rFonts w:ascii="Georgia" w:hAnsi="Georgia"/>
            <w:noProof/>
            <w:webHidden/>
            <w:sz w:val="18"/>
            <w:szCs w:val="18"/>
          </w:rPr>
          <w:fldChar w:fldCharType="end"/>
        </w:r>
      </w:hyperlink>
    </w:p>
    <w:p w14:paraId="096DC504" w14:textId="37860893" w:rsidR="00111EB2" w:rsidRPr="00F91954" w:rsidRDefault="00133798">
      <w:pPr>
        <w:pStyle w:val="Iliustracijsraas"/>
        <w:tabs>
          <w:tab w:val="right" w:leader="dot" w:pos="9016"/>
        </w:tabs>
        <w:rPr>
          <w:rFonts w:ascii="Georgia" w:eastAsiaTheme="minorEastAsia" w:hAnsi="Georgia"/>
          <w:noProof/>
          <w:sz w:val="18"/>
          <w:szCs w:val="18"/>
        </w:rPr>
      </w:pPr>
      <w:hyperlink w:anchor="_Toc507939303" w:history="1">
        <w:r w:rsidR="00111EB2" w:rsidRPr="00F91954">
          <w:rPr>
            <w:rStyle w:val="Hipersaitas"/>
            <w:rFonts w:ascii="Georgia" w:hAnsi="Georgia"/>
            <w:noProof/>
            <w:sz w:val="18"/>
            <w:szCs w:val="18"/>
            <w:lang w:val="lt-LT"/>
          </w:rPr>
          <w:t>Paveikslas 44. Pagrindiniai stebėsenos elementai</w:t>
        </w:r>
        <w:r w:rsidR="00111EB2" w:rsidRPr="00F91954">
          <w:rPr>
            <w:rFonts w:ascii="Georgia" w:hAnsi="Georgia"/>
            <w:noProof/>
            <w:webHidden/>
            <w:sz w:val="18"/>
            <w:szCs w:val="18"/>
          </w:rPr>
          <w:tab/>
        </w:r>
        <w:r w:rsidR="00111EB2" w:rsidRPr="006C6C90">
          <w:rPr>
            <w:rFonts w:ascii="Georgia" w:hAnsi="Georgia"/>
            <w:noProof/>
            <w:webHidden/>
            <w:sz w:val="18"/>
            <w:szCs w:val="18"/>
          </w:rPr>
          <w:fldChar w:fldCharType="begin"/>
        </w:r>
        <w:r w:rsidR="00111EB2" w:rsidRPr="00F91954">
          <w:rPr>
            <w:rFonts w:ascii="Georgia" w:hAnsi="Georgia"/>
            <w:noProof/>
            <w:webHidden/>
            <w:sz w:val="18"/>
            <w:szCs w:val="18"/>
          </w:rPr>
          <w:instrText xml:space="preserve"> PAGEREF _Toc507939303 \h </w:instrText>
        </w:r>
        <w:r w:rsidR="00111EB2" w:rsidRPr="006C6C90">
          <w:rPr>
            <w:rFonts w:ascii="Georgia" w:hAnsi="Georgia"/>
            <w:noProof/>
            <w:webHidden/>
            <w:sz w:val="18"/>
            <w:szCs w:val="18"/>
          </w:rPr>
        </w:r>
        <w:r w:rsidR="00111EB2" w:rsidRPr="006C6C90">
          <w:rPr>
            <w:rFonts w:ascii="Georgia" w:hAnsi="Georgia"/>
            <w:noProof/>
            <w:webHidden/>
            <w:sz w:val="18"/>
            <w:szCs w:val="18"/>
          </w:rPr>
          <w:fldChar w:fldCharType="separate"/>
        </w:r>
        <w:r w:rsidR="009652A6">
          <w:rPr>
            <w:rFonts w:ascii="Georgia" w:hAnsi="Georgia"/>
            <w:noProof/>
            <w:webHidden/>
            <w:sz w:val="18"/>
            <w:szCs w:val="18"/>
          </w:rPr>
          <w:t>238</w:t>
        </w:r>
        <w:r w:rsidR="00111EB2" w:rsidRPr="006C6C90">
          <w:rPr>
            <w:rFonts w:ascii="Georgia" w:hAnsi="Georgia"/>
            <w:noProof/>
            <w:webHidden/>
            <w:sz w:val="18"/>
            <w:szCs w:val="18"/>
          </w:rPr>
          <w:fldChar w:fldCharType="end"/>
        </w:r>
      </w:hyperlink>
    </w:p>
    <w:p w14:paraId="2929A5A7" w14:textId="3E5319E6" w:rsidR="00FC2E80" w:rsidRPr="00E51EB2" w:rsidRDefault="0010799D" w:rsidP="009F55BB">
      <w:pPr>
        <w:pStyle w:val="Antrat"/>
        <w:spacing w:line="276" w:lineRule="auto"/>
        <w:jc w:val="both"/>
        <w:rPr>
          <w:rFonts w:eastAsiaTheme="majorEastAsia" w:cstheme="majorBidi"/>
          <w:b w:val="0"/>
          <w:bCs w:val="0"/>
          <w:color w:val="365F91" w:themeColor="accent1" w:themeShade="BF"/>
          <w:szCs w:val="20"/>
          <w:lang w:val="lt-LT"/>
        </w:rPr>
      </w:pPr>
      <w:r w:rsidRPr="00F91954">
        <w:rPr>
          <w:b w:val="0"/>
          <w:sz w:val="18"/>
          <w:lang w:val="lt-LT"/>
        </w:rPr>
        <w:fldChar w:fldCharType="end"/>
      </w:r>
    </w:p>
    <w:p w14:paraId="3DC4C080" w14:textId="69A1EA17" w:rsidR="008278D4" w:rsidRPr="002142B8" w:rsidRDefault="004838BF" w:rsidP="006977C2">
      <w:pPr>
        <w:pStyle w:val="Non-numberedHeading1"/>
        <w:rPr>
          <w:lang w:val="lt-LT"/>
        </w:rPr>
      </w:pPr>
      <w:bookmarkStart w:id="5" w:name="_Toc25589875"/>
      <w:r w:rsidRPr="002142B8">
        <w:rPr>
          <w:lang w:val="lt-LT"/>
        </w:rPr>
        <w:lastRenderedPageBreak/>
        <w:t>Žodynas</w:t>
      </w:r>
      <w:bookmarkEnd w:id="5"/>
    </w:p>
    <w:tbl>
      <w:tblPr>
        <w:tblStyle w:val="Lentelstinklelis"/>
        <w:tblW w:w="4966" w:type="pct"/>
        <w:tblLayout w:type="fixed"/>
        <w:tblLook w:val="04A0" w:firstRow="1" w:lastRow="0" w:firstColumn="1" w:lastColumn="0" w:noHBand="0" w:noVBand="1"/>
      </w:tblPr>
      <w:tblGrid>
        <w:gridCol w:w="1950"/>
        <w:gridCol w:w="7229"/>
      </w:tblGrid>
      <w:tr w:rsidR="00E91778" w:rsidRPr="002142B8" w14:paraId="282DC51D" w14:textId="77777777" w:rsidTr="00975DB0">
        <w:tc>
          <w:tcPr>
            <w:tcW w:w="1062" w:type="pct"/>
          </w:tcPr>
          <w:p w14:paraId="4019B741"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 xml:space="preserve">2014-2020 m. ES lėšos </w:t>
            </w:r>
          </w:p>
        </w:tc>
        <w:tc>
          <w:tcPr>
            <w:tcW w:w="3938" w:type="pct"/>
          </w:tcPr>
          <w:p w14:paraId="359820C4"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Pagal 2014-2020 metų Europos Sąjungos fondų investicijų veiksmų programą projektų finansavimui skiriamos lėšos</w:t>
            </w:r>
          </w:p>
        </w:tc>
      </w:tr>
      <w:tr w:rsidR="00E91778" w:rsidRPr="002142B8" w14:paraId="6B68BAF4" w14:textId="77777777" w:rsidTr="00975DB0">
        <w:tc>
          <w:tcPr>
            <w:tcW w:w="1062" w:type="pct"/>
          </w:tcPr>
          <w:p w14:paraId="7EEFAF11"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2014-2020 m. veiksmų programa</w:t>
            </w:r>
          </w:p>
        </w:tc>
        <w:tc>
          <w:tcPr>
            <w:tcW w:w="3938" w:type="pct"/>
          </w:tcPr>
          <w:p w14:paraId="4C1C0E98"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2014 m. rugsėjo 8 d. Europos Komisijos patvirtinta 2014-2020 metų Europos Sąjungos fondų investicijų veiksmų programa</w:t>
            </w:r>
          </w:p>
        </w:tc>
      </w:tr>
      <w:tr w:rsidR="00E91778" w:rsidRPr="002142B8" w14:paraId="7F1F912D" w14:textId="77777777" w:rsidTr="00975DB0">
        <w:tc>
          <w:tcPr>
            <w:tcW w:w="1062" w:type="pct"/>
          </w:tcPr>
          <w:p w14:paraId="2BD90566"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2014-2020 m. periodas</w:t>
            </w:r>
          </w:p>
        </w:tc>
        <w:tc>
          <w:tcPr>
            <w:tcW w:w="3938" w:type="pct"/>
          </w:tcPr>
          <w:p w14:paraId="3FB0DD1E"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2014-2020 m. laikotarpis, kuriam skiriamos ESI fondų lėšos įgyvendinti 2014-2020 m. veiksmų programą</w:t>
            </w:r>
          </w:p>
        </w:tc>
      </w:tr>
      <w:tr w:rsidR="00E91778" w:rsidRPr="002142B8" w14:paraId="5A0FAF6D" w14:textId="77777777" w:rsidTr="00975DB0">
        <w:tc>
          <w:tcPr>
            <w:tcW w:w="1062" w:type="pct"/>
          </w:tcPr>
          <w:p w14:paraId="79115DE9"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2007-2013 m. periodas</w:t>
            </w:r>
          </w:p>
        </w:tc>
        <w:tc>
          <w:tcPr>
            <w:tcW w:w="3938" w:type="pct"/>
          </w:tcPr>
          <w:p w14:paraId="2A4CA982"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2007-2013 m. laikotarpis, kuriam buvo skirtos ESI fondų lėšos įgyvendinti 2007-2013 m. Sanglaudos skatinimo veiksmų programą, 2007-2013 m. Ekonomikos augimo veiksmų programą ir 2007-2013 m. Žmogiškųjų išteklių plėtros veiksmų programą</w:t>
            </w:r>
          </w:p>
        </w:tc>
      </w:tr>
      <w:tr w:rsidR="00BA7CAB" w:rsidRPr="002142B8" w14:paraId="4BCF6931" w14:textId="77777777" w:rsidTr="00975DB0">
        <w:tc>
          <w:tcPr>
            <w:tcW w:w="1062" w:type="pct"/>
          </w:tcPr>
          <w:p w14:paraId="1E73ADF9" w14:textId="717B1C94" w:rsidR="00BA7CAB" w:rsidRPr="002142B8" w:rsidRDefault="00BA7CAB" w:rsidP="001D54C7">
            <w:pPr>
              <w:jc w:val="both"/>
              <w:rPr>
                <w:rFonts w:ascii="Georgia" w:hAnsi="Georgia" w:cs="Times New Roman"/>
                <w:sz w:val="20"/>
                <w:lang w:val="lt-LT"/>
              </w:rPr>
            </w:pPr>
            <w:r w:rsidRPr="002142B8">
              <w:rPr>
                <w:rFonts w:ascii="Georgia" w:hAnsi="Georgia" w:cs="Times New Roman"/>
                <w:sz w:val="20"/>
                <w:lang w:val="lt-LT"/>
              </w:rPr>
              <w:t>AIE</w:t>
            </w:r>
          </w:p>
        </w:tc>
        <w:tc>
          <w:tcPr>
            <w:tcW w:w="3938" w:type="pct"/>
          </w:tcPr>
          <w:p w14:paraId="56E5E001" w14:textId="103E9961" w:rsidR="00BA7CAB" w:rsidRPr="002142B8" w:rsidRDefault="00BA7CAB" w:rsidP="001D54C7">
            <w:pPr>
              <w:jc w:val="both"/>
              <w:rPr>
                <w:rFonts w:ascii="Georgia" w:hAnsi="Georgia" w:cs="Times New Roman"/>
                <w:sz w:val="20"/>
                <w:lang w:val="lt-LT"/>
              </w:rPr>
            </w:pPr>
            <w:r w:rsidRPr="002142B8">
              <w:rPr>
                <w:rFonts w:ascii="Georgia" w:hAnsi="Georgia" w:cs="Times New Roman"/>
                <w:sz w:val="20"/>
                <w:lang w:val="lt-LT"/>
              </w:rPr>
              <w:t>Atsinaujinančių išteklių energija</w:t>
            </w:r>
          </w:p>
        </w:tc>
      </w:tr>
      <w:tr w:rsidR="00E91778" w:rsidRPr="002142B8" w14:paraId="3587A924" w14:textId="77777777" w:rsidTr="00975DB0">
        <w:tc>
          <w:tcPr>
            <w:tcW w:w="1062" w:type="pct"/>
          </w:tcPr>
          <w:p w14:paraId="26C9C237"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Bendrųjų nuostatų reglamentas</w:t>
            </w:r>
          </w:p>
        </w:tc>
        <w:tc>
          <w:tcPr>
            <w:tcW w:w="3938" w:type="pct"/>
          </w:tcPr>
          <w:p w14:paraId="252C74C0"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 xml:space="preserve"> 2013 m. gruodžio 17 d. Europos Parlamento ir Tarybos reglamentas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w:t>
            </w:r>
          </w:p>
        </w:tc>
      </w:tr>
      <w:tr w:rsidR="00E91778" w:rsidRPr="002142B8" w14:paraId="2FDC6DF9" w14:textId="77777777" w:rsidTr="00975DB0">
        <w:tc>
          <w:tcPr>
            <w:tcW w:w="1062" w:type="pct"/>
          </w:tcPr>
          <w:p w14:paraId="3070972E"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BETA</w:t>
            </w:r>
          </w:p>
        </w:tc>
        <w:tc>
          <w:tcPr>
            <w:tcW w:w="3938" w:type="pct"/>
          </w:tcPr>
          <w:p w14:paraId="6A649607"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VšĮ „Būsto energijos taupymo agentūra“</w:t>
            </w:r>
          </w:p>
        </w:tc>
      </w:tr>
      <w:tr w:rsidR="00E91778" w:rsidRPr="002142B8" w14:paraId="33356975" w14:textId="77777777" w:rsidTr="00975DB0">
        <w:tc>
          <w:tcPr>
            <w:tcW w:w="1062" w:type="pct"/>
          </w:tcPr>
          <w:p w14:paraId="1D515FF1"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Centrinės valdžios pastatai</w:t>
            </w:r>
          </w:p>
        </w:tc>
        <w:tc>
          <w:tcPr>
            <w:tcW w:w="3938" w:type="pct"/>
          </w:tcPr>
          <w:p w14:paraId="55DA4FD4"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Centrinės valdžios subjektams priklausantys ir jų naudojami šildomi ir (arba) vėsinami pastatai</w:t>
            </w:r>
          </w:p>
        </w:tc>
      </w:tr>
      <w:tr w:rsidR="00E91778" w:rsidRPr="002142B8" w14:paraId="48929CC0" w14:textId="77777777" w:rsidTr="00975DB0">
        <w:tc>
          <w:tcPr>
            <w:tcW w:w="1062" w:type="pct"/>
          </w:tcPr>
          <w:p w14:paraId="231B877F"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CLEERE</w:t>
            </w:r>
          </w:p>
        </w:tc>
        <w:tc>
          <w:tcPr>
            <w:tcW w:w="3938" w:type="pct"/>
          </w:tcPr>
          <w:p w14:paraId="7229CC61"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Klimato kaitos, energijos efektyvumo ir atsinaujinančių energijos išteklių (</w:t>
            </w:r>
            <w:r w:rsidRPr="002142B8">
              <w:rPr>
                <w:rFonts w:ascii="Georgia" w:hAnsi="Georgia" w:cs="Arial"/>
                <w:i/>
                <w:sz w:val="20"/>
                <w:szCs w:val="20"/>
                <w:lang w:val="lt-LT"/>
              </w:rPr>
              <w:t>angl. The Climate Change, Energy Efficiency and Renewable Energy</w:t>
            </w:r>
            <w:r w:rsidRPr="002142B8">
              <w:rPr>
                <w:rFonts w:ascii="Georgia" w:hAnsi="Georgia" w:cs="Arial"/>
                <w:sz w:val="20"/>
                <w:szCs w:val="20"/>
                <w:lang w:val="lt-LT"/>
              </w:rPr>
              <w:t>)</w:t>
            </w:r>
          </w:p>
        </w:tc>
      </w:tr>
      <w:tr w:rsidR="00E91778" w:rsidRPr="002142B8" w14:paraId="6A1FD12D" w14:textId="77777777" w:rsidTr="00975DB0">
        <w:tc>
          <w:tcPr>
            <w:tcW w:w="1062" w:type="pct"/>
          </w:tcPr>
          <w:p w14:paraId="3B9440CD"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Deleguotas reglamentas</w:t>
            </w:r>
          </w:p>
        </w:tc>
        <w:tc>
          <w:tcPr>
            <w:tcW w:w="3938" w:type="pct"/>
          </w:tcPr>
          <w:p w14:paraId="4186C427"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 xml:space="preserve"> 2014 m. kovo 3 d. Komisijos deleguotasis reglamentas (ES) Nr. 480/2014, kuriuo papildomas Europos Parlamento ir Tarybos reglamentas (ES) Nr. 1303/2013, kuriuo nustatomos Europos regioninės plėtros fondui, Europos socialiniam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nuostatos</w:t>
            </w:r>
          </w:p>
        </w:tc>
      </w:tr>
      <w:tr w:rsidR="00E91778" w:rsidRPr="002142B8" w14:paraId="6B453145" w14:textId="77777777" w:rsidTr="00975DB0">
        <w:tc>
          <w:tcPr>
            <w:tcW w:w="1062" w:type="pct"/>
          </w:tcPr>
          <w:p w14:paraId="61A89059"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DSCR</w:t>
            </w:r>
          </w:p>
        </w:tc>
        <w:tc>
          <w:tcPr>
            <w:tcW w:w="3938" w:type="pct"/>
          </w:tcPr>
          <w:p w14:paraId="1AB6A0D8"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Finansinių skolų aptarnavimo rodiklis, parodantis gebėjimą apmokėti finansines skolas. Angliškas trumpinys, angl. Debt-Service Coverage Ratio.</w:t>
            </w:r>
          </w:p>
        </w:tc>
      </w:tr>
      <w:tr w:rsidR="00E91778" w:rsidRPr="002142B8" w14:paraId="6256535F" w14:textId="77777777" w:rsidTr="00975DB0">
        <w:tc>
          <w:tcPr>
            <w:tcW w:w="1062" w:type="pct"/>
          </w:tcPr>
          <w:p w14:paraId="588003C0"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DSRA</w:t>
            </w:r>
          </w:p>
        </w:tc>
        <w:tc>
          <w:tcPr>
            <w:tcW w:w="3938" w:type="pct"/>
          </w:tcPr>
          <w:p w14:paraId="421CB4F1"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Paskolų aptarnavimo rezervo rodiklis (angl. debt service reserve account)</w:t>
            </w:r>
          </w:p>
        </w:tc>
      </w:tr>
      <w:tr w:rsidR="00E91778" w:rsidRPr="002142B8" w14:paraId="5BC99EDB" w14:textId="77777777" w:rsidTr="00975DB0">
        <w:tc>
          <w:tcPr>
            <w:tcW w:w="1062" w:type="pct"/>
          </w:tcPr>
          <w:p w14:paraId="24C94AD7"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EEEF</w:t>
            </w:r>
          </w:p>
        </w:tc>
        <w:tc>
          <w:tcPr>
            <w:tcW w:w="3938" w:type="pct"/>
          </w:tcPr>
          <w:p w14:paraId="5948E016"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Europos energetinio efektyvumo fondas (</w:t>
            </w:r>
            <w:r w:rsidRPr="002142B8">
              <w:rPr>
                <w:rFonts w:ascii="Georgia" w:hAnsi="Georgia" w:cs="Arial"/>
                <w:i/>
                <w:sz w:val="20"/>
                <w:szCs w:val="20"/>
                <w:lang w:val="lt-LT"/>
              </w:rPr>
              <w:t>angl. European Energy Efficiency Fund</w:t>
            </w:r>
            <w:r w:rsidRPr="002142B8">
              <w:rPr>
                <w:rFonts w:ascii="Georgia" w:hAnsi="Georgia" w:cs="Arial"/>
                <w:sz w:val="20"/>
                <w:szCs w:val="20"/>
                <w:lang w:val="lt-LT"/>
              </w:rPr>
              <w:t xml:space="preserve">) </w:t>
            </w:r>
          </w:p>
        </w:tc>
      </w:tr>
      <w:tr w:rsidR="00E91778" w:rsidRPr="002142B8" w14:paraId="29CAE47C" w14:textId="77777777" w:rsidTr="00975DB0">
        <w:tc>
          <w:tcPr>
            <w:tcW w:w="1062" w:type="pct"/>
          </w:tcPr>
          <w:p w14:paraId="60E022DB" w14:textId="77777777" w:rsidR="00E91778" w:rsidRPr="002142B8" w:rsidRDefault="00E91778" w:rsidP="001D54C7">
            <w:pPr>
              <w:jc w:val="both"/>
              <w:rPr>
                <w:rFonts w:ascii="Georgia" w:hAnsi="Georgia" w:cs="Arial"/>
                <w:sz w:val="20"/>
                <w:szCs w:val="20"/>
                <w:lang w:val="lt-LT"/>
              </w:rPr>
            </w:pPr>
            <w:r w:rsidRPr="002142B8">
              <w:rPr>
                <w:rFonts w:ascii="Georgia" w:hAnsi="Georgia"/>
                <w:sz w:val="20"/>
                <w:szCs w:val="20"/>
                <w:lang w:val="lt-LT"/>
              </w:rPr>
              <w:t>EERSF</w:t>
            </w:r>
          </w:p>
        </w:tc>
        <w:tc>
          <w:tcPr>
            <w:tcW w:w="3938" w:type="pct"/>
          </w:tcPr>
          <w:p w14:paraId="11A60999" w14:textId="77777777" w:rsidR="00E91778" w:rsidRPr="002142B8" w:rsidRDefault="00E91778" w:rsidP="001D54C7">
            <w:pPr>
              <w:jc w:val="both"/>
              <w:rPr>
                <w:rFonts w:ascii="Georgia" w:hAnsi="Georgia" w:cs="Arial"/>
                <w:sz w:val="20"/>
                <w:szCs w:val="20"/>
                <w:lang w:val="lt-LT"/>
              </w:rPr>
            </w:pPr>
            <w:r w:rsidRPr="002142B8">
              <w:rPr>
                <w:rFonts w:ascii="Georgia" w:hAnsi="Georgia"/>
                <w:bCs/>
                <w:sz w:val="20"/>
                <w:szCs w:val="20"/>
                <w:lang w:val="lt-LT"/>
              </w:rPr>
              <w:t xml:space="preserve">Energijos efektyvumo ir atsinaujinančių išteklių fondas Bulgarijoje </w:t>
            </w:r>
          </w:p>
        </w:tc>
      </w:tr>
      <w:tr w:rsidR="00E91778" w:rsidRPr="002142B8" w14:paraId="37F9DDA3" w14:textId="77777777" w:rsidTr="00975DB0">
        <w:tc>
          <w:tcPr>
            <w:tcW w:w="1062" w:type="pct"/>
          </w:tcPr>
          <w:p w14:paraId="67AC41D6"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EIB</w:t>
            </w:r>
          </w:p>
        </w:tc>
        <w:tc>
          <w:tcPr>
            <w:tcW w:w="3938" w:type="pct"/>
          </w:tcPr>
          <w:p w14:paraId="566691F2"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Europos investicijų bankas</w:t>
            </w:r>
          </w:p>
        </w:tc>
      </w:tr>
      <w:tr w:rsidR="00E91778" w:rsidRPr="002142B8" w14:paraId="7CA6EC77" w14:textId="77777777" w:rsidTr="00975DB0">
        <w:tc>
          <w:tcPr>
            <w:tcW w:w="1062" w:type="pct"/>
          </w:tcPr>
          <w:p w14:paraId="07B87F33"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EIF</w:t>
            </w:r>
          </w:p>
        </w:tc>
        <w:tc>
          <w:tcPr>
            <w:tcW w:w="3938" w:type="pct"/>
          </w:tcPr>
          <w:p w14:paraId="4BF477DB"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Europos investicijų fondas (</w:t>
            </w:r>
            <w:r w:rsidRPr="002142B8">
              <w:rPr>
                <w:rFonts w:ascii="Georgia" w:hAnsi="Georgia" w:cs="Arial"/>
                <w:i/>
                <w:sz w:val="20"/>
                <w:szCs w:val="20"/>
                <w:lang w:val="lt-LT"/>
              </w:rPr>
              <w:t>angl. European Investment Fund</w:t>
            </w:r>
            <w:r w:rsidRPr="002142B8">
              <w:rPr>
                <w:rFonts w:ascii="Georgia" w:hAnsi="Georgia" w:cs="Arial"/>
                <w:sz w:val="20"/>
                <w:szCs w:val="20"/>
                <w:lang w:val="lt-LT"/>
              </w:rPr>
              <w:t>)</w:t>
            </w:r>
          </w:p>
        </w:tc>
      </w:tr>
      <w:tr w:rsidR="00D90267" w:rsidRPr="002142B8" w14:paraId="43AC4792" w14:textId="77777777" w:rsidTr="00975DB0">
        <w:tc>
          <w:tcPr>
            <w:tcW w:w="1062" w:type="pct"/>
          </w:tcPr>
          <w:p w14:paraId="69FC0982" w14:textId="43428A39" w:rsidR="00D90267" w:rsidRPr="002142B8" w:rsidRDefault="00D90267" w:rsidP="001D54C7">
            <w:pPr>
              <w:jc w:val="both"/>
              <w:rPr>
                <w:rFonts w:ascii="Georgia" w:hAnsi="Georgia" w:cs="Arial"/>
                <w:sz w:val="20"/>
                <w:szCs w:val="20"/>
                <w:lang w:val="lt-LT"/>
              </w:rPr>
            </w:pPr>
            <w:r>
              <w:rPr>
                <w:rFonts w:ascii="Georgia" w:hAnsi="Georgia" w:cs="Arial"/>
                <w:sz w:val="20"/>
                <w:szCs w:val="20"/>
                <w:lang w:val="lt-LT"/>
              </w:rPr>
              <w:t>ENEF</w:t>
            </w:r>
          </w:p>
        </w:tc>
        <w:tc>
          <w:tcPr>
            <w:tcW w:w="3938" w:type="pct"/>
          </w:tcPr>
          <w:p w14:paraId="05059EDD" w14:textId="6ABD92E8" w:rsidR="00D90267" w:rsidRPr="002142B8" w:rsidRDefault="00D90267" w:rsidP="001D54C7">
            <w:pPr>
              <w:jc w:val="both"/>
              <w:rPr>
                <w:rFonts w:ascii="Georgia" w:hAnsi="Georgia" w:cs="Arial"/>
                <w:sz w:val="20"/>
                <w:szCs w:val="20"/>
                <w:lang w:val="lt-LT"/>
              </w:rPr>
            </w:pPr>
            <w:r>
              <w:rPr>
                <w:rFonts w:ascii="Georgia" w:hAnsi="Georgia" w:cs="Arial"/>
                <w:sz w:val="20"/>
                <w:szCs w:val="20"/>
                <w:lang w:val="lt-LT"/>
              </w:rPr>
              <w:t>Energijos efektyvumo fondas</w:t>
            </w:r>
          </w:p>
        </w:tc>
      </w:tr>
      <w:tr w:rsidR="00E91778" w:rsidRPr="002142B8" w14:paraId="62A9ABE3" w14:textId="77777777" w:rsidTr="00975DB0">
        <w:tc>
          <w:tcPr>
            <w:tcW w:w="1062" w:type="pct"/>
          </w:tcPr>
          <w:p w14:paraId="2ACA7E41"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Energijos efektyvumo direktyva</w:t>
            </w:r>
          </w:p>
        </w:tc>
        <w:tc>
          <w:tcPr>
            <w:tcW w:w="3938" w:type="pct"/>
          </w:tcPr>
          <w:p w14:paraId="355A422E"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 xml:space="preserve">2012 m. spalio 25 d. Europos Parlamento ir Tarybos direktyva 2012/27/ES dėl energijos vartojimo efektyvumo, kuria iš dalies keičiamos direktyvos 2009/125/EB ir 2010/30/ES bei kuria panaikinamos direktyvos 2004/8/EB ir </w:t>
            </w:r>
            <w:r w:rsidRPr="002142B8">
              <w:rPr>
                <w:rFonts w:ascii="Georgia" w:hAnsi="Georgia" w:cs="Times New Roman"/>
                <w:sz w:val="20"/>
                <w:lang w:val="lt-LT"/>
              </w:rPr>
              <w:lastRenderedPageBreak/>
              <w:t>2006/32/EB</w:t>
            </w:r>
          </w:p>
        </w:tc>
      </w:tr>
      <w:tr w:rsidR="00E91778" w:rsidRPr="002142B8" w14:paraId="66820C16" w14:textId="77777777" w:rsidTr="00975DB0">
        <w:tc>
          <w:tcPr>
            <w:tcW w:w="1062" w:type="pct"/>
          </w:tcPr>
          <w:p w14:paraId="223400C1" w14:textId="77777777" w:rsidR="00E91778" w:rsidRPr="002142B8" w:rsidRDefault="00E91778" w:rsidP="001D54C7">
            <w:pPr>
              <w:jc w:val="both"/>
              <w:rPr>
                <w:rFonts w:ascii="Georgia" w:hAnsi="Georgia" w:cs="Arial"/>
                <w:sz w:val="20"/>
                <w:szCs w:val="20"/>
                <w:lang w:val="lt-LT"/>
              </w:rPr>
            </w:pPr>
            <w:r w:rsidRPr="002142B8">
              <w:rPr>
                <w:rFonts w:ascii="Georgia" w:hAnsi="Georgia"/>
                <w:sz w:val="20"/>
                <w:szCs w:val="20"/>
                <w:lang w:val="lt-LT"/>
              </w:rPr>
              <w:lastRenderedPageBreak/>
              <w:t>ERPF</w:t>
            </w:r>
          </w:p>
        </w:tc>
        <w:tc>
          <w:tcPr>
            <w:tcW w:w="3938" w:type="pct"/>
          </w:tcPr>
          <w:p w14:paraId="400DA50F"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Europos regioninės plėtros fondas</w:t>
            </w:r>
          </w:p>
        </w:tc>
      </w:tr>
      <w:tr w:rsidR="00E91778" w:rsidRPr="002142B8" w14:paraId="30E6C3EA" w14:textId="77777777" w:rsidTr="00975DB0">
        <w:tc>
          <w:tcPr>
            <w:tcW w:w="1062" w:type="pct"/>
          </w:tcPr>
          <w:p w14:paraId="26168774"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ERPB</w:t>
            </w:r>
          </w:p>
        </w:tc>
        <w:tc>
          <w:tcPr>
            <w:tcW w:w="3938" w:type="pct"/>
          </w:tcPr>
          <w:p w14:paraId="4957305A"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Europos rekonstrukcijos ir plėtros bankas (</w:t>
            </w:r>
            <w:r w:rsidRPr="002142B8">
              <w:rPr>
                <w:rFonts w:ascii="Georgia" w:hAnsi="Georgia" w:cs="Arial"/>
                <w:i/>
                <w:sz w:val="20"/>
                <w:szCs w:val="20"/>
                <w:lang w:val="lt-LT"/>
              </w:rPr>
              <w:t>angl. European Bank for Restructuring and Development</w:t>
            </w:r>
            <w:r w:rsidRPr="002142B8">
              <w:rPr>
                <w:rFonts w:ascii="Georgia" w:hAnsi="Georgia" w:cs="Arial"/>
                <w:sz w:val="20"/>
                <w:szCs w:val="20"/>
                <w:lang w:val="lt-LT"/>
              </w:rPr>
              <w:t>)</w:t>
            </w:r>
          </w:p>
        </w:tc>
      </w:tr>
      <w:tr w:rsidR="00E91778" w:rsidRPr="002142B8" w14:paraId="31462D2E" w14:textId="77777777" w:rsidTr="00975DB0">
        <w:tc>
          <w:tcPr>
            <w:tcW w:w="1062" w:type="pct"/>
          </w:tcPr>
          <w:p w14:paraId="1FF6ABF8"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ES</w:t>
            </w:r>
          </w:p>
        </w:tc>
        <w:tc>
          <w:tcPr>
            <w:tcW w:w="3938" w:type="pct"/>
          </w:tcPr>
          <w:p w14:paraId="55301944"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Europos Sąjunga</w:t>
            </w:r>
          </w:p>
        </w:tc>
      </w:tr>
      <w:tr w:rsidR="00E91778" w:rsidRPr="002142B8" w14:paraId="7102764A" w14:textId="77777777" w:rsidTr="00975DB0">
        <w:tc>
          <w:tcPr>
            <w:tcW w:w="1062" w:type="pct"/>
          </w:tcPr>
          <w:p w14:paraId="6C4011A1"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ESI fondų lėšos</w:t>
            </w:r>
          </w:p>
        </w:tc>
        <w:tc>
          <w:tcPr>
            <w:tcW w:w="3938" w:type="pct"/>
          </w:tcPr>
          <w:p w14:paraId="70F1381C"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ES struktūrinių ir investicinių fondų lėšos</w:t>
            </w:r>
          </w:p>
        </w:tc>
      </w:tr>
      <w:tr w:rsidR="00E91778" w:rsidRPr="002142B8" w14:paraId="0EDA42E6" w14:textId="77777777" w:rsidTr="00975DB0">
        <w:tc>
          <w:tcPr>
            <w:tcW w:w="1062" w:type="pct"/>
          </w:tcPr>
          <w:p w14:paraId="0680F949" w14:textId="0B0CEF6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ESCO</w:t>
            </w:r>
            <w:r w:rsidR="00B93A44">
              <w:rPr>
                <w:rFonts w:ascii="Georgia" w:hAnsi="Georgia" w:cs="Arial"/>
                <w:sz w:val="20"/>
                <w:szCs w:val="20"/>
                <w:lang w:val="lt-LT"/>
              </w:rPr>
              <w:t xml:space="preserve"> arba ETPT</w:t>
            </w:r>
          </w:p>
        </w:tc>
        <w:tc>
          <w:tcPr>
            <w:tcW w:w="3938" w:type="pct"/>
          </w:tcPr>
          <w:p w14:paraId="1CE81780" w14:textId="77777777" w:rsidR="00E91778" w:rsidRPr="002142B8" w:rsidRDefault="00E91778" w:rsidP="001D54C7">
            <w:pPr>
              <w:jc w:val="both"/>
              <w:rPr>
                <w:rFonts w:ascii="Georgia" w:hAnsi="Georgia" w:cs="Arial"/>
                <w:sz w:val="20"/>
                <w:szCs w:val="20"/>
                <w:lang w:val="lt-LT"/>
              </w:rPr>
            </w:pPr>
            <w:r w:rsidRPr="002142B8">
              <w:rPr>
                <w:rFonts w:ascii="Georgia" w:hAnsi="Georgia" w:cs="Georgia"/>
                <w:sz w:val="20"/>
                <w:szCs w:val="20"/>
                <w:lang w:val="lt-LT"/>
              </w:rPr>
              <w:t xml:space="preserve">Energetinių paslaugų bendrovė (angl. </w:t>
            </w:r>
            <w:r w:rsidRPr="002142B8">
              <w:rPr>
                <w:rFonts w:ascii="Georgia" w:hAnsi="Georgia" w:cs="Georgia"/>
                <w:i/>
                <w:sz w:val="20"/>
                <w:szCs w:val="20"/>
                <w:lang w:val="lt-LT"/>
              </w:rPr>
              <w:t>energy service companies)</w:t>
            </w:r>
          </w:p>
        </w:tc>
      </w:tr>
      <w:tr w:rsidR="009861FA" w:rsidRPr="002142B8" w14:paraId="46E55491" w14:textId="77777777" w:rsidTr="00975DB0">
        <w:tc>
          <w:tcPr>
            <w:tcW w:w="1062" w:type="pct"/>
          </w:tcPr>
          <w:p w14:paraId="4E6300BF" w14:textId="50BC956B" w:rsidR="009861FA" w:rsidRPr="002142B8" w:rsidRDefault="009861FA" w:rsidP="001D54C7">
            <w:pPr>
              <w:jc w:val="both"/>
              <w:rPr>
                <w:rFonts w:ascii="Georgia" w:hAnsi="Georgia" w:cs="Times New Roman"/>
                <w:sz w:val="20"/>
                <w:lang w:val="lt-LT"/>
              </w:rPr>
            </w:pPr>
            <w:r>
              <w:rPr>
                <w:rFonts w:ascii="Georgia" w:hAnsi="Georgia" w:cs="Times New Roman"/>
                <w:sz w:val="20"/>
                <w:lang w:val="lt-LT"/>
              </w:rPr>
              <w:t>ETPT</w:t>
            </w:r>
          </w:p>
        </w:tc>
        <w:tc>
          <w:tcPr>
            <w:tcW w:w="3938" w:type="pct"/>
          </w:tcPr>
          <w:p w14:paraId="47208D9B" w14:textId="5974DEEA" w:rsidR="009861FA" w:rsidRPr="002142B8" w:rsidRDefault="009861FA" w:rsidP="001D54C7">
            <w:pPr>
              <w:jc w:val="both"/>
              <w:rPr>
                <w:rFonts w:ascii="Georgia" w:hAnsi="Georgia" w:cs="Arial"/>
                <w:sz w:val="20"/>
                <w:szCs w:val="20"/>
                <w:lang w:val="lt-LT"/>
              </w:rPr>
            </w:pPr>
            <w:r>
              <w:rPr>
                <w:rFonts w:ascii="Georgia" w:hAnsi="Georgia" w:cs="Arial"/>
                <w:sz w:val="20"/>
                <w:szCs w:val="20"/>
                <w:lang w:val="lt-LT"/>
              </w:rPr>
              <w:t>Energijos taupymo paslaugų  teikėjas</w:t>
            </w:r>
            <w:r w:rsidR="00B93A44">
              <w:rPr>
                <w:rFonts w:ascii="Georgia" w:hAnsi="Georgia" w:cs="Arial"/>
                <w:sz w:val="20"/>
                <w:szCs w:val="20"/>
                <w:lang w:val="lt-LT"/>
              </w:rPr>
              <w:t xml:space="preserve"> (arba ESCO)</w:t>
            </w:r>
          </w:p>
        </w:tc>
      </w:tr>
      <w:tr w:rsidR="00BA7CAB" w:rsidRPr="002142B8" w14:paraId="5E03B130" w14:textId="77777777" w:rsidTr="00975DB0">
        <w:tc>
          <w:tcPr>
            <w:tcW w:w="1062" w:type="pct"/>
          </w:tcPr>
          <w:p w14:paraId="3E1941FB" w14:textId="08AD9E44" w:rsidR="00BA7CAB" w:rsidRPr="002142B8" w:rsidRDefault="00BA7CAB" w:rsidP="001D54C7">
            <w:pPr>
              <w:jc w:val="both"/>
              <w:rPr>
                <w:rFonts w:ascii="Georgia" w:hAnsi="Georgia" w:cs="Times New Roman"/>
                <w:sz w:val="20"/>
                <w:lang w:val="lt-LT"/>
              </w:rPr>
            </w:pPr>
            <w:r w:rsidRPr="002142B8">
              <w:rPr>
                <w:rFonts w:ascii="Georgia" w:hAnsi="Georgia" w:cs="Times New Roman"/>
                <w:sz w:val="20"/>
                <w:lang w:val="lt-LT"/>
              </w:rPr>
              <w:t>ETVB</w:t>
            </w:r>
          </w:p>
        </w:tc>
        <w:tc>
          <w:tcPr>
            <w:tcW w:w="3938" w:type="pct"/>
          </w:tcPr>
          <w:p w14:paraId="6A0507A8" w14:textId="4EB173A0" w:rsidR="00BA7CAB" w:rsidRPr="002142B8" w:rsidRDefault="00BA7CAB" w:rsidP="001D54C7">
            <w:pPr>
              <w:jc w:val="both"/>
              <w:rPr>
                <w:rFonts w:ascii="Georgia" w:hAnsi="Georgia" w:cs="Times New Roman"/>
                <w:sz w:val="20"/>
                <w:lang w:val="lt-LT"/>
              </w:rPr>
            </w:pPr>
            <w:r w:rsidRPr="002142B8">
              <w:rPr>
                <w:rFonts w:ascii="Georgia" w:hAnsi="Georgia" w:cs="Arial"/>
                <w:sz w:val="20"/>
                <w:szCs w:val="20"/>
                <w:lang w:val="lt-LT"/>
              </w:rPr>
              <w:t>Europos Tarybos vystymo bankas (</w:t>
            </w:r>
            <w:r w:rsidRPr="002142B8">
              <w:rPr>
                <w:rFonts w:ascii="Georgia" w:hAnsi="Georgia" w:cs="Arial"/>
                <w:i/>
                <w:sz w:val="20"/>
                <w:szCs w:val="20"/>
                <w:lang w:val="lt-LT"/>
              </w:rPr>
              <w:t>angl. Council of Europe Development Bank</w:t>
            </w:r>
            <w:r w:rsidRPr="002142B8">
              <w:rPr>
                <w:rFonts w:ascii="Georgia" w:hAnsi="Georgia" w:cs="Arial"/>
                <w:sz w:val="20"/>
                <w:szCs w:val="20"/>
                <w:lang w:val="lt-LT"/>
              </w:rPr>
              <w:t>)</w:t>
            </w:r>
          </w:p>
        </w:tc>
      </w:tr>
      <w:tr w:rsidR="00E91778" w:rsidRPr="002142B8" w14:paraId="26EB22F4" w14:textId="77777777" w:rsidTr="00975DB0">
        <w:tc>
          <w:tcPr>
            <w:tcW w:w="1062" w:type="pct"/>
          </w:tcPr>
          <w:p w14:paraId="66452A46" w14:textId="48D107F0"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E</w:t>
            </w:r>
            <w:r w:rsidR="00300FF4" w:rsidRPr="002142B8">
              <w:rPr>
                <w:rFonts w:ascii="Georgia" w:hAnsi="Georgia" w:cs="Times New Roman"/>
                <w:sz w:val="20"/>
                <w:lang w:val="lt-LT"/>
              </w:rPr>
              <w:t>x-ante</w:t>
            </w:r>
            <w:r w:rsidRPr="002142B8">
              <w:rPr>
                <w:rFonts w:ascii="Georgia" w:hAnsi="Georgia" w:cs="Times New Roman"/>
                <w:sz w:val="20"/>
                <w:lang w:val="lt-LT"/>
              </w:rPr>
              <w:t xml:space="preserve"> vertinimo metodologija</w:t>
            </w:r>
          </w:p>
        </w:tc>
        <w:tc>
          <w:tcPr>
            <w:tcW w:w="3938" w:type="pct"/>
          </w:tcPr>
          <w:p w14:paraId="0673AC87" w14:textId="68B53CD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Europos Komisijos bendradarbiaujant su EIB parengta e</w:t>
            </w:r>
            <w:r w:rsidR="00300FF4" w:rsidRPr="002142B8">
              <w:rPr>
                <w:rFonts w:ascii="Georgia" w:hAnsi="Georgia" w:cs="Times New Roman"/>
                <w:sz w:val="20"/>
                <w:lang w:val="lt-LT"/>
              </w:rPr>
              <w:t>x-ante</w:t>
            </w:r>
            <w:r w:rsidRPr="002142B8">
              <w:rPr>
                <w:rFonts w:ascii="Georgia" w:hAnsi="Georgia" w:cs="Times New Roman"/>
                <w:sz w:val="20"/>
                <w:lang w:val="lt-LT"/>
              </w:rPr>
              <w:t xml:space="preserve"> vertinimo metodologija „Ex-ante assessment methodology for financial instruments in the 2014-2020 programming period“, susidedanti iš penkių atskirų dalių. Šiame e</w:t>
            </w:r>
            <w:r w:rsidR="00300FF4" w:rsidRPr="002142B8">
              <w:rPr>
                <w:rFonts w:ascii="Georgia" w:hAnsi="Georgia" w:cs="Times New Roman"/>
                <w:sz w:val="20"/>
                <w:lang w:val="lt-LT"/>
              </w:rPr>
              <w:t>x-ante</w:t>
            </w:r>
            <w:r w:rsidRPr="002142B8">
              <w:rPr>
                <w:rFonts w:ascii="Georgia" w:hAnsi="Georgia" w:cs="Times New Roman"/>
                <w:sz w:val="20"/>
                <w:lang w:val="lt-LT"/>
              </w:rPr>
              <w:t xml:space="preserve"> vertinime referuojama į I-ąją ir IV-ąją e</w:t>
            </w:r>
            <w:r w:rsidR="00300FF4" w:rsidRPr="002142B8">
              <w:rPr>
                <w:rFonts w:ascii="Georgia" w:hAnsi="Georgia" w:cs="Times New Roman"/>
                <w:sz w:val="20"/>
                <w:lang w:val="lt-LT"/>
              </w:rPr>
              <w:t>x-ante</w:t>
            </w:r>
            <w:r w:rsidRPr="002142B8">
              <w:rPr>
                <w:rFonts w:ascii="Georgia" w:hAnsi="Georgia" w:cs="Times New Roman"/>
                <w:sz w:val="20"/>
                <w:lang w:val="lt-LT"/>
              </w:rPr>
              <w:t xml:space="preserve"> metodologijos dalis.</w:t>
            </w:r>
          </w:p>
          <w:p w14:paraId="1EAE7C81" w14:textId="13DCB9F0"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http://ec.europa.eu/regional_policy/inform</w:t>
            </w:r>
            <w:r w:rsidR="00F91954">
              <w:rPr>
                <w:rFonts w:ascii="Georgia" w:hAnsi="Georgia" w:cs="Times New Roman"/>
                <w:sz w:val="20"/>
                <w:lang w:val="lt-LT"/>
              </w:rPr>
              <w:t>ation/guidelines/index_en.cfm#4</w:t>
            </w:r>
          </w:p>
        </w:tc>
      </w:tr>
      <w:tr w:rsidR="00E91778" w:rsidRPr="002142B8" w14:paraId="1B7EB0D7" w14:textId="77777777" w:rsidTr="00975DB0">
        <w:tc>
          <w:tcPr>
            <w:tcW w:w="1062" w:type="pct"/>
          </w:tcPr>
          <w:p w14:paraId="25A8A610" w14:textId="0B2E1F77" w:rsidR="00E91778" w:rsidRPr="002142B8" w:rsidRDefault="00E91778">
            <w:pPr>
              <w:jc w:val="both"/>
              <w:rPr>
                <w:rFonts w:ascii="Georgia" w:hAnsi="Georgia" w:cs="Arial"/>
                <w:sz w:val="20"/>
                <w:szCs w:val="20"/>
                <w:lang w:val="lt-LT"/>
              </w:rPr>
            </w:pPr>
            <w:r w:rsidRPr="002142B8">
              <w:rPr>
                <w:rFonts w:ascii="Georgia" w:hAnsi="Georgia" w:cs="Arial"/>
                <w:sz w:val="20"/>
                <w:szCs w:val="20"/>
                <w:lang w:val="lt-LT"/>
              </w:rPr>
              <w:t>Finansinė priemonė</w:t>
            </w:r>
            <w:r w:rsidR="00A65A0A" w:rsidRPr="002142B8">
              <w:rPr>
                <w:rFonts w:ascii="Georgia" w:hAnsi="Georgia" w:cs="Arial"/>
                <w:sz w:val="20"/>
                <w:szCs w:val="20"/>
                <w:lang w:val="lt-LT"/>
              </w:rPr>
              <w:t xml:space="preserve"> (FP)</w:t>
            </w:r>
          </w:p>
        </w:tc>
        <w:tc>
          <w:tcPr>
            <w:tcW w:w="3938" w:type="pct"/>
          </w:tcPr>
          <w:p w14:paraId="51F768DC"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Europos Sąjungos finansinės paramos priemonės, papildomumo pagrindu teikiamos iš biudžeto siekiant vieno ar kelių konkrečių Sąjungos politikos tikslų. Tokios priemonės gali būti investicijos į nuosavą kapitalą ar kvazinuosavą kapitalą, paskolos ar garantijos, arba kitos rizikos pasidalijimo priemonės, kurios prireikus gali būti derinamos su dotacijomis. Sąvoka apibrėžta Europos Parlamento ir Tarybos reglamente (ES) Nr. 966/2012 dėl Sąjungos bendrajam biudžetui taikomų finansinių taisyklių ir kuriuo panaikinamas Tarybos reglamentas (EB) Nr. 1605/2002.</w:t>
            </w:r>
          </w:p>
        </w:tc>
      </w:tr>
      <w:tr w:rsidR="00E91778" w:rsidRPr="002142B8" w14:paraId="1F5012DD" w14:textId="77777777" w:rsidTr="00975DB0">
        <w:tc>
          <w:tcPr>
            <w:tcW w:w="1062" w:type="pct"/>
          </w:tcPr>
          <w:p w14:paraId="6652F7AD"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JESSICA</w:t>
            </w:r>
          </w:p>
        </w:tc>
        <w:tc>
          <w:tcPr>
            <w:tcW w:w="3938" w:type="pct"/>
          </w:tcPr>
          <w:p w14:paraId="17F4A44E" w14:textId="77777777" w:rsidR="00E91778" w:rsidRPr="002142B8" w:rsidRDefault="00E91778" w:rsidP="001D54C7">
            <w:pPr>
              <w:jc w:val="both"/>
              <w:rPr>
                <w:lang w:val="lt-LT"/>
              </w:rPr>
            </w:pPr>
            <w:r w:rsidRPr="002142B8">
              <w:rPr>
                <w:rFonts w:ascii="Georgia" w:hAnsi="Georgia" w:cs="Arial"/>
                <w:sz w:val="20"/>
                <w:szCs w:val="20"/>
                <w:lang w:val="lt-LT"/>
              </w:rPr>
              <w:t>Bendra Europos parama tvarioms investicijoms į miestų teritorijas (</w:t>
            </w:r>
            <w:r w:rsidRPr="002142B8">
              <w:rPr>
                <w:rFonts w:ascii="Georgia" w:hAnsi="Georgia" w:cs="Arial"/>
                <w:i/>
                <w:sz w:val="20"/>
                <w:szCs w:val="20"/>
                <w:lang w:val="lt-LT"/>
              </w:rPr>
              <w:t>angl. Joint European Support for Sustainable Investment in City Areas</w:t>
            </w:r>
            <w:r w:rsidRPr="002142B8">
              <w:rPr>
                <w:rFonts w:ascii="Georgia" w:hAnsi="Georgia" w:cs="Arial"/>
                <w:sz w:val="20"/>
                <w:szCs w:val="20"/>
                <w:lang w:val="lt-LT"/>
              </w:rPr>
              <w:t>)</w:t>
            </w:r>
          </w:p>
        </w:tc>
      </w:tr>
      <w:tr w:rsidR="00E91778" w:rsidRPr="002142B8" w14:paraId="1364ABDD" w14:textId="77777777" w:rsidTr="00975DB0">
        <w:tc>
          <w:tcPr>
            <w:tcW w:w="1062" w:type="pct"/>
          </w:tcPr>
          <w:p w14:paraId="5DF0698C"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JEREMIE</w:t>
            </w:r>
          </w:p>
        </w:tc>
        <w:tc>
          <w:tcPr>
            <w:tcW w:w="3938" w:type="pct"/>
          </w:tcPr>
          <w:p w14:paraId="6B0E01B7"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Bendrieji Europos ištekliai labai mažoms, mažoms ir vidutinėms įmonėms (</w:t>
            </w:r>
            <w:r w:rsidRPr="002142B8">
              <w:rPr>
                <w:rFonts w:ascii="Georgia" w:hAnsi="Georgia" w:cs="Arial"/>
                <w:i/>
                <w:sz w:val="20"/>
                <w:szCs w:val="20"/>
                <w:lang w:val="lt-LT"/>
              </w:rPr>
              <w:t>angl. Joint European Resources for Micro to Medium Enterprises</w:t>
            </w:r>
            <w:r w:rsidRPr="002142B8">
              <w:rPr>
                <w:rFonts w:ascii="Georgia" w:hAnsi="Georgia" w:cs="Arial"/>
                <w:sz w:val="20"/>
                <w:szCs w:val="20"/>
                <w:lang w:val="lt-LT"/>
              </w:rPr>
              <w:t>)</w:t>
            </w:r>
          </w:p>
        </w:tc>
      </w:tr>
      <w:tr w:rsidR="00E91778" w:rsidRPr="002142B8" w14:paraId="31949D35" w14:textId="77777777" w:rsidTr="00975DB0">
        <w:tc>
          <w:tcPr>
            <w:tcW w:w="1062" w:type="pct"/>
          </w:tcPr>
          <w:p w14:paraId="182203CC"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JESSICA KF</w:t>
            </w:r>
          </w:p>
        </w:tc>
        <w:tc>
          <w:tcPr>
            <w:tcW w:w="3938" w:type="pct"/>
          </w:tcPr>
          <w:p w14:paraId="6BF859A9"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JESSICA kontroliuojantis fondas</w:t>
            </w:r>
          </w:p>
        </w:tc>
      </w:tr>
      <w:tr w:rsidR="00E91778" w:rsidRPr="002142B8" w14:paraId="35F3F2B9" w14:textId="77777777" w:rsidTr="00975DB0">
        <w:tc>
          <w:tcPr>
            <w:tcW w:w="1062" w:type="pct"/>
          </w:tcPr>
          <w:p w14:paraId="2D5FDAFD"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KPMG studija</w:t>
            </w:r>
          </w:p>
        </w:tc>
        <w:tc>
          <w:tcPr>
            <w:tcW w:w="3938" w:type="pct"/>
          </w:tcPr>
          <w:p w14:paraId="5160E27E"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Europos rekonstrukcijos ir plėtros banko užsakymu UAB „KPMG Baltics“, „Glimstedt“ advokatų kontoros ir UAB „Ekotermija“ atlikta „Energijos vartojimo efektyvumo projektų Lietuvos viešajame sektoriuje rinkos paklausos studija“</w:t>
            </w:r>
          </w:p>
          <w:p w14:paraId="0CDDD9A9" w14:textId="583190D2"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w:t>
            </w:r>
            <w:hyperlink r:id="rId12" w:history="1">
              <w:r w:rsidRPr="002142B8">
                <w:rPr>
                  <w:rFonts w:ascii="Georgia" w:hAnsi="Georgia" w:cs="Times New Roman"/>
                  <w:sz w:val="20"/>
                  <w:lang w:val="lt-LT"/>
                </w:rPr>
                <w:t>http://www.enmin.lt/lt/activity/veiklos_kryptys/strateginis_planavimas_ir_ES/ESCO_studija.pdf</w:t>
              </w:r>
            </w:hyperlink>
            <w:r w:rsidRPr="002142B8">
              <w:rPr>
                <w:rFonts w:ascii="Georgia" w:hAnsi="Georgia" w:cs="Times New Roman"/>
                <w:sz w:val="20"/>
                <w:lang w:val="lt-LT"/>
              </w:rPr>
              <w:t xml:space="preserve">) </w:t>
            </w:r>
          </w:p>
        </w:tc>
      </w:tr>
      <w:tr w:rsidR="00E91778" w:rsidRPr="002142B8" w14:paraId="026F4CCE" w14:textId="77777777" w:rsidTr="00975DB0">
        <w:tc>
          <w:tcPr>
            <w:tcW w:w="1062" w:type="pct"/>
          </w:tcPr>
          <w:p w14:paraId="6AB3843D"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LCR</w:t>
            </w:r>
          </w:p>
        </w:tc>
        <w:tc>
          <w:tcPr>
            <w:tcW w:w="3938" w:type="pct"/>
          </w:tcPr>
          <w:p w14:paraId="03E4FA9F"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 xml:space="preserve">Padengimo likvidžiuoju turtu rodiklis (angl. liquidity coverage ratio) </w:t>
            </w:r>
          </w:p>
        </w:tc>
      </w:tr>
      <w:tr w:rsidR="00E91778" w:rsidRPr="002142B8" w14:paraId="25DCB722" w14:textId="77777777" w:rsidTr="00975DB0">
        <w:tc>
          <w:tcPr>
            <w:tcW w:w="1062" w:type="pct"/>
          </w:tcPr>
          <w:p w14:paraId="02E2204E" w14:textId="77777777" w:rsidR="00E91778" w:rsidRPr="002142B8" w:rsidRDefault="00E91778" w:rsidP="001D54C7">
            <w:pPr>
              <w:jc w:val="both"/>
              <w:rPr>
                <w:rFonts w:ascii="Georgia" w:hAnsi="Georgia" w:cs="Arial"/>
                <w:sz w:val="20"/>
                <w:szCs w:val="20"/>
                <w:lang w:val="lt-LT"/>
              </w:rPr>
            </w:pPr>
            <w:r w:rsidRPr="002142B8">
              <w:rPr>
                <w:rFonts w:ascii="Georgia" w:hAnsi="Georgia"/>
                <w:bCs/>
                <w:sz w:val="20"/>
                <w:szCs w:val="20"/>
                <w:lang w:val="lt-LT"/>
              </w:rPr>
              <w:t>LEEF</w:t>
            </w:r>
          </w:p>
        </w:tc>
        <w:tc>
          <w:tcPr>
            <w:tcW w:w="3938" w:type="pct"/>
          </w:tcPr>
          <w:p w14:paraId="37FDFCEC" w14:textId="77777777" w:rsidR="00E91778" w:rsidRPr="002142B8" w:rsidRDefault="00E91778" w:rsidP="001D54C7">
            <w:pPr>
              <w:jc w:val="both"/>
              <w:rPr>
                <w:rFonts w:ascii="Georgia" w:hAnsi="Georgia" w:cs="Arial"/>
                <w:sz w:val="20"/>
                <w:szCs w:val="20"/>
                <w:lang w:val="lt-LT"/>
              </w:rPr>
            </w:pPr>
            <w:r w:rsidRPr="002142B8">
              <w:rPr>
                <w:rFonts w:ascii="Georgia" w:hAnsi="Georgia"/>
                <w:bCs/>
                <w:sz w:val="20"/>
                <w:szCs w:val="20"/>
                <w:lang w:val="lt-LT"/>
              </w:rPr>
              <w:t xml:space="preserve">Londono energetinio efektyvumo fondas Jungtinėje Karalystėje </w:t>
            </w:r>
          </w:p>
        </w:tc>
      </w:tr>
      <w:tr w:rsidR="00E91778" w:rsidRPr="002142B8" w14:paraId="0212EAF3" w14:textId="77777777" w:rsidTr="00975DB0">
        <w:tc>
          <w:tcPr>
            <w:tcW w:w="1062" w:type="pct"/>
          </w:tcPr>
          <w:p w14:paraId="1F6A578A" w14:textId="77777777" w:rsidR="00E91778" w:rsidRPr="002142B8" w:rsidRDefault="00E91778" w:rsidP="001D54C7">
            <w:pPr>
              <w:jc w:val="both"/>
              <w:rPr>
                <w:rFonts w:ascii="Georgia" w:hAnsi="Georgia" w:cs="Arial"/>
                <w:sz w:val="20"/>
                <w:szCs w:val="20"/>
                <w:lang w:val="lt-LT"/>
              </w:rPr>
            </w:pPr>
            <w:r w:rsidRPr="002142B8">
              <w:rPr>
                <w:rFonts w:ascii="Georgia" w:hAnsi="Georgia"/>
                <w:sz w:val="20"/>
                <w:szCs w:val="20"/>
                <w:lang w:val="lt-LT"/>
              </w:rPr>
              <w:t>LGF</w:t>
            </w:r>
          </w:p>
        </w:tc>
        <w:tc>
          <w:tcPr>
            <w:tcW w:w="3938" w:type="pct"/>
          </w:tcPr>
          <w:p w14:paraId="4DAD07D9" w14:textId="77777777" w:rsidR="00E91778" w:rsidRPr="002142B8" w:rsidRDefault="00E91778" w:rsidP="001D54C7">
            <w:pPr>
              <w:jc w:val="both"/>
              <w:rPr>
                <w:rFonts w:ascii="Georgia" w:hAnsi="Georgia" w:cs="Arial"/>
                <w:sz w:val="20"/>
                <w:szCs w:val="20"/>
                <w:lang w:val="lt-LT"/>
              </w:rPr>
            </w:pPr>
            <w:r w:rsidRPr="002142B8">
              <w:rPr>
                <w:rFonts w:ascii="Georgia" w:hAnsi="Georgia"/>
                <w:sz w:val="20"/>
                <w:szCs w:val="20"/>
                <w:lang w:val="lt-LT"/>
              </w:rPr>
              <w:t>Londono žaliasis fondas</w:t>
            </w:r>
          </w:p>
        </w:tc>
      </w:tr>
      <w:tr w:rsidR="00E91778" w:rsidRPr="002142B8" w14:paraId="07EF966A" w14:textId="77777777" w:rsidTr="00975DB0">
        <w:tc>
          <w:tcPr>
            <w:tcW w:w="1062" w:type="pct"/>
          </w:tcPr>
          <w:p w14:paraId="2ACC1AF6"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MRA</w:t>
            </w:r>
          </w:p>
        </w:tc>
        <w:tc>
          <w:tcPr>
            <w:tcW w:w="3938" w:type="pct"/>
          </w:tcPr>
          <w:p w14:paraId="73330910"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Gamybos paskolų pakartotinių investicijų rezervo rodiklis (angl. Manufacturing Reinvestment Account)</w:t>
            </w:r>
          </w:p>
        </w:tc>
      </w:tr>
      <w:tr w:rsidR="00E91778" w:rsidRPr="002142B8" w14:paraId="54C88AEB" w14:textId="77777777" w:rsidTr="00975DB0">
        <w:tc>
          <w:tcPr>
            <w:tcW w:w="1062" w:type="pct"/>
          </w:tcPr>
          <w:p w14:paraId="0D6A0DB1"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MTEP</w:t>
            </w:r>
          </w:p>
        </w:tc>
        <w:tc>
          <w:tcPr>
            <w:tcW w:w="3938" w:type="pct"/>
          </w:tcPr>
          <w:p w14:paraId="389C0715"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Moksliniai tyrimai ir eksperimentinė plėtra</w:t>
            </w:r>
          </w:p>
        </w:tc>
      </w:tr>
      <w:tr w:rsidR="00E91778" w:rsidRPr="002142B8" w14:paraId="7EF79128" w14:textId="77777777" w:rsidTr="00975DB0">
        <w:tc>
          <w:tcPr>
            <w:tcW w:w="1062" w:type="pct"/>
          </w:tcPr>
          <w:p w14:paraId="2C862E7E"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MVĮ</w:t>
            </w:r>
          </w:p>
        </w:tc>
        <w:tc>
          <w:tcPr>
            <w:tcW w:w="3938" w:type="pct"/>
          </w:tcPr>
          <w:p w14:paraId="32B25870"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Mažos ir vidutinės įmonės</w:t>
            </w:r>
          </w:p>
        </w:tc>
      </w:tr>
      <w:tr w:rsidR="00E91778" w:rsidRPr="002142B8" w14:paraId="56C16ED6" w14:textId="77777777" w:rsidTr="00975DB0">
        <w:tc>
          <w:tcPr>
            <w:tcW w:w="1062" w:type="pct"/>
          </w:tcPr>
          <w:p w14:paraId="7A88AEE1" w14:textId="0BEBEFA2" w:rsidR="00E91778" w:rsidRPr="002142B8" w:rsidRDefault="00EA4DE9" w:rsidP="001D54C7">
            <w:pPr>
              <w:jc w:val="both"/>
              <w:rPr>
                <w:rFonts w:ascii="Georgia" w:hAnsi="Georgia" w:cs="Times New Roman"/>
                <w:sz w:val="20"/>
                <w:lang w:val="lt-LT"/>
              </w:rPr>
            </w:pPr>
            <w:r w:rsidRPr="002142B8">
              <w:rPr>
                <w:rFonts w:ascii="Georgia" w:hAnsi="Georgia" w:cs="Arial"/>
                <w:sz w:val="20"/>
                <w:szCs w:val="20"/>
                <w:lang w:val="lt-LT"/>
              </w:rPr>
              <w:t>Pradinė ataskaita</w:t>
            </w:r>
          </w:p>
        </w:tc>
        <w:tc>
          <w:tcPr>
            <w:tcW w:w="3938" w:type="pct"/>
          </w:tcPr>
          <w:p w14:paraId="68A9D79C" w14:textId="27FD9142" w:rsidR="00E91778" w:rsidRPr="002142B8" w:rsidRDefault="00EA4DE9" w:rsidP="00EA4DE9">
            <w:pPr>
              <w:jc w:val="both"/>
              <w:rPr>
                <w:rFonts w:ascii="Georgia" w:hAnsi="Georgia" w:cs="Times New Roman"/>
                <w:sz w:val="20"/>
                <w:lang w:val="lt-LT"/>
              </w:rPr>
            </w:pPr>
            <w:r w:rsidRPr="002142B8">
              <w:rPr>
                <w:rFonts w:ascii="Georgia" w:hAnsi="Georgia" w:cs="Arial"/>
                <w:sz w:val="20"/>
                <w:szCs w:val="20"/>
                <w:lang w:val="lt-LT"/>
              </w:rPr>
              <w:t>2015-09-07 d. Energijos efektyvumo išankstinio (ex-ante) vertinimo ataskaita</w:t>
            </w:r>
          </w:p>
        </w:tc>
      </w:tr>
      <w:tr w:rsidR="00E91778" w:rsidRPr="002142B8" w14:paraId="0C7D23B2" w14:textId="77777777" w:rsidTr="00975DB0">
        <w:tc>
          <w:tcPr>
            <w:tcW w:w="1062" w:type="pct"/>
          </w:tcPr>
          <w:p w14:paraId="55C5E88C"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PVM</w:t>
            </w:r>
          </w:p>
        </w:tc>
        <w:tc>
          <w:tcPr>
            <w:tcW w:w="3938" w:type="pct"/>
          </w:tcPr>
          <w:p w14:paraId="247736C7"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Pridėtinės vertės mokestis</w:t>
            </w:r>
          </w:p>
        </w:tc>
      </w:tr>
      <w:tr w:rsidR="00E91778" w:rsidRPr="002142B8" w14:paraId="0CA38640" w14:textId="77777777" w:rsidTr="00975DB0">
        <w:tc>
          <w:tcPr>
            <w:tcW w:w="1062" w:type="pct"/>
          </w:tcPr>
          <w:p w14:paraId="37CF2E5E"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PwC studija</w:t>
            </w:r>
          </w:p>
        </w:tc>
        <w:tc>
          <w:tcPr>
            <w:tcW w:w="3938" w:type="pct"/>
          </w:tcPr>
          <w:p w14:paraId="2232A9A9"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Europos investicijų banko užsakymu PricewaterhouseCoopers atlikta studija „JESSICA 2014-2020 evaluation study for Lithuania“.</w:t>
            </w:r>
          </w:p>
        </w:tc>
      </w:tr>
      <w:tr w:rsidR="00E91778" w:rsidRPr="002142B8" w14:paraId="275FD668" w14:textId="77777777" w:rsidTr="00975DB0">
        <w:tc>
          <w:tcPr>
            <w:tcW w:w="1062" w:type="pct"/>
          </w:tcPr>
          <w:p w14:paraId="7861EE28"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ROE (angl. return on equity)</w:t>
            </w:r>
          </w:p>
        </w:tc>
        <w:tc>
          <w:tcPr>
            <w:tcW w:w="3938" w:type="pct"/>
          </w:tcPr>
          <w:p w14:paraId="5FFA7B7A"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Nuosavo kapitalo pelningumo rodiklis, skaičiuojamas kaip grynojo pelno ir nuosavo kapitalo santykis</w:t>
            </w:r>
          </w:p>
        </w:tc>
      </w:tr>
      <w:tr w:rsidR="00E91778" w:rsidRPr="002142B8" w14:paraId="2E1D4799" w14:textId="77777777" w:rsidTr="00975DB0">
        <w:tc>
          <w:tcPr>
            <w:tcW w:w="1062" w:type="pct"/>
          </w:tcPr>
          <w:p w14:paraId="22B11A84"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lastRenderedPageBreak/>
              <w:t>Savivaldybių (viešieji) pastatai</w:t>
            </w:r>
          </w:p>
        </w:tc>
        <w:tc>
          <w:tcPr>
            <w:tcW w:w="3938" w:type="pct"/>
          </w:tcPr>
          <w:p w14:paraId="7F52FF68"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 xml:space="preserve">Savivaldybių nuosavybės teise valdomi pastatai </w:t>
            </w:r>
          </w:p>
        </w:tc>
      </w:tr>
      <w:tr w:rsidR="00E91778" w:rsidRPr="002142B8" w14:paraId="38A623D8" w14:textId="77777777" w:rsidTr="00975DB0">
        <w:tc>
          <w:tcPr>
            <w:tcW w:w="1062" w:type="pct"/>
          </w:tcPr>
          <w:p w14:paraId="34507427" w14:textId="77777777" w:rsidR="00E91778" w:rsidRPr="002142B8" w:rsidRDefault="00E91778" w:rsidP="001D54C7">
            <w:pPr>
              <w:jc w:val="both"/>
              <w:rPr>
                <w:rFonts w:ascii="Georgia" w:hAnsi="Georgia" w:cs="Arial"/>
                <w:sz w:val="20"/>
                <w:szCs w:val="20"/>
                <w:lang w:val="lt-LT"/>
              </w:rPr>
            </w:pPr>
            <w:r w:rsidRPr="002142B8">
              <w:rPr>
                <w:rStyle w:val="hps"/>
                <w:rFonts w:ascii="Georgia" w:hAnsi="Georgia" w:cs="Arial"/>
                <w:sz w:val="20"/>
                <w:szCs w:val="20"/>
                <w:lang w:val="lt-LT"/>
              </w:rPr>
              <w:t>SEFF</w:t>
            </w:r>
          </w:p>
        </w:tc>
        <w:tc>
          <w:tcPr>
            <w:tcW w:w="3938" w:type="pct"/>
          </w:tcPr>
          <w:p w14:paraId="0D84BF28" w14:textId="77777777" w:rsidR="00E91778" w:rsidRPr="002142B8" w:rsidRDefault="00E91778" w:rsidP="001D54C7">
            <w:pPr>
              <w:jc w:val="both"/>
              <w:rPr>
                <w:rFonts w:ascii="Georgia" w:hAnsi="Georgia" w:cs="Arial"/>
                <w:sz w:val="20"/>
                <w:szCs w:val="20"/>
                <w:lang w:val="lt-LT"/>
              </w:rPr>
            </w:pPr>
            <w:r w:rsidRPr="002142B8">
              <w:rPr>
                <w:rStyle w:val="hps"/>
                <w:rFonts w:ascii="Georgia" w:hAnsi="Georgia" w:cs="Arial"/>
                <w:sz w:val="20"/>
                <w:szCs w:val="20"/>
                <w:lang w:val="lt-LT"/>
              </w:rPr>
              <w:t>Tvarios energijos finansavimo priemonės (</w:t>
            </w:r>
            <w:r w:rsidRPr="002142B8">
              <w:rPr>
                <w:rStyle w:val="hps"/>
                <w:rFonts w:ascii="Georgia" w:hAnsi="Georgia" w:cs="Arial"/>
                <w:i/>
                <w:sz w:val="20"/>
                <w:szCs w:val="20"/>
                <w:lang w:val="lt-LT"/>
              </w:rPr>
              <w:t>angl. Sustainable Energy Financing Facilities</w:t>
            </w:r>
            <w:r w:rsidRPr="002142B8">
              <w:rPr>
                <w:rStyle w:val="hps"/>
                <w:rFonts w:ascii="Georgia" w:hAnsi="Georgia" w:cs="Arial"/>
                <w:sz w:val="20"/>
                <w:szCs w:val="20"/>
                <w:lang w:val="lt-LT"/>
              </w:rPr>
              <w:t>)</w:t>
            </w:r>
          </w:p>
        </w:tc>
      </w:tr>
      <w:tr w:rsidR="00E91778" w:rsidRPr="002142B8" w14:paraId="27813CCA" w14:textId="77777777" w:rsidTr="00975DB0">
        <w:tc>
          <w:tcPr>
            <w:tcW w:w="1062" w:type="pct"/>
          </w:tcPr>
          <w:p w14:paraId="58B9E5CA"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SEI</w:t>
            </w:r>
          </w:p>
        </w:tc>
        <w:tc>
          <w:tcPr>
            <w:tcW w:w="3938" w:type="pct"/>
          </w:tcPr>
          <w:p w14:paraId="6EB16BCB"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Tvarios energetikos iniciatyva (</w:t>
            </w:r>
            <w:r w:rsidRPr="002142B8">
              <w:rPr>
                <w:rFonts w:ascii="Georgia" w:hAnsi="Georgia" w:cs="Arial"/>
                <w:i/>
                <w:sz w:val="20"/>
                <w:szCs w:val="20"/>
                <w:lang w:val="lt-LT"/>
              </w:rPr>
              <w:t>angl. Sustainable Energy Initiative</w:t>
            </w:r>
            <w:r w:rsidRPr="002142B8">
              <w:rPr>
                <w:rFonts w:ascii="Georgia" w:hAnsi="Georgia" w:cs="Arial"/>
                <w:sz w:val="20"/>
                <w:szCs w:val="20"/>
                <w:lang w:val="lt-LT"/>
              </w:rPr>
              <w:t>)</w:t>
            </w:r>
          </w:p>
        </w:tc>
      </w:tr>
      <w:tr w:rsidR="00E91778" w:rsidRPr="002142B8" w14:paraId="35C027CE" w14:textId="77777777" w:rsidTr="00975DB0">
        <w:tc>
          <w:tcPr>
            <w:tcW w:w="1062" w:type="pct"/>
          </w:tcPr>
          <w:p w14:paraId="2405D68B"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SRI</w:t>
            </w:r>
          </w:p>
        </w:tc>
        <w:tc>
          <w:tcPr>
            <w:tcW w:w="3938" w:type="pct"/>
          </w:tcPr>
          <w:p w14:paraId="0F045F13" w14:textId="77777777" w:rsidR="00E91778" w:rsidRPr="002142B8" w:rsidRDefault="00E91778" w:rsidP="001D54C7">
            <w:pPr>
              <w:jc w:val="both"/>
              <w:rPr>
                <w:rFonts w:ascii="Georgia" w:hAnsi="Georgia" w:cs="Times New Roman"/>
                <w:sz w:val="20"/>
                <w:lang w:val="lt-LT"/>
              </w:rPr>
            </w:pPr>
            <w:r w:rsidRPr="002142B8">
              <w:rPr>
                <w:rFonts w:ascii="Georgia" w:hAnsi="Georgia" w:cs="Arial"/>
                <w:sz w:val="20"/>
                <w:szCs w:val="20"/>
                <w:lang w:val="lt-LT"/>
              </w:rPr>
              <w:t>Tvarių išteklių iniciatyva (</w:t>
            </w:r>
            <w:r w:rsidRPr="002142B8">
              <w:rPr>
                <w:rFonts w:ascii="Georgia" w:hAnsi="Georgia" w:cs="Arial"/>
                <w:i/>
                <w:sz w:val="20"/>
                <w:szCs w:val="20"/>
                <w:lang w:val="lt-LT"/>
              </w:rPr>
              <w:t>angl.</w:t>
            </w:r>
            <w:r w:rsidRPr="002142B8">
              <w:rPr>
                <w:rFonts w:ascii="Georgia" w:hAnsi="Georgia" w:cs="Arial"/>
                <w:sz w:val="20"/>
                <w:szCs w:val="20"/>
                <w:lang w:val="lt-LT"/>
              </w:rPr>
              <w:t xml:space="preserve"> </w:t>
            </w:r>
            <w:r w:rsidRPr="002142B8">
              <w:rPr>
                <w:rFonts w:ascii="Georgia" w:hAnsi="Georgia" w:cs="Arial"/>
                <w:i/>
                <w:sz w:val="20"/>
                <w:szCs w:val="20"/>
                <w:lang w:val="lt-LT"/>
              </w:rPr>
              <w:t>Sustainable Resource Initiative</w:t>
            </w:r>
            <w:r w:rsidRPr="002142B8">
              <w:rPr>
                <w:rFonts w:ascii="Georgia" w:hAnsi="Georgia" w:cs="Arial"/>
                <w:sz w:val="20"/>
                <w:szCs w:val="20"/>
                <w:lang w:val="lt-LT"/>
              </w:rPr>
              <w:t>)</w:t>
            </w:r>
          </w:p>
        </w:tc>
      </w:tr>
      <w:tr w:rsidR="00E91778" w:rsidRPr="002142B8" w14:paraId="5B127298" w14:textId="77777777" w:rsidTr="00975DB0">
        <w:tc>
          <w:tcPr>
            <w:tcW w:w="1062" w:type="pct"/>
          </w:tcPr>
          <w:p w14:paraId="27C3E3C0"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Statybos techninis reglamentas</w:t>
            </w:r>
          </w:p>
        </w:tc>
        <w:tc>
          <w:tcPr>
            <w:tcW w:w="3938" w:type="pct"/>
          </w:tcPr>
          <w:p w14:paraId="21051564"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Statybos techninis reglamentas STR 2.01.09:2005 pastatų energinis naudingumas, energinio naudingumo sertifikavimas, patvirtintas Lietuvos Respublikos aplinkos ministro 2005 m. gruodžio 20 d. įsakymu Nr. D1-624</w:t>
            </w:r>
          </w:p>
        </w:tc>
      </w:tr>
      <w:tr w:rsidR="00BA7CAB" w:rsidRPr="002142B8" w14:paraId="76B3F1B4" w14:textId="77777777" w:rsidTr="00975DB0">
        <w:tc>
          <w:tcPr>
            <w:tcW w:w="1062" w:type="pct"/>
          </w:tcPr>
          <w:p w14:paraId="3857E3CF" w14:textId="405063EF" w:rsidR="00BA7CAB" w:rsidRPr="002142B8" w:rsidRDefault="00BA7CAB" w:rsidP="001D54C7">
            <w:pPr>
              <w:jc w:val="both"/>
              <w:rPr>
                <w:rFonts w:ascii="Georgia" w:hAnsi="Georgia" w:cs="Arial"/>
                <w:sz w:val="20"/>
                <w:szCs w:val="20"/>
                <w:lang w:val="lt-LT"/>
              </w:rPr>
            </w:pPr>
            <w:r w:rsidRPr="002142B8">
              <w:rPr>
                <w:rFonts w:ascii="Georgia" w:hAnsi="Georgia" w:cs="Arial"/>
                <w:sz w:val="20"/>
                <w:szCs w:val="20"/>
                <w:lang w:val="lt-LT"/>
              </w:rPr>
              <w:t>ŠIB</w:t>
            </w:r>
          </w:p>
        </w:tc>
        <w:tc>
          <w:tcPr>
            <w:tcW w:w="3938" w:type="pct"/>
          </w:tcPr>
          <w:p w14:paraId="1ECB421C" w14:textId="704C75CE" w:rsidR="00BA7CAB" w:rsidRPr="002142B8" w:rsidRDefault="00BA7CAB" w:rsidP="001D54C7">
            <w:pPr>
              <w:jc w:val="both"/>
              <w:rPr>
                <w:rFonts w:ascii="Georgia" w:hAnsi="Georgia" w:cs="Arial"/>
                <w:sz w:val="20"/>
                <w:szCs w:val="20"/>
                <w:lang w:val="lt-LT"/>
              </w:rPr>
            </w:pPr>
            <w:r w:rsidRPr="002142B8">
              <w:rPr>
                <w:rFonts w:ascii="Georgia" w:hAnsi="Georgia" w:cs="Arial"/>
                <w:sz w:val="20"/>
                <w:szCs w:val="20"/>
                <w:lang w:val="lt-LT"/>
              </w:rPr>
              <w:t>Šiaurės investicijų bankas (</w:t>
            </w:r>
            <w:r w:rsidRPr="002142B8">
              <w:rPr>
                <w:rFonts w:ascii="Georgia" w:hAnsi="Georgia" w:cs="Arial"/>
                <w:i/>
                <w:sz w:val="20"/>
                <w:szCs w:val="20"/>
                <w:lang w:val="lt-LT"/>
              </w:rPr>
              <w:t>angl. Nordic Investment Bank</w:t>
            </w:r>
            <w:r w:rsidRPr="002142B8">
              <w:rPr>
                <w:rFonts w:ascii="Georgia" w:hAnsi="Georgia" w:cs="Arial"/>
                <w:sz w:val="20"/>
                <w:szCs w:val="20"/>
                <w:lang w:val="lt-LT"/>
              </w:rPr>
              <w:t>)</w:t>
            </w:r>
          </w:p>
        </w:tc>
      </w:tr>
      <w:tr w:rsidR="00BA7CAB" w:rsidRPr="002142B8" w14:paraId="7A8184A2" w14:textId="77777777" w:rsidTr="00975DB0">
        <w:tc>
          <w:tcPr>
            <w:tcW w:w="1062" w:type="pct"/>
          </w:tcPr>
          <w:p w14:paraId="1CCBA03C" w14:textId="55CA3E0D" w:rsidR="00BA7CAB" w:rsidRPr="002142B8" w:rsidRDefault="00BA7CAB" w:rsidP="001D54C7">
            <w:pPr>
              <w:jc w:val="both"/>
              <w:rPr>
                <w:rFonts w:ascii="Georgia" w:hAnsi="Georgia" w:cs="Arial"/>
                <w:sz w:val="20"/>
                <w:szCs w:val="20"/>
                <w:lang w:val="lt-LT"/>
              </w:rPr>
            </w:pPr>
            <w:r w:rsidRPr="002142B8">
              <w:rPr>
                <w:rFonts w:ascii="Georgia" w:hAnsi="Georgia" w:cs="Arial"/>
                <w:sz w:val="20"/>
                <w:szCs w:val="20"/>
                <w:lang w:val="lt-LT"/>
              </w:rPr>
              <w:t>ŠESD</w:t>
            </w:r>
          </w:p>
        </w:tc>
        <w:tc>
          <w:tcPr>
            <w:tcW w:w="3938" w:type="pct"/>
          </w:tcPr>
          <w:p w14:paraId="4ACECC54" w14:textId="4ABB54A9" w:rsidR="00BA7CAB" w:rsidRPr="002142B8" w:rsidRDefault="00BA7CAB" w:rsidP="001D54C7">
            <w:pPr>
              <w:jc w:val="both"/>
              <w:rPr>
                <w:rFonts w:ascii="Georgia" w:hAnsi="Georgia" w:cs="Arial"/>
                <w:sz w:val="20"/>
                <w:szCs w:val="20"/>
                <w:lang w:val="lt-LT"/>
              </w:rPr>
            </w:pPr>
            <w:r w:rsidRPr="002142B8">
              <w:rPr>
                <w:rFonts w:ascii="Georgia" w:hAnsi="Georgia" w:cs="Arial"/>
                <w:sz w:val="20"/>
                <w:szCs w:val="20"/>
                <w:lang w:val="lt-LT"/>
              </w:rPr>
              <w:t>Šiltnamio efektą sukeliančios dujos</w:t>
            </w:r>
          </w:p>
        </w:tc>
      </w:tr>
      <w:tr w:rsidR="00E91778" w:rsidRPr="002142B8" w14:paraId="7DE50B11" w14:textId="77777777" w:rsidTr="00975DB0">
        <w:tc>
          <w:tcPr>
            <w:tcW w:w="1062" w:type="pct"/>
          </w:tcPr>
          <w:p w14:paraId="6DC3262E"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TEN-E</w:t>
            </w:r>
          </w:p>
        </w:tc>
        <w:tc>
          <w:tcPr>
            <w:tcW w:w="3938" w:type="pct"/>
          </w:tcPr>
          <w:p w14:paraId="729CA14D"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Europos Sąjungos transeuropinis energetikos tinklas</w:t>
            </w:r>
          </w:p>
        </w:tc>
      </w:tr>
      <w:tr w:rsidR="00E91778" w:rsidRPr="002142B8" w14:paraId="59221BC8" w14:textId="77777777" w:rsidTr="00975DB0">
        <w:tc>
          <w:tcPr>
            <w:tcW w:w="1062" w:type="pct"/>
          </w:tcPr>
          <w:p w14:paraId="56E6945E"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TEN-T</w:t>
            </w:r>
          </w:p>
        </w:tc>
        <w:tc>
          <w:tcPr>
            <w:tcW w:w="3938" w:type="pct"/>
          </w:tcPr>
          <w:p w14:paraId="66D6CA77"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Europos Sąjungos transeuropinis transporto tinklas</w:t>
            </w:r>
          </w:p>
        </w:tc>
      </w:tr>
      <w:tr w:rsidR="00E91778" w:rsidRPr="002142B8" w14:paraId="72A46DF2" w14:textId="77777777" w:rsidTr="00975DB0">
        <w:tc>
          <w:tcPr>
            <w:tcW w:w="1062" w:type="pct"/>
          </w:tcPr>
          <w:p w14:paraId="0C90BEB9"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Viešieji pastatai</w:t>
            </w:r>
          </w:p>
        </w:tc>
        <w:tc>
          <w:tcPr>
            <w:tcW w:w="3938" w:type="pct"/>
          </w:tcPr>
          <w:p w14:paraId="27F16460"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Centrinės valdžios ir savivaldybių viešieji pastatai bendrai</w:t>
            </w:r>
          </w:p>
        </w:tc>
      </w:tr>
      <w:tr w:rsidR="00503B8D" w:rsidRPr="002142B8" w14:paraId="7F32EA7F" w14:textId="77777777" w:rsidTr="00975DB0">
        <w:tc>
          <w:tcPr>
            <w:tcW w:w="1062" w:type="pct"/>
          </w:tcPr>
          <w:p w14:paraId="1937D442" w14:textId="009704E3" w:rsidR="00503B8D" w:rsidRPr="002142B8" w:rsidRDefault="00503B8D" w:rsidP="001D54C7">
            <w:pPr>
              <w:jc w:val="both"/>
              <w:rPr>
                <w:rFonts w:ascii="Georgia" w:hAnsi="Georgia" w:cs="Times New Roman"/>
                <w:sz w:val="20"/>
                <w:lang w:val="lt-LT"/>
              </w:rPr>
            </w:pPr>
            <w:r w:rsidRPr="002142B8">
              <w:rPr>
                <w:rFonts w:ascii="Georgia" w:hAnsi="Georgia" w:cs="Times New Roman"/>
                <w:sz w:val="20"/>
                <w:lang w:val="lt-LT"/>
              </w:rPr>
              <w:t>VKKEK</w:t>
            </w:r>
          </w:p>
        </w:tc>
        <w:tc>
          <w:tcPr>
            <w:tcW w:w="3938" w:type="pct"/>
          </w:tcPr>
          <w:p w14:paraId="0DD6A98B" w14:textId="1CF5F0E9" w:rsidR="00503B8D" w:rsidRPr="002142B8" w:rsidRDefault="00503B8D" w:rsidP="001D54C7">
            <w:pPr>
              <w:jc w:val="both"/>
              <w:rPr>
                <w:rFonts w:ascii="Georgia" w:hAnsi="Georgia" w:cs="Times New Roman"/>
                <w:sz w:val="20"/>
                <w:lang w:val="lt-LT"/>
              </w:rPr>
            </w:pPr>
            <w:r w:rsidRPr="002142B8">
              <w:rPr>
                <w:rFonts w:ascii="Georgia" w:hAnsi="Georgia" w:cs="Times New Roman"/>
                <w:sz w:val="20"/>
                <w:lang w:val="lt-LT"/>
              </w:rPr>
              <w:t>Valstybinė kainų ir energetikos kontrolės komisija</w:t>
            </w:r>
          </w:p>
        </w:tc>
      </w:tr>
      <w:tr w:rsidR="00E91778" w:rsidRPr="002142B8" w14:paraId="04FC68D6" w14:textId="77777777" w:rsidTr="00975DB0">
        <w:tc>
          <w:tcPr>
            <w:tcW w:w="1062" w:type="pct"/>
          </w:tcPr>
          <w:p w14:paraId="291ACA29" w14:textId="77777777" w:rsidR="00E91778" w:rsidRPr="002142B8" w:rsidRDefault="00E91778" w:rsidP="001D54C7">
            <w:pPr>
              <w:jc w:val="both"/>
              <w:rPr>
                <w:rFonts w:ascii="Georgia" w:hAnsi="Georgia" w:cs="Times New Roman"/>
                <w:sz w:val="20"/>
                <w:lang w:val="lt-LT"/>
              </w:rPr>
            </w:pPr>
            <w:r w:rsidRPr="002142B8">
              <w:rPr>
                <w:rFonts w:ascii="Georgia" w:hAnsi="Georgia" w:cs="Times New Roman"/>
                <w:sz w:val="20"/>
                <w:lang w:val="lt-LT"/>
              </w:rPr>
              <w:t>VIPA</w:t>
            </w:r>
          </w:p>
        </w:tc>
        <w:tc>
          <w:tcPr>
            <w:tcW w:w="3938" w:type="pct"/>
          </w:tcPr>
          <w:p w14:paraId="03CA5A72" w14:textId="77777777" w:rsidR="00E91778" w:rsidRPr="002142B8" w:rsidRDefault="00E91778" w:rsidP="001D54C7">
            <w:pPr>
              <w:spacing w:after="200" w:line="276" w:lineRule="auto"/>
              <w:jc w:val="both"/>
              <w:rPr>
                <w:rFonts w:ascii="Georgia" w:hAnsi="Georgia" w:cs="Times New Roman"/>
                <w:sz w:val="20"/>
                <w:lang w:val="lt-LT"/>
              </w:rPr>
            </w:pPr>
            <w:r w:rsidRPr="002142B8">
              <w:rPr>
                <w:rFonts w:ascii="Georgia" w:hAnsi="Georgia" w:cs="Times New Roman"/>
                <w:sz w:val="20"/>
                <w:lang w:val="lt-LT"/>
              </w:rPr>
              <w:t>UAB „Viešųjų investicijų plėtros agentūra“</w:t>
            </w:r>
          </w:p>
        </w:tc>
      </w:tr>
      <w:tr w:rsidR="00E91778" w:rsidRPr="002142B8" w14:paraId="0E324131" w14:textId="77777777" w:rsidTr="00975DB0">
        <w:tc>
          <w:tcPr>
            <w:tcW w:w="1062" w:type="pct"/>
          </w:tcPr>
          <w:p w14:paraId="624E8DAA"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VPSP</w:t>
            </w:r>
          </w:p>
        </w:tc>
        <w:tc>
          <w:tcPr>
            <w:tcW w:w="3938" w:type="pct"/>
          </w:tcPr>
          <w:p w14:paraId="7A9DAE3D" w14:textId="77777777" w:rsidR="00E91778" w:rsidRPr="002142B8" w:rsidRDefault="00E91778" w:rsidP="001D54C7">
            <w:pPr>
              <w:jc w:val="both"/>
              <w:rPr>
                <w:rFonts w:ascii="Georgia" w:hAnsi="Georgia" w:cs="Arial"/>
                <w:sz w:val="20"/>
                <w:szCs w:val="20"/>
                <w:lang w:val="lt-LT"/>
              </w:rPr>
            </w:pPr>
            <w:r w:rsidRPr="002142B8">
              <w:rPr>
                <w:rFonts w:ascii="Georgia" w:hAnsi="Georgia" w:cs="Arial"/>
                <w:sz w:val="20"/>
                <w:szCs w:val="20"/>
                <w:lang w:val="lt-LT"/>
              </w:rPr>
              <w:t>Viešojo ir privataus sektorių partnerystė</w:t>
            </w:r>
          </w:p>
        </w:tc>
      </w:tr>
    </w:tbl>
    <w:p w14:paraId="38FB9EFC" w14:textId="77777777" w:rsidR="00332C26" w:rsidRPr="002142B8" w:rsidRDefault="00332C26">
      <w:pPr>
        <w:rPr>
          <w:rFonts w:asciiTheme="majorHAnsi" w:eastAsiaTheme="majorEastAsia" w:hAnsiTheme="majorHAnsi" w:cstheme="majorBidi"/>
          <w:b/>
          <w:bCs/>
          <w:color w:val="365F91" w:themeColor="accent1" w:themeShade="BF"/>
          <w:sz w:val="28"/>
          <w:szCs w:val="28"/>
          <w:lang w:val="lt-LT"/>
        </w:rPr>
      </w:pPr>
    </w:p>
    <w:p w14:paraId="280F0D81" w14:textId="77777777" w:rsidR="00747655" w:rsidRPr="002142B8" w:rsidRDefault="00747655">
      <w:pPr>
        <w:rPr>
          <w:rFonts w:asciiTheme="majorHAnsi" w:eastAsiaTheme="majorEastAsia" w:hAnsiTheme="majorHAnsi" w:cstheme="majorBidi"/>
          <w:b/>
          <w:bCs/>
          <w:color w:val="365F91" w:themeColor="accent1" w:themeShade="BF"/>
          <w:sz w:val="28"/>
          <w:szCs w:val="28"/>
          <w:lang w:val="lt-LT"/>
        </w:rPr>
      </w:pPr>
      <w:r w:rsidRPr="002142B8">
        <w:rPr>
          <w:lang w:val="lt-LT"/>
        </w:rPr>
        <w:br w:type="page"/>
      </w:r>
    </w:p>
    <w:p w14:paraId="6485CD2D" w14:textId="76ACA430" w:rsidR="00EE14AD" w:rsidRPr="002142B8" w:rsidRDefault="00EE14AD" w:rsidP="006977C2">
      <w:pPr>
        <w:pStyle w:val="Antrat1"/>
        <w:numPr>
          <w:ilvl w:val="0"/>
          <w:numId w:val="1"/>
        </w:numPr>
        <w:ind w:hanging="720"/>
        <w:rPr>
          <w:lang w:val="lt-LT"/>
        </w:rPr>
      </w:pPr>
      <w:bookmarkStart w:id="6" w:name="_Toc25589876"/>
      <w:r w:rsidRPr="002142B8">
        <w:rPr>
          <w:lang w:val="lt-LT"/>
        </w:rPr>
        <w:lastRenderedPageBreak/>
        <w:t>Įžanga – e</w:t>
      </w:r>
      <w:r w:rsidR="00300FF4" w:rsidRPr="002142B8">
        <w:rPr>
          <w:lang w:val="lt-LT"/>
        </w:rPr>
        <w:t>x-ante</w:t>
      </w:r>
      <w:r w:rsidRPr="002142B8">
        <w:rPr>
          <w:lang w:val="lt-LT"/>
        </w:rPr>
        <w:t xml:space="preserve"> </w:t>
      </w:r>
      <w:r w:rsidR="004527AD" w:rsidRPr="002142B8">
        <w:rPr>
          <w:lang w:val="lt-LT"/>
        </w:rPr>
        <w:t xml:space="preserve">vertinimo </w:t>
      </w:r>
      <w:r w:rsidRPr="002142B8">
        <w:rPr>
          <w:lang w:val="lt-LT"/>
        </w:rPr>
        <w:t>pagrindimas</w:t>
      </w:r>
      <w:bookmarkEnd w:id="0"/>
      <w:bookmarkEnd w:id="1"/>
      <w:bookmarkEnd w:id="6"/>
    </w:p>
    <w:p w14:paraId="7C1D23D7" w14:textId="77777777" w:rsidR="00EE14AD" w:rsidRPr="002142B8" w:rsidRDefault="00EE14AD" w:rsidP="00EE14AD">
      <w:pPr>
        <w:jc w:val="both"/>
        <w:rPr>
          <w:rFonts w:ascii="Georgia" w:hAnsi="Georgia" w:cs="Times New Roman"/>
          <w:sz w:val="20"/>
          <w:lang w:val="lt-LT"/>
        </w:rPr>
      </w:pPr>
    </w:p>
    <w:p w14:paraId="04F4EFE9" w14:textId="6F0E99FF" w:rsidR="004527AD" w:rsidRPr="002142B8" w:rsidRDefault="00214DC9" w:rsidP="00336C16">
      <w:pPr>
        <w:jc w:val="both"/>
        <w:rPr>
          <w:rFonts w:ascii="Georgia" w:hAnsi="Georgia" w:cs="Times New Roman"/>
          <w:sz w:val="20"/>
          <w:lang w:val="lt-LT"/>
        </w:rPr>
      </w:pPr>
      <w:r w:rsidRPr="002142B8">
        <w:rPr>
          <w:rFonts w:ascii="Georgia" w:hAnsi="Georgia" w:cs="Times New Roman"/>
          <w:sz w:val="20"/>
          <w:lang w:val="lt-LT"/>
        </w:rPr>
        <w:t xml:space="preserve">Vienas iš projektų finansavimo būdų ESI fondų lėšomis yra finansinės priemonės, kurios gali būti įgyvendinamos per teikiamas paskolas, garantijas ar kitas rizikos pasidalijimo priemones. </w:t>
      </w:r>
      <w:r w:rsidR="00A90CB3" w:rsidRPr="002142B8">
        <w:rPr>
          <w:rFonts w:ascii="Georgia" w:hAnsi="Georgia" w:cs="Times New Roman"/>
          <w:sz w:val="20"/>
          <w:lang w:val="lt-LT"/>
        </w:rPr>
        <w:t>Finansinės priemonės yra tvarus finansavimo būdas ilguoju laikotarpiu ir finansinės priemonės tampa vis svarbesnės panaudojant ESI fondų lėšas</w:t>
      </w:r>
      <w:r w:rsidRPr="002142B8">
        <w:rPr>
          <w:rFonts w:ascii="Georgia" w:hAnsi="Georgia" w:cs="Times New Roman"/>
          <w:sz w:val="20"/>
          <w:lang w:val="lt-LT"/>
        </w:rPr>
        <w:t>,</w:t>
      </w:r>
      <w:r w:rsidR="00A90CB3" w:rsidRPr="002142B8">
        <w:rPr>
          <w:rFonts w:ascii="Georgia" w:hAnsi="Georgia" w:cs="Times New Roman"/>
          <w:sz w:val="20"/>
          <w:lang w:val="lt-LT"/>
        </w:rPr>
        <w:t xml:space="preserve"> </w:t>
      </w:r>
      <w:r w:rsidRPr="002142B8">
        <w:rPr>
          <w:rFonts w:ascii="Georgia" w:hAnsi="Georgia" w:cs="Times New Roman"/>
          <w:sz w:val="20"/>
          <w:lang w:val="lt-LT"/>
        </w:rPr>
        <w:t>k</w:t>
      </w:r>
      <w:r w:rsidR="00D002D8" w:rsidRPr="002142B8">
        <w:rPr>
          <w:rFonts w:ascii="Georgia" w:hAnsi="Georgia" w:cs="Times New Roman"/>
          <w:sz w:val="20"/>
          <w:lang w:val="lt-LT"/>
        </w:rPr>
        <w:t>aip tai pažymėta Bendrųjų nuostatų reglamento preambulės (34)-(35) punktuose.</w:t>
      </w:r>
      <w:r w:rsidR="004527AD" w:rsidRPr="002142B8">
        <w:rPr>
          <w:rFonts w:ascii="Georgia" w:hAnsi="Georgia" w:cs="Times New Roman"/>
          <w:sz w:val="20"/>
          <w:lang w:val="lt-LT"/>
        </w:rPr>
        <w:t xml:space="preserve"> Vadovaujantis Bendrųjų nuostatų reglamento 37.2 punktu, finansinių priemonių parama grindžiama e</w:t>
      </w:r>
      <w:r w:rsidR="00300FF4" w:rsidRPr="002142B8">
        <w:rPr>
          <w:rFonts w:ascii="Georgia" w:hAnsi="Georgia" w:cs="Times New Roman"/>
          <w:sz w:val="20"/>
          <w:lang w:val="lt-LT"/>
        </w:rPr>
        <w:t>x-ante</w:t>
      </w:r>
      <w:r w:rsidR="004527AD" w:rsidRPr="002142B8">
        <w:rPr>
          <w:rFonts w:ascii="Georgia" w:hAnsi="Georgia" w:cs="Times New Roman"/>
          <w:sz w:val="20"/>
          <w:lang w:val="lt-LT"/>
        </w:rPr>
        <w:t xml:space="preserve"> vertinimu, kurį atliekant turi būti nustatyti rinkos trūkumai arba </w:t>
      </w:r>
      <w:r w:rsidR="008330A3" w:rsidRPr="002142B8">
        <w:rPr>
          <w:rFonts w:ascii="Georgia" w:hAnsi="Georgia" w:cs="Times New Roman"/>
          <w:sz w:val="20"/>
          <w:lang w:val="lt-LT"/>
        </w:rPr>
        <w:t>ne</w:t>
      </w:r>
      <w:r w:rsidR="004527AD" w:rsidRPr="002142B8">
        <w:rPr>
          <w:rFonts w:ascii="Georgia" w:hAnsi="Georgia" w:cs="Times New Roman"/>
          <w:sz w:val="20"/>
          <w:lang w:val="lt-LT"/>
        </w:rPr>
        <w:t>optimalios investavimo situacijos, apskaičiuotas investicijų poreiki</w:t>
      </w:r>
      <w:r w:rsidR="008330A3" w:rsidRPr="002142B8">
        <w:rPr>
          <w:rFonts w:ascii="Georgia" w:hAnsi="Georgia" w:cs="Times New Roman"/>
          <w:sz w:val="20"/>
          <w:lang w:val="lt-LT"/>
        </w:rPr>
        <w:t>o mastas</w:t>
      </w:r>
      <w:r w:rsidR="004527AD" w:rsidRPr="002142B8">
        <w:rPr>
          <w:rFonts w:ascii="Georgia" w:hAnsi="Georgia" w:cs="Times New Roman"/>
          <w:sz w:val="20"/>
          <w:lang w:val="lt-LT"/>
        </w:rPr>
        <w:t xml:space="preserve">, </w:t>
      </w:r>
      <w:r w:rsidR="0084246B" w:rsidRPr="002142B8">
        <w:rPr>
          <w:rFonts w:ascii="Georgia" w:hAnsi="Georgia" w:cs="Times New Roman"/>
          <w:sz w:val="20"/>
          <w:lang w:val="lt-LT"/>
        </w:rPr>
        <w:t>įvertintas poreikis reikiamas investicijas finansuoti finansinių priemonių pagalba</w:t>
      </w:r>
      <w:r w:rsidR="004527AD" w:rsidRPr="002142B8">
        <w:rPr>
          <w:rFonts w:ascii="Georgia" w:hAnsi="Georgia" w:cs="Times New Roman"/>
          <w:sz w:val="20"/>
          <w:lang w:val="lt-LT"/>
        </w:rPr>
        <w:t xml:space="preserve">. Nustačius poreikį steigti finansines priemones, turi būti pasiūlyti </w:t>
      </w:r>
      <w:r w:rsidR="008330A3" w:rsidRPr="002142B8">
        <w:rPr>
          <w:rFonts w:ascii="Georgia" w:hAnsi="Georgia" w:cs="Times New Roman"/>
          <w:sz w:val="20"/>
          <w:lang w:val="lt-LT"/>
        </w:rPr>
        <w:t>efektyviausi</w:t>
      </w:r>
      <w:r w:rsidR="004527AD" w:rsidRPr="002142B8">
        <w:rPr>
          <w:rFonts w:ascii="Georgia" w:hAnsi="Georgia" w:cs="Times New Roman"/>
          <w:sz w:val="20"/>
          <w:lang w:val="lt-LT"/>
        </w:rPr>
        <w:t xml:space="preserve"> finansinių priemonių tipai, jų valdymo struktūra, investavimo strategija. E</w:t>
      </w:r>
      <w:r w:rsidR="00300FF4" w:rsidRPr="002142B8">
        <w:rPr>
          <w:rFonts w:ascii="Georgia" w:hAnsi="Georgia" w:cs="Times New Roman"/>
          <w:sz w:val="20"/>
          <w:lang w:val="lt-LT"/>
        </w:rPr>
        <w:t>x-ante</w:t>
      </w:r>
      <w:r w:rsidR="004527AD" w:rsidRPr="002142B8">
        <w:rPr>
          <w:rFonts w:ascii="Georgia" w:hAnsi="Georgia" w:cs="Times New Roman"/>
          <w:sz w:val="20"/>
          <w:lang w:val="lt-LT"/>
        </w:rPr>
        <w:t xml:space="preserve"> vertinimas turi būti baigtas iki vadovaujančiajai institucijai priimant sprendimą dėl įnaš</w:t>
      </w:r>
      <w:r w:rsidR="008330A3" w:rsidRPr="002142B8">
        <w:rPr>
          <w:rFonts w:ascii="Georgia" w:hAnsi="Georgia" w:cs="Times New Roman"/>
          <w:sz w:val="20"/>
          <w:lang w:val="lt-LT"/>
        </w:rPr>
        <w:t>o</w:t>
      </w:r>
      <w:r w:rsidR="004527AD" w:rsidRPr="002142B8">
        <w:rPr>
          <w:rFonts w:ascii="Georgia" w:hAnsi="Georgia" w:cs="Times New Roman"/>
          <w:sz w:val="20"/>
          <w:lang w:val="lt-LT"/>
        </w:rPr>
        <w:t xml:space="preserve"> </w:t>
      </w:r>
      <w:r w:rsidR="008330A3" w:rsidRPr="002142B8">
        <w:rPr>
          <w:rFonts w:ascii="Georgia" w:hAnsi="Georgia" w:cs="Times New Roman"/>
          <w:sz w:val="20"/>
          <w:lang w:val="lt-LT"/>
        </w:rPr>
        <w:t xml:space="preserve">skyrimo finansinei priemonei </w:t>
      </w:r>
      <w:r w:rsidR="004527AD" w:rsidRPr="002142B8">
        <w:rPr>
          <w:rFonts w:ascii="Georgia" w:hAnsi="Georgia" w:cs="Times New Roman"/>
          <w:sz w:val="20"/>
          <w:lang w:val="lt-LT"/>
        </w:rPr>
        <w:t xml:space="preserve">pagal </w:t>
      </w:r>
      <w:r w:rsidR="008330A3" w:rsidRPr="002142B8">
        <w:rPr>
          <w:rFonts w:ascii="Georgia" w:hAnsi="Georgia" w:cs="Times New Roman"/>
          <w:sz w:val="20"/>
          <w:lang w:val="lt-LT"/>
        </w:rPr>
        <w:t xml:space="preserve">2014-2020 m. veiksmų </w:t>
      </w:r>
      <w:r w:rsidR="004527AD" w:rsidRPr="002142B8">
        <w:rPr>
          <w:rFonts w:ascii="Georgia" w:hAnsi="Georgia" w:cs="Times New Roman"/>
          <w:sz w:val="20"/>
          <w:lang w:val="lt-LT"/>
        </w:rPr>
        <w:t>programą.</w:t>
      </w:r>
    </w:p>
    <w:p w14:paraId="43A47A69" w14:textId="20553FE4" w:rsidR="004527AD" w:rsidRPr="002142B8" w:rsidRDefault="006D7DCC" w:rsidP="00336C16">
      <w:pPr>
        <w:jc w:val="both"/>
        <w:rPr>
          <w:rFonts w:ascii="Georgia" w:hAnsi="Georgia" w:cs="Times New Roman"/>
          <w:sz w:val="20"/>
          <w:lang w:val="lt-LT"/>
        </w:rPr>
      </w:pPr>
      <w:r w:rsidRPr="002142B8">
        <w:rPr>
          <w:rFonts w:ascii="Georgia" w:hAnsi="Georgia" w:cs="Times New Roman"/>
          <w:sz w:val="20"/>
          <w:lang w:val="lt-LT"/>
        </w:rPr>
        <w:t>EIB</w:t>
      </w:r>
      <w:r w:rsidR="004527AD" w:rsidRPr="002142B8">
        <w:rPr>
          <w:rFonts w:ascii="Georgia" w:hAnsi="Georgia" w:cs="Times New Roman"/>
          <w:sz w:val="20"/>
          <w:lang w:val="lt-LT"/>
        </w:rPr>
        <w:t xml:space="preserve"> užsakymu 2013-2014 m. buvo atliekama PwC studija, kuria buvo siekiama įvertinti JESSICA KF tęstinumą </w:t>
      </w:r>
      <w:r w:rsidR="005606CE" w:rsidRPr="002142B8">
        <w:rPr>
          <w:rFonts w:ascii="Georgia" w:hAnsi="Georgia" w:cs="Times New Roman"/>
          <w:sz w:val="20"/>
          <w:lang w:val="lt-LT"/>
        </w:rPr>
        <w:t>2014-2020 m. periodu,</w:t>
      </w:r>
      <w:r w:rsidR="004527AD" w:rsidRPr="002142B8">
        <w:rPr>
          <w:rFonts w:ascii="Georgia" w:hAnsi="Georgia" w:cs="Times New Roman"/>
          <w:sz w:val="20"/>
          <w:lang w:val="lt-LT"/>
        </w:rPr>
        <w:t xml:space="preserve"> išanalizuoti potencialius ūkio sektorius finansinių priemonių taikymui</w:t>
      </w:r>
      <w:r w:rsidR="005606CE" w:rsidRPr="002142B8">
        <w:rPr>
          <w:rFonts w:ascii="Georgia" w:hAnsi="Georgia" w:cs="Times New Roman"/>
          <w:sz w:val="20"/>
          <w:lang w:val="lt-LT"/>
        </w:rPr>
        <w:t xml:space="preserve"> bei atlikti pilotinį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vertinimą daugiabučių, viešųjų pastatų ir gatvių apšvietimo modernizavimo sritims</w:t>
      </w:r>
      <w:r w:rsidR="004527AD" w:rsidRPr="002142B8">
        <w:rPr>
          <w:rFonts w:ascii="Georgia" w:hAnsi="Georgia" w:cs="Times New Roman"/>
          <w:sz w:val="20"/>
          <w:lang w:val="lt-LT"/>
        </w:rPr>
        <w:t>. Atsižvelgiant į tai, kad PwC studija buvo atlikta iki Bendrųjų nuostatų reglamento patvirtinimo, kuris apibrėžia e</w:t>
      </w:r>
      <w:r w:rsidR="00300FF4" w:rsidRPr="002142B8">
        <w:rPr>
          <w:rFonts w:ascii="Georgia" w:hAnsi="Georgia" w:cs="Times New Roman"/>
          <w:sz w:val="20"/>
          <w:lang w:val="lt-LT"/>
        </w:rPr>
        <w:t>x-ante</w:t>
      </w:r>
      <w:r w:rsidR="004527AD" w:rsidRPr="002142B8">
        <w:rPr>
          <w:rFonts w:ascii="Georgia" w:hAnsi="Georgia" w:cs="Times New Roman"/>
          <w:sz w:val="20"/>
          <w:lang w:val="lt-LT"/>
        </w:rPr>
        <w:t xml:space="preserve"> vertinimo turinį, </w:t>
      </w:r>
      <w:r w:rsidR="005606CE" w:rsidRPr="002142B8">
        <w:rPr>
          <w:rFonts w:ascii="Georgia" w:hAnsi="Georgia" w:cs="Times New Roman"/>
          <w:sz w:val="20"/>
          <w:lang w:val="lt-LT"/>
        </w:rPr>
        <w:t>PwC studijoje atliktas pilotinis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vertinimas </w:t>
      </w:r>
      <w:r w:rsidR="004B5E13" w:rsidRPr="002142B8">
        <w:rPr>
          <w:rFonts w:ascii="Georgia" w:hAnsi="Georgia" w:cs="Times New Roman"/>
          <w:sz w:val="20"/>
          <w:lang w:val="lt-LT"/>
        </w:rPr>
        <w:t>apėmė ne vis</w:t>
      </w:r>
      <w:r w:rsidR="008330A3" w:rsidRPr="002142B8">
        <w:rPr>
          <w:rFonts w:ascii="Georgia" w:hAnsi="Georgia" w:cs="Times New Roman"/>
          <w:sz w:val="20"/>
          <w:lang w:val="lt-LT"/>
        </w:rPr>
        <w:t>us būtinu</w:t>
      </w:r>
      <w:r w:rsidR="004B5E13" w:rsidRPr="002142B8">
        <w:rPr>
          <w:rFonts w:ascii="Georgia" w:hAnsi="Georgia" w:cs="Times New Roman"/>
          <w:sz w:val="20"/>
          <w:lang w:val="lt-LT"/>
        </w:rPr>
        <w:t xml:space="preserve">s </w:t>
      </w:r>
      <w:r w:rsidR="008330A3" w:rsidRPr="002142B8">
        <w:rPr>
          <w:rFonts w:ascii="Georgia" w:hAnsi="Georgia" w:cs="Times New Roman"/>
          <w:sz w:val="20"/>
          <w:lang w:val="lt-LT"/>
        </w:rPr>
        <w:t>aspektus</w:t>
      </w:r>
      <w:r w:rsidR="005606CE" w:rsidRPr="002142B8">
        <w:rPr>
          <w:rFonts w:ascii="Georgia" w:hAnsi="Georgia" w:cs="Times New Roman"/>
          <w:sz w:val="20"/>
          <w:lang w:val="lt-LT"/>
        </w:rPr>
        <w:t xml:space="preserve">. </w:t>
      </w:r>
    </w:p>
    <w:p w14:paraId="17F8F3E6" w14:textId="0C363A77" w:rsidR="008330A3" w:rsidRPr="002142B8" w:rsidRDefault="004527AD" w:rsidP="00C86588">
      <w:pPr>
        <w:jc w:val="both"/>
        <w:rPr>
          <w:rFonts w:ascii="Georgia" w:hAnsi="Georgia" w:cs="Times New Roman"/>
          <w:sz w:val="20"/>
          <w:lang w:val="lt-LT"/>
        </w:rPr>
      </w:pPr>
      <w:r w:rsidRPr="002142B8">
        <w:rPr>
          <w:rFonts w:ascii="Georgia" w:hAnsi="Georgia" w:cs="Times New Roman"/>
          <w:sz w:val="20"/>
          <w:lang w:val="lt-LT"/>
        </w:rPr>
        <w:t>Atsižvelg</w:t>
      </w:r>
      <w:r w:rsidR="005606CE" w:rsidRPr="002142B8">
        <w:rPr>
          <w:rFonts w:ascii="Georgia" w:hAnsi="Georgia" w:cs="Times New Roman"/>
          <w:sz w:val="20"/>
          <w:lang w:val="lt-LT"/>
        </w:rPr>
        <w:t>dama</w:t>
      </w:r>
      <w:r w:rsidRPr="002142B8">
        <w:rPr>
          <w:rFonts w:ascii="Georgia" w:hAnsi="Georgia" w:cs="Times New Roman"/>
          <w:sz w:val="20"/>
          <w:lang w:val="lt-LT"/>
        </w:rPr>
        <w:t xml:space="preserve"> į teisinį reglamentavimą</w:t>
      </w:r>
      <w:r w:rsidR="005606CE" w:rsidRPr="002142B8">
        <w:rPr>
          <w:rFonts w:ascii="Georgia" w:hAnsi="Georgia" w:cs="Times New Roman"/>
          <w:sz w:val="20"/>
          <w:lang w:val="lt-LT"/>
        </w:rPr>
        <w:t xml:space="preserve"> bei poreikį papildyti PwC studijoje atliktą pilotinį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vertinimą</w:t>
      </w:r>
      <w:r w:rsidRPr="002142B8">
        <w:rPr>
          <w:rFonts w:ascii="Georgia" w:hAnsi="Georgia" w:cs="Times New Roman"/>
          <w:sz w:val="20"/>
          <w:lang w:val="lt-LT"/>
        </w:rPr>
        <w:t xml:space="preserve">, </w:t>
      </w:r>
      <w:r w:rsidR="005606CE" w:rsidRPr="002142B8">
        <w:rPr>
          <w:rFonts w:ascii="Georgia" w:hAnsi="Georgia" w:cs="Times New Roman"/>
          <w:sz w:val="20"/>
          <w:lang w:val="lt-LT"/>
        </w:rPr>
        <w:t xml:space="preserve">taip pat </w:t>
      </w:r>
      <w:r w:rsidRPr="002142B8">
        <w:rPr>
          <w:rFonts w:ascii="Georgia" w:hAnsi="Georgia" w:cs="Times New Roman"/>
          <w:sz w:val="20"/>
          <w:lang w:val="lt-LT"/>
        </w:rPr>
        <w:t>vykdydama ES</w:t>
      </w:r>
      <w:r w:rsidR="005606CE" w:rsidRPr="002142B8">
        <w:rPr>
          <w:rFonts w:ascii="Georgia" w:hAnsi="Georgia" w:cs="Times New Roman"/>
          <w:sz w:val="20"/>
          <w:lang w:val="lt-LT"/>
        </w:rPr>
        <w:t>I</w:t>
      </w:r>
      <w:r w:rsidRPr="002142B8">
        <w:rPr>
          <w:rFonts w:ascii="Georgia" w:hAnsi="Georgia" w:cs="Times New Roman"/>
          <w:sz w:val="20"/>
          <w:lang w:val="lt-LT"/>
        </w:rPr>
        <w:t xml:space="preserve"> fondų vadovaujančiosios institucijos funkcijas bei siekdama užtikrinti efektyvų </w:t>
      </w:r>
      <w:r w:rsidR="005606CE" w:rsidRPr="002142B8">
        <w:rPr>
          <w:rFonts w:ascii="Georgia" w:hAnsi="Georgia" w:cs="Times New Roman"/>
          <w:sz w:val="20"/>
          <w:lang w:val="lt-LT"/>
        </w:rPr>
        <w:t>ESI fondų</w:t>
      </w:r>
      <w:r w:rsidRPr="002142B8">
        <w:rPr>
          <w:rFonts w:ascii="Georgia" w:hAnsi="Georgia" w:cs="Times New Roman"/>
          <w:sz w:val="20"/>
          <w:lang w:val="lt-LT"/>
        </w:rPr>
        <w:t xml:space="preserve"> p</w:t>
      </w:r>
      <w:r w:rsidR="00214DC9" w:rsidRPr="002142B8">
        <w:rPr>
          <w:rFonts w:ascii="Georgia" w:hAnsi="Georgia" w:cs="Times New Roman"/>
          <w:sz w:val="20"/>
          <w:lang w:val="lt-LT"/>
        </w:rPr>
        <w:t>anaudojimą, Finansų ministerija</w:t>
      </w:r>
      <w:r w:rsidRPr="002142B8">
        <w:rPr>
          <w:rFonts w:ascii="Georgia" w:hAnsi="Georgia" w:cs="Times New Roman"/>
          <w:sz w:val="20"/>
          <w:lang w:val="lt-LT"/>
        </w:rPr>
        <w:t xml:space="preserve"> inicijavo Viešosios infrastruktūros</w:t>
      </w:r>
      <w:r w:rsidR="005606CE" w:rsidRPr="002142B8">
        <w:rPr>
          <w:rFonts w:ascii="Georgia" w:hAnsi="Georgia" w:cs="Times New Roman"/>
          <w:sz w:val="20"/>
          <w:lang w:val="lt-LT"/>
        </w:rPr>
        <w:t xml:space="preserve"> ir Energijos efektyvumo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vertinimus</w:t>
      </w:r>
      <w:r w:rsidR="00214DC9" w:rsidRPr="002142B8">
        <w:rPr>
          <w:rStyle w:val="Puslapioinaosnuoroda"/>
          <w:rFonts w:ascii="Georgia" w:hAnsi="Georgia" w:cs="Times New Roman"/>
          <w:sz w:val="20"/>
          <w:lang w:val="lt-LT"/>
        </w:rPr>
        <w:footnoteReference w:id="2"/>
      </w:r>
      <w:r w:rsidR="005606CE" w:rsidRPr="002142B8">
        <w:rPr>
          <w:rFonts w:ascii="Georgia" w:hAnsi="Georgia" w:cs="Times New Roman"/>
          <w:sz w:val="20"/>
          <w:lang w:val="lt-LT"/>
        </w:rPr>
        <w:t>. Viešosios infrastruktūros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vertinimas apima įvairius viešosios infrastruktūros sektorius, tokius kaip aplinkosaugos, vandentvarkos, energetikos, transporto, švietimo, kultūros bei socialinius sektorius. Viešosios infrastruktūros e</w:t>
      </w:r>
      <w:r w:rsidR="00300FF4" w:rsidRPr="002142B8">
        <w:rPr>
          <w:rFonts w:ascii="Georgia" w:hAnsi="Georgia" w:cs="Times New Roman"/>
          <w:sz w:val="20"/>
          <w:lang w:val="lt-LT"/>
        </w:rPr>
        <w:t>x-ante</w:t>
      </w:r>
      <w:r w:rsidR="005606CE" w:rsidRPr="002142B8">
        <w:rPr>
          <w:rFonts w:ascii="Georgia" w:hAnsi="Georgia" w:cs="Times New Roman"/>
          <w:sz w:val="20"/>
          <w:lang w:val="lt-LT"/>
        </w:rPr>
        <w:t xml:space="preserve"> vertinime energetikos srityje nagrinėjamos </w:t>
      </w:r>
      <w:r w:rsidR="00BC232B" w:rsidRPr="002142B8">
        <w:rPr>
          <w:rFonts w:ascii="Georgia" w:hAnsi="Georgia" w:cs="Times New Roman"/>
          <w:sz w:val="20"/>
          <w:lang w:val="lt-LT"/>
        </w:rPr>
        <w:t xml:space="preserve">šilumos tinklų, elektros tinklų, dujų tinklų ir atsinaujinančių energijos išteklių </w:t>
      </w:r>
      <w:r w:rsidR="005606CE" w:rsidRPr="002142B8">
        <w:rPr>
          <w:rFonts w:ascii="Georgia" w:hAnsi="Georgia" w:cs="Times New Roman"/>
          <w:sz w:val="20"/>
          <w:lang w:val="lt-LT"/>
        </w:rPr>
        <w:t>sritys</w:t>
      </w:r>
      <w:r w:rsidR="00342BFB" w:rsidRPr="002142B8">
        <w:rPr>
          <w:rFonts w:ascii="Georgia" w:hAnsi="Georgia" w:cs="Times New Roman"/>
          <w:sz w:val="20"/>
          <w:lang w:val="lt-LT"/>
        </w:rPr>
        <w:t>.</w:t>
      </w:r>
      <w:r w:rsidR="00BC232B" w:rsidRPr="002142B8">
        <w:rPr>
          <w:rFonts w:ascii="Georgia" w:hAnsi="Georgia" w:cs="Times New Roman"/>
          <w:sz w:val="20"/>
          <w:lang w:val="lt-LT"/>
        </w:rPr>
        <w:t xml:space="preserve"> </w:t>
      </w:r>
    </w:p>
    <w:p w14:paraId="44B18BA8" w14:textId="176D947D" w:rsidR="00336C16" w:rsidRPr="002142B8" w:rsidRDefault="00342BFB" w:rsidP="00C86588">
      <w:pPr>
        <w:jc w:val="both"/>
        <w:rPr>
          <w:rFonts w:ascii="Georgia" w:hAnsi="Georgia" w:cs="Times New Roman"/>
          <w:sz w:val="20"/>
          <w:lang w:val="lt-LT"/>
        </w:rPr>
      </w:pPr>
      <w:r w:rsidRPr="002142B8">
        <w:rPr>
          <w:rFonts w:ascii="Georgia" w:hAnsi="Georgia" w:cs="Times New Roman"/>
          <w:sz w:val="20"/>
          <w:lang w:val="lt-LT"/>
        </w:rPr>
        <w:t>Ši</w:t>
      </w:r>
      <w:r w:rsidR="008330A3" w:rsidRPr="002142B8">
        <w:rPr>
          <w:rFonts w:ascii="Georgia" w:hAnsi="Georgia" w:cs="Times New Roman"/>
          <w:sz w:val="20"/>
          <w:lang w:val="lt-LT"/>
        </w:rPr>
        <w:t>s</w:t>
      </w:r>
      <w:r w:rsidRPr="002142B8">
        <w:rPr>
          <w:rFonts w:ascii="Georgia" w:hAnsi="Georgia" w:cs="Times New Roman"/>
          <w:sz w:val="20"/>
          <w:lang w:val="lt-LT"/>
        </w:rPr>
        <w:t xml:space="preserve"> </w:t>
      </w:r>
      <w:r w:rsidR="00336C16" w:rsidRPr="002142B8">
        <w:rPr>
          <w:rFonts w:ascii="Georgia" w:hAnsi="Georgia" w:cs="Times New Roman"/>
          <w:sz w:val="20"/>
          <w:lang w:val="lt-LT"/>
        </w:rPr>
        <w:t>Energijos vartojimo efektyvumo e</w:t>
      </w:r>
      <w:r w:rsidR="00300FF4" w:rsidRPr="002142B8">
        <w:rPr>
          <w:rFonts w:ascii="Georgia" w:hAnsi="Georgia" w:cs="Times New Roman"/>
          <w:sz w:val="20"/>
          <w:lang w:val="lt-LT"/>
        </w:rPr>
        <w:t>x-ante</w:t>
      </w:r>
      <w:r w:rsidR="00336C16" w:rsidRPr="002142B8">
        <w:rPr>
          <w:rFonts w:ascii="Georgia" w:hAnsi="Georgia" w:cs="Times New Roman"/>
          <w:sz w:val="20"/>
          <w:lang w:val="lt-LT"/>
        </w:rPr>
        <w:t xml:space="preserve"> </w:t>
      </w:r>
      <w:r w:rsidR="008330A3" w:rsidRPr="002142B8">
        <w:rPr>
          <w:rFonts w:ascii="Georgia" w:hAnsi="Georgia" w:cs="Times New Roman"/>
          <w:sz w:val="20"/>
          <w:lang w:val="lt-LT"/>
        </w:rPr>
        <w:t>vertinimas</w:t>
      </w:r>
      <w:r w:rsidR="00336C16" w:rsidRPr="002142B8">
        <w:rPr>
          <w:rFonts w:ascii="Georgia" w:hAnsi="Georgia" w:cs="Times New Roman"/>
          <w:sz w:val="20"/>
          <w:lang w:val="lt-LT"/>
        </w:rPr>
        <w:t xml:space="preserve"> apima daugiabučių namų modernizavim</w:t>
      </w:r>
      <w:r w:rsidR="00A67DBD" w:rsidRPr="002142B8">
        <w:rPr>
          <w:rFonts w:ascii="Georgia" w:hAnsi="Georgia" w:cs="Times New Roman"/>
          <w:sz w:val="20"/>
          <w:lang w:val="lt-LT"/>
        </w:rPr>
        <w:t>ą</w:t>
      </w:r>
      <w:r w:rsidR="00336C16" w:rsidRPr="002142B8">
        <w:rPr>
          <w:rFonts w:ascii="Georgia" w:hAnsi="Georgia" w:cs="Times New Roman"/>
          <w:sz w:val="20"/>
          <w:lang w:val="lt-LT"/>
        </w:rPr>
        <w:t xml:space="preserve">, </w:t>
      </w:r>
      <w:r w:rsidR="006D41CA" w:rsidRPr="002142B8">
        <w:rPr>
          <w:rFonts w:ascii="Georgia" w:hAnsi="Georgia" w:cs="Times New Roman"/>
          <w:sz w:val="20"/>
          <w:lang w:val="lt-LT"/>
        </w:rPr>
        <w:t>centrinės valdžios</w:t>
      </w:r>
      <w:r w:rsidR="00A67DBD" w:rsidRPr="002142B8">
        <w:rPr>
          <w:rFonts w:ascii="Georgia" w:hAnsi="Georgia" w:cs="Times New Roman"/>
          <w:sz w:val="20"/>
          <w:lang w:val="lt-LT"/>
        </w:rPr>
        <w:t xml:space="preserve"> pastatų modernizavimą, gatvių apšvietimo modernizavimą</w:t>
      </w:r>
      <w:r w:rsidR="00336C16" w:rsidRPr="002142B8">
        <w:rPr>
          <w:rFonts w:ascii="Georgia" w:hAnsi="Georgia" w:cs="Times New Roman"/>
          <w:sz w:val="20"/>
          <w:lang w:val="lt-LT"/>
        </w:rPr>
        <w:t xml:space="preserve"> ir </w:t>
      </w:r>
      <w:r w:rsidR="006D41CA" w:rsidRPr="002142B8">
        <w:rPr>
          <w:rFonts w:ascii="Georgia" w:hAnsi="Georgia" w:cs="Times New Roman"/>
          <w:sz w:val="20"/>
          <w:lang w:val="lt-LT"/>
        </w:rPr>
        <w:t xml:space="preserve">savivaldybių </w:t>
      </w:r>
      <w:r w:rsidR="00336C16" w:rsidRPr="002142B8">
        <w:rPr>
          <w:rFonts w:ascii="Georgia" w:hAnsi="Georgia" w:cs="Times New Roman"/>
          <w:sz w:val="20"/>
          <w:lang w:val="lt-LT"/>
        </w:rPr>
        <w:t>viešųjų pastatų modernizavim</w:t>
      </w:r>
      <w:r w:rsidR="00A67DBD" w:rsidRPr="002142B8">
        <w:rPr>
          <w:rFonts w:ascii="Georgia" w:hAnsi="Georgia" w:cs="Times New Roman"/>
          <w:sz w:val="20"/>
          <w:lang w:val="lt-LT"/>
        </w:rPr>
        <w:t>ą</w:t>
      </w:r>
      <w:r w:rsidR="00336C16" w:rsidRPr="002142B8">
        <w:rPr>
          <w:rFonts w:ascii="Georgia" w:hAnsi="Georgia" w:cs="Times New Roman"/>
          <w:sz w:val="20"/>
          <w:lang w:val="lt-LT"/>
        </w:rPr>
        <w:t>. Analizės metu siekiama įvertinti įvairius finansavimo modelius ir finansavimo sąlygas, įvairių tipų finansines priemones</w:t>
      </w:r>
      <w:r w:rsidR="00A67DBD" w:rsidRPr="002142B8">
        <w:rPr>
          <w:rFonts w:ascii="Georgia" w:hAnsi="Georgia" w:cs="Times New Roman"/>
          <w:sz w:val="20"/>
          <w:lang w:val="lt-LT"/>
        </w:rPr>
        <w:t>,</w:t>
      </w:r>
      <w:r w:rsidR="00336C16" w:rsidRPr="002142B8">
        <w:rPr>
          <w:rFonts w:ascii="Georgia" w:hAnsi="Georgia" w:cs="Times New Roman"/>
          <w:sz w:val="20"/>
          <w:lang w:val="lt-LT"/>
        </w:rPr>
        <w:t xml:space="preserve"> jų administravimo tvark</w:t>
      </w:r>
      <w:r w:rsidR="00A67DBD" w:rsidRPr="002142B8">
        <w:rPr>
          <w:rFonts w:ascii="Georgia" w:hAnsi="Georgia" w:cs="Times New Roman"/>
          <w:sz w:val="20"/>
          <w:lang w:val="lt-LT"/>
        </w:rPr>
        <w:t xml:space="preserve">ą bei </w:t>
      </w:r>
      <w:r w:rsidR="00336C16" w:rsidRPr="002142B8">
        <w:rPr>
          <w:rFonts w:ascii="Georgia" w:hAnsi="Georgia" w:cs="Times New Roman"/>
          <w:sz w:val="20"/>
          <w:lang w:val="lt-LT"/>
        </w:rPr>
        <w:t>galimybes pritraukti privačius išteklius. Atsižvelgiant į visus šiuos aspektus siekia</w:t>
      </w:r>
      <w:r w:rsidR="001F5C99" w:rsidRPr="002142B8">
        <w:rPr>
          <w:rFonts w:ascii="Georgia" w:hAnsi="Georgia" w:cs="Times New Roman"/>
          <w:sz w:val="20"/>
          <w:lang w:val="lt-LT"/>
        </w:rPr>
        <w:t xml:space="preserve">ma pasiūlyti </w:t>
      </w:r>
      <w:r w:rsidR="006D41CA" w:rsidRPr="002142B8">
        <w:rPr>
          <w:rFonts w:ascii="Georgia" w:hAnsi="Georgia" w:cs="Times New Roman"/>
          <w:sz w:val="20"/>
          <w:lang w:val="lt-LT"/>
        </w:rPr>
        <w:t xml:space="preserve">optimaliausius </w:t>
      </w:r>
      <w:r w:rsidR="001F5C99" w:rsidRPr="002142B8">
        <w:rPr>
          <w:rFonts w:ascii="Georgia" w:hAnsi="Georgia" w:cs="Times New Roman"/>
          <w:sz w:val="20"/>
          <w:lang w:val="lt-LT"/>
        </w:rPr>
        <w:t>ESI</w:t>
      </w:r>
      <w:r w:rsidR="00336C16" w:rsidRPr="002142B8">
        <w:rPr>
          <w:rFonts w:ascii="Georgia" w:hAnsi="Georgia" w:cs="Times New Roman"/>
          <w:sz w:val="20"/>
          <w:lang w:val="lt-LT"/>
        </w:rPr>
        <w:t xml:space="preserve"> fondų </w:t>
      </w:r>
      <w:r w:rsidR="006D41CA" w:rsidRPr="002142B8">
        <w:rPr>
          <w:rFonts w:ascii="Georgia" w:hAnsi="Georgia" w:cs="Times New Roman"/>
          <w:sz w:val="20"/>
          <w:lang w:val="lt-LT"/>
        </w:rPr>
        <w:t>panaudojimo būdus</w:t>
      </w:r>
      <w:r w:rsidR="00A67DBD" w:rsidRPr="002142B8">
        <w:rPr>
          <w:rFonts w:ascii="Georgia" w:hAnsi="Georgia" w:cs="Times New Roman"/>
          <w:sz w:val="20"/>
          <w:lang w:val="lt-LT"/>
        </w:rPr>
        <w:t xml:space="preserve"> įgyvendinant finansines priemones</w:t>
      </w:r>
      <w:r w:rsidR="00336C16" w:rsidRPr="002142B8">
        <w:rPr>
          <w:rFonts w:ascii="Georgia" w:hAnsi="Georgia" w:cs="Times New Roman"/>
          <w:sz w:val="20"/>
          <w:lang w:val="lt-LT"/>
        </w:rPr>
        <w:t xml:space="preserve">. </w:t>
      </w:r>
    </w:p>
    <w:p w14:paraId="6A478259" w14:textId="599FA84E" w:rsidR="00A67DBD" w:rsidRPr="002142B8" w:rsidRDefault="008330A3" w:rsidP="008330A3">
      <w:pPr>
        <w:jc w:val="both"/>
        <w:rPr>
          <w:rFonts w:ascii="Georgia" w:hAnsi="Georgia" w:cs="Times New Roman"/>
          <w:sz w:val="20"/>
          <w:lang w:val="lt-LT"/>
        </w:rPr>
      </w:pPr>
      <w:bookmarkStart w:id="7" w:name="_Toc393381197"/>
      <w:r w:rsidRPr="002142B8">
        <w:rPr>
          <w:rFonts w:ascii="Georgia" w:hAnsi="Georgia" w:cs="Times New Roman"/>
          <w:sz w:val="20"/>
          <w:lang w:val="lt-LT"/>
        </w:rPr>
        <w:t>Šis</w:t>
      </w:r>
      <w:r w:rsidR="00DA40CC" w:rsidRPr="002142B8">
        <w:rPr>
          <w:rFonts w:ascii="Georgia" w:hAnsi="Georgia" w:cs="Times New Roman"/>
          <w:sz w:val="20"/>
          <w:lang w:val="lt-LT"/>
        </w:rPr>
        <w:t xml:space="preserve"> e</w:t>
      </w:r>
      <w:r w:rsidR="00300FF4" w:rsidRPr="002142B8">
        <w:rPr>
          <w:rFonts w:ascii="Georgia" w:hAnsi="Georgia" w:cs="Times New Roman"/>
          <w:sz w:val="20"/>
          <w:lang w:val="lt-LT"/>
        </w:rPr>
        <w:t>x-ante</w:t>
      </w:r>
      <w:r w:rsidR="00DA40CC" w:rsidRPr="002142B8">
        <w:rPr>
          <w:rFonts w:ascii="Georgia" w:hAnsi="Georgia" w:cs="Times New Roman"/>
          <w:sz w:val="20"/>
          <w:lang w:val="lt-LT"/>
        </w:rPr>
        <w:t xml:space="preserve"> vertinimas parengtas vadovaujantis Bendrųjų nuostatų reglamento </w:t>
      </w:r>
      <w:r w:rsidR="00D002D8" w:rsidRPr="002142B8">
        <w:rPr>
          <w:rFonts w:ascii="Georgia" w:hAnsi="Georgia" w:cs="Times New Roman"/>
          <w:sz w:val="20"/>
          <w:lang w:val="lt-LT"/>
        </w:rPr>
        <w:t>37.2 dalyje</w:t>
      </w:r>
      <w:r w:rsidRPr="002142B8">
        <w:rPr>
          <w:rFonts w:ascii="Georgia" w:hAnsi="Georgia" w:cs="Times New Roman"/>
          <w:sz w:val="20"/>
          <w:lang w:val="lt-LT"/>
        </w:rPr>
        <w:t xml:space="preserve"> apibrėžtais reikalavimais e</w:t>
      </w:r>
      <w:r w:rsidR="00300FF4" w:rsidRPr="002142B8">
        <w:rPr>
          <w:rFonts w:ascii="Georgia" w:hAnsi="Georgia" w:cs="Times New Roman"/>
          <w:sz w:val="20"/>
          <w:lang w:val="lt-LT"/>
        </w:rPr>
        <w:t>x-ante</w:t>
      </w:r>
      <w:r w:rsidRPr="002142B8">
        <w:rPr>
          <w:rFonts w:ascii="Georgia" w:hAnsi="Georgia" w:cs="Times New Roman"/>
          <w:sz w:val="20"/>
          <w:lang w:val="lt-LT"/>
        </w:rPr>
        <w:t xml:space="preserve"> vertinimui, </w:t>
      </w:r>
      <w:r w:rsidR="00D002D8" w:rsidRPr="002142B8">
        <w:rPr>
          <w:rFonts w:ascii="Georgia" w:hAnsi="Georgia" w:cs="Times New Roman"/>
          <w:sz w:val="20"/>
          <w:lang w:val="lt-LT"/>
        </w:rPr>
        <w:t>bei vadovaujantis e</w:t>
      </w:r>
      <w:r w:rsidR="00300FF4" w:rsidRPr="002142B8">
        <w:rPr>
          <w:rFonts w:ascii="Georgia" w:hAnsi="Georgia" w:cs="Times New Roman"/>
          <w:sz w:val="20"/>
          <w:lang w:val="lt-LT"/>
        </w:rPr>
        <w:t>x-ante</w:t>
      </w:r>
      <w:r w:rsidR="00D002D8" w:rsidRPr="002142B8">
        <w:rPr>
          <w:rFonts w:ascii="Georgia" w:hAnsi="Georgia" w:cs="Times New Roman"/>
          <w:sz w:val="20"/>
          <w:lang w:val="lt-LT"/>
        </w:rPr>
        <w:t xml:space="preserve"> </w:t>
      </w:r>
      <w:r w:rsidRPr="002142B8">
        <w:rPr>
          <w:rFonts w:ascii="Georgia" w:hAnsi="Georgia" w:cs="Times New Roman"/>
          <w:sz w:val="20"/>
          <w:lang w:val="lt-LT"/>
        </w:rPr>
        <w:t>vertinimo</w:t>
      </w:r>
      <w:r w:rsidR="00D002D8" w:rsidRPr="002142B8">
        <w:rPr>
          <w:rFonts w:ascii="Georgia" w:hAnsi="Georgia" w:cs="Times New Roman"/>
          <w:sz w:val="20"/>
          <w:lang w:val="lt-LT"/>
        </w:rPr>
        <w:t xml:space="preserve"> metodo</w:t>
      </w:r>
      <w:r w:rsidR="0084246B" w:rsidRPr="002142B8">
        <w:rPr>
          <w:rFonts w:ascii="Georgia" w:hAnsi="Georgia" w:cs="Times New Roman"/>
          <w:sz w:val="20"/>
          <w:lang w:val="lt-LT"/>
        </w:rPr>
        <w:t>lo</w:t>
      </w:r>
      <w:r w:rsidR="00D002D8" w:rsidRPr="002142B8">
        <w:rPr>
          <w:rFonts w:ascii="Georgia" w:hAnsi="Georgia" w:cs="Times New Roman"/>
          <w:sz w:val="20"/>
          <w:lang w:val="lt-LT"/>
        </w:rPr>
        <w:t xml:space="preserve">gija. </w:t>
      </w:r>
    </w:p>
    <w:p w14:paraId="546073C3" w14:textId="77777777" w:rsidR="008330A3" w:rsidRPr="002142B8" w:rsidRDefault="008330A3" w:rsidP="008330A3">
      <w:pPr>
        <w:jc w:val="both"/>
        <w:rPr>
          <w:rFonts w:ascii="Georgia" w:hAnsi="Georgia" w:cs="Times New Roman"/>
          <w:sz w:val="20"/>
          <w:lang w:val="lt-LT"/>
        </w:rPr>
      </w:pPr>
    </w:p>
    <w:p w14:paraId="1345DB1B" w14:textId="77777777" w:rsidR="00485E21" w:rsidRPr="002142B8" w:rsidRDefault="00485E21">
      <w:pPr>
        <w:rPr>
          <w:rFonts w:asciiTheme="majorHAnsi" w:eastAsiaTheme="majorEastAsia" w:hAnsiTheme="majorHAnsi" w:cstheme="majorBidi"/>
          <w:b/>
          <w:bCs/>
          <w:color w:val="4F81BD" w:themeColor="accent1"/>
          <w:sz w:val="26"/>
          <w:szCs w:val="26"/>
          <w:lang w:val="lt-LT"/>
        </w:rPr>
      </w:pPr>
      <w:r w:rsidRPr="002142B8">
        <w:rPr>
          <w:lang w:val="lt-LT"/>
        </w:rPr>
        <w:br w:type="page"/>
      </w:r>
    </w:p>
    <w:p w14:paraId="79F3576C" w14:textId="77777777" w:rsidR="00336C16" w:rsidRPr="002142B8" w:rsidRDefault="00336C16" w:rsidP="00162BF5">
      <w:pPr>
        <w:pStyle w:val="Antrat2"/>
        <w:numPr>
          <w:ilvl w:val="1"/>
          <w:numId w:val="21"/>
        </w:numPr>
        <w:rPr>
          <w:lang w:val="lt-LT"/>
        </w:rPr>
      </w:pPr>
      <w:bookmarkStart w:id="8" w:name="_Toc25589877"/>
      <w:r w:rsidRPr="002142B8">
        <w:rPr>
          <w:lang w:val="lt-LT"/>
        </w:rPr>
        <w:lastRenderedPageBreak/>
        <w:t xml:space="preserve">Energijos efektyvumo finansinių priemonių suderinamumas su </w:t>
      </w:r>
      <w:bookmarkEnd w:id="7"/>
      <w:r w:rsidR="00CC2E6F" w:rsidRPr="002142B8">
        <w:rPr>
          <w:lang w:val="lt-LT"/>
        </w:rPr>
        <w:t>ES</w:t>
      </w:r>
      <w:r w:rsidR="00A67DBD" w:rsidRPr="002142B8">
        <w:rPr>
          <w:lang w:val="lt-LT"/>
        </w:rPr>
        <w:t xml:space="preserve"> ir nacionaliniais </w:t>
      </w:r>
      <w:r w:rsidRPr="002142B8">
        <w:rPr>
          <w:lang w:val="lt-LT"/>
        </w:rPr>
        <w:t>strateginiais tikslais energijos efektyvumo srityje</w:t>
      </w:r>
      <w:bookmarkEnd w:id="8"/>
    </w:p>
    <w:p w14:paraId="076DC86B" w14:textId="77777777" w:rsidR="0083461E" w:rsidRPr="002142B8" w:rsidRDefault="00CC2E6F" w:rsidP="00162BF5">
      <w:pPr>
        <w:pStyle w:val="Antrat2"/>
        <w:numPr>
          <w:ilvl w:val="2"/>
          <w:numId w:val="21"/>
        </w:numPr>
        <w:rPr>
          <w:lang w:val="lt-LT"/>
        </w:rPr>
      </w:pPr>
      <w:bookmarkStart w:id="9" w:name="_Toc25589878"/>
      <w:r w:rsidRPr="002142B8">
        <w:rPr>
          <w:lang w:val="lt-LT"/>
        </w:rPr>
        <w:t>ES</w:t>
      </w:r>
      <w:r w:rsidR="0083461E" w:rsidRPr="002142B8">
        <w:rPr>
          <w:lang w:val="lt-LT"/>
        </w:rPr>
        <w:t xml:space="preserve"> ir nacionaliniai strateginiai dokumentai, aktualūs energijos efektyvumo srityje</w:t>
      </w:r>
      <w:bookmarkEnd w:id="9"/>
    </w:p>
    <w:p w14:paraId="19AE5FDB" w14:textId="77777777" w:rsidR="00336C16" w:rsidRPr="002142B8" w:rsidRDefault="00336C16" w:rsidP="00336C16">
      <w:pPr>
        <w:jc w:val="both"/>
        <w:rPr>
          <w:rFonts w:ascii="Georgia" w:hAnsi="Georgia" w:cs="Times New Roman"/>
          <w:sz w:val="20"/>
          <w:lang w:val="lt-LT"/>
        </w:rPr>
      </w:pPr>
    </w:p>
    <w:p w14:paraId="51A003C3" w14:textId="77777777" w:rsidR="00336C16" w:rsidRPr="002142B8" w:rsidRDefault="00336C16" w:rsidP="00336C16">
      <w:pPr>
        <w:jc w:val="both"/>
        <w:rPr>
          <w:rFonts w:ascii="Georgia" w:hAnsi="Georgia" w:cs="Times New Roman"/>
          <w:sz w:val="20"/>
          <w:lang w:val="lt-LT"/>
        </w:rPr>
      </w:pPr>
      <w:r w:rsidRPr="002142B8">
        <w:rPr>
          <w:rFonts w:ascii="Georgia" w:hAnsi="Georgia" w:cs="Times New Roman"/>
          <w:sz w:val="20"/>
          <w:lang w:val="lt-LT"/>
        </w:rPr>
        <w:t xml:space="preserve">Energijos efektyvumas yra viena iš </w:t>
      </w:r>
      <w:r w:rsidR="00CC2E6F" w:rsidRPr="002142B8">
        <w:rPr>
          <w:rFonts w:ascii="Georgia" w:hAnsi="Georgia" w:cs="Times New Roman"/>
          <w:sz w:val="20"/>
          <w:lang w:val="lt-LT"/>
        </w:rPr>
        <w:t>ES</w:t>
      </w:r>
      <w:r w:rsidR="00A67DBD" w:rsidRPr="002142B8">
        <w:rPr>
          <w:rFonts w:ascii="Georgia" w:hAnsi="Georgia" w:cs="Times New Roman"/>
          <w:sz w:val="20"/>
          <w:lang w:val="lt-LT"/>
        </w:rPr>
        <w:t xml:space="preserve"> bei Lietuvos</w:t>
      </w:r>
      <w:r w:rsidRPr="002142B8">
        <w:rPr>
          <w:rFonts w:ascii="Georgia" w:hAnsi="Georgia" w:cs="Times New Roman"/>
          <w:sz w:val="20"/>
          <w:lang w:val="lt-LT"/>
        </w:rPr>
        <w:t xml:space="preserve"> strateginių krypčių, kurioms skiriamas ypatingas dėmesys, dideli finansiniai ištekliai ir keliami ambicingi siekiai. Energijos efektyvumo srities strateginiai tikslai, keliami reikalavimai ir rezultatai yra įvardijami daugelyje strateginių dokumentų. Toliau trumpai </w:t>
      </w:r>
      <w:r w:rsidR="00A67DBD" w:rsidRPr="002142B8">
        <w:rPr>
          <w:rFonts w:ascii="Georgia" w:hAnsi="Georgia" w:cs="Times New Roman"/>
          <w:sz w:val="20"/>
          <w:lang w:val="lt-LT"/>
        </w:rPr>
        <w:t>aptariami pagrindiniai strateginiai dokumentai bei jų keliami tikslai.</w:t>
      </w:r>
      <w:r w:rsidRPr="002142B8">
        <w:rPr>
          <w:rFonts w:ascii="Georgia" w:hAnsi="Georgia" w:cs="Times New Roman"/>
          <w:sz w:val="20"/>
          <w:lang w:val="lt-LT"/>
        </w:rPr>
        <w:t xml:space="preserve"> </w:t>
      </w:r>
    </w:p>
    <w:p w14:paraId="02BD3A51"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Europa 2020</w:t>
      </w:r>
    </w:p>
    <w:p w14:paraId="3072ED2C" w14:textId="77777777" w:rsidR="00336C16" w:rsidRPr="002142B8" w:rsidRDefault="00336C16" w:rsidP="00336C16">
      <w:pPr>
        <w:jc w:val="both"/>
        <w:rPr>
          <w:rFonts w:ascii="Georgia" w:hAnsi="Georgia" w:cs="Times New Roman"/>
          <w:sz w:val="20"/>
          <w:lang w:val="lt-LT"/>
        </w:rPr>
      </w:pPr>
      <w:r w:rsidRPr="002142B8">
        <w:rPr>
          <w:rFonts w:ascii="Georgia" w:hAnsi="Georgia" w:cs="Georgia"/>
          <w:sz w:val="20"/>
          <w:szCs w:val="20"/>
          <w:lang w:val="lt-LT"/>
        </w:rPr>
        <w:t>„</w:t>
      </w:r>
      <w:r w:rsidRPr="002142B8">
        <w:rPr>
          <w:rFonts w:ascii="Georgia" w:hAnsi="Georgia" w:cs="Times New Roman"/>
          <w:sz w:val="20"/>
          <w:lang w:val="lt-LT"/>
        </w:rPr>
        <w:t xml:space="preserve">Europa 2020“ – tai šio dešimtmečio ES ekonomikos augimo strategija. Šia strategija kryptingai siekiama, kad ES ekonomika taptų pažangi, tvari ir integracinė. ES užsibrėžė penkių sričių – užimtumo, inovacijų, švietimo, socialinės įtraukties ir klimato bei energetikos – tikslus, o kiekviena valstybė narė nusistatė nacionalinius šių sričių tikslus. Strategija grindžiama konkrečiais ES ir nacionalinio lygmenų veiksmais. Klimato kaitos ir energetikos </w:t>
      </w:r>
      <w:r w:rsidR="00A67DBD" w:rsidRPr="002142B8">
        <w:rPr>
          <w:rFonts w:ascii="Georgia" w:hAnsi="Georgia" w:cs="Times New Roman"/>
          <w:sz w:val="20"/>
          <w:lang w:val="lt-LT"/>
        </w:rPr>
        <w:t xml:space="preserve">sritims </w:t>
      </w:r>
      <w:r w:rsidRPr="002142B8">
        <w:rPr>
          <w:rFonts w:ascii="Georgia" w:hAnsi="Georgia" w:cs="Times New Roman"/>
          <w:sz w:val="20"/>
          <w:lang w:val="lt-LT"/>
        </w:rPr>
        <w:t>keliami tikslai, dar vadinami 20-20-20 tikslais</w:t>
      </w:r>
      <w:r w:rsidR="00A67DBD" w:rsidRPr="002142B8">
        <w:rPr>
          <w:rFonts w:ascii="Georgia" w:hAnsi="Georgia" w:cs="Times New Roman"/>
          <w:sz w:val="20"/>
          <w:lang w:val="lt-LT"/>
        </w:rPr>
        <w:t>, yra šie</w:t>
      </w:r>
      <w:r w:rsidRPr="002142B8">
        <w:rPr>
          <w:rFonts w:ascii="Georgia" w:hAnsi="Georgia" w:cs="Times New Roman"/>
          <w:sz w:val="20"/>
          <w:lang w:val="lt-LT"/>
        </w:rPr>
        <w:t>:</w:t>
      </w:r>
    </w:p>
    <w:p w14:paraId="44019038" w14:textId="77777777" w:rsidR="00336C16" w:rsidRPr="002142B8"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šiltnamio efektą sukeliančių dujų kiekis turėtų būti sumažintas 20 % (arba net 30 %, jei tam bus tinkamos sąlygos), palyginti su 1990 m. rodikliais;</w:t>
      </w:r>
    </w:p>
    <w:p w14:paraId="0B06A005" w14:textId="77777777" w:rsidR="00336C16" w:rsidRPr="002142B8"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20 % energijos turėtų būti gaminama iš atsinaujinančiųjų šaltinių;</w:t>
      </w:r>
    </w:p>
    <w:p w14:paraId="183593F8" w14:textId="77777777" w:rsidR="00336C16" w:rsidRPr="002142B8" w:rsidRDefault="00336C16" w:rsidP="00162BF5">
      <w:pPr>
        <w:pStyle w:val="Sraopastraipa"/>
        <w:numPr>
          <w:ilvl w:val="0"/>
          <w:numId w:val="22"/>
        </w:num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energijos vartojimo efektyvumas turėtų būti padidintas 20 %.</w:t>
      </w:r>
    </w:p>
    <w:p w14:paraId="5A7A54C1" w14:textId="77777777" w:rsidR="009E66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 xml:space="preserve">Energijos efektyvumo direktyva </w:t>
      </w:r>
    </w:p>
    <w:p w14:paraId="22124AC7"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Energijos efektyvumo direktyva yra vykdomasis dokumentas, kuriame šalims narėms numatomi reikalavimai, kuriuos įvykdžius bus užtikrintas vieno iš </w:t>
      </w:r>
      <w:r w:rsidR="009E6616" w:rsidRPr="002142B8">
        <w:rPr>
          <w:rFonts w:ascii="Georgia" w:hAnsi="Georgia" w:cs="Georgia"/>
          <w:sz w:val="20"/>
          <w:szCs w:val="20"/>
          <w:lang w:val="lt-LT"/>
        </w:rPr>
        <w:t>strategijos „</w:t>
      </w:r>
      <w:r w:rsidRPr="002142B8">
        <w:rPr>
          <w:rFonts w:ascii="Georgia" w:hAnsi="Georgia" w:cs="Georgia"/>
          <w:sz w:val="20"/>
          <w:szCs w:val="20"/>
          <w:lang w:val="lt-LT"/>
        </w:rPr>
        <w:t>Europa 2020</w:t>
      </w:r>
      <w:r w:rsidR="009E6616" w:rsidRPr="002142B8">
        <w:rPr>
          <w:rFonts w:ascii="Georgia" w:hAnsi="Georgia" w:cs="Georgia"/>
          <w:sz w:val="20"/>
          <w:szCs w:val="20"/>
          <w:lang w:val="lt-LT"/>
        </w:rPr>
        <w:t>“</w:t>
      </w:r>
      <w:r w:rsidRPr="002142B8">
        <w:rPr>
          <w:rFonts w:ascii="Georgia" w:hAnsi="Georgia" w:cs="Georgia"/>
          <w:sz w:val="20"/>
          <w:szCs w:val="20"/>
          <w:lang w:val="lt-LT"/>
        </w:rPr>
        <w:t xml:space="preserve"> tikslų – energijos vartojimo efektyvumas padidintas 20% – pasiekimas. </w:t>
      </w:r>
    </w:p>
    <w:p w14:paraId="32CB85E4"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Viena iš </w:t>
      </w:r>
      <w:r w:rsidR="009E6616" w:rsidRPr="002142B8">
        <w:rPr>
          <w:rFonts w:ascii="Georgia" w:hAnsi="Georgia" w:cs="Georgia"/>
          <w:sz w:val="20"/>
          <w:szCs w:val="20"/>
          <w:lang w:val="lt-LT"/>
        </w:rPr>
        <w:t xml:space="preserve">reglamentuojamų </w:t>
      </w:r>
      <w:r w:rsidRPr="002142B8">
        <w:rPr>
          <w:rFonts w:ascii="Georgia" w:hAnsi="Georgia" w:cs="Georgia"/>
          <w:sz w:val="20"/>
          <w:szCs w:val="20"/>
          <w:lang w:val="lt-LT"/>
        </w:rPr>
        <w:t>sričių yra pastatų renovacija</w:t>
      </w:r>
      <w:r w:rsidR="009E6616" w:rsidRPr="002142B8">
        <w:rPr>
          <w:rFonts w:ascii="Georgia" w:hAnsi="Georgia" w:cs="Georgia"/>
          <w:sz w:val="20"/>
          <w:szCs w:val="20"/>
          <w:lang w:val="lt-LT"/>
        </w:rPr>
        <w:t>, kaip tai apibrėžta Energijos efektyvumo direktyvos 5.1 punkte</w:t>
      </w:r>
      <w:r w:rsidRPr="002142B8">
        <w:rPr>
          <w:rFonts w:ascii="Georgia" w:hAnsi="Georgia" w:cs="Georgia"/>
          <w:sz w:val="20"/>
          <w:szCs w:val="20"/>
          <w:lang w:val="lt-LT"/>
        </w:rPr>
        <w:t>: „V</w:t>
      </w:r>
      <w:r w:rsidRPr="002142B8">
        <w:rPr>
          <w:rFonts w:ascii="Georgia" w:hAnsi="Georgia" w:cs="Georgia"/>
          <w:i/>
          <w:sz w:val="20"/>
          <w:szCs w:val="20"/>
          <w:lang w:val="lt-LT"/>
        </w:rPr>
        <w:t>alstybė narė užtikrin</w:t>
      </w:r>
      <w:r w:rsidR="009E6616" w:rsidRPr="002142B8">
        <w:rPr>
          <w:rFonts w:ascii="Georgia" w:hAnsi="Georgia" w:cs="Georgia"/>
          <w:i/>
          <w:sz w:val="20"/>
          <w:szCs w:val="20"/>
          <w:lang w:val="lt-LT"/>
        </w:rPr>
        <w:t>a</w:t>
      </w:r>
      <w:r w:rsidRPr="002142B8">
        <w:rPr>
          <w:rFonts w:ascii="Georgia" w:hAnsi="Georgia" w:cs="Georgia"/>
          <w:i/>
          <w:sz w:val="20"/>
          <w:szCs w:val="20"/>
          <w:lang w:val="lt-LT"/>
        </w:rPr>
        <w:t>, kad nuo 2014 m. sausio 1 d. kasmet būtų renovuojama 3% bendro centrinės valdžios subjektams priklausančių ir jų naudojamų šildomų ir (arba) vėsinamų pastatų patalpų ploto, kad būtų įvykdyti bent minimalūs energinio naudingumo reikalavimai</w:t>
      </w:r>
      <w:r w:rsidR="009E6616" w:rsidRPr="002142B8">
        <w:rPr>
          <w:rFonts w:ascii="Georgia" w:hAnsi="Georgia" w:cs="Georgia"/>
          <w:i/>
          <w:sz w:val="20"/>
          <w:szCs w:val="20"/>
          <w:lang w:val="lt-LT"/>
        </w:rPr>
        <w:t>, kuriuos ji nustatė taikydama Direktyvos 2010/31/ES 4 straipsnį</w:t>
      </w:r>
      <w:r w:rsidRPr="002142B8">
        <w:rPr>
          <w:rFonts w:ascii="Georgia" w:hAnsi="Georgia" w:cs="Georgia"/>
          <w:i/>
          <w:sz w:val="20"/>
          <w:szCs w:val="20"/>
          <w:lang w:val="lt-LT"/>
        </w:rPr>
        <w:t xml:space="preserve">. 3% rodiklis apskaičiuojamas pagal atitinkamos valstybės narės centrinės valdžios subjektams priklausančių ir jų naudojamų pastatų, kurie kiekvienų metų sausio 1 d. neatitinka </w:t>
      </w:r>
      <w:r w:rsidR="009E6616" w:rsidRPr="002142B8">
        <w:rPr>
          <w:rFonts w:ascii="Georgia" w:hAnsi="Georgia" w:cs="Georgia"/>
          <w:i/>
          <w:sz w:val="20"/>
          <w:szCs w:val="20"/>
          <w:lang w:val="lt-LT"/>
        </w:rPr>
        <w:t xml:space="preserve">taikant Direktyvos 2010/31/ES 4 straipsnį </w:t>
      </w:r>
      <w:r w:rsidRPr="002142B8">
        <w:rPr>
          <w:rFonts w:ascii="Georgia" w:hAnsi="Georgia" w:cs="Georgia"/>
          <w:i/>
          <w:sz w:val="20"/>
          <w:szCs w:val="20"/>
          <w:lang w:val="lt-LT"/>
        </w:rPr>
        <w:t>nustatytų nacionalinių minimalių energinio naudingumo reikalavimų ir kurių bendras naudingasis patalpų plotas viršija 500 kv. m. Nuo 2015 m. liepos 9 d. ta ribinė vertė sumažinama iki 250 kv. m</w:t>
      </w:r>
      <w:r w:rsidRPr="002142B8">
        <w:rPr>
          <w:rFonts w:ascii="Georgia" w:hAnsi="Georgia" w:cs="Georgia"/>
          <w:sz w:val="20"/>
          <w:szCs w:val="20"/>
          <w:lang w:val="lt-LT"/>
        </w:rPr>
        <w:t>.“.</w:t>
      </w:r>
    </w:p>
    <w:p w14:paraId="44DC4E40"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sz w:val="20"/>
          <w:szCs w:val="20"/>
          <w:lang w:val="lt-LT"/>
        </w:rPr>
        <w:t>Daugiabučių modernizavimo srityje taip pat yra aktualių direktyvinių reikalavimų, kurie daro įtaką netgi konkrečių techninių priemonių diegimui daugiabučiuose, tokių kaip pavyzdžiui individualūs skaitikliai: „</w:t>
      </w:r>
      <w:r w:rsidRPr="002142B8">
        <w:rPr>
          <w:rFonts w:ascii="Georgia" w:hAnsi="Georgia" w:cs="Georgia"/>
          <w:i/>
          <w:sz w:val="20"/>
          <w:szCs w:val="20"/>
          <w:lang w:val="lt-LT"/>
        </w:rPr>
        <w:t xml:space="preserve">Daugiabučiuose ir daugeliui paskirčių naudojamuose pastatuose, kuriuose yra centrinis šilumos/vėsumos tiekimo šaltinis arba kuriuos patarnauja centralizuoto šilumos tiekimo tinklas ar centrinis daug pastatų aptarnaujantis šaltinis, ne vėliau kaip 2016 m. gruodžio 31 d. taip pat įrengiami individualaus suvartojimo skaitikliai, kuriais, jei tai techniškai įmanoma ir ekonomiškai </w:t>
      </w:r>
      <w:r w:rsidRPr="002142B8">
        <w:rPr>
          <w:rFonts w:ascii="Georgia" w:hAnsi="Georgia" w:cs="Georgia"/>
          <w:i/>
          <w:sz w:val="20"/>
          <w:szCs w:val="20"/>
          <w:lang w:val="lt-LT"/>
        </w:rPr>
        <w:lastRenderedPageBreak/>
        <w:t>veiksminga, būtų matuojamas kiekvienos patalpos šilumos, vėsumos ir karšto vandens suvartojimas.“</w:t>
      </w:r>
      <w:r w:rsidR="009E6616" w:rsidRPr="002142B8">
        <w:rPr>
          <w:rStyle w:val="Puslapioinaosnuoroda"/>
          <w:rFonts w:ascii="Georgia" w:hAnsi="Georgia" w:cs="Georgia"/>
          <w:i/>
          <w:sz w:val="20"/>
          <w:szCs w:val="20"/>
          <w:lang w:val="lt-LT"/>
        </w:rPr>
        <w:footnoteReference w:id="3"/>
      </w:r>
    </w:p>
    <w:p w14:paraId="52B2BF98"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Energijos efektyvumo direktyva taip pat reglamentuoja įpareigojimų sistemos sukūrimą, įmonių energetinių auditų atlikimą, skatina viešąsias organizacijas vietiniu ar regioniniu lygmeniu pasitvirtinti energijos vartojimo efektyvumo planus, skatina siekti kuo aukštesnės energetinių auditų kokybės bei didinti visuomenės informuotumą apie energetinių auditų teikiamą naudą, skatina užtikrinti kuo tikslesnę sąskaitose už suvartotą energiją pateikiamą informaciją ir kt. </w:t>
      </w:r>
    </w:p>
    <w:p w14:paraId="2E6D1BF6"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sz w:val="20"/>
          <w:szCs w:val="20"/>
          <w:lang w:val="lt-LT"/>
        </w:rPr>
        <w:t xml:space="preserve">Energijos efektyvumo direktyva skatina valstybes nares remti energetinių paslaugų rinką (angl. </w:t>
      </w:r>
      <w:r w:rsidRPr="002142B8">
        <w:rPr>
          <w:rFonts w:ascii="Georgia" w:hAnsi="Georgia" w:cs="Georgia"/>
          <w:i/>
          <w:sz w:val="20"/>
          <w:szCs w:val="20"/>
          <w:lang w:val="lt-LT"/>
        </w:rPr>
        <w:t>ESCO market</w:t>
      </w:r>
      <w:r w:rsidRPr="002142B8">
        <w:rPr>
          <w:rFonts w:ascii="Georgia" w:hAnsi="Georgia" w:cs="Georgia"/>
          <w:sz w:val="20"/>
          <w:szCs w:val="20"/>
          <w:lang w:val="lt-LT"/>
        </w:rPr>
        <w:t>) platinant reikiamą informaciją, skatina kokybės ženklų kūrimą ir kt. Šios analizės apimtyje itin svarbi Energijos efektyvumo direktyvos 18</w:t>
      </w:r>
      <w:r w:rsidR="009E6616" w:rsidRPr="002142B8">
        <w:rPr>
          <w:rFonts w:ascii="Georgia" w:hAnsi="Georgia" w:cs="Georgia"/>
          <w:sz w:val="20"/>
          <w:szCs w:val="20"/>
          <w:lang w:val="lt-LT"/>
        </w:rPr>
        <w:t>.</w:t>
      </w:r>
      <w:r w:rsidRPr="002142B8">
        <w:rPr>
          <w:rFonts w:ascii="Georgia" w:hAnsi="Georgia" w:cs="Georgia"/>
          <w:sz w:val="20"/>
          <w:szCs w:val="20"/>
          <w:lang w:val="lt-LT"/>
        </w:rPr>
        <w:t>1</w:t>
      </w:r>
      <w:r w:rsidR="009E6616" w:rsidRPr="002142B8">
        <w:rPr>
          <w:rFonts w:ascii="Georgia" w:hAnsi="Georgia" w:cs="Georgia"/>
          <w:sz w:val="20"/>
          <w:szCs w:val="20"/>
          <w:lang w:val="lt-LT"/>
        </w:rPr>
        <w:t>(d) punkto</w:t>
      </w:r>
      <w:r w:rsidRPr="002142B8">
        <w:rPr>
          <w:rFonts w:ascii="Georgia" w:hAnsi="Georgia" w:cs="Georgia"/>
          <w:sz w:val="20"/>
          <w:szCs w:val="20"/>
          <w:lang w:val="lt-LT"/>
        </w:rPr>
        <w:t xml:space="preserve"> nuostata: „</w:t>
      </w:r>
      <w:r w:rsidRPr="002142B8">
        <w:rPr>
          <w:rFonts w:ascii="Georgia" w:hAnsi="Georgia" w:cs="Georgia"/>
          <w:i/>
          <w:sz w:val="20"/>
          <w:szCs w:val="20"/>
          <w:lang w:val="lt-LT"/>
        </w:rPr>
        <w:t>valstybės narės [...]</w:t>
      </w:r>
      <w:r w:rsidR="009E6616" w:rsidRPr="002142B8">
        <w:rPr>
          <w:rFonts w:ascii="Georgia" w:hAnsi="Georgia" w:cs="Georgia"/>
          <w:i/>
          <w:sz w:val="20"/>
          <w:szCs w:val="20"/>
          <w:lang w:val="lt-LT"/>
        </w:rPr>
        <w:t xml:space="preserve"> </w:t>
      </w:r>
      <w:r w:rsidRPr="002142B8">
        <w:rPr>
          <w:rFonts w:ascii="Georgia" w:hAnsi="Georgia" w:cs="Georgia"/>
          <w:i/>
          <w:sz w:val="20"/>
          <w:szCs w:val="20"/>
          <w:lang w:val="lt-LT"/>
        </w:rPr>
        <w:t>remia viešąjį sektorių jam priimant pasiūlymus dėl energetinių paslaugų, visų pirma dėl pastatų atnaujinimo; tai daroma: i) rengiant pavyzdines sutartis dėl energijos vartojimo efektyvumo [...]; teikiant informaciją apie sutarčių dėl energijos vartojimo efektyvumo geriausios praktikos pavyzdžius, įskaitant, prireikus, kaštų ir naudos analizę, paremtą gyvavimo ciklo metodu“.</w:t>
      </w:r>
    </w:p>
    <w:p w14:paraId="2AD67BDE" w14:textId="5D089BD7" w:rsidR="00336C16" w:rsidRPr="002142B8" w:rsidRDefault="009E66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Kaip numatyta Energijos efektyvumo direktyvos 24.2 punkte, v</w:t>
      </w:r>
      <w:r w:rsidR="00336C16" w:rsidRPr="002142B8">
        <w:rPr>
          <w:rFonts w:ascii="Georgia" w:hAnsi="Georgia" w:cs="Georgia"/>
          <w:sz w:val="20"/>
          <w:szCs w:val="20"/>
          <w:lang w:val="lt-LT"/>
        </w:rPr>
        <w:t xml:space="preserve">isos šalys narės turi pasirengti </w:t>
      </w:r>
      <w:r w:rsidRPr="002142B8">
        <w:rPr>
          <w:rFonts w:ascii="Georgia" w:hAnsi="Georgia" w:cs="Georgia"/>
          <w:sz w:val="20"/>
          <w:szCs w:val="20"/>
          <w:lang w:val="lt-LT"/>
        </w:rPr>
        <w:t>nacionalinius e</w:t>
      </w:r>
      <w:r w:rsidR="00336C16" w:rsidRPr="002142B8">
        <w:rPr>
          <w:rFonts w:ascii="Georgia" w:hAnsi="Georgia" w:cs="Georgia"/>
          <w:sz w:val="20"/>
          <w:szCs w:val="20"/>
          <w:lang w:val="lt-LT"/>
        </w:rPr>
        <w:t>nergijos efektyvumo veiksmų planus, kuriais vadovaujantis bus įgyvendinami Energijos efektyvumo direktyvos keliami 20-20-20 reikalavimai.</w:t>
      </w:r>
      <w:r w:rsidR="00A57A16" w:rsidRPr="002142B8">
        <w:rPr>
          <w:rFonts w:ascii="Georgia" w:hAnsi="Georgia" w:cs="Georgia"/>
          <w:sz w:val="20"/>
          <w:szCs w:val="20"/>
          <w:lang w:val="lt-LT"/>
        </w:rPr>
        <w:t xml:space="preserve"> Lietuvos nacionalinis energijos efektyvumo veiksmų planas buvo patvirtintas LR energetikos ministro 2014 m. gegužės 30 d. įsakymu Nr. 1-149. Nacionalinis energijos efektyvumo veiksmų planas yra vykdomojo pobūdžio dokumentas, todėl šiame e</w:t>
      </w:r>
      <w:r w:rsidR="00300FF4" w:rsidRPr="002142B8">
        <w:rPr>
          <w:rFonts w:ascii="Georgia" w:hAnsi="Georgia" w:cs="Georgia"/>
          <w:sz w:val="20"/>
          <w:szCs w:val="20"/>
          <w:lang w:val="lt-LT"/>
        </w:rPr>
        <w:t>x-ante</w:t>
      </w:r>
      <w:r w:rsidR="00A57A16" w:rsidRPr="002142B8">
        <w:rPr>
          <w:rFonts w:ascii="Georgia" w:hAnsi="Georgia" w:cs="Georgia"/>
          <w:sz w:val="20"/>
          <w:szCs w:val="20"/>
          <w:lang w:val="lt-LT"/>
        </w:rPr>
        <w:t xml:space="preserve"> vertinimo skyriuje detaliau nėra aprašomas.</w:t>
      </w:r>
    </w:p>
    <w:p w14:paraId="015AC2C7"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Pastatų energinio naudingumo direktyva Nr. 2010/31/ES</w:t>
      </w:r>
    </w:p>
    <w:p w14:paraId="11EEF894"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Pastatų energinio naudingumo direktyva yra Energinio efektyvumo direktyvą papildantis dokumentas, kurioje reglamentuojamas pastatų energinio naudingumo didinimas </w:t>
      </w:r>
      <w:r w:rsidR="00CC2E6F" w:rsidRPr="002142B8">
        <w:rPr>
          <w:rFonts w:ascii="Georgia" w:hAnsi="Georgia" w:cs="Georgia"/>
          <w:sz w:val="20"/>
          <w:szCs w:val="20"/>
          <w:lang w:val="lt-LT"/>
        </w:rPr>
        <w:t>ES</w:t>
      </w:r>
      <w:r w:rsidRPr="002142B8">
        <w:rPr>
          <w:rFonts w:ascii="Georgia" w:hAnsi="Georgia" w:cs="Georgia"/>
          <w:sz w:val="20"/>
          <w:szCs w:val="20"/>
          <w:lang w:val="lt-LT"/>
        </w:rPr>
        <w:t xml:space="preserve"> atsižvelgiant į išorės klimato sąlygas ir vietos ypatybes, taip pat į patalpų mikroklimato reikalavimus ir ekonominį efektyvumą. </w:t>
      </w:r>
    </w:p>
    <w:p w14:paraId="17C306A8" w14:textId="77777777" w:rsidR="00336C16" w:rsidRPr="002142B8" w:rsidRDefault="00E22181"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Bendrųjų</w:t>
      </w:r>
      <w:r w:rsidR="00336C16" w:rsidRPr="002142B8">
        <w:rPr>
          <w:rFonts w:ascii="Georgia" w:hAnsi="Georgia" w:cs="Georgia"/>
          <w:b/>
          <w:i/>
          <w:sz w:val="20"/>
          <w:szCs w:val="20"/>
          <w:lang w:val="lt-LT"/>
        </w:rPr>
        <w:t xml:space="preserve"> nuostatų reglamentas</w:t>
      </w:r>
    </w:p>
    <w:p w14:paraId="2FE3258C" w14:textId="2E4F6956" w:rsidR="00336C16" w:rsidRPr="002142B8" w:rsidRDefault="00E22181"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B</w:t>
      </w:r>
      <w:r w:rsidR="00336C16" w:rsidRPr="002142B8">
        <w:rPr>
          <w:rFonts w:ascii="Georgia" w:hAnsi="Georgia" w:cs="Georgia"/>
          <w:sz w:val="20"/>
          <w:szCs w:val="20"/>
          <w:lang w:val="lt-LT"/>
        </w:rPr>
        <w:t>endrųjų nuostatų reglamentas nustato ESI fondų teminius tikslus. Pagal šiuos teminius tikslus nustatomi konkretūs kiekvieno ESI fondo prioritetai, nurodomi konkrečiam fondui taikomose taisyklėse. Ketvirtasis teminis tikslas yra aktualiausias šio e</w:t>
      </w:r>
      <w:r w:rsidR="00300FF4" w:rsidRPr="002142B8">
        <w:rPr>
          <w:rFonts w:ascii="Georgia" w:hAnsi="Georgia" w:cs="Georgia"/>
          <w:sz w:val="20"/>
          <w:szCs w:val="20"/>
          <w:lang w:val="lt-LT"/>
        </w:rPr>
        <w:t>x-ante</w:t>
      </w:r>
      <w:r w:rsidR="00336C16" w:rsidRPr="002142B8">
        <w:rPr>
          <w:rFonts w:ascii="Georgia" w:hAnsi="Georgia" w:cs="Georgia"/>
          <w:i/>
          <w:sz w:val="20"/>
          <w:szCs w:val="20"/>
          <w:lang w:val="lt-LT"/>
        </w:rPr>
        <w:t xml:space="preserve"> </w:t>
      </w:r>
      <w:r w:rsidRPr="002142B8">
        <w:rPr>
          <w:rFonts w:ascii="Georgia" w:hAnsi="Georgia" w:cs="Georgia"/>
          <w:sz w:val="20"/>
          <w:szCs w:val="20"/>
          <w:lang w:val="lt-LT"/>
        </w:rPr>
        <w:t xml:space="preserve">vertinimo </w:t>
      </w:r>
      <w:r w:rsidR="00336C16" w:rsidRPr="002142B8">
        <w:rPr>
          <w:rFonts w:ascii="Georgia" w:hAnsi="Georgia" w:cs="Georgia"/>
          <w:sz w:val="20"/>
          <w:szCs w:val="20"/>
          <w:lang w:val="lt-LT"/>
        </w:rPr>
        <w:t xml:space="preserve">apimtyje: </w:t>
      </w:r>
      <w:r w:rsidR="00336C16" w:rsidRPr="002142B8">
        <w:rPr>
          <w:rFonts w:ascii="Georgia" w:hAnsi="Georgia" w:cs="Georgia"/>
          <w:i/>
          <w:sz w:val="20"/>
          <w:szCs w:val="20"/>
          <w:lang w:val="lt-LT"/>
        </w:rPr>
        <w:t>„(4) perėjimo prie mažai anglies dioksido į aplinką išskiriančių technologijų ekonomikos visuose sektoriuose rėmimas“.</w:t>
      </w:r>
    </w:p>
    <w:p w14:paraId="38244B22"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Europos regioninės plėtros fondo reglamentas Nr. 1301/2013</w:t>
      </w:r>
    </w:p>
    <w:p w14:paraId="63631C52"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Europos regioninės plėtros fondo lėšomis remiamos </w:t>
      </w:r>
      <w:r w:rsidR="00E22181" w:rsidRPr="002142B8">
        <w:rPr>
          <w:rFonts w:ascii="Georgia" w:hAnsi="Georgia" w:cs="Georgia"/>
          <w:sz w:val="20"/>
          <w:szCs w:val="20"/>
          <w:lang w:val="lt-LT"/>
        </w:rPr>
        <w:t>B</w:t>
      </w:r>
      <w:r w:rsidRPr="002142B8">
        <w:rPr>
          <w:rFonts w:ascii="Georgia" w:hAnsi="Georgia" w:cs="Georgia"/>
          <w:sz w:val="20"/>
          <w:szCs w:val="20"/>
          <w:lang w:val="lt-LT"/>
        </w:rPr>
        <w:t>endrųjų nuostatų reglamente nustatyto 4-ojo teminio tikslo veiklos yra detalizuojamos Europos regioninės plėtros fondo reglamento</w:t>
      </w:r>
      <w:r w:rsidR="00E22181" w:rsidRPr="002142B8">
        <w:rPr>
          <w:rFonts w:ascii="Georgia" w:hAnsi="Georgia" w:cs="Georgia"/>
          <w:sz w:val="20"/>
          <w:szCs w:val="20"/>
          <w:lang w:val="lt-LT"/>
        </w:rPr>
        <w:t xml:space="preserve"> 5 straipsnio</w:t>
      </w:r>
      <w:r w:rsidRPr="002142B8">
        <w:rPr>
          <w:rFonts w:ascii="Georgia" w:hAnsi="Georgia" w:cs="Georgia"/>
          <w:sz w:val="20"/>
          <w:szCs w:val="20"/>
          <w:lang w:val="lt-LT"/>
        </w:rPr>
        <w:t xml:space="preserve"> nuostatose:</w:t>
      </w:r>
    </w:p>
    <w:p w14:paraId="6C426A86"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„(4) perėjimo prie mažai anglies dioksido į aplinką išskiriančių technologijų ekonomikos visuose sektoriuose rėmimas:</w:t>
      </w:r>
    </w:p>
    <w:p w14:paraId="4AFD96BB"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skatinant energijos, gaunamos iš atsinaujinančių energijos išteklių, gamybą ir paskirstymą;</w:t>
      </w:r>
    </w:p>
    <w:p w14:paraId="7D8C6E1B"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 xml:space="preserve">skatinant energijos vartojimo efektyvumą ir atsinaujinančiosios energijos naudojimą įmonėse; </w:t>
      </w:r>
    </w:p>
    <w:p w14:paraId="0F68EA69"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lastRenderedPageBreak/>
        <w:t xml:space="preserve">remiant energijos vartojimo efektyvumą, pažangų energijos valdymą ir atsinaujinančiosios energijos vartojimą viešojoje infrastruktūroje, įskaitant viešuosius pastatus, ir būstų sektoriuje; </w:t>
      </w:r>
    </w:p>
    <w:p w14:paraId="46F58780"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 xml:space="preserve">plėtojant ir diegiant žemoje ir vidutinėje įtampoje veikiančias pažangiąsias paskirstymo sistemas; </w:t>
      </w:r>
    </w:p>
    <w:p w14:paraId="545C0CAB"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 xml:space="preserve">skatinant anglies dioksido kiekio mažinimo visų rūšių teritorijose, ypač miesto teritorijose, strategijas, taip pat skatinant tvarų ir įvairiarūšį judrumą miestuose ir su švelninimu susijusias prisitaikymo priemones; </w:t>
      </w:r>
    </w:p>
    <w:p w14:paraId="6A5EEDC9"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skatinant mokslinius tyrimus ir inovacijos mažo anglies dioksido kiekio technologijų srityje ir tokių technologijų diegimą;</w:t>
      </w:r>
    </w:p>
    <w:p w14:paraId="56D526EA" w14:textId="77777777" w:rsidR="00336C16" w:rsidRPr="002142B8" w:rsidRDefault="00336C16" w:rsidP="00162BF5">
      <w:pPr>
        <w:pStyle w:val="Sraopastraipa"/>
        <w:numPr>
          <w:ilvl w:val="0"/>
          <w:numId w:val="23"/>
        </w:num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skatinant didelio efektyvumo bendros šilumos ir elektros energijos gamybą, grindžiamą naudingosios šilumos paklausa.“</w:t>
      </w:r>
    </w:p>
    <w:p w14:paraId="4A42B241"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 xml:space="preserve">2014-2020 </w:t>
      </w:r>
      <w:r w:rsidR="00E22181" w:rsidRPr="002142B8">
        <w:rPr>
          <w:rFonts w:ascii="Georgia" w:hAnsi="Georgia" w:cs="Georgia"/>
          <w:b/>
          <w:i/>
          <w:sz w:val="20"/>
          <w:szCs w:val="20"/>
          <w:lang w:val="lt-LT"/>
        </w:rPr>
        <w:t xml:space="preserve">m. </w:t>
      </w:r>
      <w:r w:rsidRPr="002142B8">
        <w:rPr>
          <w:rFonts w:ascii="Georgia" w:hAnsi="Georgia" w:cs="Georgia"/>
          <w:b/>
          <w:i/>
          <w:sz w:val="20"/>
          <w:szCs w:val="20"/>
          <w:lang w:val="lt-LT"/>
        </w:rPr>
        <w:t xml:space="preserve">veiksmų programa </w:t>
      </w:r>
    </w:p>
    <w:p w14:paraId="7BBD39E2" w14:textId="3788E71A"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2014-2020 m</w:t>
      </w:r>
      <w:r w:rsidR="00E22181" w:rsidRPr="002142B8">
        <w:rPr>
          <w:rFonts w:ascii="Georgia" w:hAnsi="Georgia" w:cs="Georgia"/>
          <w:sz w:val="20"/>
          <w:szCs w:val="20"/>
          <w:lang w:val="lt-LT"/>
        </w:rPr>
        <w:t xml:space="preserve">. </w:t>
      </w:r>
      <w:r w:rsidRPr="002142B8">
        <w:rPr>
          <w:rFonts w:ascii="Georgia" w:hAnsi="Georgia" w:cs="Georgia"/>
          <w:sz w:val="20"/>
          <w:szCs w:val="20"/>
          <w:lang w:val="lt-LT"/>
        </w:rPr>
        <w:t>veiksmų programos 4-asis prioritetas „Energijos efektyvumo ir atsinaujinančių išteklių energijos gamybos ir naudojimo skatinimas“ detalizuoja veiklas, remtinas įvairiose energijos efektyvumo srityse. Ši</w:t>
      </w:r>
      <w:r w:rsidR="0072319B" w:rsidRPr="002142B8">
        <w:rPr>
          <w:rFonts w:ascii="Georgia" w:hAnsi="Georgia" w:cs="Georgia"/>
          <w:sz w:val="20"/>
          <w:szCs w:val="20"/>
          <w:lang w:val="lt-LT"/>
        </w:rPr>
        <w:t>ame</w:t>
      </w:r>
      <w:r w:rsidRPr="002142B8">
        <w:rPr>
          <w:rFonts w:ascii="Georgia" w:hAnsi="Georgia" w:cs="Georgia"/>
          <w:sz w:val="20"/>
          <w:szCs w:val="20"/>
          <w:lang w:val="lt-LT"/>
        </w:rPr>
        <w:t xml:space="preserve"> e</w:t>
      </w:r>
      <w:r w:rsidR="00300FF4" w:rsidRPr="002142B8">
        <w:rPr>
          <w:rFonts w:ascii="Georgia" w:hAnsi="Georgia" w:cs="Georgia"/>
          <w:sz w:val="20"/>
          <w:szCs w:val="20"/>
          <w:lang w:val="lt-LT"/>
        </w:rPr>
        <w:t>x-ante</w:t>
      </w:r>
      <w:r w:rsidR="0072319B" w:rsidRPr="002142B8">
        <w:rPr>
          <w:rFonts w:ascii="Georgia" w:hAnsi="Georgia" w:cs="Georgia"/>
          <w:sz w:val="20"/>
          <w:szCs w:val="20"/>
          <w:lang w:val="lt-LT"/>
        </w:rPr>
        <w:t xml:space="preserve"> vertinime</w:t>
      </w:r>
      <w:r w:rsidRPr="002142B8">
        <w:rPr>
          <w:rFonts w:ascii="Georgia" w:hAnsi="Georgia" w:cs="Georgia"/>
          <w:sz w:val="20"/>
          <w:szCs w:val="20"/>
          <w:lang w:val="lt-LT"/>
        </w:rPr>
        <w:t xml:space="preserve"> analizuojamos veiklos yra išskiriamos 4.3 investiciniame prioritete „Energijos vartojimo efektyvumo, pažangaus energijos valdymo ir AIE vartojimo viešosiose infrastruktūrose, įskaitant viešuosius pastatus ir gyvenamųjų namų sektorių, rėmimas“ ir 4.3.1 konkrečiame uždavinyje „Sumažinti energijos suvartojimą viešojoje infrastruktūroje ir daugiabučiuose namuose“. </w:t>
      </w:r>
    </w:p>
    <w:p w14:paraId="25627DE0"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Minėto konkretaus uždavinio detaliame aprašyme minima, kad daugiausia energijos įmanoma sutaupyti pramonės ir namų ūkiuose – iš viso 61 proc., taip pat nemažas energijos taupymo potencialas yra ir modernizuojant gatvių apšvietimą: sėkmingai įgyvendinus tokius projektus, būtų galima sutaupyti iki 50 proc. energijos, o eksploatacijos sąnaudos sumažėtų 60 proc.</w:t>
      </w:r>
    </w:p>
    <w:p w14:paraId="4E83CE12"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4.3 investicinio prioriteto numatomos remti šios veiklos:</w:t>
      </w:r>
    </w:p>
    <w:p w14:paraId="31855E42" w14:textId="77777777" w:rsidR="00336C16" w:rsidRPr="002142B8"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2142B8">
        <w:rPr>
          <w:rFonts w:ascii="Georgia" w:hAnsi="Georgia" w:cs="Georgia"/>
          <w:sz w:val="20"/>
          <w:szCs w:val="20"/>
          <w:u w:val="single"/>
          <w:lang w:val="lt-LT"/>
        </w:rPr>
        <w:t>Daugiabučių namų atnaujinimas ir modernizavimas</w:t>
      </w:r>
      <w:r w:rsidRPr="002142B8">
        <w:rPr>
          <w:rFonts w:ascii="Georgia" w:hAnsi="Georgia" w:cs="Georgia"/>
          <w:sz w:val="20"/>
          <w:szCs w:val="20"/>
          <w:lang w:val="lt-LT"/>
        </w:rPr>
        <w:t xml:space="preserve"> energetinį efektyvumą didinančiomis priemonėmis (įskaitant socialinių grupių gyvenamosios paskirties pastatus). Numatoma finansuoti pastato energetinį naudingumą didinančias ir kitas pastato atnaujinimo (modernizavimo) (įskaitant kapitalinę renovaciją) priemones (šildymo ir karšto vandens sistemų, ventiliacijos ir rekuperacijos sistemų pertvarkymas, keitimas ar įrengimas, pastato fasado sienų šiltinimas įskaitant sienų konstrukcijos defektų pašalinimą ir nuogrindos sutvarkymą, balkonų ar lodžijų įstiklinimas, jų esamos konstrukcijos sustiprinimas ar įrengimas, taip pat laiptinių lauko durų ir patalpų langų keitimas į mažiau šilumą praleidžiančius, rūsio perdangos šiltinimas, liftų atnaujinimas, kitų pastato bendrojo naudojimo inžinerinių sistemų sutvarkymas ir kitos tiesiogiai su atliekamais darbais susijusios priemonės), įskaitant AIE juose diegimą ir įrengimą, siekiant atitikti ne mažesnę kaip C pastato energinio naudingumo klasę.</w:t>
      </w:r>
    </w:p>
    <w:p w14:paraId="647DDC05" w14:textId="77777777" w:rsidR="00336C16" w:rsidRPr="002142B8"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2142B8">
        <w:rPr>
          <w:rFonts w:ascii="Georgia" w:hAnsi="Georgia" w:cs="Georgia"/>
          <w:sz w:val="20"/>
          <w:szCs w:val="20"/>
          <w:lang w:val="lt-LT"/>
        </w:rPr>
        <w:t>Viešosios paskirties pastatų ir daugiabučių namų atnaujinimo skatinimas ir priežiūra. Numatoma finansuoti skatinimo veiklas (viešosios paskirties pastatų ir daugiabučių namų modernizavimo viešinimas, viešosios paskirties pastatų valdytojų ir daugiabučių namų savininkų informavimas ir konsultavimas), rengti tipinius ir investicinius projektus, taip pat vykdyti projektų įgyvendinimo priežiūrą, kontrolę.</w:t>
      </w:r>
    </w:p>
    <w:p w14:paraId="4B6EA80C" w14:textId="72504709" w:rsidR="00336C16" w:rsidRPr="002142B8"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2142B8">
        <w:rPr>
          <w:rFonts w:ascii="Georgia" w:hAnsi="Georgia" w:cs="Georgia"/>
          <w:sz w:val="20"/>
          <w:szCs w:val="20"/>
          <w:u w:val="single"/>
          <w:lang w:val="lt-LT"/>
        </w:rPr>
        <w:t xml:space="preserve">Savivaldybių institucijų ir įstaigų naudojamų pastatų </w:t>
      </w:r>
      <w:r w:rsidR="00BA7CAB" w:rsidRPr="002142B8">
        <w:rPr>
          <w:rFonts w:ascii="Georgia" w:hAnsi="Georgia" w:cs="Georgia"/>
          <w:sz w:val="20"/>
          <w:szCs w:val="20"/>
          <w:u w:val="single"/>
          <w:lang w:val="lt-LT"/>
        </w:rPr>
        <w:t xml:space="preserve">atnaujinimas </w:t>
      </w:r>
      <w:r w:rsidRPr="002142B8">
        <w:rPr>
          <w:rFonts w:ascii="Georgia" w:hAnsi="Georgia" w:cs="Georgia"/>
          <w:sz w:val="20"/>
          <w:szCs w:val="20"/>
          <w:u w:val="single"/>
          <w:lang w:val="lt-LT"/>
        </w:rPr>
        <w:t>ir modernizavimas</w:t>
      </w:r>
      <w:r w:rsidRPr="002142B8">
        <w:rPr>
          <w:rFonts w:ascii="Georgia" w:hAnsi="Georgia" w:cs="Georgia"/>
          <w:sz w:val="20"/>
          <w:szCs w:val="20"/>
          <w:lang w:val="lt-LT"/>
        </w:rPr>
        <w:t xml:space="preserve">. Planuojama remti savivaldybių institucijų ir įstaigų pastatų (vietos savivaldos administracinės paskirties, kultūros, švietimo ir mokslo, gydymo paskirties pastatų ir kitų pastatų (pavyzdžiui sporto ir specialiosios paskirties)), priklausančių savivaldybių institucijoms ir įstaigoms nuosavybės teise ir (arba) valdomų kitais teisėtais pagrindais, renovavimo priemones (išorinių atitvarų remontas ir (arba) rekonstravimas, pastatų energetikos sistemų modernizavimas ir (arba) rekonstravimas ir kitos susijusios priemonės), siekiant pagerinti pastatų energines </w:t>
      </w:r>
      <w:r w:rsidRPr="002142B8">
        <w:rPr>
          <w:rFonts w:ascii="Georgia" w:hAnsi="Georgia" w:cs="Georgia"/>
          <w:sz w:val="20"/>
          <w:szCs w:val="20"/>
          <w:lang w:val="lt-LT"/>
        </w:rPr>
        <w:lastRenderedPageBreak/>
        <w:t>savybes, atsižvelgiant į energinio naudingumo susitarimų principą, taip pat AIE panaudojimo energijos gamybai juose skatinimui.</w:t>
      </w:r>
    </w:p>
    <w:p w14:paraId="6F31B457" w14:textId="0CC20B99" w:rsidR="00336C16" w:rsidRPr="002142B8"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2142B8">
        <w:rPr>
          <w:rFonts w:ascii="Georgia" w:hAnsi="Georgia" w:cs="Georgia"/>
          <w:sz w:val="20"/>
          <w:szCs w:val="20"/>
          <w:u w:val="single"/>
          <w:lang w:val="lt-LT"/>
        </w:rPr>
        <w:t xml:space="preserve">Valstybės institucijų ir įstaigų naudojamų pastatų </w:t>
      </w:r>
      <w:r w:rsidR="00BA7CAB" w:rsidRPr="002142B8">
        <w:rPr>
          <w:rFonts w:ascii="Georgia" w:hAnsi="Georgia" w:cs="Georgia"/>
          <w:sz w:val="20"/>
          <w:szCs w:val="20"/>
          <w:u w:val="single"/>
          <w:lang w:val="lt-LT"/>
        </w:rPr>
        <w:t xml:space="preserve">atnaujinimas </w:t>
      </w:r>
      <w:r w:rsidRPr="002142B8">
        <w:rPr>
          <w:rFonts w:ascii="Georgia" w:hAnsi="Georgia" w:cs="Georgia"/>
          <w:sz w:val="20"/>
          <w:szCs w:val="20"/>
          <w:u w:val="single"/>
          <w:lang w:val="lt-LT"/>
        </w:rPr>
        <w:t>ir modernizavimas</w:t>
      </w:r>
      <w:r w:rsidRPr="002142B8">
        <w:rPr>
          <w:rFonts w:ascii="Georgia" w:hAnsi="Georgia" w:cs="Georgia"/>
          <w:sz w:val="20"/>
          <w:szCs w:val="20"/>
          <w:lang w:val="lt-LT"/>
        </w:rPr>
        <w:t>. Planuojama remti valstybei nuosavybės teise priklausančių šildomų ir (arba) vėsinamų valstybės institucijų ir įstaigų – valstybinio administravimo subjektų naudojamų pastatų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14:paraId="60E06198" w14:textId="77777777" w:rsidR="00336C16" w:rsidRPr="002142B8" w:rsidRDefault="00336C16" w:rsidP="00162BF5">
      <w:pPr>
        <w:pStyle w:val="Sraopastraipa"/>
        <w:numPr>
          <w:ilvl w:val="0"/>
          <w:numId w:val="24"/>
        </w:numPr>
        <w:autoSpaceDE w:val="0"/>
        <w:autoSpaceDN w:val="0"/>
        <w:adjustRightInd w:val="0"/>
        <w:ind w:left="426" w:hanging="426"/>
        <w:jc w:val="both"/>
        <w:rPr>
          <w:rFonts w:ascii="Georgia" w:hAnsi="Georgia" w:cs="Georgia"/>
          <w:sz w:val="20"/>
          <w:szCs w:val="20"/>
          <w:lang w:val="lt-LT"/>
        </w:rPr>
      </w:pPr>
      <w:r w:rsidRPr="002142B8">
        <w:rPr>
          <w:rFonts w:ascii="Georgia" w:hAnsi="Georgia" w:cs="Georgia"/>
          <w:sz w:val="20"/>
          <w:szCs w:val="20"/>
          <w:u w:val="single"/>
          <w:lang w:val="lt-LT"/>
        </w:rPr>
        <w:t>Miestų gatvių apšvietimo modernizavimas</w:t>
      </w:r>
      <w:r w:rsidRPr="002142B8">
        <w:rPr>
          <w:rFonts w:ascii="Georgia" w:hAnsi="Georgia" w:cs="Georgia"/>
          <w:sz w:val="20"/>
          <w:szCs w:val="20"/>
          <w:lang w:val="lt-LT"/>
        </w:rPr>
        <w:t xml:space="preserve"> (planuojama remti šviestuvų, atramų atnaujinimą, intelektualios kontrolės sistemos diegimą, skirstymo bei maitinimo spintų atnaujinimą).</w:t>
      </w:r>
    </w:p>
    <w:p w14:paraId="1B0CE4F4"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2014-2020 nacionalinės pažangos programa</w:t>
      </w:r>
    </w:p>
    <w:p w14:paraId="58B82B39" w14:textId="77777777" w:rsidR="00336C16" w:rsidRPr="002142B8" w:rsidRDefault="00336C16" w:rsidP="0072319B">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2014–2020 metų nacionalinės pažangos programa</w:t>
      </w:r>
      <w:r w:rsidR="0072319B" w:rsidRPr="002142B8">
        <w:rPr>
          <w:rFonts w:ascii="Georgia" w:hAnsi="Georgia" w:cs="Georgia"/>
          <w:sz w:val="20"/>
          <w:szCs w:val="20"/>
          <w:lang w:val="lt-LT"/>
        </w:rPr>
        <w:t>, patvirtinta Lietuvos Respublikos Vyriausybės 2012 m. lapkričio 28 d. nutarimu Nr. 1482,</w:t>
      </w:r>
      <w:r w:rsidRPr="002142B8">
        <w:rPr>
          <w:rFonts w:ascii="Georgia" w:hAnsi="Georgia" w:cs="Georgia"/>
          <w:sz w:val="20"/>
          <w:szCs w:val="20"/>
          <w:lang w:val="lt-LT"/>
        </w:rPr>
        <w:t xml:space="preserve"> </w:t>
      </w:r>
      <w:r w:rsidR="0072319B" w:rsidRPr="002142B8">
        <w:rPr>
          <w:rFonts w:ascii="Georgia" w:hAnsi="Georgia" w:cs="Georgia"/>
          <w:sz w:val="20"/>
          <w:szCs w:val="20"/>
          <w:lang w:val="lt-LT"/>
        </w:rPr>
        <w:t xml:space="preserve">buvo parengta </w:t>
      </w:r>
      <w:r w:rsidRPr="002142B8">
        <w:rPr>
          <w:rFonts w:ascii="Georgia" w:hAnsi="Georgia" w:cs="Georgia"/>
          <w:sz w:val="20"/>
          <w:szCs w:val="20"/>
          <w:lang w:val="lt-LT"/>
        </w:rPr>
        <w:t xml:space="preserve">siekiant įgyvendinti valstybės pažangos strategiją „Lietuvos pažangos strategija „Lietuva 2030“ ir sukurti pažangią, modernią ir stiprią valstybę, pasižyminčią sumanios visuomenės, sumanios ekonomikos ir sumanaus valdymo derme. Viena iš nacionalinės pažangos programos </w:t>
      </w:r>
      <w:r w:rsidR="0072319B" w:rsidRPr="002142B8">
        <w:rPr>
          <w:rFonts w:ascii="Georgia" w:hAnsi="Georgia" w:cs="Georgia"/>
          <w:sz w:val="20"/>
          <w:szCs w:val="20"/>
          <w:lang w:val="lt-LT"/>
        </w:rPr>
        <w:t xml:space="preserve">remiamų </w:t>
      </w:r>
      <w:r w:rsidRPr="002142B8">
        <w:rPr>
          <w:rFonts w:ascii="Georgia" w:hAnsi="Georgia" w:cs="Georgia"/>
          <w:sz w:val="20"/>
          <w:szCs w:val="20"/>
          <w:lang w:val="lt-LT"/>
        </w:rPr>
        <w:t>sričių – energijos efektyvumas, apibrėžiamas nacionalinės pažangos programos 3.3 tikslo apimtyje. Konkrečias veiklas energijos efektyvumo srityje numato 3.3.2 uždavinys „užtikrinti darnų energijos išteklių naudojimą“. Numatomos šios svarbiausios uždavinio kryptys:</w:t>
      </w:r>
    </w:p>
    <w:p w14:paraId="2C5F0798"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„3.3.2.1.     skatinti atsinaujinančių energijos išteklių gamybą ir naudojimą;</w:t>
      </w:r>
    </w:p>
    <w:p w14:paraId="54B31C8C"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3.3.2.2.     remti energijos vartojimo efektyvumą gyvenamųjų namų ir viešųjų pastatų sektoriuose;</w:t>
      </w:r>
    </w:p>
    <w:p w14:paraId="765B07E3"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3.3.2.3.     kurti ir diegti modernias energiją ir kitus gamtos išteklius tausojančias technologijas ir procesų valdymo sistemas;</w:t>
      </w:r>
    </w:p>
    <w:p w14:paraId="1D4A9849"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3.3.2.4.     didinti energijos išteklių naudojimo efektyvumą energijos gamybos ir naudojimo srityse;</w:t>
      </w:r>
    </w:p>
    <w:p w14:paraId="51C0F612" w14:textId="77777777"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i/>
          <w:sz w:val="20"/>
          <w:szCs w:val="20"/>
          <w:lang w:val="lt-LT"/>
        </w:rPr>
        <w:t>3.3.2.5.     plėtoti elektra ir kitais alternatyviais degalais varomų transporto priemonių naudojimą ir skatinti intermodalumą.“</w:t>
      </w:r>
    </w:p>
    <w:p w14:paraId="72ACEA4D" w14:textId="77777777" w:rsidR="00336C16" w:rsidRPr="002142B8" w:rsidRDefault="00336C16"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Nacionalinė energetinės nepriklausomybės strategija</w:t>
      </w:r>
    </w:p>
    <w:p w14:paraId="6EA57D09" w14:textId="3B44BFB8" w:rsidR="00336C16" w:rsidRPr="002142B8" w:rsidRDefault="00336C16" w:rsidP="00336C16">
      <w:pPr>
        <w:autoSpaceDE w:val="0"/>
        <w:autoSpaceDN w:val="0"/>
        <w:adjustRightInd w:val="0"/>
        <w:jc w:val="both"/>
        <w:rPr>
          <w:rFonts w:ascii="Georgia" w:hAnsi="Georgia" w:cs="Georgia"/>
          <w:i/>
          <w:sz w:val="20"/>
          <w:szCs w:val="20"/>
          <w:lang w:val="lt-LT"/>
        </w:rPr>
      </w:pPr>
      <w:r w:rsidRPr="002142B8">
        <w:rPr>
          <w:rFonts w:ascii="Georgia" w:hAnsi="Georgia" w:cs="Georgia"/>
          <w:sz w:val="20"/>
          <w:szCs w:val="20"/>
          <w:lang w:val="lt-LT"/>
        </w:rPr>
        <w:t xml:space="preserve">Lietuvos Respublikos </w:t>
      </w:r>
      <w:r w:rsidR="0072319B" w:rsidRPr="002142B8">
        <w:rPr>
          <w:rFonts w:ascii="Georgia" w:hAnsi="Georgia" w:cs="Georgia"/>
          <w:sz w:val="20"/>
          <w:szCs w:val="20"/>
          <w:lang w:val="lt-LT"/>
        </w:rPr>
        <w:t>S</w:t>
      </w:r>
      <w:r w:rsidRPr="002142B8">
        <w:rPr>
          <w:rFonts w:ascii="Georgia" w:hAnsi="Georgia" w:cs="Georgia"/>
          <w:sz w:val="20"/>
          <w:szCs w:val="20"/>
          <w:lang w:val="lt-LT"/>
        </w:rPr>
        <w:t xml:space="preserve">eimas </w:t>
      </w:r>
      <w:r w:rsidR="0072319B" w:rsidRPr="002142B8">
        <w:rPr>
          <w:rFonts w:ascii="Georgia" w:hAnsi="Georgia" w:cs="Georgia"/>
          <w:sz w:val="20"/>
          <w:szCs w:val="20"/>
          <w:lang w:val="lt-LT"/>
        </w:rPr>
        <w:t>2012</w:t>
      </w:r>
      <w:r w:rsidR="00FC2CF2" w:rsidRPr="002142B8">
        <w:rPr>
          <w:rFonts w:ascii="Georgia" w:hAnsi="Georgia" w:cs="Georgia"/>
          <w:sz w:val="20"/>
          <w:szCs w:val="20"/>
          <w:lang w:val="lt-LT"/>
        </w:rPr>
        <w:t xml:space="preserve"> metų </w:t>
      </w:r>
      <w:r w:rsidRPr="002142B8">
        <w:rPr>
          <w:rFonts w:ascii="Georgia" w:hAnsi="Georgia" w:cs="Georgia"/>
          <w:sz w:val="20"/>
          <w:szCs w:val="20"/>
          <w:lang w:val="lt-LT"/>
        </w:rPr>
        <w:t xml:space="preserve">birželio 26 d. </w:t>
      </w:r>
      <w:r w:rsidR="0072319B" w:rsidRPr="002142B8">
        <w:rPr>
          <w:rFonts w:ascii="Georgia" w:hAnsi="Georgia" w:cs="Georgia"/>
          <w:sz w:val="20"/>
          <w:szCs w:val="20"/>
          <w:lang w:val="lt-LT"/>
        </w:rPr>
        <w:t xml:space="preserve">nutarimu </w:t>
      </w:r>
      <w:r w:rsidRPr="002142B8">
        <w:rPr>
          <w:rFonts w:ascii="Georgia" w:hAnsi="Georgia" w:cs="Georgia"/>
          <w:sz w:val="20"/>
          <w:szCs w:val="20"/>
          <w:lang w:val="lt-LT"/>
        </w:rPr>
        <w:t xml:space="preserve">Nr. XI-2133 patvirtino Nacionalinės energetinės nepriklausomybės strategiją, kuri nustato pagrindinius Lietuvos energetikos sektoriaus tikslus ir jų įgyvendinimo kryptis iki 2020 metų ir numato Lietuvos energetikos sektoriaus plėtros gaires iki 2030 ir iki 2050 metų. Svarbiausias šioje strategijoje numatomų energetikos politikos krypčių ir veiksmų tikslas – Lietuvos energetinės nepriklausomybės iki 2020 metų užtikrinimas, sustiprinsiantis Lietuvos energetinį saugumą ir konkurencingumą. Šios strategijos 11 punktas numato, kad </w:t>
      </w:r>
      <w:r w:rsidRPr="002142B8">
        <w:rPr>
          <w:rFonts w:ascii="Georgia" w:hAnsi="Georgia" w:cs="Georgia"/>
          <w:i/>
          <w:sz w:val="20"/>
          <w:szCs w:val="20"/>
          <w:lang w:val="lt-LT"/>
        </w:rPr>
        <w:t>„Energetinio efektyvumo didinimo srityje iki 2020 metų bus siekiama kiekvienais metais po 1,5 % didinti vartojimo efektyvumą ir taip stiprinti Lietuvos energetinę nepriklausomybę, konkurencingumą ir darnią plėtrą“.</w:t>
      </w:r>
    </w:p>
    <w:p w14:paraId="3D3CBA36" w14:textId="77777777" w:rsidR="009A2195" w:rsidRPr="002142B8" w:rsidRDefault="009A2195"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2017 m. lapkričio 29 d. Vyriausybė atnaujintos Nacionalinės energetikos strategijos projektui ir pateikė šį projektą Seimui.</w:t>
      </w:r>
      <w:r w:rsidRPr="002142B8">
        <w:rPr>
          <w:rStyle w:val="Puslapioinaosnuoroda"/>
          <w:rFonts w:ascii="Georgia" w:hAnsi="Georgia" w:cs="Georgia"/>
          <w:sz w:val="20"/>
          <w:szCs w:val="20"/>
          <w:lang w:val="lt-LT"/>
        </w:rPr>
        <w:footnoteReference w:id="4"/>
      </w:r>
      <w:r w:rsidRPr="002142B8">
        <w:rPr>
          <w:rFonts w:ascii="Georgia" w:hAnsi="Georgia" w:cs="Georgia"/>
          <w:sz w:val="20"/>
          <w:szCs w:val="20"/>
          <w:lang w:val="lt-LT"/>
        </w:rPr>
        <w:t xml:space="preserve"> . </w:t>
      </w:r>
    </w:p>
    <w:p w14:paraId="6A5369D2" w14:textId="77777777" w:rsidR="009A2195" w:rsidRPr="002142B8" w:rsidRDefault="009A2195" w:rsidP="00336C16">
      <w:pPr>
        <w:autoSpaceDE w:val="0"/>
        <w:autoSpaceDN w:val="0"/>
        <w:adjustRightInd w:val="0"/>
        <w:jc w:val="both"/>
        <w:rPr>
          <w:rFonts w:ascii="Georgia" w:hAnsi="Georgia" w:cs="Georgia"/>
          <w:sz w:val="20"/>
          <w:szCs w:val="20"/>
          <w:lang w:val="lt-LT"/>
        </w:rPr>
      </w:pPr>
    </w:p>
    <w:p w14:paraId="48A0B74B" w14:textId="77777777" w:rsidR="009A2195" w:rsidRPr="002142B8" w:rsidRDefault="009A2195" w:rsidP="00336C16">
      <w:pPr>
        <w:autoSpaceDE w:val="0"/>
        <w:autoSpaceDN w:val="0"/>
        <w:adjustRightInd w:val="0"/>
        <w:jc w:val="both"/>
        <w:rPr>
          <w:rFonts w:ascii="Georgia" w:hAnsi="Georgia" w:cs="Georgia"/>
          <w:sz w:val="20"/>
          <w:szCs w:val="20"/>
          <w:lang w:val="lt-LT"/>
        </w:rPr>
      </w:pPr>
    </w:p>
    <w:p w14:paraId="64742997" w14:textId="0B43B2A5" w:rsidR="009B048F" w:rsidRPr="002142B8" w:rsidRDefault="009A2195"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Šiame strategijos projekte kaip viena iš Lietuvos energetikos sektoriaus </w:t>
      </w:r>
      <w:r w:rsidR="009B048F" w:rsidRPr="002142B8">
        <w:rPr>
          <w:rFonts w:ascii="Georgia" w:hAnsi="Georgia" w:cs="Georgia"/>
          <w:sz w:val="20"/>
          <w:szCs w:val="20"/>
          <w:lang w:val="lt-LT"/>
        </w:rPr>
        <w:t xml:space="preserve">stiprybių yra nurodyta, kad yra „sukurta viešųjų ir daugiabučių gyvenamųjų pastatų modernizavimo (atnaujinimo) sistema, </w:t>
      </w:r>
      <w:r w:rsidR="00D9139B" w:rsidRPr="002142B8">
        <w:rPr>
          <w:rFonts w:ascii="Georgia" w:hAnsi="Georgia" w:cs="Georgia"/>
          <w:sz w:val="20"/>
          <w:szCs w:val="20"/>
          <w:lang w:val="lt-LT"/>
        </w:rPr>
        <w:t>didinant</w:t>
      </w:r>
      <w:r w:rsidR="009B048F" w:rsidRPr="002142B8">
        <w:rPr>
          <w:rFonts w:ascii="Georgia" w:hAnsi="Georgia" w:cs="Georgia"/>
          <w:sz w:val="20"/>
          <w:szCs w:val="20"/>
          <w:lang w:val="lt-LT"/>
        </w:rPr>
        <w:t xml:space="preserve"> energijos vartojimo efektyvumą, palaipsniui pereinant prie kvartalinės renovacijos“.</w:t>
      </w:r>
    </w:p>
    <w:p w14:paraId="577BD0CE" w14:textId="2C1FCC3F" w:rsidR="009A2195" w:rsidRPr="002142B8" w:rsidRDefault="009B048F"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Kaip </w:t>
      </w:r>
      <w:r w:rsidR="009A2195" w:rsidRPr="002142B8">
        <w:rPr>
          <w:rFonts w:ascii="Georgia" w:hAnsi="Georgia" w:cs="Georgia"/>
          <w:sz w:val="20"/>
          <w:szCs w:val="20"/>
          <w:lang w:val="lt-LT"/>
        </w:rPr>
        <w:t>silpnyb</w:t>
      </w:r>
      <w:r w:rsidRPr="002142B8">
        <w:rPr>
          <w:rFonts w:ascii="Georgia" w:hAnsi="Georgia" w:cs="Georgia"/>
          <w:sz w:val="20"/>
          <w:szCs w:val="20"/>
          <w:lang w:val="lt-LT"/>
        </w:rPr>
        <w:t>ė</w:t>
      </w:r>
      <w:r w:rsidR="009A2195" w:rsidRPr="002142B8">
        <w:rPr>
          <w:rFonts w:ascii="Georgia" w:hAnsi="Georgia" w:cs="Georgia"/>
          <w:sz w:val="20"/>
          <w:szCs w:val="20"/>
          <w:lang w:val="lt-LT"/>
        </w:rPr>
        <w:t xml:space="preserve"> yra nurodyta aplinkybė, kad </w:t>
      </w:r>
      <w:r w:rsidRPr="002142B8">
        <w:rPr>
          <w:rFonts w:ascii="Georgia" w:hAnsi="Georgia" w:cs="Georgia"/>
          <w:sz w:val="20"/>
          <w:szCs w:val="20"/>
          <w:lang w:val="lt-LT"/>
        </w:rPr>
        <w:t>„</w:t>
      </w:r>
      <w:r w:rsidR="009A2195" w:rsidRPr="002142B8">
        <w:rPr>
          <w:rFonts w:ascii="Georgia" w:hAnsi="Georgia" w:cs="Georgia"/>
          <w:sz w:val="20"/>
          <w:szCs w:val="20"/>
          <w:lang w:val="lt-LT"/>
        </w:rPr>
        <w:t>daugiau kaip 70 proc. daugiabučių gyvenamųjų namų ir nemaža dalis visuomeninių pastatų pasižymi neefektyviu šilumos suvartojimu, o lė</w:t>
      </w:r>
      <w:r w:rsidRPr="002142B8">
        <w:rPr>
          <w:rFonts w:ascii="Georgia" w:hAnsi="Georgia" w:cs="Georgia"/>
          <w:sz w:val="20"/>
          <w:szCs w:val="20"/>
          <w:lang w:val="lt-LT"/>
        </w:rPr>
        <w:t>t</w:t>
      </w:r>
      <w:r w:rsidR="009A2195" w:rsidRPr="002142B8">
        <w:rPr>
          <w:rFonts w:ascii="Georgia" w:hAnsi="Georgia" w:cs="Georgia"/>
          <w:sz w:val="20"/>
          <w:szCs w:val="20"/>
          <w:lang w:val="lt-LT"/>
        </w:rPr>
        <w:t>as jų modernizavimas gali sukelti su</w:t>
      </w:r>
      <w:r w:rsidR="00D9139B" w:rsidRPr="002142B8">
        <w:rPr>
          <w:rFonts w:ascii="Georgia" w:hAnsi="Georgia" w:cs="Georgia"/>
          <w:sz w:val="20"/>
          <w:szCs w:val="20"/>
          <w:lang w:val="lt-LT"/>
        </w:rPr>
        <w:t>n</w:t>
      </w:r>
      <w:r w:rsidR="009A2195" w:rsidRPr="002142B8">
        <w:rPr>
          <w:rFonts w:ascii="Georgia" w:hAnsi="Georgia" w:cs="Georgia"/>
          <w:sz w:val="20"/>
          <w:szCs w:val="20"/>
          <w:lang w:val="lt-LT"/>
        </w:rPr>
        <w:t>kių ekonominių ir socialinių padarinių</w:t>
      </w:r>
      <w:r w:rsidRPr="002142B8">
        <w:rPr>
          <w:rFonts w:ascii="Georgia" w:hAnsi="Georgia" w:cs="Georgia"/>
          <w:sz w:val="20"/>
          <w:szCs w:val="20"/>
          <w:lang w:val="lt-LT"/>
        </w:rPr>
        <w:t>“</w:t>
      </w:r>
      <w:r w:rsidR="009A2195" w:rsidRPr="002142B8">
        <w:rPr>
          <w:rFonts w:ascii="Georgia" w:hAnsi="Georgia" w:cs="Georgia"/>
          <w:sz w:val="20"/>
          <w:szCs w:val="20"/>
          <w:lang w:val="lt-LT"/>
        </w:rPr>
        <w:t>.</w:t>
      </w:r>
    </w:p>
    <w:p w14:paraId="23848D45" w14:textId="6F87DA50" w:rsidR="00BA4B46" w:rsidRPr="002142B8" w:rsidRDefault="00BA4B4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Strategijos projekte numatyta, kad</w:t>
      </w:r>
      <w:r w:rsidR="00DD2BD6" w:rsidRPr="002142B8">
        <w:rPr>
          <w:rFonts w:ascii="Georgia" w:hAnsi="Georgia" w:cs="Georgia"/>
          <w:sz w:val="20"/>
          <w:szCs w:val="20"/>
          <w:lang w:val="lt-LT"/>
        </w:rPr>
        <w:t xml:space="preserve"> iki 2020 metų atnaujintuose daugiabučiuose ir viešuosiuose pastatuose bus sutaupyta 2,6 - 3 TWh energijos, o iki 2030 metų – 5-6 TWh energijos.</w:t>
      </w:r>
    </w:p>
    <w:p w14:paraId="5DBAC637" w14:textId="3F29110C" w:rsidR="0072319B" w:rsidRPr="002142B8" w:rsidRDefault="0072319B" w:rsidP="00336C16">
      <w:pPr>
        <w:autoSpaceDE w:val="0"/>
        <w:autoSpaceDN w:val="0"/>
        <w:adjustRightInd w:val="0"/>
        <w:jc w:val="both"/>
        <w:rPr>
          <w:rFonts w:ascii="Georgia" w:hAnsi="Georgia" w:cs="Georgia"/>
          <w:b/>
          <w:i/>
          <w:sz w:val="20"/>
          <w:szCs w:val="20"/>
          <w:lang w:val="lt-LT"/>
        </w:rPr>
      </w:pPr>
      <w:r w:rsidRPr="002142B8">
        <w:rPr>
          <w:rFonts w:ascii="Georgia" w:hAnsi="Georgia" w:cs="Georgia"/>
          <w:b/>
          <w:i/>
          <w:sz w:val="20"/>
          <w:szCs w:val="20"/>
          <w:lang w:val="lt-LT"/>
        </w:rPr>
        <w:t xml:space="preserve">Ilgalaikė pastatų nacionalinio fondo atnaujinimo </w:t>
      </w:r>
      <w:r w:rsidR="00BA7CAB" w:rsidRPr="002142B8">
        <w:rPr>
          <w:rFonts w:ascii="Georgia" w:hAnsi="Georgia" w:cs="Georgia"/>
          <w:b/>
          <w:i/>
          <w:sz w:val="20"/>
          <w:szCs w:val="20"/>
          <w:lang w:val="lt-LT"/>
        </w:rPr>
        <w:t>planas</w:t>
      </w:r>
    </w:p>
    <w:p w14:paraId="4339F2DD" w14:textId="1A1E40E3" w:rsidR="00BA7CAB" w:rsidRPr="002142B8" w:rsidRDefault="00BA7CAB" w:rsidP="00BA7CAB">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2015 m. kovo 10 d. Energetikos ministro įsakymu Nr. 1-67 patvirtintas  Ilgalaikis  pastatų nacionalinio fondo atnaujinimo planas, kurios paskirtis – nustatyti pagrindines valstybės politikos kryptis investicijų telkimui pastatų nacionalinio fondo atnaujinimo srityje. Ilgalaikės pastatų nacionalinio fondo atnaujinimo plane numatyta, kad trumpalaikis šio plano tikslas iki 2020 metų yra atnaujinti energetiškai neefektyvius gyvenamuosius ir negyvenamuosius pastatus didinant jų energijos vartojimo efektyvumą. </w:t>
      </w:r>
      <w:r w:rsidR="009B048F" w:rsidRPr="002142B8">
        <w:rPr>
          <w:rFonts w:ascii="Georgia" w:hAnsi="Georgia" w:cs="Georgia"/>
          <w:sz w:val="20"/>
          <w:szCs w:val="20"/>
          <w:lang w:val="lt-LT"/>
        </w:rPr>
        <w:t>Plane</w:t>
      </w:r>
      <w:r w:rsidRPr="002142B8">
        <w:rPr>
          <w:rFonts w:ascii="Georgia" w:hAnsi="Georgia" w:cs="Georgia"/>
          <w:sz w:val="20"/>
          <w:szCs w:val="20"/>
          <w:lang w:val="lt-LT"/>
        </w:rPr>
        <w:t xml:space="preserve"> nurodyta, jog iki 2020 metų siekiama atnaujinti </w:t>
      </w:r>
      <w:r w:rsidR="00BB79B7">
        <w:rPr>
          <w:rFonts w:ascii="Georgia" w:hAnsi="Georgia" w:cs="Georgia"/>
          <w:sz w:val="20"/>
          <w:szCs w:val="20"/>
          <w:lang w:val="lt-LT"/>
        </w:rPr>
        <w:br/>
      </w:r>
      <w:r w:rsidRPr="002142B8">
        <w:rPr>
          <w:rFonts w:ascii="Georgia" w:hAnsi="Georgia" w:cs="Georgia"/>
          <w:sz w:val="20"/>
          <w:szCs w:val="20"/>
          <w:lang w:val="lt-LT"/>
        </w:rPr>
        <w:t>3</w:t>
      </w:r>
      <w:r w:rsidR="009B048F" w:rsidRPr="002142B8">
        <w:rPr>
          <w:rFonts w:ascii="Georgia" w:hAnsi="Georgia" w:cs="Georgia"/>
          <w:sz w:val="20"/>
          <w:szCs w:val="20"/>
          <w:lang w:val="lt-LT"/>
        </w:rPr>
        <w:t xml:space="preserve"> </w:t>
      </w:r>
      <w:r w:rsidRPr="002142B8">
        <w:rPr>
          <w:rFonts w:ascii="Georgia" w:hAnsi="Georgia" w:cs="Georgia"/>
          <w:sz w:val="20"/>
          <w:szCs w:val="20"/>
          <w:lang w:val="lt-LT"/>
        </w:rPr>
        <w:t>500-4</w:t>
      </w:r>
      <w:r w:rsidR="009B048F" w:rsidRPr="002142B8">
        <w:rPr>
          <w:rFonts w:ascii="Georgia" w:hAnsi="Georgia" w:cs="Georgia"/>
          <w:sz w:val="20"/>
          <w:szCs w:val="20"/>
          <w:lang w:val="lt-LT"/>
        </w:rPr>
        <w:t xml:space="preserve"> </w:t>
      </w:r>
      <w:r w:rsidRPr="002142B8">
        <w:rPr>
          <w:rFonts w:ascii="Georgia" w:hAnsi="Georgia" w:cs="Georgia"/>
          <w:sz w:val="20"/>
          <w:szCs w:val="20"/>
          <w:lang w:val="lt-LT"/>
        </w:rPr>
        <w:t xml:space="preserve">000 daugiabučių ir 700 000 kv. m. viešojo sektoriaus pastatų ploto. </w:t>
      </w:r>
    </w:p>
    <w:p w14:paraId="4E152148" w14:textId="77777777" w:rsidR="0083461E" w:rsidRPr="002142B8" w:rsidRDefault="0083461E">
      <w:pPr>
        <w:rPr>
          <w:rFonts w:asciiTheme="majorHAnsi" w:eastAsiaTheme="majorEastAsia" w:hAnsiTheme="majorHAnsi" w:cstheme="majorBidi"/>
          <w:b/>
          <w:bCs/>
          <w:color w:val="4F81BD" w:themeColor="accent1"/>
          <w:sz w:val="26"/>
          <w:szCs w:val="26"/>
          <w:lang w:val="lt-LT"/>
        </w:rPr>
      </w:pPr>
      <w:r w:rsidRPr="002142B8">
        <w:rPr>
          <w:lang w:val="lt-LT"/>
        </w:rPr>
        <w:br w:type="page"/>
      </w:r>
    </w:p>
    <w:p w14:paraId="1BAAA3FF" w14:textId="77777777" w:rsidR="00336C16" w:rsidRPr="002142B8" w:rsidRDefault="00336C16" w:rsidP="00162BF5">
      <w:pPr>
        <w:pStyle w:val="Antrat2"/>
        <w:numPr>
          <w:ilvl w:val="2"/>
          <w:numId w:val="21"/>
        </w:numPr>
        <w:rPr>
          <w:lang w:val="lt-LT"/>
        </w:rPr>
      </w:pPr>
      <w:bookmarkStart w:id="10" w:name="_Toc25589879"/>
      <w:r w:rsidRPr="002142B8">
        <w:rPr>
          <w:lang w:val="lt-LT"/>
        </w:rPr>
        <w:lastRenderedPageBreak/>
        <w:t>Finansinių priemonių suderinamumas su ES ir nacionaliniais strateginiais dokumentais</w:t>
      </w:r>
      <w:bookmarkEnd w:id="10"/>
    </w:p>
    <w:p w14:paraId="7C622322" w14:textId="77777777" w:rsidR="0083461E" w:rsidRPr="002142B8" w:rsidRDefault="0083461E" w:rsidP="00336C16">
      <w:pPr>
        <w:autoSpaceDE w:val="0"/>
        <w:autoSpaceDN w:val="0"/>
        <w:adjustRightInd w:val="0"/>
        <w:jc w:val="both"/>
        <w:rPr>
          <w:rFonts w:ascii="Georgia" w:hAnsi="Georgia" w:cs="Georgia"/>
          <w:sz w:val="20"/>
          <w:szCs w:val="20"/>
          <w:lang w:val="lt-LT"/>
        </w:rPr>
      </w:pPr>
    </w:p>
    <w:p w14:paraId="5BEAC3B7" w14:textId="77777777" w:rsidR="00336C16" w:rsidRPr="002142B8" w:rsidRDefault="0083461E" w:rsidP="0083461E">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B</w:t>
      </w:r>
      <w:r w:rsidR="00336C16" w:rsidRPr="002142B8">
        <w:rPr>
          <w:rFonts w:ascii="Georgia" w:hAnsi="Georgia" w:cs="Georgia"/>
          <w:sz w:val="20"/>
          <w:szCs w:val="20"/>
          <w:lang w:val="lt-LT"/>
        </w:rPr>
        <w:t xml:space="preserve">endrųjų nuostatų reglamento preambulėje atkreipiamas dėmesys, kad finansinės priemonės yra itin svarbios dėl savo kuriamo sverto efekto, galimybės derinti įvairias viešųjų ir privačiųjų finansų formas bei lėšų grįžtamojo efekto. Dėl visų šių priežasčių finansinių priemonių parama yra tvaresnė ilguoju laikotarpiu. Finansinių priemonių kūrimas skatina vadovaujančias institucijas viešuosius finansus valdyti pagal verslo administravimo principus įgyvendinant viešosios politikos tikslus bei skatinant galutinius naudos gavėjus didinti jų projektų kokybę ir finansinę discipliną. Sverto efektas bei gebėjimas pritraukti privačius išteklius yra ypatingai svarbūs, kai biudžeto ištekliai yra suvaržyti ir riboti. </w:t>
      </w:r>
    </w:p>
    <w:p w14:paraId="586320C4" w14:textId="2E94E475" w:rsidR="00336C16" w:rsidRPr="002142B8" w:rsidRDefault="00336C16" w:rsidP="00936224">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Kaip yra atkreiptas dėmesys e</w:t>
      </w:r>
      <w:r w:rsidR="00300FF4" w:rsidRPr="002142B8">
        <w:rPr>
          <w:rFonts w:ascii="Georgia" w:hAnsi="Georgia" w:cs="Georgia"/>
          <w:sz w:val="20"/>
          <w:szCs w:val="20"/>
          <w:lang w:val="lt-LT"/>
        </w:rPr>
        <w:t>x-ante</w:t>
      </w:r>
      <w:r w:rsidR="00936224" w:rsidRPr="002142B8">
        <w:rPr>
          <w:rFonts w:ascii="Georgia" w:hAnsi="Georgia" w:cs="Georgia"/>
          <w:sz w:val="20"/>
          <w:szCs w:val="20"/>
          <w:lang w:val="lt-LT"/>
        </w:rPr>
        <w:t xml:space="preserve"> vertinimo metodologijos IV</w:t>
      </w:r>
      <w:r w:rsidRPr="002142B8">
        <w:rPr>
          <w:rFonts w:ascii="Georgia" w:hAnsi="Georgia" w:cs="Georgia"/>
          <w:sz w:val="20"/>
          <w:szCs w:val="20"/>
          <w:lang w:val="lt-LT"/>
        </w:rPr>
        <w:t xml:space="preserve"> dalyje, projektai, kurie įgyvendina perėjimo prie mažai anglies dioksido į aplinką išskiriančių technologijų ekonomikos veiklas, ypač investicijos į energijos efektyvumą ir atsinaujinančius energijos išteklius, yra itin tinkami grįžtamojo pobūdžio finansinėms priemonėms. Viena vertus, energijos efektyvumo ir atsinaujinančių energijos išteklių investicijos sukuria finansinę ir ekonominę grąžą per patirtus sutaupymus, produktyvesnį turtą, energijos saugą, darbo vietų kūrimą bei gyvenimo kokybės gerėjimą. Kita vertus, poreikis kapitalo investicijoms yra didesnis nei privatūs šaltiniai būtų linkę suteikti. Todėl investicijos į energijos efektyvumo ir atsinaujinančius energijos išteklius yra neoptimalių investavimo situacijų bei rinkos ir reguliavimo trūkumų objektas. Minėtoje e</w:t>
      </w:r>
      <w:r w:rsidR="00300FF4" w:rsidRPr="002142B8">
        <w:rPr>
          <w:rFonts w:ascii="Georgia" w:hAnsi="Georgia" w:cs="Georgia"/>
          <w:sz w:val="20"/>
          <w:szCs w:val="20"/>
          <w:lang w:val="lt-LT"/>
        </w:rPr>
        <w:t>x-ante</w:t>
      </w:r>
      <w:r w:rsidRPr="002142B8">
        <w:rPr>
          <w:rFonts w:ascii="Georgia" w:hAnsi="Georgia" w:cs="Georgia"/>
          <w:sz w:val="20"/>
          <w:szCs w:val="20"/>
          <w:lang w:val="lt-LT"/>
        </w:rPr>
        <w:t xml:space="preserve"> vertinimo metodologijos 4 dalyje taip pat pažymėta, kad subsidijos elementas dažnai bus reikalingas finansuoti dalį energijos efektyvumo ir atsinaujinančių energijos išteklių projektų, ypač subsidijos elementas bus reikalingas tiems projektams, kurie turi labai žemą arba neigiamą vidinę grąžos normą (angl. </w:t>
      </w:r>
      <w:r w:rsidRPr="002142B8">
        <w:rPr>
          <w:rFonts w:ascii="Georgia" w:hAnsi="Georgia" w:cs="Georgia"/>
          <w:i/>
          <w:sz w:val="20"/>
          <w:szCs w:val="20"/>
          <w:lang w:val="lt-LT"/>
        </w:rPr>
        <w:t>IRR – internal rate of return</w:t>
      </w:r>
      <w:r w:rsidRPr="002142B8">
        <w:rPr>
          <w:rFonts w:ascii="Georgia" w:hAnsi="Georgia" w:cs="Georgia"/>
          <w:sz w:val="20"/>
          <w:szCs w:val="20"/>
          <w:lang w:val="lt-LT"/>
        </w:rPr>
        <w:t xml:space="preserve">) arba jei </w:t>
      </w:r>
      <w:r w:rsidR="0083461E" w:rsidRPr="002142B8">
        <w:rPr>
          <w:rFonts w:ascii="Georgia" w:hAnsi="Georgia" w:cs="Georgia"/>
          <w:sz w:val="20"/>
          <w:szCs w:val="20"/>
          <w:lang w:val="lt-LT"/>
        </w:rPr>
        <w:t xml:space="preserve">subsidijos </w:t>
      </w:r>
      <w:r w:rsidRPr="002142B8">
        <w:rPr>
          <w:rFonts w:ascii="Georgia" w:hAnsi="Georgia" w:cs="Georgia"/>
          <w:sz w:val="20"/>
          <w:szCs w:val="20"/>
          <w:lang w:val="lt-LT"/>
        </w:rPr>
        <w:t xml:space="preserve">elementas reikalingas dėl socialinių priežasčių arba siekiant įgyvendinti kapitalinę renovaciją.  </w:t>
      </w:r>
    </w:p>
    <w:p w14:paraId="6DECDE82" w14:textId="77777777" w:rsidR="00336C16" w:rsidRPr="002142B8" w:rsidRDefault="00336C16" w:rsidP="00936224">
      <w:pPr>
        <w:autoSpaceDE w:val="0"/>
        <w:autoSpaceDN w:val="0"/>
        <w:adjustRightInd w:val="0"/>
        <w:spacing w:after="0"/>
        <w:jc w:val="both"/>
        <w:rPr>
          <w:rFonts w:ascii="Georgia" w:hAnsi="Georgia" w:cs="Georgia"/>
          <w:sz w:val="20"/>
          <w:szCs w:val="20"/>
          <w:lang w:val="lt-LT"/>
        </w:rPr>
      </w:pPr>
    </w:p>
    <w:p w14:paraId="3321233A" w14:textId="77777777" w:rsidR="00336C16" w:rsidRPr="002142B8" w:rsidRDefault="00336C16" w:rsidP="0083461E">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Žemiau pateiktoje lentelėje pateiktas kiekvienos iš šioje analizėje tiriamų veiklų suderinamumas su 2014-2020 m. veiksmų programa ir kitais </w:t>
      </w:r>
      <w:r w:rsidR="00CC2E6F" w:rsidRPr="002142B8">
        <w:rPr>
          <w:rFonts w:ascii="Georgia" w:hAnsi="Georgia" w:cs="Georgia"/>
          <w:sz w:val="20"/>
          <w:szCs w:val="20"/>
          <w:lang w:val="lt-LT"/>
        </w:rPr>
        <w:t>ES</w:t>
      </w:r>
      <w:r w:rsidRPr="002142B8">
        <w:rPr>
          <w:rFonts w:ascii="Georgia" w:hAnsi="Georgia" w:cs="Georgia"/>
          <w:sz w:val="20"/>
          <w:szCs w:val="20"/>
          <w:lang w:val="lt-LT"/>
        </w:rPr>
        <w:t xml:space="preserve"> bei nacionaliniais strateginiais dokumentais. Analizės metu buvo </w:t>
      </w:r>
      <w:r w:rsidR="0083461E" w:rsidRPr="002142B8">
        <w:rPr>
          <w:rFonts w:ascii="Georgia" w:hAnsi="Georgia" w:cs="Georgia"/>
          <w:sz w:val="20"/>
          <w:szCs w:val="20"/>
          <w:lang w:val="lt-LT"/>
        </w:rPr>
        <w:t>nustatyta</w:t>
      </w:r>
      <w:r w:rsidRPr="002142B8">
        <w:rPr>
          <w:rFonts w:ascii="Georgia" w:hAnsi="Georgia" w:cs="Georgia"/>
          <w:sz w:val="20"/>
          <w:szCs w:val="20"/>
          <w:lang w:val="lt-LT"/>
        </w:rPr>
        <w:t xml:space="preserve">, kad energijos efektyvumo veiklos </w:t>
      </w:r>
      <w:r w:rsidR="0083461E" w:rsidRPr="002142B8">
        <w:rPr>
          <w:rFonts w:ascii="Georgia" w:hAnsi="Georgia" w:cs="Georgia"/>
          <w:sz w:val="20"/>
          <w:szCs w:val="20"/>
          <w:lang w:val="lt-LT"/>
        </w:rPr>
        <w:t>dera</w:t>
      </w:r>
      <w:r w:rsidRPr="002142B8">
        <w:rPr>
          <w:rFonts w:ascii="Georgia" w:hAnsi="Georgia" w:cs="Georgia"/>
          <w:sz w:val="20"/>
          <w:szCs w:val="20"/>
          <w:lang w:val="lt-LT"/>
        </w:rPr>
        <w:t xml:space="preserve"> su strateginių dokumentų keliamais tikslais, strateginiai dokumentai palaiko, remia ir skatina šias energijos efektyvumo veiklas. </w:t>
      </w:r>
    </w:p>
    <w:p w14:paraId="1951479B" w14:textId="0CD84CC8" w:rsidR="00336C16" w:rsidRPr="005A1A99" w:rsidRDefault="001F5C99" w:rsidP="001F5C99">
      <w:pPr>
        <w:pStyle w:val="Antrat"/>
        <w:jc w:val="both"/>
        <w:rPr>
          <w:b w:val="0"/>
          <w:i/>
          <w:lang w:val="lt-LT"/>
        </w:rPr>
      </w:pPr>
      <w:bookmarkStart w:id="11" w:name="_Toc507939123"/>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1</w:t>
      </w:r>
      <w:r w:rsidRPr="005A1A99">
        <w:rPr>
          <w:b w:val="0"/>
          <w:i/>
          <w:lang w:val="lt-LT"/>
        </w:rPr>
        <w:fldChar w:fldCharType="end"/>
      </w:r>
      <w:r w:rsidRPr="005A1A99">
        <w:rPr>
          <w:b w:val="0"/>
          <w:i/>
          <w:lang w:val="lt-LT"/>
        </w:rPr>
        <w:t xml:space="preserve">. </w:t>
      </w:r>
      <w:r w:rsidRPr="005A1A99">
        <w:rPr>
          <w:rFonts w:cs="Georgia"/>
          <w:b w:val="0"/>
          <w:i/>
          <w:szCs w:val="20"/>
          <w:lang w:val="lt-LT"/>
        </w:rPr>
        <w:t xml:space="preserve">Energijos efektyvumo veiklų tipų suderinamumas su </w:t>
      </w:r>
      <w:r w:rsidR="00CC2E6F" w:rsidRPr="005A1A99">
        <w:rPr>
          <w:rFonts w:cs="Georgia"/>
          <w:b w:val="0"/>
          <w:i/>
          <w:szCs w:val="20"/>
          <w:lang w:val="lt-LT"/>
        </w:rPr>
        <w:t>ES</w:t>
      </w:r>
      <w:r w:rsidRPr="005A1A99">
        <w:rPr>
          <w:rFonts w:cs="Georgia"/>
          <w:b w:val="0"/>
          <w:i/>
          <w:szCs w:val="20"/>
          <w:lang w:val="lt-LT"/>
        </w:rPr>
        <w:t xml:space="preserve"> ir nacionaliniais strateginiais dokumentais</w:t>
      </w:r>
      <w:bookmarkEnd w:id="11"/>
    </w:p>
    <w:tbl>
      <w:tblPr>
        <w:tblStyle w:val="viesussraas2parykinimas"/>
        <w:tblW w:w="5000" w:type="pct"/>
        <w:tblLook w:val="04A0" w:firstRow="1" w:lastRow="0" w:firstColumn="1" w:lastColumn="0" w:noHBand="0" w:noVBand="1"/>
      </w:tblPr>
      <w:tblGrid>
        <w:gridCol w:w="2047"/>
        <w:gridCol w:w="2397"/>
        <w:gridCol w:w="2399"/>
        <w:gridCol w:w="2399"/>
      </w:tblGrid>
      <w:tr w:rsidR="00CB4D9D" w:rsidRPr="002142B8" w14:paraId="6DB6F299" w14:textId="77777777" w:rsidTr="00F9357D">
        <w:trPr>
          <w:cnfStyle w:val="100000000000" w:firstRow="1" w:lastRow="0" w:firstColumn="0" w:lastColumn="0" w:oddVBand="0" w:evenVBand="0" w:oddHBand="0" w:evenHBand="0" w:firstRowFirstColumn="0" w:firstRowLastColumn="0" w:lastRowFirstColumn="0" w:lastRowLastColumn="0"/>
          <w:cantSplit/>
          <w:trHeight w:val="139"/>
          <w:tblHeader/>
        </w:trPr>
        <w:tc>
          <w:tcPr>
            <w:cnfStyle w:val="001000000000" w:firstRow="0" w:lastRow="0" w:firstColumn="1" w:lastColumn="0" w:oddVBand="0" w:evenVBand="0" w:oddHBand="0" w:evenHBand="0" w:firstRowFirstColumn="0" w:firstRowLastColumn="0" w:lastRowFirstColumn="0" w:lastRowLastColumn="0"/>
            <w:tcW w:w="1107" w:type="pct"/>
            <w:tcBorders>
              <w:top w:val="single" w:sz="8" w:space="0" w:color="C0504D" w:themeColor="accent2"/>
              <w:left w:val="single" w:sz="8" w:space="0" w:color="C0504D" w:themeColor="accent2"/>
              <w:bottom w:val="nil"/>
              <w:right w:val="nil"/>
            </w:tcBorders>
            <w:hideMark/>
          </w:tcPr>
          <w:p w14:paraId="5E34CF7C" w14:textId="77777777" w:rsidR="00336C16" w:rsidRPr="002142B8" w:rsidRDefault="00336C16" w:rsidP="00466A70">
            <w:pPr>
              <w:autoSpaceDE w:val="0"/>
              <w:autoSpaceDN w:val="0"/>
              <w:adjustRightInd w:val="0"/>
              <w:jc w:val="center"/>
              <w:rPr>
                <w:rFonts w:ascii="Georgia" w:hAnsi="Georgia" w:cs="Georgia"/>
                <w:sz w:val="20"/>
                <w:szCs w:val="20"/>
              </w:rPr>
            </w:pPr>
            <w:r w:rsidRPr="002142B8">
              <w:rPr>
                <w:rFonts w:ascii="Georgia" w:hAnsi="Georgia" w:cs="Georgia"/>
                <w:sz w:val="20"/>
                <w:szCs w:val="20"/>
              </w:rPr>
              <w:t>Veiklos tipas</w:t>
            </w:r>
          </w:p>
        </w:tc>
        <w:tc>
          <w:tcPr>
            <w:tcW w:w="1297" w:type="pct"/>
            <w:tcBorders>
              <w:top w:val="single" w:sz="8" w:space="0" w:color="C0504D" w:themeColor="accent2"/>
              <w:left w:val="nil"/>
              <w:bottom w:val="nil"/>
              <w:right w:val="nil"/>
            </w:tcBorders>
            <w:hideMark/>
          </w:tcPr>
          <w:p w14:paraId="2B08C182" w14:textId="77777777" w:rsidR="00336C16" w:rsidRPr="002142B8"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Veiksmų programos prioritetas</w:t>
            </w:r>
          </w:p>
        </w:tc>
        <w:tc>
          <w:tcPr>
            <w:tcW w:w="1298" w:type="pct"/>
            <w:tcBorders>
              <w:top w:val="single" w:sz="8" w:space="0" w:color="C0504D" w:themeColor="accent2"/>
              <w:left w:val="nil"/>
              <w:bottom w:val="nil"/>
              <w:right w:val="nil"/>
            </w:tcBorders>
            <w:hideMark/>
          </w:tcPr>
          <w:p w14:paraId="09F45C91" w14:textId="77777777" w:rsidR="00336C16" w:rsidRPr="002142B8"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Ryšys su ES lygmens strateginiais dokumentais</w:t>
            </w:r>
          </w:p>
        </w:tc>
        <w:tc>
          <w:tcPr>
            <w:tcW w:w="1298" w:type="pct"/>
            <w:tcBorders>
              <w:top w:val="single" w:sz="8" w:space="0" w:color="C0504D" w:themeColor="accent2"/>
              <w:left w:val="nil"/>
              <w:bottom w:val="nil"/>
              <w:right w:val="single" w:sz="8" w:space="0" w:color="C0504D" w:themeColor="accent2"/>
            </w:tcBorders>
            <w:hideMark/>
          </w:tcPr>
          <w:p w14:paraId="7E8FCCF6" w14:textId="77777777" w:rsidR="00336C16" w:rsidRPr="002142B8"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Ryšys su nacionaliniais strateginiais dokumentais</w:t>
            </w:r>
          </w:p>
        </w:tc>
      </w:tr>
      <w:tr w:rsidR="00336C16" w:rsidRPr="002142B8" w14:paraId="45ABE9CF"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right w:val="nil"/>
            </w:tcBorders>
            <w:hideMark/>
          </w:tcPr>
          <w:p w14:paraId="1E85D3E4" w14:textId="77777777" w:rsidR="00336C16" w:rsidRPr="002142B8" w:rsidRDefault="00336C16" w:rsidP="00936224">
            <w:pPr>
              <w:autoSpaceDE w:val="0"/>
              <w:autoSpaceDN w:val="0"/>
              <w:adjustRightInd w:val="0"/>
              <w:jc w:val="both"/>
              <w:rPr>
                <w:rFonts w:ascii="Georgia" w:hAnsi="Georgia" w:cs="Georgia"/>
                <w:sz w:val="20"/>
                <w:szCs w:val="20"/>
              </w:rPr>
            </w:pPr>
            <w:r w:rsidRPr="002142B8">
              <w:rPr>
                <w:rFonts w:ascii="Georgia" w:hAnsi="Georgia" w:cs="Georgia"/>
                <w:sz w:val="20"/>
                <w:szCs w:val="20"/>
              </w:rPr>
              <w:t xml:space="preserve">Daugiabučių namų </w:t>
            </w:r>
            <w:r w:rsidR="00936224" w:rsidRPr="002142B8">
              <w:rPr>
                <w:rFonts w:ascii="Georgia" w:hAnsi="Georgia" w:cs="Georgia"/>
                <w:sz w:val="20"/>
                <w:szCs w:val="20"/>
              </w:rPr>
              <w:t>modernizavimas</w:t>
            </w:r>
          </w:p>
        </w:tc>
        <w:tc>
          <w:tcPr>
            <w:tcW w:w="0" w:type="pct"/>
            <w:vMerge w:val="restart"/>
            <w:tcBorders>
              <w:left w:val="nil"/>
              <w:right w:val="nil"/>
            </w:tcBorders>
            <w:hideMark/>
          </w:tcPr>
          <w:p w14:paraId="0F1E927F"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4 prioritetas „Energijos efektyvumo ir atsinaujinančių išteklių energijos gamybos ir naudojimo skatinimas“</w:t>
            </w:r>
          </w:p>
        </w:tc>
        <w:tc>
          <w:tcPr>
            <w:tcW w:w="0" w:type="pct"/>
            <w:tcBorders>
              <w:left w:val="nil"/>
              <w:right w:val="nil"/>
            </w:tcBorders>
            <w:hideMark/>
          </w:tcPr>
          <w:p w14:paraId="22E6BC40"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Europa 2020 – 3 tikslas „Klimato kaita ir energetikos tvarumas“</w:t>
            </w:r>
          </w:p>
        </w:tc>
        <w:tc>
          <w:tcPr>
            <w:tcW w:w="0" w:type="pct"/>
            <w:vMerge w:val="restart"/>
            <w:tcBorders>
              <w:left w:val="nil"/>
              <w:bottom w:val="nil"/>
            </w:tcBorders>
            <w:hideMark/>
          </w:tcPr>
          <w:p w14:paraId="08D099E0"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Nacionalinės pažangos strategija – 3.3.2 uždavinys</w:t>
            </w:r>
          </w:p>
        </w:tc>
      </w:tr>
      <w:tr w:rsidR="00336C16" w:rsidRPr="002142B8" w14:paraId="17421AA0"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F359651" w14:textId="77777777" w:rsidR="00336C16" w:rsidRPr="002142B8"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75D4A5BF"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79E78832"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Energijos efektyvumo direktyva</w:t>
            </w:r>
          </w:p>
        </w:tc>
        <w:tc>
          <w:tcPr>
            <w:tcW w:w="0" w:type="pct"/>
            <w:vMerge/>
            <w:tcBorders>
              <w:top w:val="single" w:sz="8" w:space="0" w:color="C0504D" w:themeColor="accent2"/>
              <w:left w:val="nil"/>
              <w:bottom w:val="nil"/>
              <w:right w:val="single" w:sz="8" w:space="0" w:color="C0504D" w:themeColor="accent2"/>
            </w:tcBorders>
            <w:vAlign w:val="center"/>
            <w:hideMark/>
          </w:tcPr>
          <w:p w14:paraId="4260D116"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36ACFE77"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5E043999" w14:textId="77777777" w:rsidR="00336C16" w:rsidRPr="002142B8" w:rsidRDefault="00336C16">
            <w:pPr>
              <w:rPr>
                <w:rFonts w:ascii="Georgia" w:hAnsi="Georgia" w:cs="Georgia"/>
                <w:sz w:val="20"/>
                <w:szCs w:val="20"/>
              </w:rPr>
            </w:pPr>
          </w:p>
        </w:tc>
        <w:tc>
          <w:tcPr>
            <w:tcW w:w="0" w:type="pct"/>
            <w:vMerge/>
            <w:tcBorders>
              <w:left w:val="nil"/>
              <w:right w:val="nil"/>
            </w:tcBorders>
            <w:vAlign w:val="center"/>
            <w:hideMark/>
          </w:tcPr>
          <w:p w14:paraId="63229BBD"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41BD96D9"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Bendrųjų nuostatų reglamentas – 9 straipsnis, 4 teminis tikslas</w:t>
            </w:r>
          </w:p>
        </w:tc>
        <w:tc>
          <w:tcPr>
            <w:tcW w:w="0" w:type="pct"/>
            <w:vMerge w:val="restart"/>
            <w:tcBorders>
              <w:left w:val="nil"/>
              <w:bottom w:val="nil"/>
            </w:tcBorders>
            <w:hideMark/>
          </w:tcPr>
          <w:p w14:paraId="2150DFF8"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 energetinės nepriklausomybės strategija – energetinio efektyvumo didinimo strategija</w:t>
            </w:r>
          </w:p>
        </w:tc>
      </w:tr>
      <w:tr w:rsidR="00336C16" w:rsidRPr="002142B8" w14:paraId="7CF15BD6" w14:textId="77777777" w:rsidTr="005B31C6">
        <w:trPr>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25AAFF1D" w14:textId="77777777" w:rsidR="00336C16" w:rsidRPr="002142B8"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2C09B3E2"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vMerge w:val="restart"/>
            <w:tcBorders>
              <w:top w:val="nil"/>
              <w:left w:val="nil"/>
              <w:bottom w:val="single" w:sz="8" w:space="0" w:color="C0504D" w:themeColor="accent2"/>
              <w:right w:val="nil"/>
            </w:tcBorders>
            <w:hideMark/>
          </w:tcPr>
          <w:p w14:paraId="0B46AF5C"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 xml:space="preserve">Europos regioninės plėtros fondo </w:t>
            </w:r>
            <w:r w:rsidRPr="002142B8">
              <w:rPr>
                <w:rFonts w:ascii="Georgia" w:hAnsi="Georgia" w:cs="Georgia"/>
                <w:sz w:val="20"/>
                <w:szCs w:val="20"/>
              </w:rPr>
              <w:lastRenderedPageBreak/>
              <w:t>reglamentas – 5 straipsnis, 4 investavimo prioritetas</w:t>
            </w:r>
          </w:p>
        </w:tc>
        <w:tc>
          <w:tcPr>
            <w:tcW w:w="0" w:type="pct"/>
            <w:vMerge/>
            <w:tcBorders>
              <w:top w:val="single" w:sz="8" w:space="0" w:color="C0504D" w:themeColor="accent2"/>
              <w:left w:val="nil"/>
              <w:bottom w:val="nil"/>
              <w:right w:val="single" w:sz="8" w:space="0" w:color="C0504D" w:themeColor="accent2"/>
            </w:tcBorders>
            <w:vAlign w:val="center"/>
            <w:hideMark/>
          </w:tcPr>
          <w:p w14:paraId="31C21020"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306DB62C"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525D1422" w14:textId="77777777" w:rsidR="00336C16" w:rsidRPr="002142B8" w:rsidRDefault="00336C16">
            <w:pPr>
              <w:rPr>
                <w:rFonts w:ascii="Georgia" w:hAnsi="Georgia" w:cs="Georgia"/>
                <w:sz w:val="20"/>
                <w:szCs w:val="20"/>
              </w:rPr>
            </w:pPr>
          </w:p>
        </w:tc>
        <w:tc>
          <w:tcPr>
            <w:tcW w:w="0" w:type="pct"/>
            <w:vMerge/>
            <w:tcBorders>
              <w:left w:val="nil"/>
              <w:right w:val="nil"/>
            </w:tcBorders>
            <w:vAlign w:val="center"/>
            <w:hideMark/>
          </w:tcPr>
          <w:p w14:paraId="57DA2BB3"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tcBorders>
              <w:top w:val="nil"/>
              <w:left w:val="nil"/>
              <w:right w:val="nil"/>
            </w:tcBorders>
            <w:vAlign w:val="center"/>
            <w:hideMark/>
          </w:tcPr>
          <w:p w14:paraId="67CB5993"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tcBorders>
            <w:hideMark/>
          </w:tcPr>
          <w:p w14:paraId="7F385DA6"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2014 m. energijos vartojimo efektyvumo veiksmų planas 3.2 dalis „energijos vartojimo efektyvumo didinimo priemonės namų ūkių sektoriuje“</w:t>
            </w:r>
          </w:p>
        </w:tc>
      </w:tr>
      <w:tr w:rsidR="00336C16" w:rsidRPr="002142B8" w14:paraId="1BC8597A" w14:textId="77777777" w:rsidTr="005B31C6">
        <w:trPr>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il"/>
              <w:left w:val="single" w:sz="8" w:space="0" w:color="C0504D" w:themeColor="accent2"/>
              <w:bottom w:val="nil"/>
              <w:right w:val="nil"/>
            </w:tcBorders>
            <w:hideMark/>
          </w:tcPr>
          <w:p w14:paraId="7BF27C0A" w14:textId="77777777" w:rsidR="00336C16" w:rsidRPr="002142B8" w:rsidRDefault="00336C16" w:rsidP="00936224">
            <w:pPr>
              <w:autoSpaceDE w:val="0"/>
              <w:autoSpaceDN w:val="0"/>
              <w:adjustRightInd w:val="0"/>
              <w:jc w:val="both"/>
              <w:rPr>
                <w:rFonts w:ascii="Georgia" w:hAnsi="Georgia" w:cs="Georgia"/>
                <w:sz w:val="20"/>
                <w:szCs w:val="20"/>
              </w:rPr>
            </w:pPr>
            <w:r w:rsidRPr="002142B8">
              <w:rPr>
                <w:rFonts w:ascii="Georgia" w:hAnsi="Georgia" w:cs="Georgia"/>
                <w:sz w:val="20"/>
                <w:szCs w:val="20"/>
              </w:rPr>
              <w:lastRenderedPageBreak/>
              <w:t xml:space="preserve">Savivaldybių viešųjų pastatų </w:t>
            </w:r>
            <w:r w:rsidR="00936224" w:rsidRPr="002142B8">
              <w:rPr>
                <w:rFonts w:ascii="Georgia" w:hAnsi="Georgia" w:cs="Georgia"/>
                <w:sz w:val="20"/>
                <w:szCs w:val="20"/>
              </w:rPr>
              <w:t>modernizavimas</w:t>
            </w:r>
          </w:p>
        </w:tc>
        <w:tc>
          <w:tcPr>
            <w:tcW w:w="0" w:type="pct"/>
            <w:vMerge w:val="restart"/>
            <w:tcBorders>
              <w:top w:val="nil"/>
              <w:left w:val="nil"/>
              <w:bottom w:val="nil"/>
              <w:right w:val="nil"/>
            </w:tcBorders>
            <w:hideMark/>
          </w:tcPr>
          <w:p w14:paraId="208D8578"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4 prioritetas „Energijos efektyvumo ir atsinaujinančių išteklių energijos gamybos ir naudojimo skatinimas“</w:t>
            </w:r>
          </w:p>
        </w:tc>
        <w:tc>
          <w:tcPr>
            <w:tcW w:w="0" w:type="pct"/>
            <w:tcBorders>
              <w:top w:val="nil"/>
              <w:left w:val="nil"/>
              <w:bottom w:val="nil"/>
              <w:right w:val="nil"/>
            </w:tcBorders>
            <w:hideMark/>
          </w:tcPr>
          <w:p w14:paraId="70460D8E"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Europa 2020 – 3 tikslas „Klimato kaita ir energetikos tvarumas“</w:t>
            </w:r>
          </w:p>
        </w:tc>
        <w:tc>
          <w:tcPr>
            <w:tcW w:w="0" w:type="pct"/>
            <w:vMerge w:val="restart"/>
            <w:tcBorders>
              <w:top w:val="nil"/>
              <w:left w:val="nil"/>
              <w:bottom w:val="single" w:sz="8" w:space="0" w:color="C0504D" w:themeColor="accent2"/>
              <w:right w:val="single" w:sz="8" w:space="0" w:color="C0504D" w:themeColor="accent2"/>
            </w:tcBorders>
            <w:hideMark/>
          </w:tcPr>
          <w:p w14:paraId="4A82ECEF"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Nacionalinės pažangos strategija – 3.3.2 uždavinys</w:t>
            </w:r>
          </w:p>
        </w:tc>
      </w:tr>
      <w:tr w:rsidR="00336C16" w:rsidRPr="002142B8" w14:paraId="5ACC42BE"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right w:val="nil"/>
            </w:tcBorders>
            <w:vAlign w:val="center"/>
            <w:hideMark/>
          </w:tcPr>
          <w:p w14:paraId="701D7030" w14:textId="77777777" w:rsidR="00336C16" w:rsidRPr="002142B8"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3465DD98"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42F2E94F"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Energijos efektyvumo direktyva</w:t>
            </w:r>
          </w:p>
        </w:tc>
        <w:tc>
          <w:tcPr>
            <w:tcW w:w="0" w:type="pct"/>
            <w:vMerge/>
            <w:tcBorders>
              <w:top w:val="nil"/>
              <w:left w:val="nil"/>
            </w:tcBorders>
            <w:vAlign w:val="center"/>
            <w:hideMark/>
          </w:tcPr>
          <w:p w14:paraId="7BED5469"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2142B8" w14:paraId="549EF7A5"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left w:val="single" w:sz="8" w:space="0" w:color="C0504D" w:themeColor="accent2"/>
              <w:bottom w:val="nil"/>
              <w:right w:val="nil"/>
            </w:tcBorders>
            <w:vAlign w:val="center"/>
            <w:hideMark/>
          </w:tcPr>
          <w:p w14:paraId="692963F0" w14:textId="77777777" w:rsidR="00336C16" w:rsidRPr="002142B8"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73EBE41F"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3B9B75B8" w14:textId="4AC88C5D"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Bendrųjų nuostatų reglamentas</w:t>
            </w:r>
            <w:r w:rsidR="00290EB8">
              <w:rPr>
                <w:rFonts w:ascii="Georgia" w:hAnsi="Georgia" w:cs="Georgia"/>
                <w:sz w:val="20"/>
                <w:szCs w:val="20"/>
              </w:rPr>
              <w:t xml:space="preserve"> </w:t>
            </w:r>
            <w:r w:rsidRPr="002142B8">
              <w:rPr>
                <w:rFonts w:ascii="Georgia" w:hAnsi="Georgia" w:cs="Georgia"/>
                <w:sz w:val="20"/>
                <w:szCs w:val="20"/>
              </w:rPr>
              <w:t>– 9 straipsnis, 4 teminis tikslas</w:t>
            </w:r>
          </w:p>
        </w:tc>
        <w:tc>
          <w:tcPr>
            <w:tcW w:w="0" w:type="pct"/>
            <w:vMerge w:val="restart"/>
            <w:tcBorders>
              <w:top w:val="nil"/>
              <w:left w:val="nil"/>
              <w:bottom w:val="single" w:sz="8" w:space="0" w:color="C0504D" w:themeColor="accent2"/>
              <w:right w:val="single" w:sz="8" w:space="0" w:color="C0504D" w:themeColor="accent2"/>
            </w:tcBorders>
            <w:hideMark/>
          </w:tcPr>
          <w:p w14:paraId="55FFE271"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 energetinės nepriklausomybės strategija – energetinio efektyvumo didinimo strategija</w:t>
            </w:r>
          </w:p>
        </w:tc>
      </w:tr>
      <w:tr w:rsidR="00336C16" w:rsidRPr="002142B8" w14:paraId="313EAAF3" w14:textId="77777777" w:rsidTr="005B31C6">
        <w:trPr>
          <w:cnfStyle w:val="000000100000" w:firstRow="0" w:lastRow="0" w:firstColumn="0" w:lastColumn="0" w:oddVBand="0" w:evenVBand="0" w:oddHBand="1" w:evenHBand="0" w:firstRowFirstColumn="0" w:firstRowLastColumn="0" w:lastRowFirstColumn="0" w:lastRowLastColumn="0"/>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right w:val="nil"/>
            </w:tcBorders>
            <w:vAlign w:val="center"/>
            <w:hideMark/>
          </w:tcPr>
          <w:p w14:paraId="718F52AD" w14:textId="77777777" w:rsidR="00336C16" w:rsidRPr="002142B8" w:rsidRDefault="00336C16">
            <w:pPr>
              <w:rPr>
                <w:rFonts w:ascii="Georgia" w:hAnsi="Georgia" w:cs="Georgia"/>
                <w:sz w:val="20"/>
                <w:szCs w:val="20"/>
              </w:rPr>
            </w:pPr>
          </w:p>
        </w:tc>
        <w:tc>
          <w:tcPr>
            <w:tcW w:w="0" w:type="pct"/>
            <w:vMerge/>
            <w:tcBorders>
              <w:top w:val="nil"/>
              <w:left w:val="nil"/>
              <w:bottom w:val="nil"/>
              <w:right w:val="nil"/>
            </w:tcBorders>
            <w:vAlign w:val="center"/>
            <w:hideMark/>
          </w:tcPr>
          <w:p w14:paraId="2263999B"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val="restart"/>
            <w:tcBorders>
              <w:left w:val="nil"/>
              <w:bottom w:val="nil"/>
              <w:right w:val="nil"/>
            </w:tcBorders>
            <w:hideMark/>
          </w:tcPr>
          <w:p w14:paraId="6208925E" w14:textId="0ABD9CA3"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Europos regioninės plėtros fondo reglamentas</w:t>
            </w:r>
            <w:r w:rsidR="00290EB8">
              <w:rPr>
                <w:rFonts w:ascii="Georgia" w:hAnsi="Georgia" w:cs="Georgia"/>
                <w:sz w:val="20"/>
                <w:szCs w:val="20"/>
              </w:rPr>
              <w:t xml:space="preserve"> </w:t>
            </w:r>
            <w:r w:rsidRPr="002142B8">
              <w:rPr>
                <w:rFonts w:ascii="Georgia" w:hAnsi="Georgia" w:cs="Georgia"/>
                <w:sz w:val="20"/>
                <w:szCs w:val="20"/>
              </w:rPr>
              <w:t>– 5 straipsnis, 4 investavimo prioritetas</w:t>
            </w:r>
          </w:p>
        </w:tc>
        <w:tc>
          <w:tcPr>
            <w:tcW w:w="0" w:type="pct"/>
            <w:vMerge/>
            <w:tcBorders>
              <w:top w:val="nil"/>
              <w:left w:val="nil"/>
            </w:tcBorders>
            <w:vAlign w:val="center"/>
            <w:hideMark/>
          </w:tcPr>
          <w:p w14:paraId="7DE40FCA"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CB4D9D" w:rsidRPr="002142B8" w14:paraId="1DDC4645" w14:textId="77777777" w:rsidTr="00F9357D">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14:paraId="4C30FBC7" w14:textId="77777777" w:rsidR="00336C16" w:rsidRPr="002142B8"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0E37D06C"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tcBorders>
              <w:top w:val="single" w:sz="8" w:space="0" w:color="C0504D" w:themeColor="accent2"/>
              <w:left w:val="nil"/>
              <w:bottom w:val="nil"/>
              <w:right w:val="nil"/>
            </w:tcBorders>
            <w:vAlign w:val="center"/>
            <w:hideMark/>
          </w:tcPr>
          <w:p w14:paraId="0E436B85"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single" w:sz="8" w:space="0" w:color="C0504D" w:themeColor="accent2"/>
            </w:tcBorders>
            <w:hideMark/>
          </w:tcPr>
          <w:p w14:paraId="4B808E34"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2014 m. energijos vartojimo efektyvumo veiksmų planas 3.3 dalis „energijos vartojimo efektyvumo didinimo priemonės paslaugų sektoriuje“</w:t>
            </w:r>
          </w:p>
        </w:tc>
      </w:tr>
      <w:tr w:rsidR="00336C16" w:rsidRPr="002142B8" w14:paraId="30FDE7B8"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right w:val="nil"/>
            </w:tcBorders>
            <w:hideMark/>
          </w:tcPr>
          <w:p w14:paraId="268095B1" w14:textId="77777777" w:rsidR="00336C16" w:rsidRPr="002142B8" w:rsidRDefault="00336C16" w:rsidP="00936224">
            <w:pPr>
              <w:autoSpaceDE w:val="0"/>
              <w:autoSpaceDN w:val="0"/>
              <w:adjustRightInd w:val="0"/>
              <w:jc w:val="both"/>
              <w:rPr>
                <w:rFonts w:ascii="Georgia" w:hAnsi="Georgia" w:cs="Georgia"/>
                <w:sz w:val="20"/>
                <w:szCs w:val="20"/>
              </w:rPr>
            </w:pPr>
            <w:r w:rsidRPr="002142B8">
              <w:rPr>
                <w:rFonts w:ascii="Georgia" w:hAnsi="Georgia" w:cs="Georgia"/>
                <w:sz w:val="20"/>
                <w:szCs w:val="20"/>
              </w:rPr>
              <w:t xml:space="preserve">Valstybės viešųjų pastatų </w:t>
            </w:r>
            <w:r w:rsidR="00936224" w:rsidRPr="002142B8">
              <w:rPr>
                <w:rFonts w:ascii="Georgia" w:hAnsi="Georgia" w:cs="Georgia"/>
                <w:sz w:val="20"/>
                <w:szCs w:val="20"/>
              </w:rPr>
              <w:t>modernizavimas</w:t>
            </w:r>
          </w:p>
        </w:tc>
        <w:tc>
          <w:tcPr>
            <w:tcW w:w="0" w:type="pct"/>
            <w:vMerge w:val="restart"/>
            <w:tcBorders>
              <w:left w:val="nil"/>
              <w:right w:val="nil"/>
            </w:tcBorders>
            <w:hideMark/>
          </w:tcPr>
          <w:p w14:paraId="2DFB6BDD"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4 prioritetas „Energijos efektyvumo ir atsinaujinančių išteklių energijos gamybos ir naudojimo skatinimas“</w:t>
            </w:r>
          </w:p>
        </w:tc>
        <w:tc>
          <w:tcPr>
            <w:tcW w:w="0" w:type="pct"/>
            <w:tcBorders>
              <w:left w:val="nil"/>
              <w:right w:val="nil"/>
            </w:tcBorders>
            <w:hideMark/>
          </w:tcPr>
          <w:p w14:paraId="2165B87B"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Europa 2020 – 3 tikslas „Klimato kaita ir energetikos tvarumas“</w:t>
            </w:r>
          </w:p>
        </w:tc>
        <w:tc>
          <w:tcPr>
            <w:tcW w:w="0" w:type="pct"/>
            <w:vMerge w:val="restart"/>
            <w:tcBorders>
              <w:left w:val="nil"/>
              <w:bottom w:val="nil"/>
            </w:tcBorders>
            <w:hideMark/>
          </w:tcPr>
          <w:p w14:paraId="56630D31"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Nacionalinės pažangos strategija – 3.3.2 uždavinys</w:t>
            </w:r>
          </w:p>
        </w:tc>
      </w:tr>
      <w:tr w:rsidR="00336C16" w:rsidRPr="002142B8" w14:paraId="48A26D7B"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17AF4C4C" w14:textId="77777777" w:rsidR="00336C16" w:rsidRPr="002142B8"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3B0EB9E7"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3EFEB8E5"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Energijos efektyvumo direktyva</w:t>
            </w:r>
          </w:p>
        </w:tc>
        <w:tc>
          <w:tcPr>
            <w:tcW w:w="0" w:type="pct"/>
            <w:vMerge/>
            <w:tcBorders>
              <w:top w:val="single" w:sz="8" w:space="0" w:color="C0504D" w:themeColor="accent2"/>
              <w:left w:val="nil"/>
              <w:bottom w:val="nil"/>
              <w:right w:val="single" w:sz="8" w:space="0" w:color="C0504D" w:themeColor="accent2"/>
            </w:tcBorders>
            <w:vAlign w:val="center"/>
            <w:hideMark/>
          </w:tcPr>
          <w:p w14:paraId="4D080B32"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0F0FA4DE"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1A4EEC3D" w14:textId="77777777" w:rsidR="00336C16" w:rsidRPr="002142B8" w:rsidRDefault="00336C16">
            <w:pPr>
              <w:rPr>
                <w:rFonts w:ascii="Georgia" w:hAnsi="Georgia" w:cs="Georgia"/>
                <w:sz w:val="20"/>
                <w:szCs w:val="20"/>
              </w:rPr>
            </w:pPr>
          </w:p>
        </w:tc>
        <w:tc>
          <w:tcPr>
            <w:tcW w:w="0" w:type="pct"/>
            <w:vMerge/>
            <w:tcBorders>
              <w:left w:val="nil"/>
              <w:right w:val="nil"/>
            </w:tcBorders>
            <w:vAlign w:val="center"/>
            <w:hideMark/>
          </w:tcPr>
          <w:p w14:paraId="60C9B0DB"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3492B373" w14:textId="272ECC51"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Bendrųjų nuostatų reglamentas</w:t>
            </w:r>
            <w:r w:rsidR="00290EB8">
              <w:rPr>
                <w:rFonts w:ascii="Georgia" w:hAnsi="Georgia" w:cs="Georgia"/>
                <w:sz w:val="20"/>
                <w:szCs w:val="20"/>
              </w:rPr>
              <w:t xml:space="preserve"> </w:t>
            </w:r>
            <w:r w:rsidRPr="002142B8">
              <w:rPr>
                <w:rFonts w:ascii="Georgia" w:hAnsi="Georgia" w:cs="Georgia"/>
                <w:sz w:val="20"/>
                <w:szCs w:val="20"/>
              </w:rPr>
              <w:t>– 9 straipsnis, 4 teminis tikslas</w:t>
            </w:r>
          </w:p>
        </w:tc>
        <w:tc>
          <w:tcPr>
            <w:tcW w:w="0" w:type="pct"/>
            <w:vMerge w:val="restart"/>
            <w:tcBorders>
              <w:left w:val="nil"/>
              <w:bottom w:val="nil"/>
            </w:tcBorders>
            <w:hideMark/>
          </w:tcPr>
          <w:p w14:paraId="7AFB2036"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 energetinės nepriklausomybės strategija – energetinio efektyvumo didinimo strategija</w:t>
            </w:r>
          </w:p>
        </w:tc>
      </w:tr>
      <w:tr w:rsidR="00336C16" w:rsidRPr="002142B8" w14:paraId="1CD4E9D4" w14:textId="77777777" w:rsidTr="005B31C6">
        <w:trPr>
          <w:cantSplit/>
          <w:trHeight w:val="509"/>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63485D4" w14:textId="77777777" w:rsidR="00336C16" w:rsidRPr="002142B8" w:rsidRDefault="00336C16">
            <w:pPr>
              <w:rPr>
                <w:rFonts w:ascii="Georgia" w:hAnsi="Georgia" w:cs="Georgia"/>
                <w:sz w:val="20"/>
                <w:szCs w:val="20"/>
              </w:rPr>
            </w:pPr>
          </w:p>
        </w:tc>
        <w:tc>
          <w:tcPr>
            <w:tcW w:w="0" w:type="pct"/>
            <w:vMerge/>
            <w:tcBorders>
              <w:top w:val="single" w:sz="8" w:space="0" w:color="C0504D" w:themeColor="accent2"/>
              <w:left w:val="nil"/>
              <w:bottom w:val="single" w:sz="8" w:space="0" w:color="C0504D" w:themeColor="accent2"/>
              <w:right w:val="nil"/>
            </w:tcBorders>
            <w:vAlign w:val="center"/>
            <w:hideMark/>
          </w:tcPr>
          <w:p w14:paraId="07FF042A"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vMerge w:val="restart"/>
            <w:tcBorders>
              <w:top w:val="nil"/>
              <w:left w:val="nil"/>
              <w:bottom w:val="single" w:sz="8" w:space="0" w:color="C0504D" w:themeColor="accent2"/>
              <w:right w:val="nil"/>
            </w:tcBorders>
            <w:hideMark/>
          </w:tcPr>
          <w:p w14:paraId="5D4F732F" w14:textId="4961149E"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Europos regioninės plėtros fondo reglamentas</w:t>
            </w:r>
            <w:r w:rsidR="00290EB8">
              <w:rPr>
                <w:rFonts w:ascii="Georgia" w:hAnsi="Georgia" w:cs="Georgia"/>
                <w:sz w:val="20"/>
                <w:szCs w:val="20"/>
              </w:rPr>
              <w:t xml:space="preserve"> </w:t>
            </w:r>
            <w:r w:rsidRPr="002142B8">
              <w:rPr>
                <w:rFonts w:ascii="Georgia" w:hAnsi="Georgia" w:cs="Georgia"/>
                <w:sz w:val="20"/>
                <w:szCs w:val="20"/>
              </w:rPr>
              <w:t>– 5 straipsnis, 4 investavimo prioritetas</w:t>
            </w:r>
          </w:p>
        </w:tc>
        <w:tc>
          <w:tcPr>
            <w:tcW w:w="0" w:type="pct"/>
            <w:vMerge/>
            <w:tcBorders>
              <w:top w:val="single" w:sz="8" w:space="0" w:color="C0504D" w:themeColor="accent2"/>
              <w:left w:val="nil"/>
              <w:bottom w:val="nil"/>
              <w:right w:val="single" w:sz="8" w:space="0" w:color="C0504D" w:themeColor="accent2"/>
            </w:tcBorders>
            <w:vAlign w:val="center"/>
            <w:hideMark/>
          </w:tcPr>
          <w:p w14:paraId="4C02A731"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423AA85E" w14:textId="77777777" w:rsidTr="005B31C6">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0" w:type="pct"/>
            <w:vMerge/>
            <w:tcBorders>
              <w:right w:val="nil"/>
            </w:tcBorders>
            <w:vAlign w:val="center"/>
            <w:hideMark/>
          </w:tcPr>
          <w:p w14:paraId="2F1B3A7D" w14:textId="77777777" w:rsidR="00336C16" w:rsidRPr="002142B8" w:rsidRDefault="00336C16">
            <w:pPr>
              <w:rPr>
                <w:rFonts w:ascii="Georgia" w:hAnsi="Georgia" w:cs="Georgia"/>
                <w:sz w:val="20"/>
                <w:szCs w:val="20"/>
              </w:rPr>
            </w:pPr>
          </w:p>
        </w:tc>
        <w:tc>
          <w:tcPr>
            <w:tcW w:w="0" w:type="pct"/>
            <w:vMerge/>
            <w:tcBorders>
              <w:left w:val="nil"/>
              <w:right w:val="nil"/>
            </w:tcBorders>
            <w:vAlign w:val="center"/>
            <w:hideMark/>
          </w:tcPr>
          <w:p w14:paraId="429FAA65"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vMerge/>
            <w:tcBorders>
              <w:top w:val="nil"/>
              <w:left w:val="nil"/>
              <w:right w:val="nil"/>
            </w:tcBorders>
            <w:vAlign w:val="center"/>
            <w:hideMark/>
          </w:tcPr>
          <w:p w14:paraId="0258CE7F"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tcBorders>
            <w:hideMark/>
          </w:tcPr>
          <w:p w14:paraId="23F67D89"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2014 m. energijos vartojimo efektyvumo veiksmų planas 3.3 dalis „energijos vartojimo efektyvumo didinimo priemonės paslaugų sektoriuje“</w:t>
            </w:r>
          </w:p>
        </w:tc>
      </w:tr>
      <w:tr w:rsidR="00336C16" w:rsidRPr="002142B8" w14:paraId="60F0ED77" w14:textId="77777777" w:rsidTr="005B31C6">
        <w:trPr>
          <w:cantSplit/>
          <w:trHeight w:val="306"/>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il"/>
              <w:left w:val="single" w:sz="8" w:space="0" w:color="C0504D" w:themeColor="accent2"/>
              <w:bottom w:val="single" w:sz="8" w:space="0" w:color="C0504D" w:themeColor="accent2"/>
              <w:right w:val="nil"/>
            </w:tcBorders>
            <w:hideMark/>
          </w:tcPr>
          <w:p w14:paraId="5F5A0672" w14:textId="77777777" w:rsidR="00336C16" w:rsidRPr="002142B8" w:rsidRDefault="00336C16">
            <w:pPr>
              <w:autoSpaceDE w:val="0"/>
              <w:autoSpaceDN w:val="0"/>
              <w:adjustRightInd w:val="0"/>
              <w:jc w:val="both"/>
              <w:rPr>
                <w:rFonts w:ascii="Georgia" w:hAnsi="Georgia" w:cs="Georgia"/>
                <w:sz w:val="20"/>
                <w:szCs w:val="20"/>
              </w:rPr>
            </w:pPr>
            <w:r w:rsidRPr="002142B8">
              <w:rPr>
                <w:rFonts w:ascii="Georgia" w:hAnsi="Georgia" w:cs="Georgia"/>
                <w:sz w:val="20"/>
                <w:szCs w:val="20"/>
              </w:rPr>
              <w:t>Gatvių apšvietimo modernizavimas</w:t>
            </w:r>
          </w:p>
        </w:tc>
        <w:tc>
          <w:tcPr>
            <w:tcW w:w="0" w:type="pct"/>
            <w:vMerge w:val="restart"/>
            <w:tcBorders>
              <w:top w:val="nil"/>
              <w:left w:val="nil"/>
              <w:bottom w:val="single" w:sz="8" w:space="0" w:color="C0504D" w:themeColor="accent2"/>
              <w:right w:val="nil"/>
            </w:tcBorders>
            <w:hideMark/>
          </w:tcPr>
          <w:p w14:paraId="1BB63DA0"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4 prioritetas „Energijos efektyvumo ir atsinaujinančių išteklių energijos gamybos ir naudojimo skatinimas“</w:t>
            </w:r>
          </w:p>
        </w:tc>
        <w:tc>
          <w:tcPr>
            <w:tcW w:w="0" w:type="pct"/>
            <w:tcBorders>
              <w:top w:val="nil"/>
              <w:left w:val="nil"/>
              <w:bottom w:val="nil"/>
              <w:right w:val="nil"/>
            </w:tcBorders>
            <w:hideMark/>
          </w:tcPr>
          <w:p w14:paraId="3966E06B"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Europa 2020 – 3 tikslas „Klimato kaita ir energetikos tvarumas“</w:t>
            </w:r>
          </w:p>
        </w:tc>
        <w:tc>
          <w:tcPr>
            <w:tcW w:w="0" w:type="pct"/>
            <w:vMerge w:val="restart"/>
            <w:tcBorders>
              <w:top w:val="nil"/>
              <w:left w:val="nil"/>
              <w:bottom w:val="single" w:sz="8" w:space="0" w:color="C0504D" w:themeColor="accent2"/>
              <w:right w:val="single" w:sz="8" w:space="0" w:color="C0504D" w:themeColor="accent2"/>
            </w:tcBorders>
            <w:hideMark/>
          </w:tcPr>
          <w:p w14:paraId="3ABC32AD"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Nacionalinės pažangos strategija – 3.3.2 uždavinys</w:t>
            </w:r>
          </w:p>
        </w:tc>
      </w:tr>
      <w:tr w:rsidR="00336C16" w:rsidRPr="002142B8" w14:paraId="2B9ECAF7"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right w:val="nil"/>
            </w:tcBorders>
            <w:vAlign w:val="center"/>
            <w:hideMark/>
          </w:tcPr>
          <w:p w14:paraId="15D2C72C" w14:textId="77777777" w:rsidR="00336C16" w:rsidRPr="002142B8" w:rsidRDefault="00336C16">
            <w:pPr>
              <w:rPr>
                <w:rFonts w:ascii="Georgia" w:hAnsi="Georgia" w:cs="Georgia"/>
                <w:sz w:val="20"/>
                <w:szCs w:val="20"/>
              </w:rPr>
            </w:pPr>
          </w:p>
        </w:tc>
        <w:tc>
          <w:tcPr>
            <w:tcW w:w="0" w:type="pct"/>
            <w:vMerge/>
            <w:tcBorders>
              <w:top w:val="nil"/>
              <w:left w:val="nil"/>
              <w:right w:val="nil"/>
            </w:tcBorders>
            <w:vAlign w:val="center"/>
            <w:hideMark/>
          </w:tcPr>
          <w:p w14:paraId="522FADC3"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0A29F653"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Energijos efektyvumo direktyva</w:t>
            </w:r>
          </w:p>
        </w:tc>
        <w:tc>
          <w:tcPr>
            <w:tcW w:w="0" w:type="pct"/>
            <w:vMerge/>
            <w:tcBorders>
              <w:top w:val="nil"/>
              <w:left w:val="nil"/>
            </w:tcBorders>
            <w:vAlign w:val="center"/>
            <w:hideMark/>
          </w:tcPr>
          <w:p w14:paraId="06DB7186"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2142B8" w14:paraId="76CD1FC2" w14:textId="77777777" w:rsidTr="005B31C6">
        <w:trPr>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left w:val="single" w:sz="8" w:space="0" w:color="C0504D" w:themeColor="accent2"/>
              <w:bottom w:val="single" w:sz="8" w:space="0" w:color="C0504D" w:themeColor="accent2"/>
              <w:right w:val="nil"/>
            </w:tcBorders>
            <w:vAlign w:val="center"/>
            <w:hideMark/>
          </w:tcPr>
          <w:p w14:paraId="05DD42CC" w14:textId="77777777" w:rsidR="00336C16" w:rsidRPr="002142B8" w:rsidRDefault="00336C16">
            <w:pPr>
              <w:rPr>
                <w:rFonts w:ascii="Georgia" w:hAnsi="Georgia" w:cs="Georgia"/>
                <w:sz w:val="20"/>
                <w:szCs w:val="20"/>
              </w:rPr>
            </w:pPr>
          </w:p>
        </w:tc>
        <w:tc>
          <w:tcPr>
            <w:tcW w:w="0" w:type="pct"/>
            <w:vMerge/>
            <w:tcBorders>
              <w:top w:val="nil"/>
              <w:left w:val="nil"/>
              <w:bottom w:val="single" w:sz="8" w:space="0" w:color="C0504D" w:themeColor="accent2"/>
              <w:right w:val="nil"/>
            </w:tcBorders>
            <w:vAlign w:val="center"/>
            <w:hideMark/>
          </w:tcPr>
          <w:p w14:paraId="14583027" w14:textId="77777777" w:rsidR="00336C16" w:rsidRPr="002142B8"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Borders>
              <w:top w:val="nil"/>
              <w:left w:val="nil"/>
              <w:bottom w:val="nil"/>
              <w:right w:val="nil"/>
            </w:tcBorders>
            <w:hideMark/>
          </w:tcPr>
          <w:p w14:paraId="163C09CF" w14:textId="2C60DF65"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Bendrųjų nuostatų reglamentas</w:t>
            </w:r>
            <w:r w:rsidR="00290EB8">
              <w:rPr>
                <w:rFonts w:ascii="Georgia" w:hAnsi="Georgia" w:cs="Georgia"/>
                <w:sz w:val="20"/>
                <w:szCs w:val="20"/>
              </w:rPr>
              <w:t xml:space="preserve"> </w:t>
            </w:r>
            <w:r w:rsidRPr="002142B8">
              <w:rPr>
                <w:rFonts w:ascii="Georgia" w:hAnsi="Georgia" w:cs="Georgia"/>
                <w:sz w:val="20"/>
                <w:szCs w:val="20"/>
              </w:rPr>
              <w:t>– 9 straipsnis, 4 teminis tikslas</w:t>
            </w:r>
          </w:p>
        </w:tc>
        <w:tc>
          <w:tcPr>
            <w:tcW w:w="0" w:type="pct"/>
            <w:vMerge w:val="restart"/>
            <w:tcBorders>
              <w:top w:val="nil"/>
              <w:left w:val="nil"/>
              <w:bottom w:val="single" w:sz="8" w:space="0" w:color="C0504D" w:themeColor="accent2"/>
              <w:right w:val="single" w:sz="8" w:space="0" w:color="C0504D" w:themeColor="accent2"/>
            </w:tcBorders>
            <w:hideMark/>
          </w:tcPr>
          <w:p w14:paraId="1851022C"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 xml:space="preserve">Nacionalinė energetinės nepriklausomybės strategija – energetinio efektyvumo didinimo </w:t>
            </w:r>
            <w:r w:rsidRPr="002142B8">
              <w:rPr>
                <w:rFonts w:ascii="Georgia" w:hAnsi="Georgia" w:cs="Georgia"/>
                <w:sz w:val="20"/>
                <w:szCs w:val="20"/>
              </w:rPr>
              <w:lastRenderedPageBreak/>
              <w:t>strategija</w:t>
            </w:r>
          </w:p>
        </w:tc>
      </w:tr>
      <w:tr w:rsidR="00336C16" w:rsidRPr="002142B8" w14:paraId="5CE2B79C" w14:textId="77777777" w:rsidTr="005B31C6">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0" w:type="pct"/>
            <w:vMerge/>
            <w:tcBorders>
              <w:top w:val="nil"/>
              <w:right w:val="nil"/>
            </w:tcBorders>
            <w:vAlign w:val="center"/>
            <w:hideMark/>
          </w:tcPr>
          <w:p w14:paraId="36484426" w14:textId="77777777" w:rsidR="00336C16" w:rsidRPr="002142B8" w:rsidRDefault="00336C16">
            <w:pPr>
              <w:rPr>
                <w:rFonts w:ascii="Georgia" w:hAnsi="Georgia" w:cs="Georgia"/>
                <w:sz w:val="20"/>
                <w:szCs w:val="20"/>
              </w:rPr>
            </w:pPr>
          </w:p>
        </w:tc>
        <w:tc>
          <w:tcPr>
            <w:tcW w:w="0" w:type="pct"/>
            <w:vMerge/>
            <w:tcBorders>
              <w:top w:val="nil"/>
              <w:left w:val="nil"/>
              <w:right w:val="nil"/>
            </w:tcBorders>
            <w:vAlign w:val="center"/>
            <w:hideMark/>
          </w:tcPr>
          <w:p w14:paraId="0D6B2439"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Borders>
              <w:left w:val="nil"/>
              <w:right w:val="nil"/>
            </w:tcBorders>
            <w:hideMark/>
          </w:tcPr>
          <w:p w14:paraId="62595DF2"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Europos regioninės plėtros fondo reglamentas – 5 straipsnis, 4 investavimo prioritetas</w:t>
            </w:r>
          </w:p>
        </w:tc>
        <w:tc>
          <w:tcPr>
            <w:tcW w:w="0" w:type="pct"/>
            <w:vMerge/>
            <w:tcBorders>
              <w:top w:val="nil"/>
              <w:left w:val="nil"/>
            </w:tcBorders>
            <w:vAlign w:val="center"/>
            <w:hideMark/>
          </w:tcPr>
          <w:p w14:paraId="1975F272" w14:textId="77777777" w:rsidR="00336C16" w:rsidRPr="002142B8"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00AABE5B" w14:textId="77777777" w:rsidR="00336C16" w:rsidRPr="002142B8" w:rsidRDefault="00336C16" w:rsidP="00336C16">
      <w:pPr>
        <w:autoSpaceDE w:val="0"/>
        <w:autoSpaceDN w:val="0"/>
        <w:adjustRightInd w:val="0"/>
        <w:jc w:val="both"/>
        <w:rPr>
          <w:rFonts w:ascii="Georgia" w:hAnsi="Georgia" w:cs="Georgia"/>
          <w:sz w:val="20"/>
          <w:szCs w:val="20"/>
          <w:lang w:val="lt-LT"/>
        </w:rPr>
      </w:pPr>
    </w:p>
    <w:p w14:paraId="31556501" w14:textId="77777777" w:rsidR="00336C16" w:rsidRPr="002142B8" w:rsidRDefault="00336C16" w:rsidP="00336C16">
      <w:pPr>
        <w:autoSpaceDE w:val="0"/>
        <w:autoSpaceDN w:val="0"/>
        <w:adjustRightInd w:val="0"/>
        <w:jc w:val="both"/>
        <w:rPr>
          <w:rFonts w:ascii="Georgia" w:hAnsi="Georgia" w:cs="Georgia"/>
          <w:sz w:val="20"/>
          <w:szCs w:val="20"/>
          <w:lang w:val="lt-LT"/>
        </w:rPr>
      </w:pPr>
      <w:r w:rsidRPr="002142B8">
        <w:rPr>
          <w:rFonts w:ascii="Georgia" w:hAnsi="Georgia" w:cs="Georgia"/>
          <w:sz w:val="20"/>
          <w:szCs w:val="20"/>
          <w:lang w:val="lt-LT"/>
        </w:rPr>
        <w:t xml:space="preserve">Finansinės priemonės gali būti būdas padidinti privataus sektoriaus suinteresuotumą ir motyvaciją atsirinkti efektyviausius ir kuriančius pridėtinę vertę projektus. Kaip alternatyva finansinėms priemonėms galėtų būti svarstomas paramos intensyvumo tarp teikiamos subsidijos ir bendrojo finansavimo keitimas (pvz. mažinamas subsidijos dydis ir taip projekto vykdytojai skatinami ieškoti privačių išteklių užsitikrinti bendrąjį finansavimą). </w:t>
      </w:r>
      <w:r w:rsidR="0083461E" w:rsidRPr="002142B8">
        <w:rPr>
          <w:rFonts w:ascii="Georgia" w:hAnsi="Georgia" w:cs="Georgia"/>
          <w:sz w:val="20"/>
          <w:szCs w:val="20"/>
          <w:lang w:val="lt-LT"/>
        </w:rPr>
        <w:t>F</w:t>
      </w:r>
      <w:r w:rsidRPr="002142B8">
        <w:rPr>
          <w:rFonts w:ascii="Georgia" w:hAnsi="Georgia" w:cs="Georgia"/>
          <w:sz w:val="20"/>
          <w:szCs w:val="20"/>
          <w:lang w:val="lt-LT"/>
        </w:rPr>
        <w:t>inansin</w:t>
      </w:r>
      <w:r w:rsidR="0083461E" w:rsidRPr="002142B8">
        <w:rPr>
          <w:rFonts w:ascii="Georgia" w:hAnsi="Georgia" w:cs="Georgia"/>
          <w:sz w:val="20"/>
          <w:szCs w:val="20"/>
          <w:lang w:val="lt-LT"/>
        </w:rPr>
        <w:t>ių</w:t>
      </w:r>
      <w:r w:rsidRPr="002142B8">
        <w:rPr>
          <w:rFonts w:ascii="Georgia" w:hAnsi="Georgia" w:cs="Georgia"/>
          <w:sz w:val="20"/>
          <w:szCs w:val="20"/>
          <w:lang w:val="lt-LT"/>
        </w:rPr>
        <w:t xml:space="preserve"> priemon</w:t>
      </w:r>
      <w:r w:rsidR="0083461E" w:rsidRPr="002142B8">
        <w:rPr>
          <w:rFonts w:ascii="Georgia" w:hAnsi="Georgia" w:cs="Georgia"/>
          <w:sz w:val="20"/>
          <w:szCs w:val="20"/>
          <w:lang w:val="lt-LT"/>
        </w:rPr>
        <w:t>ių ir</w:t>
      </w:r>
      <w:r w:rsidRPr="002142B8">
        <w:rPr>
          <w:rFonts w:ascii="Georgia" w:hAnsi="Georgia" w:cs="Georgia"/>
          <w:sz w:val="20"/>
          <w:szCs w:val="20"/>
          <w:lang w:val="lt-LT"/>
        </w:rPr>
        <w:t xml:space="preserve"> paramos intensyvumo sumažinim</w:t>
      </w:r>
      <w:r w:rsidR="0083461E" w:rsidRPr="002142B8">
        <w:rPr>
          <w:rFonts w:ascii="Georgia" w:hAnsi="Georgia" w:cs="Georgia"/>
          <w:sz w:val="20"/>
          <w:szCs w:val="20"/>
          <w:lang w:val="lt-LT"/>
        </w:rPr>
        <w:t>o</w:t>
      </w:r>
      <w:r w:rsidRPr="002142B8">
        <w:rPr>
          <w:rFonts w:ascii="Georgia" w:hAnsi="Georgia" w:cs="Georgia"/>
          <w:sz w:val="20"/>
          <w:szCs w:val="20"/>
          <w:lang w:val="lt-LT"/>
        </w:rPr>
        <w:t xml:space="preserve"> privalumų ir trūkumų</w:t>
      </w:r>
      <w:r w:rsidR="0083461E" w:rsidRPr="002142B8">
        <w:rPr>
          <w:rFonts w:ascii="Georgia" w:hAnsi="Georgia" w:cs="Georgia"/>
          <w:sz w:val="20"/>
          <w:szCs w:val="20"/>
          <w:lang w:val="lt-LT"/>
        </w:rPr>
        <w:t xml:space="preserve"> palyginimas </w:t>
      </w:r>
      <w:r w:rsidRPr="002142B8">
        <w:rPr>
          <w:rFonts w:ascii="Georgia" w:hAnsi="Georgia" w:cs="Georgia"/>
          <w:sz w:val="20"/>
          <w:szCs w:val="20"/>
          <w:lang w:val="lt-LT"/>
        </w:rPr>
        <w:t>yra pateikt</w:t>
      </w:r>
      <w:r w:rsidR="0083461E" w:rsidRPr="002142B8">
        <w:rPr>
          <w:rFonts w:ascii="Georgia" w:hAnsi="Georgia" w:cs="Georgia"/>
          <w:sz w:val="20"/>
          <w:szCs w:val="20"/>
          <w:lang w:val="lt-LT"/>
        </w:rPr>
        <w:t>as</w:t>
      </w:r>
      <w:r w:rsidRPr="002142B8">
        <w:rPr>
          <w:rFonts w:ascii="Georgia" w:hAnsi="Georgia" w:cs="Georgia"/>
          <w:sz w:val="20"/>
          <w:szCs w:val="20"/>
          <w:lang w:val="lt-LT"/>
        </w:rPr>
        <w:t xml:space="preserve"> lentelėje žemiau. </w:t>
      </w:r>
    </w:p>
    <w:p w14:paraId="341096D4" w14:textId="6CEB7FA3" w:rsidR="00336C16" w:rsidRPr="005A1A99" w:rsidRDefault="00931CAF" w:rsidP="00931CAF">
      <w:pPr>
        <w:pStyle w:val="Antrat"/>
        <w:jc w:val="both"/>
        <w:rPr>
          <w:b w:val="0"/>
          <w:i/>
          <w:lang w:val="lt-LT"/>
        </w:rPr>
      </w:pPr>
      <w:bookmarkStart w:id="12" w:name="_Toc507939124"/>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2</w:t>
      </w:r>
      <w:r w:rsidRPr="005A1A99">
        <w:rPr>
          <w:b w:val="0"/>
          <w:i/>
          <w:lang w:val="lt-LT"/>
        </w:rPr>
        <w:fldChar w:fldCharType="end"/>
      </w:r>
      <w:r w:rsidRPr="005A1A99">
        <w:rPr>
          <w:b w:val="0"/>
          <w:i/>
          <w:lang w:val="lt-LT"/>
        </w:rPr>
        <w:t xml:space="preserve">. </w:t>
      </w:r>
      <w:r w:rsidRPr="005A1A99">
        <w:rPr>
          <w:rFonts w:cs="Georgia"/>
          <w:b w:val="0"/>
          <w:i/>
          <w:szCs w:val="20"/>
          <w:lang w:val="lt-LT"/>
        </w:rPr>
        <w:t>Finansinių priemonių ir paramos intensyvumo sumažinimo privalumai ir trūkumai</w:t>
      </w:r>
      <w:bookmarkEnd w:id="12"/>
    </w:p>
    <w:tbl>
      <w:tblPr>
        <w:tblStyle w:val="viesussraas2parykinimas"/>
        <w:tblW w:w="5000" w:type="pct"/>
        <w:tblLook w:val="04A0" w:firstRow="1" w:lastRow="0" w:firstColumn="1" w:lastColumn="0" w:noHBand="0" w:noVBand="1"/>
      </w:tblPr>
      <w:tblGrid>
        <w:gridCol w:w="2563"/>
        <w:gridCol w:w="2338"/>
        <w:gridCol w:w="2259"/>
        <w:gridCol w:w="2082"/>
      </w:tblGrid>
      <w:tr w:rsidR="00336C16" w:rsidRPr="002142B8" w14:paraId="79178891"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7B772295" w14:textId="77777777" w:rsidR="00336C16" w:rsidRPr="002142B8" w:rsidRDefault="00336C16">
            <w:pPr>
              <w:autoSpaceDE w:val="0"/>
              <w:autoSpaceDN w:val="0"/>
              <w:adjustRightInd w:val="0"/>
              <w:jc w:val="center"/>
              <w:rPr>
                <w:rFonts w:ascii="Georgia" w:hAnsi="Georgia" w:cs="Georgia"/>
                <w:sz w:val="20"/>
                <w:szCs w:val="20"/>
              </w:rPr>
            </w:pPr>
            <w:r w:rsidRPr="002142B8">
              <w:rPr>
                <w:rFonts w:ascii="Georgia" w:hAnsi="Georgia" w:cs="Georgia"/>
                <w:sz w:val="20"/>
                <w:szCs w:val="20"/>
              </w:rPr>
              <w:t>Finansinės priemonės</w:t>
            </w:r>
          </w:p>
        </w:tc>
        <w:tc>
          <w:tcPr>
            <w:tcW w:w="0" w:type="pct"/>
            <w:gridSpan w:val="2"/>
            <w:hideMark/>
          </w:tcPr>
          <w:p w14:paraId="2476B557" w14:textId="77777777" w:rsidR="00336C16" w:rsidRPr="002142B8"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Paramos intensyvumo keitimas</w:t>
            </w:r>
          </w:p>
        </w:tc>
      </w:tr>
      <w:tr w:rsidR="00336C16" w:rsidRPr="002142B8" w14:paraId="5E7E51C0"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hideMark/>
          </w:tcPr>
          <w:p w14:paraId="16DF2B33" w14:textId="77777777" w:rsidR="00336C16" w:rsidRPr="002142B8" w:rsidRDefault="00336C16">
            <w:pPr>
              <w:autoSpaceDE w:val="0"/>
              <w:autoSpaceDN w:val="0"/>
              <w:adjustRightInd w:val="0"/>
              <w:jc w:val="center"/>
              <w:rPr>
                <w:rFonts w:ascii="Georgia" w:hAnsi="Georgia" w:cs="Georgia"/>
                <w:b w:val="0"/>
                <w:sz w:val="20"/>
                <w:szCs w:val="20"/>
              </w:rPr>
            </w:pPr>
            <w:r w:rsidRPr="002142B8">
              <w:rPr>
                <w:rFonts w:ascii="Georgia" w:hAnsi="Georgia" w:cs="Georgia"/>
                <w:b w:val="0"/>
                <w:sz w:val="20"/>
                <w:szCs w:val="20"/>
              </w:rPr>
              <w:t>Privalumai</w:t>
            </w:r>
          </w:p>
        </w:tc>
        <w:tc>
          <w:tcPr>
            <w:tcW w:w="0" w:type="pct"/>
            <w:hideMark/>
          </w:tcPr>
          <w:p w14:paraId="0A88F535" w14:textId="77777777" w:rsidR="00336C16" w:rsidRPr="002142B8"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2142B8">
              <w:rPr>
                <w:rFonts w:ascii="Georgia" w:hAnsi="Georgia" w:cs="Georgia"/>
                <w:b w:val="0"/>
                <w:sz w:val="20"/>
                <w:szCs w:val="20"/>
              </w:rPr>
              <w:t>Trūkumai</w:t>
            </w:r>
          </w:p>
        </w:tc>
        <w:tc>
          <w:tcPr>
            <w:tcW w:w="0" w:type="pct"/>
            <w:hideMark/>
          </w:tcPr>
          <w:p w14:paraId="4333B624" w14:textId="77777777" w:rsidR="00336C16" w:rsidRPr="002142B8"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2142B8">
              <w:rPr>
                <w:rFonts w:ascii="Georgia" w:hAnsi="Georgia" w:cs="Georgia"/>
                <w:sz w:val="20"/>
                <w:szCs w:val="20"/>
              </w:rPr>
              <w:t>Privalumai</w:t>
            </w:r>
          </w:p>
        </w:tc>
        <w:tc>
          <w:tcPr>
            <w:tcW w:w="0" w:type="pct"/>
            <w:hideMark/>
          </w:tcPr>
          <w:p w14:paraId="31DF4C49" w14:textId="77777777" w:rsidR="00336C16" w:rsidRPr="002142B8"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2142B8">
              <w:rPr>
                <w:rFonts w:ascii="Georgia" w:hAnsi="Georgia" w:cs="Georgia"/>
                <w:sz w:val="20"/>
                <w:szCs w:val="20"/>
              </w:rPr>
              <w:t>Trūkumai</w:t>
            </w:r>
          </w:p>
        </w:tc>
      </w:tr>
      <w:tr w:rsidR="00336C16" w:rsidRPr="002142B8" w14:paraId="543A68E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2F132CA9"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 xml:space="preserve">Laipsniškas sektoriaus perėjimas nuo subsidijų prie paskolų </w:t>
            </w:r>
          </w:p>
        </w:tc>
        <w:tc>
          <w:tcPr>
            <w:tcW w:w="0" w:type="pct"/>
            <w:hideMark/>
          </w:tcPr>
          <w:p w14:paraId="0DA5172E"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Potencialiai sudėtingesnė ir sąlyginai brangesnė įgyvendinimo struktūra</w:t>
            </w:r>
          </w:p>
        </w:tc>
        <w:tc>
          <w:tcPr>
            <w:tcW w:w="0" w:type="pct"/>
            <w:hideMark/>
          </w:tcPr>
          <w:p w14:paraId="1176F3A4"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Paprastesnė įgyvendinimo struktūra</w:t>
            </w:r>
          </w:p>
        </w:tc>
        <w:tc>
          <w:tcPr>
            <w:tcW w:w="0" w:type="pct"/>
            <w:hideMark/>
          </w:tcPr>
          <w:p w14:paraId="1B6D8956"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Mažiau sklandus perėjimas nuo subsidijų prie paskolų</w:t>
            </w:r>
          </w:p>
        </w:tc>
      </w:tr>
      <w:tr w:rsidR="00336C16" w:rsidRPr="002142B8" w14:paraId="081BFDE3"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5FD75CC1"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Grįžtančios lėšos</w:t>
            </w:r>
          </w:p>
        </w:tc>
        <w:tc>
          <w:tcPr>
            <w:tcW w:w="0" w:type="pct"/>
            <w:hideMark/>
          </w:tcPr>
          <w:p w14:paraId="640E3519"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Papildomas valstybės įsikišimas</w:t>
            </w:r>
          </w:p>
        </w:tc>
        <w:tc>
          <w:tcPr>
            <w:tcW w:w="0" w:type="pct"/>
            <w:hideMark/>
          </w:tcPr>
          <w:p w14:paraId="1017E9E2"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Greitesnis projektų startas</w:t>
            </w:r>
            <w:r w:rsidR="00E00767" w:rsidRPr="002142B8">
              <w:rPr>
                <w:rFonts w:ascii="Georgia" w:hAnsi="Georgia" w:cs="Georgia"/>
                <w:sz w:val="20"/>
                <w:szCs w:val="20"/>
              </w:rPr>
              <w:t>, dėl turimos patirties tokios schemos įgyvendinime</w:t>
            </w:r>
          </w:p>
        </w:tc>
        <w:tc>
          <w:tcPr>
            <w:tcW w:w="0" w:type="pct"/>
            <w:hideMark/>
          </w:tcPr>
          <w:p w14:paraId="007448DD"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Didesnė skolinimosi kaina kai projektų vykdytojai skolinasi iš privataus sektoriaus</w:t>
            </w:r>
          </w:p>
        </w:tc>
      </w:tr>
      <w:tr w:rsidR="00336C16" w:rsidRPr="002142B8" w14:paraId="7871D98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34E79867"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Sverto efektas – pritraukiamos privačių investuotojų lėšos</w:t>
            </w:r>
          </w:p>
        </w:tc>
        <w:tc>
          <w:tcPr>
            <w:tcW w:w="0" w:type="pct"/>
            <w:hideMark/>
          </w:tcPr>
          <w:p w14:paraId="33CE6978"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Potencialiai ilgiau užtrunkantis projektų startas</w:t>
            </w:r>
          </w:p>
        </w:tc>
        <w:tc>
          <w:tcPr>
            <w:tcW w:w="0" w:type="pct"/>
          </w:tcPr>
          <w:p w14:paraId="10B0EBB6"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6E4F6F68"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2142B8" w14:paraId="03F2516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42B24809"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Tęstinumas – galimybės panaudoti grįžusias lėšas tiems patiems tikslams po 2014-2020 periodo</w:t>
            </w:r>
          </w:p>
        </w:tc>
        <w:tc>
          <w:tcPr>
            <w:tcW w:w="0" w:type="pct"/>
            <w:hideMark/>
          </w:tcPr>
          <w:p w14:paraId="4C826C31" w14:textId="77777777" w:rsidR="00336C16" w:rsidRPr="002142B8" w:rsidRDefault="00336C16" w:rsidP="00E0076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 xml:space="preserve">Socialiai jautrus mechanizmas, ypač jeigu įgyvendinimas daro įtaką </w:t>
            </w:r>
            <w:r w:rsidR="00E00767" w:rsidRPr="002142B8">
              <w:rPr>
                <w:rFonts w:ascii="Georgia" w:hAnsi="Georgia" w:cs="Georgia"/>
                <w:sz w:val="20"/>
                <w:szCs w:val="20"/>
              </w:rPr>
              <w:t xml:space="preserve">mokėtinų sumų </w:t>
            </w:r>
            <w:r w:rsidRPr="002142B8">
              <w:rPr>
                <w:rFonts w:ascii="Georgia" w:hAnsi="Georgia" w:cs="Georgia"/>
                <w:sz w:val="20"/>
                <w:szCs w:val="20"/>
              </w:rPr>
              <w:t>dydžiui</w:t>
            </w:r>
          </w:p>
        </w:tc>
        <w:tc>
          <w:tcPr>
            <w:tcW w:w="0" w:type="pct"/>
          </w:tcPr>
          <w:p w14:paraId="427D755C"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620C10ED"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4FD0D33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0228C4B1"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Lėšų prieinamumas ilgesnį laikotarpį</w:t>
            </w:r>
          </w:p>
        </w:tc>
        <w:tc>
          <w:tcPr>
            <w:tcW w:w="0" w:type="pct"/>
          </w:tcPr>
          <w:p w14:paraId="710E7498"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529BD133"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3EB5642C"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RPr="002142B8" w14:paraId="3AD7B578"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hideMark/>
          </w:tcPr>
          <w:p w14:paraId="19448A2D"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Išduodamos pigesnės paskolos, todėl sukuriamos paskatos projektų vykdytojams skolintis</w:t>
            </w:r>
          </w:p>
        </w:tc>
        <w:tc>
          <w:tcPr>
            <w:tcW w:w="0" w:type="pct"/>
          </w:tcPr>
          <w:p w14:paraId="7575B0F8"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3F130504"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0" w:type="pct"/>
          </w:tcPr>
          <w:p w14:paraId="57B44C15" w14:textId="77777777" w:rsidR="00336C16" w:rsidRPr="002142B8"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RPr="002142B8" w14:paraId="75773ED3"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hideMark/>
          </w:tcPr>
          <w:p w14:paraId="00598F65" w14:textId="77777777" w:rsidR="00336C16" w:rsidRPr="002142B8" w:rsidRDefault="00336C16">
            <w:pPr>
              <w:autoSpaceDE w:val="0"/>
              <w:autoSpaceDN w:val="0"/>
              <w:adjustRightInd w:val="0"/>
              <w:jc w:val="both"/>
              <w:rPr>
                <w:rFonts w:ascii="Georgia" w:hAnsi="Georgia" w:cs="Georgia"/>
                <w:b w:val="0"/>
                <w:sz w:val="20"/>
                <w:szCs w:val="20"/>
              </w:rPr>
            </w:pPr>
            <w:r w:rsidRPr="002142B8">
              <w:rPr>
                <w:rFonts w:ascii="Georgia" w:hAnsi="Georgia" w:cs="Georgia"/>
                <w:sz w:val="20"/>
                <w:szCs w:val="20"/>
              </w:rPr>
              <w:t>Žymiai efektyvesnis ES lėšų panaudojimas</w:t>
            </w:r>
          </w:p>
        </w:tc>
        <w:tc>
          <w:tcPr>
            <w:tcW w:w="0" w:type="pct"/>
          </w:tcPr>
          <w:p w14:paraId="06DEBE28"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2A31BB4F"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0" w:type="pct"/>
          </w:tcPr>
          <w:p w14:paraId="50EB7F16" w14:textId="77777777" w:rsidR="00336C16" w:rsidRPr="002142B8"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7AB22646" w14:textId="77777777" w:rsidR="00336C16" w:rsidRPr="002142B8" w:rsidRDefault="00336C16" w:rsidP="00336C16">
      <w:pPr>
        <w:autoSpaceDE w:val="0"/>
        <w:autoSpaceDN w:val="0"/>
        <w:adjustRightInd w:val="0"/>
        <w:jc w:val="both"/>
        <w:rPr>
          <w:rFonts w:ascii="Georgia" w:hAnsi="Georgia" w:cs="Georgia"/>
          <w:sz w:val="20"/>
          <w:szCs w:val="20"/>
          <w:lang w:val="lt-LT"/>
        </w:rPr>
      </w:pPr>
    </w:p>
    <w:p w14:paraId="1F7354ED" w14:textId="77777777" w:rsidR="00336C16" w:rsidRPr="002142B8" w:rsidRDefault="00AE2576" w:rsidP="00162BF5">
      <w:pPr>
        <w:pStyle w:val="Antrat2"/>
        <w:keepLines w:val="0"/>
        <w:numPr>
          <w:ilvl w:val="1"/>
          <w:numId w:val="21"/>
        </w:numPr>
        <w:ind w:left="1077"/>
        <w:rPr>
          <w:lang w:val="lt-LT"/>
        </w:rPr>
      </w:pPr>
      <w:bookmarkStart w:id="13" w:name="_Toc393381198"/>
      <w:bookmarkStart w:id="14" w:name="_Toc25589880"/>
      <w:r w:rsidRPr="002142B8">
        <w:rPr>
          <w:lang w:val="lt-LT"/>
        </w:rPr>
        <w:t>F</w:t>
      </w:r>
      <w:r w:rsidR="0083461E" w:rsidRPr="002142B8">
        <w:rPr>
          <w:lang w:val="lt-LT"/>
        </w:rPr>
        <w:t>inansinės priemonės,</w:t>
      </w:r>
      <w:r w:rsidR="00336C16" w:rsidRPr="002142B8">
        <w:rPr>
          <w:lang w:val="lt-LT"/>
        </w:rPr>
        <w:t xml:space="preserve"> </w:t>
      </w:r>
      <w:r w:rsidR="0083461E" w:rsidRPr="002142B8">
        <w:rPr>
          <w:lang w:val="lt-LT"/>
        </w:rPr>
        <w:t>įgyvendintos energijos efektyvumo</w:t>
      </w:r>
      <w:r w:rsidR="00336C16" w:rsidRPr="002142B8">
        <w:rPr>
          <w:lang w:val="lt-LT"/>
        </w:rPr>
        <w:t xml:space="preserve"> srityje 2007-2013</w:t>
      </w:r>
      <w:r w:rsidR="0083461E" w:rsidRPr="002142B8">
        <w:rPr>
          <w:lang w:val="lt-LT"/>
        </w:rPr>
        <w:t xml:space="preserve"> m. </w:t>
      </w:r>
      <w:bookmarkEnd w:id="13"/>
      <w:r w:rsidR="00336C16" w:rsidRPr="002142B8">
        <w:rPr>
          <w:lang w:val="lt-LT"/>
        </w:rPr>
        <w:t>periodu</w:t>
      </w:r>
      <w:bookmarkEnd w:id="14"/>
      <w:r w:rsidR="00336C16" w:rsidRPr="002142B8">
        <w:rPr>
          <w:lang w:val="lt-LT"/>
        </w:rPr>
        <w:t xml:space="preserve"> </w:t>
      </w:r>
    </w:p>
    <w:p w14:paraId="268DC790" w14:textId="77777777" w:rsidR="00336C16" w:rsidRPr="002142B8" w:rsidRDefault="00336C16" w:rsidP="00466A70">
      <w:pPr>
        <w:keepNext/>
        <w:autoSpaceDE w:val="0"/>
        <w:autoSpaceDN w:val="0"/>
        <w:adjustRightInd w:val="0"/>
        <w:spacing w:after="0" w:line="240" w:lineRule="auto"/>
        <w:rPr>
          <w:rFonts w:ascii="Georgia" w:hAnsi="Georgia" w:cs="Georgia"/>
          <w:sz w:val="20"/>
          <w:szCs w:val="20"/>
          <w:lang w:val="lt-LT"/>
        </w:rPr>
      </w:pPr>
    </w:p>
    <w:p w14:paraId="282DB362"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Finansinių priemonių panaudojimas įvairių projektų finansavimui įvairiose Europos šalyse yra gana plačiai naudojamas jau ne vienerius metus. Nuo finansinių priemonių atsiradimo ir per 2007-2013 m. </w:t>
      </w:r>
      <w:r w:rsidRPr="002142B8">
        <w:rPr>
          <w:rFonts w:ascii="Georgia" w:hAnsi="Georgia" w:cs="Georgia"/>
          <w:sz w:val="20"/>
          <w:szCs w:val="20"/>
          <w:lang w:val="lt-LT"/>
        </w:rPr>
        <w:lastRenderedPageBreak/>
        <w:t xml:space="preserve">periodą jų reikšmė smarkiai išaugo: dabar apie 5% Europos regioninės plėtros fondo ir apie 0,7% Europos socialinio fondo išteklių yra įgyvendinami per finansines priemones. </w:t>
      </w:r>
    </w:p>
    <w:p w14:paraId="7C4788CB"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5F57DDEA"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Per 2007-2013 m. periodą finansinės priemonės buvo pasitelktos remti mažas ir vidutines įmones, miestų plėtrą ir energijos efektyvumo veiklas. 2007-2013 m. periodu įgyvendintos finansinės priemonės nurodytos lentelėje žemiau. </w:t>
      </w:r>
    </w:p>
    <w:p w14:paraId="48E931C0"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35266120" w14:textId="34879A99" w:rsidR="00336C16" w:rsidRPr="005A1A99" w:rsidRDefault="00931CAF" w:rsidP="00931CAF">
      <w:pPr>
        <w:pStyle w:val="Antrat"/>
        <w:jc w:val="both"/>
        <w:rPr>
          <w:b w:val="0"/>
          <w:i/>
          <w:lang w:val="lt-LT"/>
        </w:rPr>
      </w:pPr>
      <w:bookmarkStart w:id="15" w:name="_Toc507939125"/>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w:t>
      </w:r>
      <w:r w:rsidRPr="005A1A99">
        <w:rPr>
          <w:b w:val="0"/>
          <w:i/>
          <w:lang w:val="lt-LT"/>
        </w:rPr>
        <w:fldChar w:fldCharType="end"/>
      </w:r>
      <w:r w:rsidRPr="005A1A99">
        <w:rPr>
          <w:b w:val="0"/>
          <w:i/>
          <w:lang w:val="lt-LT"/>
        </w:rPr>
        <w:t xml:space="preserve">. </w:t>
      </w:r>
      <w:r w:rsidRPr="005A1A99">
        <w:rPr>
          <w:rFonts w:cs="Georgia"/>
          <w:b w:val="0"/>
          <w:i/>
          <w:szCs w:val="20"/>
          <w:lang w:val="lt-LT"/>
        </w:rPr>
        <w:t>2007-2013 m. periodu įgyvendintų finansinių priemonių tipai</w:t>
      </w:r>
      <w:r w:rsidR="0089342F" w:rsidRPr="005A1A99">
        <w:rPr>
          <w:rFonts w:cs="Georgia"/>
          <w:b w:val="0"/>
          <w:i/>
          <w:szCs w:val="20"/>
          <w:lang w:val="lt-LT"/>
        </w:rPr>
        <w:t xml:space="preserve"> ir skaičius</w:t>
      </w:r>
      <w:bookmarkEnd w:id="15"/>
    </w:p>
    <w:tbl>
      <w:tblPr>
        <w:tblStyle w:val="viesussraas2parykinimas"/>
        <w:tblW w:w="5000" w:type="pct"/>
        <w:tblLook w:val="04A0" w:firstRow="1" w:lastRow="0" w:firstColumn="1" w:lastColumn="0" w:noHBand="0" w:noVBand="1"/>
      </w:tblPr>
      <w:tblGrid>
        <w:gridCol w:w="3059"/>
        <w:gridCol w:w="3601"/>
        <w:gridCol w:w="2582"/>
      </w:tblGrid>
      <w:tr w:rsidR="00336C16" w:rsidRPr="002142B8" w14:paraId="0AA2FF99" w14:textId="77777777" w:rsidTr="005B31C6">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C0504D" w:themeColor="accent2"/>
              <w:left w:val="single" w:sz="8" w:space="0" w:color="C0504D" w:themeColor="accent2"/>
              <w:bottom w:val="nil"/>
              <w:right w:val="nil"/>
            </w:tcBorders>
            <w:hideMark/>
          </w:tcPr>
          <w:p w14:paraId="1C68E251" w14:textId="77777777" w:rsidR="00336C16" w:rsidRPr="002142B8" w:rsidRDefault="00336C16" w:rsidP="00C95047">
            <w:pPr>
              <w:autoSpaceDE w:val="0"/>
              <w:autoSpaceDN w:val="0"/>
              <w:adjustRightInd w:val="0"/>
              <w:jc w:val="center"/>
              <w:rPr>
                <w:rFonts w:ascii="Georgia" w:hAnsi="Georgia" w:cs="Georgia"/>
                <w:sz w:val="20"/>
                <w:szCs w:val="20"/>
              </w:rPr>
            </w:pPr>
            <w:r w:rsidRPr="002142B8">
              <w:rPr>
                <w:rFonts w:ascii="Georgia" w:hAnsi="Georgia" w:cs="Georgia"/>
                <w:sz w:val="20"/>
                <w:szCs w:val="20"/>
              </w:rPr>
              <w:t>Sektorius</w:t>
            </w:r>
          </w:p>
        </w:tc>
        <w:tc>
          <w:tcPr>
            <w:tcW w:w="0" w:type="pct"/>
            <w:tcBorders>
              <w:top w:val="single" w:sz="8" w:space="0" w:color="C0504D" w:themeColor="accent2"/>
              <w:left w:val="nil"/>
              <w:bottom w:val="nil"/>
              <w:right w:val="nil"/>
            </w:tcBorders>
            <w:hideMark/>
          </w:tcPr>
          <w:p w14:paraId="7EBF0128" w14:textId="77777777" w:rsidR="00336C16" w:rsidRPr="002142B8"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Paramos tipas</w:t>
            </w:r>
          </w:p>
        </w:tc>
        <w:tc>
          <w:tcPr>
            <w:tcW w:w="0" w:type="pct"/>
            <w:tcBorders>
              <w:top w:val="single" w:sz="8" w:space="0" w:color="C0504D" w:themeColor="accent2"/>
              <w:left w:val="nil"/>
              <w:bottom w:val="nil"/>
              <w:right w:val="single" w:sz="8" w:space="0" w:color="C0504D" w:themeColor="accent2"/>
            </w:tcBorders>
            <w:hideMark/>
          </w:tcPr>
          <w:p w14:paraId="009C6388" w14:textId="083ECE3B" w:rsidR="00336C16" w:rsidRPr="002142B8" w:rsidRDefault="00336C16" w:rsidP="0063781D">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 xml:space="preserve">Finansinių </w:t>
            </w:r>
            <w:r w:rsidR="00BA7CAB" w:rsidRPr="002142B8">
              <w:rPr>
                <w:rFonts w:ascii="Georgia" w:hAnsi="Georgia" w:cs="Georgia"/>
                <w:sz w:val="20"/>
                <w:szCs w:val="20"/>
              </w:rPr>
              <w:br/>
            </w:r>
            <w:r w:rsidRPr="002142B8">
              <w:rPr>
                <w:rFonts w:ascii="Georgia" w:hAnsi="Georgia" w:cs="Georgia"/>
                <w:sz w:val="20"/>
                <w:szCs w:val="20"/>
              </w:rPr>
              <w:t>priemonių skaičius</w:t>
            </w:r>
          </w:p>
        </w:tc>
      </w:tr>
      <w:tr w:rsidR="00336C16" w:rsidRPr="002142B8" w14:paraId="74705BA7"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A3443FC" w14:textId="77777777" w:rsidR="00336C16" w:rsidRPr="002142B8" w:rsidRDefault="00336C16" w:rsidP="0089342F">
            <w:pPr>
              <w:autoSpaceDE w:val="0"/>
              <w:autoSpaceDN w:val="0"/>
              <w:adjustRightInd w:val="0"/>
              <w:jc w:val="both"/>
              <w:rPr>
                <w:rFonts w:ascii="Georgia" w:hAnsi="Georgia" w:cs="Georgia"/>
                <w:sz w:val="20"/>
                <w:szCs w:val="20"/>
              </w:rPr>
            </w:pPr>
            <w:r w:rsidRPr="002142B8">
              <w:rPr>
                <w:rFonts w:ascii="Georgia" w:hAnsi="Georgia" w:cs="Georgia"/>
                <w:sz w:val="20"/>
                <w:szCs w:val="20"/>
              </w:rPr>
              <w:t xml:space="preserve">Parama </w:t>
            </w:r>
            <w:r w:rsidR="0089342F" w:rsidRPr="002142B8">
              <w:rPr>
                <w:rFonts w:ascii="Georgia" w:hAnsi="Georgia" w:cs="Georgia"/>
                <w:sz w:val="20"/>
                <w:szCs w:val="20"/>
              </w:rPr>
              <w:t xml:space="preserve">mažoms ir vidutinėms įmonėms </w:t>
            </w:r>
            <w:r w:rsidRPr="002142B8">
              <w:rPr>
                <w:rFonts w:ascii="Georgia" w:hAnsi="Georgia" w:cs="Georgia"/>
                <w:sz w:val="20"/>
                <w:szCs w:val="20"/>
              </w:rPr>
              <w:t>(ERPF lėšomis)</w:t>
            </w:r>
          </w:p>
        </w:tc>
        <w:tc>
          <w:tcPr>
            <w:tcW w:w="0" w:type="pct"/>
            <w:tcBorders>
              <w:left w:val="nil"/>
              <w:right w:val="nil"/>
            </w:tcBorders>
            <w:hideMark/>
          </w:tcPr>
          <w:p w14:paraId="3220F0C1"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Paskolos</w:t>
            </w:r>
          </w:p>
          <w:p w14:paraId="34C0E1E9"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Garantijos</w:t>
            </w:r>
          </w:p>
          <w:p w14:paraId="66A775E8"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Bendros investicijos</w:t>
            </w:r>
          </w:p>
          <w:p w14:paraId="416327B3"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Kapitalas</w:t>
            </w:r>
          </w:p>
          <w:p w14:paraId="13F6DB17"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Mezaninas</w:t>
            </w:r>
          </w:p>
          <w:p w14:paraId="003FCBC3" w14:textId="77777777" w:rsidR="00336C16" w:rsidRPr="002142B8" w:rsidRDefault="00336C16" w:rsidP="00162BF5">
            <w:pPr>
              <w:pStyle w:val="Sraopastraipa"/>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Rizikos kapitalas</w:t>
            </w:r>
          </w:p>
        </w:tc>
        <w:tc>
          <w:tcPr>
            <w:tcW w:w="0" w:type="pct"/>
            <w:tcBorders>
              <w:left w:val="nil"/>
            </w:tcBorders>
            <w:hideMark/>
          </w:tcPr>
          <w:p w14:paraId="2A78B97B" w14:textId="77777777" w:rsidR="00336C16" w:rsidRPr="002142B8" w:rsidRDefault="00336C16"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831</w:t>
            </w:r>
          </w:p>
        </w:tc>
      </w:tr>
      <w:tr w:rsidR="00336C16" w:rsidRPr="002142B8" w14:paraId="2F9625A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nil"/>
              <w:right w:val="nil"/>
            </w:tcBorders>
            <w:hideMark/>
          </w:tcPr>
          <w:p w14:paraId="15791832" w14:textId="77777777" w:rsidR="00336C16" w:rsidRPr="002142B8" w:rsidRDefault="00336C16">
            <w:pPr>
              <w:autoSpaceDE w:val="0"/>
              <w:autoSpaceDN w:val="0"/>
              <w:adjustRightInd w:val="0"/>
              <w:jc w:val="both"/>
              <w:rPr>
                <w:rFonts w:ascii="Georgia" w:hAnsi="Georgia" w:cs="Georgia"/>
                <w:sz w:val="20"/>
                <w:szCs w:val="20"/>
              </w:rPr>
            </w:pPr>
            <w:r w:rsidRPr="002142B8">
              <w:rPr>
                <w:rFonts w:ascii="Georgia" w:hAnsi="Georgia" w:cs="Georgia"/>
                <w:sz w:val="20"/>
                <w:szCs w:val="20"/>
              </w:rPr>
              <w:t>Miestų plėtra</w:t>
            </w:r>
          </w:p>
        </w:tc>
        <w:tc>
          <w:tcPr>
            <w:tcW w:w="0" w:type="pct"/>
            <w:tcBorders>
              <w:top w:val="nil"/>
              <w:left w:val="nil"/>
              <w:bottom w:val="nil"/>
              <w:right w:val="nil"/>
            </w:tcBorders>
            <w:hideMark/>
          </w:tcPr>
          <w:p w14:paraId="61A1F9D3" w14:textId="77777777" w:rsidR="00336C16" w:rsidRPr="002142B8"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Garantijos</w:t>
            </w:r>
          </w:p>
          <w:p w14:paraId="1DF9EE51" w14:textId="77777777" w:rsidR="00336C16" w:rsidRPr="002142B8"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Investicinės paskolos</w:t>
            </w:r>
          </w:p>
          <w:p w14:paraId="18386B07" w14:textId="77777777" w:rsidR="00336C16" w:rsidRPr="002142B8"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Mezaninas</w:t>
            </w:r>
          </w:p>
          <w:p w14:paraId="476E979A" w14:textId="77777777" w:rsidR="00336C16" w:rsidRPr="002142B8" w:rsidRDefault="00336C16" w:rsidP="00162BF5">
            <w:pPr>
              <w:pStyle w:val="Sraopastraipa"/>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Kapitalas</w:t>
            </w:r>
          </w:p>
        </w:tc>
        <w:tc>
          <w:tcPr>
            <w:tcW w:w="0" w:type="pct"/>
            <w:tcBorders>
              <w:top w:val="nil"/>
              <w:left w:val="nil"/>
              <w:bottom w:val="nil"/>
              <w:right w:val="single" w:sz="8" w:space="0" w:color="C0504D" w:themeColor="accent2"/>
            </w:tcBorders>
            <w:hideMark/>
          </w:tcPr>
          <w:p w14:paraId="78BAC14A" w14:textId="77777777" w:rsidR="00336C16" w:rsidRPr="002142B8" w:rsidRDefault="00336C16"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56</w:t>
            </w:r>
          </w:p>
        </w:tc>
      </w:tr>
      <w:tr w:rsidR="00336C16" w:rsidRPr="002142B8" w14:paraId="3965A66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E2E3AC6" w14:textId="77777777" w:rsidR="00336C16" w:rsidRPr="002142B8" w:rsidRDefault="00336C16">
            <w:pPr>
              <w:autoSpaceDE w:val="0"/>
              <w:autoSpaceDN w:val="0"/>
              <w:adjustRightInd w:val="0"/>
              <w:jc w:val="both"/>
              <w:rPr>
                <w:rFonts w:ascii="Georgia" w:hAnsi="Georgia" w:cs="Georgia"/>
                <w:sz w:val="20"/>
                <w:szCs w:val="20"/>
              </w:rPr>
            </w:pPr>
            <w:r w:rsidRPr="002142B8">
              <w:rPr>
                <w:rFonts w:ascii="Georgia" w:hAnsi="Georgia" w:cs="Georgia"/>
                <w:sz w:val="20"/>
                <w:szCs w:val="20"/>
              </w:rPr>
              <w:t>Energijos efektyvumas ir atsinaujinantys energijos ištekliai</w:t>
            </w:r>
          </w:p>
        </w:tc>
        <w:tc>
          <w:tcPr>
            <w:tcW w:w="0" w:type="pct"/>
            <w:tcBorders>
              <w:left w:val="nil"/>
              <w:right w:val="nil"/>
            </w:tcBorders>
            <w:hideMark/>
          </w:tcPr>
          <w:p w14:paraId="3E919AFE" w14:textId="77777777" w:rsidR="00336C16" w:rsidRPr="002142B8"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Investicinės paskolos</w:t>
            </w:r>
          </w:p>
          <w:p w14:paraId="72F3CCAD" w14:textId="77777777" w:rsidR="00336C16" w:rsidRPr="002142B8"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Mezaninas</w:t>
            </w:r>
          </w:p>
          <w:p w14:paraId="0DFFF0DA" w14:textId="77777777" w:rsidR="00336C16" w:rsidRPr="002142B8" w:rsidRDefault="00336C16" w:rsidP="00162BF5">
            <w:pPr>
              <w:pStyle w:val="Sraopastraipa"/>
              <w:numPr>
                <w:ilvl w:val="0"/>
                <w:numId w:val="2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Kapitalas</w:t>
            </w:r>
          </w:p>
        </w:tc>
        <w:tc>
          <w:tcPr>
            <w:tcW w:w="0" w:type="pct"/>
            <w:tcBorders>
              <w:left w:val="nil"/>
            </w:tcBorders>
            <w:hideMark/>
          </w:tcPr>
          <w:p w14:paraId="2EC7932B" w14:textId="77777777" w:rsidR="00336C16" w:rsidRPr="002142B8" w:rsidRDefault="00336C16"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20</w:t>
            </w:r>
          </w:p>
        </w:tc>
      </w:tr>
      <w:tr w:rsidR="00336C16" w:rsidRPr="002142B8" w14:paraId="55C108A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single" w:sz="8" w:space="0" w:color="C0504D" w:themeColor="accent2"/>
              <w:right w:val="nil"/>
            </w:tcBorders>
            <w:hideMark/>
          </w:tcPr>
          <w:p w14:paraId="0BAD5F5D" w14:textId="77777777" w:rsidR="00336C16" w:rsidRPr="002142B8" w:rsidRDefault="00336C16" w:rsidP="0089342F">
            <w:pPr>
              <w:autoSpaceDE w:val="0"/>
              <w:autoSpaceDN w:val="0"/>
              <w:adjustRightInd w:val="0"/>
              <w:jc w:val="both"/>
              <w:rPr>
                <w:rFonts w:ascii="Georgia" w:hAnsi="Georgia" w:cs="Georgia"/>
                <w:sz w:val="20"/>
                <w:szCs w:val="20"/>
              </w:rPr>
            </w:pPr>
            <w:r w:rsidRPr="002142B8">
              <w:rPr>
                <w:rFonts w:ascii="Georgia" w:hAnsi="Georgia" w:cs="Georgia"/>
                <w:sz w:val="20"/>
                <w:szCs w:val="20"/>
              </w:rPr>
              <w:t xml:space="preserve">Parama </w:t>
            </w:r>
            <w:r w:rsidR="0089342F" w:rsidRPr="002142B8">
              <w:rPr>
                <w:rFonts w:ascii="Georgia" w:hAnsi="Georgia" w:cs="Georgia"/>
                <w:sz w:val="20"/>
                <w:szCs w:val="20"/>
              </w:rPr>
              <w:t xml:space="preserve">mažoms ir vidutinėms įmonėms </w:t>
            </w:r>
            <w:r w:rsidRPr="002142B8">
              <w:rPr>
                <w:rFonts w:ascii="Georgia" w:hAnsi="Georgia" w:cs="Georgia"/>
                <w:sz w:val="20"/>
                <w:szCs w:val="20"/>
              </w:rPr>
              <w:t>(ESF lėšomis)</w:t>
            </w:r>
          </w:p>
        </w:tc>
        <w:tc>
          <w:tcPr>
            <w:tcW w:w="0" w:type="pct"/>
            <w:tcBorders>
              <w:top w:val="nil"/>
              <w:left w:val="nil"/>
              <w:bottom w:val="single" w:sz="8" w:space="0" w:color="C0504D" w:themeColor="accent2"/>
              <w:right w:val="nil"/>
            </w:tcBorders>
            <w:hideMark/>
          </w:tcPr>
          <w:p w14:paraId="15303121" w14:textId="77777777" w:rsidR="00336C16" w:rsidRPr="002142B8" w:rsidRDefault="00336C16" w:rsidP="00162BF5">
            <w:pPr>
              <w:pStyle w:val="Sraopastraip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Daugiausia paskolos</w:t>
            </w:r>
          </w:p>
        </w:tc>
        <w:tc>
          <w:tcPr>
            <w:tcW w:w="0" w:type="pct"/>
            <w:tcBorders>
              <w:top w:val="nil"/>
              <w:left w:val="nil"/>
              <w:bottom w:val="single" w:sz="8" w:space="0" w:color="C0504D" w:themeColor="accent2"/>
              <w:right w:val="single" w:sz="8" w:space="0" w:color="C0504D" w:themeColor="accent2"/>
            </w:tcBorders>
            <w:hideMark/>
          </w:tcPr>
          <w:p w14:paraId="74D97742" w14:textId="77777777" w:rsidR="00336C16" w:rsidRPr="002142B8" w:rsidRDefault="00336C16"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33</w:t>
            </w:r>
          </w:p>
        </w:tc>
      </w:tr>
    </w:tbl>
    <w:p w14:paraId="6974C075" w14:textId="77777777" w:rsidR="00336C16" w:rsidRPr="002142B8" w:rsidRDefault="0089342F" w:rsidP="00336C16">
      <w:pPr>
        <w:autoSpaceDE w:val="0"/>
        <w:autoSpaceDN w:val="0"/>
        <w:adjustRightInd w:val="0"/>
        <w:spacing w:after="0" w:line="240" w:lineRule="auto"/>
        <w:jc w:val="both"/>
        <w:rPr>
          <w:rFonts w:ascii="Georgia" w:hAnsi="Georgia" w:cs="Georgia"/>
          <w:sz w:val="18"/>
          <w:szCs w:val="20"/>
          <w:lang w:val="lt-LT"/>
        </w:rPr>
      </w:pPr>
      <w:r w:rsidRPr="002142B8">
        <w:rPr>
          <w:rFonts w:ascii="Georgia" w:hAnsi="Georgia" w:cs="Georgia"/>
          <w:i/>
          <w:sz w:val="20"/>
          <w:szCs w:val="20"/>
          <w:lang w:val="lt-LT"/>
        </w:rPr>
        <w:t>Šaltinis: Summary Report on the progress made in financing and implementing financial engineering instruments co-financed by Structural Funds, programming period 2007 – 2013, situation as at 31 December 2012, DG Regio, DG Empl, September 2013</w:t>
      </w:r>
    </w:p>
    <w:p w14:paraId="3F083CA5" w14:textId="77777777" w:rsidR="0089342F" w:rsidRPr="002142B8" w:rsidRDefault="0089342F" w:rsidP="00336C16">
      <w:pPr>
        <w:autoSpaceDE w:val="0"/>
        <w:autoSpaceDN w:val="0"/>
        <w:adjustRightInd w:val="0"/>
        <w:spacing w:after="0" w:line="240" w:lineRule="auto"/>
        <w:jc w:val="both"/>
        <w:rPr>
          <w:rFonts w:ascii="Georgia" w:hAnsi="Georgia" w:cs="Georgia"/>
          <w:sz w:val="20"/>
          <w:szCs w:val="20"/>
          <w:lang w:val="lt-LT"/>
        </w:rPr>
      </w:pPr>
    </w:p>
    <w:p w14:paraId="3A0B4E3F" w14:textId="210D2004"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Finansinės priemonės Lietuvoje 2007-2013 m. periodu buvo naudojamos remti </w:t>
      </w:r>
      <w:r w:rsidR="0089342F" w:rsidRPr="002142B8">
        <w:rPr>
          <w:rFonts w:ascii="Georgia" w:hAnsi="Georgia" w:cs="Georgia"/>
          <w:sz w:val="20"/>
          <w:szCs w:val="20"/>
          <w:lang w:val="lt-LT"/>
        </w:rPr>
        <w:t xml:space="preserve">mažas ir vidutines įmones </w:t>
      </w:r>
      <w:r w:rsidRPr="002142B8">
        <w:rPr>
          <w:rFonts w:ascii="Georgia" w:hAnsi="Georgia" w:cs="Georgia"/>
          <w:sz w:val="20"/>
          <w:szCs w:val="20"/>
          <w:lang w:val="lt-LT"/>
        </w:rPr>
        <w:t xml:space="preserve">(JEREMIE iniciatyva) bei </w:t>
      </w:r>
      <w:r w:rsidR="0089342F" w:rsidRPr="002142B8">
        <w:rPr>
          <w:rFonts w:ascii="Georgia" w:hAnsi="Georgia" w:cs="Georgia"/>
          <w:sz w:val="20"/>
          <w:szCs w:val="20"/>
          <w:lang w:val="lt-LT"/>
        </w:rPr>
        <w:t xml:space="preserve">modernizuoti </w:t>
      </w:r>
      <w:r w:rsidRPr="002142B8">
        <w:rPr>
          <w:rFonts w:ascii="Georgia" w:hAnsi="Georgia" w:cs="Georgia"/>
          <w:sz w:val="20"/>
          <w:szCs w:val="20"/>
          <w:lang w:val="lt-LT"/>
        </w:rPr>
        <w:t xml:space="preserve">daugiabučius namus ir aukštojo mokslo bei profesinio mokymo įstaigų bendrabučius (JESSICA </w:t>
      </w:r>
      <w:r w:rsidR="00936224" w:rsidRPr="002142B8">
        <w:rPr>
          <w:rFonts w:ascii="Georgia" w:hAnsi="Georgia" w:cs="Georgia"/>
          <w:sz w:val="20"/>
          <w:szCs w:val="20"/>
          <w:lang w:val="lt-LT"/>
        </w:rPr>
        <w:t>KF</w:t>
      </w:r>
      <w:r w:rsidRPr="002142B8">
        <w:rPr>
          <w:rFonts w:ascii="Georgia" w:hAnsi="Georgia" w:cs="Georgia"/>
          <w:sz w:val="20"/>
          <w:szCs w:val="20"/>
          <w:lang w:val="lt-LT"/>
        </w:rPr>
        <w:t>). Kadangi finansinės priemonės verslo subjektams nėra šio e</w:t>
      </w:r>
      <w:r w:rsidR="00300FF4" w:rsidRPr="002142B8">
        <w:rPr>
          <w:rFonts w:ascii="Georgia" w:hAnsi="Georgia" w:cs="Georgia"/>
          <w:sz w:val="20"/>
          <w:szCs w:val="20"/>
          <w:lang w:val="lt-LT"/>
        </w:rPr>
        <w:t>x-ante</w:t>
      </w:r>
      <w:r w:rsidRPr="002142B8">
        <w:rPr>
          <w:rFonts w:ascii="Georgia" w:hAnsi="Georgia" w:cs="Georgia"/>
          <w:sz w:val="20"/>
          <w:szCs w:val="20"/>
          <w:lang w:val="lt-LT"/>
        </w:rPr>
        <w:t xml:space="preserve"> </w:t>
      </w:r>
      <w:r w:rsidR="0089342F" w:rsidRPr="002142B8">
        <w:rPr>
          <w:rFonts w:ascii="Georgia" w:hAnsi="Georgia" w:cs="Georgia"/>
          <w:sz w:val="20"/>
          <w:szCs w:val="20"/>
          <w:lang w:val="lt-LT"/>
        </w:rPr>
        <w:t xml:space="preserve">vertinimo </w:t>
      </w:r>
      <w:r w:rsidRPr="002142B8">
        <w:rPr>
          <w:rFonts w:ascii="Georgia" w:hAnsi="Georgia" w:cs="Georgia"/>
          <w:sz w:val="20"/>
          <w:szCs w:val="20"/>
          <w:lang w:val="lt-LT"/>
        </w:rPr>
        <w:t xml:space="preserve">objektas, toliau nagrinėjamas tik JESSICA </w:t>
      </w:r>
      <w:r w:rsidR="0089342F" w:rsidRPr="002142B8">
        <w:rPr>
          <w:rFonts w:ascii="Georgia" w:hAnsi="Georgia" w:cs="Georgia"/>
          <w:sz w:val="20"/>
          <w:szCs w:val="20"/>
          <w:lang w:val="lt-LT"/>
        </w:rPr>
        <w:t>KF</w:t>
      </w:r>
      <w:r w:rsidRPr="002142B8">
        <w:rPr>
          <w:rFonts w:ascii="Georgia" w:hAnsi="Georgia" w:cs="Georgia"/>
          <w:sz w:val="20"/>
          <w:szCs w:val="20"/>
          <w:lang w:val="lt-LT"/>
        </w:rPr>
        <w:t xml:space="preserve">. </w:t>
      </w:r>
    </w:p>
    <w:p w14:paraId="5EC5AB97"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60549E7D"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2009 m. birželio 11 d. Finansų ministerija, Aplinkos ministerija ir </w:t>
      </w:r>
      <w:r w:rsidR="0089342F" w:rsidRPr="002142B8">
        <w:rPr>
          <w:rFonts w:ascii="Georgia" w:hAnsi="Georgia" w:cs="Georgia"/>
          <w:sz w:val="20"/>
          <w:szCs w:val="20"/>
          <w:lang w:val="lt-LT"/>
        </w:rPr>
        <w:t>EIB</w:t>
      </w:r>
      <w:r w:rsidRPr="002142B8">
        <w:rPr>
          <w:rFonts w:ascii="Georgia" w:hAnsi="Georgia" w:cs="Georgia"/>
          <w:sz w:val="20"/>
          <w:szCs w:val="20"/>
          <w:lang w:val="lt-LT"/>
        </w:rPr>
        <w:t xml:space="preserve"> pasirašė finansavimo sutartį, kuria buvo įsteigtas JESSICA </w:t>
      </w:r>
      <w:r w:rsidR="0089342F" w:rsidRPr="002142B8">
        <w:rPr>
          <w:rFonts w:ascii="Georgia" w:hAnsi="Georgia" w:cs="Georgia"/>
          <w:sz w:val="20"/>
          <w:szCs w:val="20"/>
          <w:lang w:val="lt-LT"/>
        </w:rPr>
        <w:t>KF</w:t>
      </w:r>
      <w:r w:rsidRPr="002142B8">
        <w:rPr>
          <w:rFonts w:ascii="Georgia" w:hAnsi="Georgia" w:cs="Georgia"/>
          <w:sz w:val="20"/>
          <w:szCs w:val="20"/>
          <w:lang w:val="lt-LT"/>
        </w:rPr>
        <w:t>. JESSICA KF Investavimo strategijoje numatytas finansinis produktas – lengvatinės paskolos daugiabučių namų modernizavimui. JESSICA KF dydis – 227 mln. eurų, iš kurių 127 mln.</w:t>
      </w:r>
      <w:r w:rsidR="0089342F" w:rsidRPr="002142B8">
        <w:rPr>
          <w:rFonts w:ascii="Georgia" w:hAnsi="Georgia" w:cs="Georgia"/>
          <w:sz w:val="20"/>
          <w:szCs w:val="20"/>
          <w:lang w:val="lt-LT"/>
        </w:rPr>
        <w:t xml:space="preserve"> eurų</w:t>
      </w:r>
      <w:r w:rsidRPr="002142B8">
        <w:rPr>
          <w:rFonts w:ascii="Georgia" w:hAnsi="Georgia" w:cs="Georgia"/>
          <w:sz w:val="20"/>
          <w:szCs w:val="20"/>
          <w:lang w:val="lt-LT"/>
        </w:rPr>
        <w:t xml:space="preserve"> ERPF lėšos ir 100 mln.</w:t>
      </w:r>
      <w:r w:rsidR="0089342F" w:rsidRPr="002142B8">
        <w:rPr>
          <w:rFonts w:ascii="Georgia" w:hAnsi="Georgia" w:cs="Georgia"/>
          <w:sz w:val="20"/>
          <w:szCs w:val="20"/>
          <w:lang w:val="lt-LT"/>
        </w:rPr>
        <w:t xml:space="preserve"> eurų</w:t>
      </w:r>
      <w:r w:rsidRPr="002142B8">
        <w:rPr>
          <w:rFonts w:ascii="Georgia" w:hAnsi="Georgia" w:cs="Georgia"/>
          <w:sz w:val="20"/>
          <w:szCs w:val="20"/>
          <w:lang w:val="lt-LT"/>
        </w:rPr>
        <w:t xml:space="preserve"> nacionalinės biudžeto lėšos. Į fondą pirmiausia buvo pervesta 149 mln. eurų – 127 mln.</w:t>
      </w:r>
      <w:r w:rsidR="0089342F" w:rsidRPr="002142B8">
        <w:rPr>
          <w:rFonts w:ascii="Georgia" w:hAnsi="Georgia" w:cs="Georgia"/>
          <w:sz w:val="20"/>
          <w:szCs w:val="20"/>
          <w:lang w:val="lt-LT"/>
        </w:rPr>
        <w:t xml:space="preserve"> eurų</w:t>
      </w:r>
      <w:r w:rsidRPr="002142B8">
        <w:rPr>
          <w:rFonts w:ascii="Georgia" w:hAnsi="Georgia" w:cs="Georgia"/>
          <w:sz w:val="20"/>
          <w:szCs w:val="20"/>
          <w:lang w:val="lt-LT"/>
        </w:rPr>
        <w:t xml:space="preserve"> ERPF ir 20 mln.</w:t>
      </w:r>
      <w:r w:rsidR="0089342F" w:rsidRPr="002142B8">
        <w:rPr>
          <w:rFonts w:ascii="Georgia" w:hAnsi="Georgia" w:cs="Georgia"/>
          <w:sz w:val="20"/>
          <w:szCs w:val="20"/>
          <w:lang w:val="lt-LT"/>
        </w:rPr>
        <w:t xml:space="preserve"> eurų</w:t>
      </w:r>
      <w:r w:rsidRPr="002142B8">
        <w:rPr>
          <w:rFonts w:ascii="Georgia" w:hAnsi="Georgia" w:cs="Georgia"/>
          <w:sz w:val="20"/>
          <w:szCs w:val="20"/>
          <w:lang w:val="lt-LT"/>
        </w:rPr>
        <w:t xml:space="preserve"> nacionalinių biudžeto lėšų. </w:t>
      </w:r>
    </w:p>
    <w:p w14:paraId="29510B10"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25221CA3"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2009 metų pabaigoje buvo identifikuotas poreikis prie JESSICA KF veiklų įtraukti ir bendrabučių renovacijos projektus. 2010 m. vasario mėn. EIB šiam tikslui parengė studiją, kurioje buvo numatyta, kad tinkamiausias finansinis produktas bendrabučių renovacijai yra labai panašus </w:t>
      </w:r>
      <w:r w:rsidR="0089342F" w:rsidRPr="002142B8">
        <w:rPr>
          <w:rFonts w:ascii="Georgia" w:hAnsi="Georgia" w:cs="Georgia"/>
          <w:sz w:val="20"/>
          <w:szCs w:val="20"/>
          <w:lang w:val="lt-LT"/>
        </w:rPr>
        <w:t>į</w:t>
      </w:r>
      <w:r w:rsidRPr="002142B8">
        <w:rPr>
          <w:rFonts w:ascii="Georgia" w:hAnsi="Georgia" w:cs="Georgia"/>
          <w:sz w:val="20"/>
          <w:szCs w:val="20"/>
          <w:lang w:val="lt-LT"/>
        </w:rPr>
        <w:t xml:space="preserve"> daugiabučių</w:t>
      </w:r>
      <w:r w:rsidR="0089342F" w:rsidRPr="002142B8">
        <w:rPr>
          <w:rFonts w:ascii="Georgia" w:hAnsi="Georgia" w:cs="Georgia"/>
          <w:sz w:val="20"/>
          <w:szCs w:val="20"/>
          <w:lang w:val="lt-LT"/>
        </w:rPr>
        <w:t xml:space="preserve"> modernizavimo finansinį produktą</w:t>
      </w:r>
      <w:r w:rsidRPr="002142B8">
        <w:rPr>
          <w:rStyle w:val="Puslapioinaosnuoroda"/>
          <w:rFonts w:ascii="Georgia" w:hAnsi="Georgia" w:cs="Georgia"/>
          <w:sz w:val="20"/>
          <w:szCs w:val="20"/>
          <w:lang w:val="lt-LT"/>
        </w:rPr>
        <w:footnoteReference w:id="5"/>
      </w:r>
      <w:r w:rsidRPr="002142B8">
        <w:rPr>
          <w:rFonts w:ascii="Georgia" w:hAnsi="Georgia" w:cs="Georgia"/>
          <w:sz w:val="20"/>
          <w:szCs w:val="20"/>
          <w:lang w:val="lt-LT"/>
        </w:rPr>
        <w:t xml:space="preserve">. </w:t>
      </w:r>
    </w:p>
    <w:p w14:paraId="28B1590E" w14:textId="77777777" w:rsidR="00A73D8E" w:rsidRPr="002142B8" w:rsidRDefault="00A73D8E" w:rsidP="00336C16">
      <w:pPr>
        <w:autoSpaceDE w:val="0"/>
        <w:autoSpaceDN w:val="0"/>
        <w:adjustRightInd w:val="0"/>
        <w:spacing w:after="0" w:line="240" w:lineRule="auto"/>
        <w:rPr>
          <w:rFonts w:ascii="Georgia" w:hAnsi="Georgia" w:cs="Georgia"/>
          <w:sz w:val="20"/>
          <w:szCs w:val="20"/>
          <w:lang w:val="lt-LT"/>
        </w:rPr>
      </w:pPr>
    </w:p>
    <w:p w14:paraId="36B23EA2" w14:textId="77777777" w:rsidR="00336C16" w:rsidRPr="002142B8" w:rsidRDefault="00336C16" w:rsidP="00936224">
      <w:pPr>
        <w:autoSpaceDE w:val="0"/>
        <w:autoSpaceDN w:val="0"/>
        <w:adjustRightInd w:val="0"/>
        <w:spacing w:after="0"/>
        <w:jc w:val="both"/>
        <w:rPr>
          <w:rFonts w:ascii="Georgia,Bold" w:hAnsi="Georgia,Bold" w:cs="Georgia,Bold"/>
          <w:b/>
          <w:bCs/>
          <w:color w:val="FFFFFF"/>
          <w:sz w:val="18"/>
          <w:szCs w:val="18"/>
          <w:lang w:val="lt-LT"/>
        </w:rPr>
      </w:pPr>
      <w:r w:rsidRPr="002142B8">
        <w:rPr>
          <w:rFonts w:ascii="Georgia" w:hAnsi="Georgia" w:cs="Georgia"/>
          <w:sz w:val="20"/>
          <w:szCs w:val="20"/>
          <w:lang w:val="lt-LT"/>
        </w:rPr>
        <w:t xml:space="preserve">JESSICA KF patirtis, kilusios problemos, jų sprendimo būdai bei išmoktos pamokos nagrinėjamos </w:t>
      </w:r>
      <w:r w:rsidR="00CC2E6F" w:rsidRPr="002142B8">
        <w:rPr>
          <w:rFonts w:ascii="Georgia" w:hAnsi="Georgia" w:cs="Georgia"/>
          <w:sz w:val="20"/>
          <w:szCs w:val="20"/>
          <w:lang w:val="lt-LT"/>
        </w:rPr>
        <w:t xml:space="preserve">6-ame </w:t>
      </w:r>
      <w:r w:rsidRPr="002142B8">
        <w:rPr>
          <w:rFonts w:ascii="Georgia" w:hAnsi="Georgia" w:cs="Georgia"/>
          <w:sz w:val="20"/>
          <w:szCs w:val="20"/>
          <w:lang w:val="lt-LT"/>
        </w:rPr>
        <w:t>skyriu</w:t>
      </w:r>
      <w:r w:rsidR="00CC2E6F" w:rsidRPr="002142B8">
        <w:rPr>
          <w:rFonts w:ascii="Georgia" w:hAnsi="Georgia" w:cs="Georgia"/>
          <w:sz w:val="20"/>
          <w:szCs w:val="20"/>
          <w:lang w:val="lt-LT"/>
        </w:rPr>
        <w:t>j</w:t>
      </w:r>
      <w:r w:rsidRPr="002142B8">
        <w:rPr>
          <w:rFonts w:ascii="Georgia" w:hAnsi="Georgia" w:cs="Georgia"/>
          <w:sz w:val="20"/>
          <w:szCs w:val="20"/>
          <w:lang w:val="lt-LT"/>
        </w:rPr>
        <w:t xml:space="preserve">e. </w:t>
      </w:r>
    </w:p>
    <w:p w14:paraId="6F19B0CE" w14:textId="77777777" w:rsidR="00336C16" w:rsidRPr="002142B8" w:rsidRDefault="00336C16" w:rsidP="00336C16">
      <w:pPr>
        <w:rPr>
          <w:rFonts w:ascii="Georgia" w:hAnsi="Georgia" w:cs="Georgia"/>
          <w:sz w:val="20"/>
          <w:szCs w:val="20"/>
          <w:lang w:val="lt-LT"/>
        </w:rPr>
      </w:pPr>
      <w:r w:rsidRPr="002142B8">
        <w:rPr>
          <w:rFonts w:ascii="Georgia,Bold" w:hAnsi="Georgia,Bold" w:cs="Georgia,Bold"/>
          <w:b/>
          <w:bCs/>
          <w:color w:val="FFFFFF"/>
          <w:sz w:val="18"/>
          <w:szCs w:val="18"/>
          <w:lang w:val="lt-LT"/>
        </w:rPr>
        <w:lastRenderedPageBreak/>
        <w:t>(</w:t>
      </w:r>
    </w:p>
    <w:p w14:paraId="47A0B483" w14:textId="77777777" w:rsidR="00336C16" w:rsidRPr="002142B8" w:rsidRDefault="00336C16" w:rsidP="00162BF5">
      <w:pPr>
        <w:pStyle w:val="Antrat2"/>
        <w:numPr>
          <w:ilvl w:val="1"/>
          <w:numId w:val="21"/>
        </w:numPr>
        <w:rPr>
          <w:lang w:val="lt-LT"/>
        </w:rPr>
      </w:pPr>
      <w:bookmarkStart w:id="16" w:name="_Toc393381199"/>
      <w:bookmarkStart w:id="17" w:name="_Toc25589881"/>
      <w:r w:rsidRPr="002142B8">
        <w:rPr>
          <w:lang w:val="lt-LT"/>
        </w:rPr>
        <w:t xml:space="preserve">Finansinių priemonių įgyvendinimo alternatyvos atsižvelgiant į </w:t>
      </w:r>
      <w:r w:rsidR="00B378B1" w:rsidRPr="002142B8">
        <w:rPr>
          <w:lang w:val="lt-LT"/>
        </w:rPr>
        <w:t xml:space="preserve">ES reglamentų </w:t>
      </w:r>
      <w:r w:rsidRPr="002142B8">
        <w:rPr>
          <w:lang w:val="lt-LT"/>
        </w:rPr>
        <w:t>nuostatas</w:t>
      </w:r>
      <w:bookmarkEnd w:id="16"/>
      <w:bookmarkEnd w:id="17"/>
    </w:p>
    <w:p w14:paraId="7B39F228" w14:textId="77777777" w:rsidR="00336C16" w:rsidRPr="002142B8" w:rsidRDefault="00336C16" w:rsidP="00336C16">
      <w:pPr>
        <w:autoSpaceDE w:val="0"/>
        <w:autoSpaceDN w:val="0"/>
        <w:adjustRightInd w:val="0"/>
        <w:spacing w:after="0" w:line="240" w:lineRule="auto"/>
        <w:rPr>
          <w:rFonts w:ascii="Georgia" w:hAnsi="Georgia" w:cs="Georgia"/>
          <w:sz w:val="20"/>
          <w:szCs w:val="20"/>
          <w:lang w:val="lt-LT"/>
        </w:rPr>
      </w:pPr>
    </w:p>
    <w:p w14:paraId="790BF04C"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2007-2013 m. period</w:t>
      </w:r>
      <w:r w:rsidR="00CC2E6F" w:rsidRPr="002142B8">
        <w:rPr>
          <w:rFonts w:ascii="Georgia" w:hAnsi="Georgia" w:cs="Georgia"/>
          <w:sz w:val="20"/>
          <w:szCs w:val="20"/>
          <w:lang w:val="lt-LT"/>
        </w:rPr>
        <w:t>u</w:t>
      </w:r>
      <w:r w:rsidRPr="002142B8">
        <w:rPr>
          <w:rFonts w:ascii="Georgia" w:hAnsi="Georgia" w:cs="Georgia"/>
          <w:sz w:val="20"/>
          <w:szCs w:val="20"/>
          <w:lang w:val="lt-LT"/>
        </w:rPr>
        <w:t xml:space="preserve"> buvo įgyvendinta nemažai finansinių priemonių, todėl Europos Komisija iš daugybės finansinių priemonių pavyzdžių identifikavo tobulintinus finansinių priemonių įgyvendinimo aspektus</w:t>
      </w:r>
      <w:r w:rsidRPr="002142B8">
        <w:rPr>
          <w:rStyle w:val="Puslapioinaosnuoroda"/>
          <w:rFonts w:ascii="Georgia" w:hAnsi="Georgia" w:cs="Georgia"/>
          <w:sz w:val="20"/>
          <w:szCs w:val="20"/>
          <w:lang w:val="lt-LT"/>
        </w:rPr>
        <w:footnoteReference w:id="6"/>
      </w:r>
      <w:r w:rsidRPr="002142B8">
        <w:rPr>
          <w:rFonts w:ascii="Georgia" w:hAnsi="Georgia" w:cs="Georgia"/>
          <w:sz w:val="20"/>
          <w:szCs w:val="20"/>
          <w:lang w:val="lt-LT"/>
        </w:rPr>
        <w:t>:</w:t>
      </w:r>
    </w:p>
    <w:p w14:paraId="5A0E98E8" w14:textId="77777777" w:rsidR="00336C16" w:rsidRPr="002142B8"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Finansinių priemonių įgyvendinimo visuose lygmenyse kompetencijų tobulinimas;</w:t>
      </w:r>
    </w:p>
    <w:p w14:paraId="7D0CDB83" w14:textId="77777777" w:rsidR="00336C16" w:rsidRPr="002142B8"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Stipresnė ES finansinio įnašo finansinei priemonei priežiūra ir kontrolė;</w:t>
      </w:r>
    </w:p>
    <w:p w14:paraId="714E2B9F" w14:textId="77777777" w:rsidR="00336C16" w:rsidRPr="002142B8"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Finansinės priemonės kritinės masės siekimas, ypač tikslinės rinkos dydžio, efektyvaus potencialaus projektų kiekio ir apimties, teisingo geografinio padengimo aspektais;</w:t>
      </w:r>
    </w:p>
    <w:p w14:paraId="5EEC567D" w14:textId="77777777" w:rsidR="00336C16" w:rsidRPr="002142B8" w:rsidRDefault="00336C16" w:rsidP="00162BF5">
      <w:pPr>
        <w:pStyle w:val="Sraopastraipa"/>
        <w:numPr>
          <w:ilvl w:val="0"/>
          <w:numId w:val="28"/>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Efektyvaus lėšų išmokėjimo užtikrinimas. </w:t>
      </w:r>
    </w:p>
    <w:p w14:paraId="2BBEF09F"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5721DD3A" w14:textId="15ABF46C"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Atsižvelgiant į visus šiuos aspektus, 2014-2020 m. periodo teisinė bazė buvo pritaikyta toliau plėsti ir stiprinti finansinių priemonių įgyvendinimą kaip tvarų ir efektyvų būdą papildyti tradicines subsidijų teikimo schemas. Taip pat Europos Komisija </w:t>
      </w:r>
      <w:r w:rsidR="00D65772">
        <w:rPr>
          <w:rFonts w:ascii="Georgia" w:hAnsi="Georgia" w:cs="Georgia"/>
          <w:sz w:val="20"/>
          <w:szCs w:val="20"/>
          <w:lang w:val="lt-LT"/>
        </w:rPr>
        <w:t>parengė</w:t>
      </w:r>
      <w:r w:rsidR="00D65772" w:rsidRPr="002142B8">
        <w:rPr>
          <w:rFonts w:ascii="Georgia" w:hAnsi="Georgia" w:cs="Georgia"/>
          <w:sz w:val="20"/>
          <w:szCs w:val="20"/>
          <w:lang w:val="lt-LT"/>
        </w:rPr>
        <w:t xml:space="preserve"> </w:t>
      </w:r>
      <w:r w:rsidRPr="002142B8">
        <w:rPr>
          <w:rFonts w:ascii="Georgia" w:hAnsi="Georgia" w:cs="Georgia"/>
          <w:sz w:val="20"/>
          <w:szCs w:val="20"/>
          <w:lang w:val="lt-LT"/>
        </w:rPr>
        <w:t xml:space="preserve">finansinių priemonių techninės paramos platformą </w:t>
      </w:r>
      <w:r w:rsidR="00D65772">
        <w:rPr>
          <w:rFonts w:ascii="Georgia" w:hAnsi="Georgia" w:cs="Georgia"/>
          <w:sz w:val="20"/>
          <w:szCs w:val="20"/>
          <w:lang w:val="lt-LT"/>
        </w:rPr>
        <w:t xml:space="preserve">FI-Compass </w:t>
      </w:r>
      <w:r w:rsidRPr="002142B8">
        <w:rPr>
          <w:rFonts w:ascii="Georgia" w:hAnsi="Georgia" w:cs="Georgia"/>
          <w:sz w:val="20"/>
          <w:szCs w:val="20"/>
          <w:lang w:val="lt-LT"/>
        </w:rPr>
        <w:t xml:space="preserve">2014-2020 m. periodui, kurios tikslas </w:t>
      </w:r>
      <w:r w:rsidR="00CC2E6F" w:rsidRPr="002142B8">
        <w:rPr>
          <w:rFonts w:ascii="Georgia" w:hAnsi="Georgia" w:cs="Georgia"/>
          <w:sz w:val="20"/>
          <w:szCs w:val="20"/>
          <w:lang w:val="lt-LT"/>
        </w:rPr>
        <w:t xml:space="preserve">– </w:t>
      </w:r>
      <w:r w:rsidRPr="002142B8">
        <w:rPr>
          <w:rFonts w:ascii="Georgia" w:hAnsi="Georgia" w:cs="Georgia"/>
          <w:sz w:val="20"/>
          <w:szCs w:val="20"/>
          <w:lang w:val="lt-LT"/>
        </w:rPr>
        <w:t>padėti</w:t>
      </w:r>
      <w:r w:rsidR="00CC2E6F" w:rsidRPr="002142B8">
        <w:rPr>
          <w:rFonts w:ascii="Georgia" w:hAnsi="Georgia" w:cs="Georgia"/>
          <w:sz w:val="20"/>
          <w:szCs w:val="20"/>
          <w:lang w:val="lt-LT"/>
        </w:rPr>
        <w:t xml:space="preserve"> </w:t>
      </w:r>
      <w:r w:rsidRPr="002142B8">
        <w:rPr>
          <w:rFonts w:ascii="Georgia" w:hAnsi="Georgia" w:cs="Georgia"/>
          <w:sz w:val="20"/>
          <w:szCs w:val="20"/>
          <w:lang w:val="lt-LT"/>
        </w:rPr>
        <w:t xml:space="preserve">vadovaujančioms institucijoms finansinių priemonių įgyvendinime įvairiomis priemonėmis, pvz. komunikacija, situacijų analizėmis, mokymais, išaiškinimais. </w:t>
      </w:r>
    </w:p>
    <w:p w14:paraId="4930CF43"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708C2B55"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2007-2013 m. ir 2014-2020 m. periodų esminiai finansinių priemonių reglamentavimo ir įgyvendinimo skirtumai pateikti lentelėje žemiau. </w:t>
      </w:r>
    </w:p>
    <w:p w14:paraId="4C674E98"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323EFAA8" w14:textId="3AE0C868" w:rsidR="00931CAF" w:rsidRPr="005A1A99" w:rsidRDefault="00931CAF" w:rsidP="00931CAF">
      <w:pPr>
        <w:pStyle w:val="Antrat"/>
        <w:jc w:val="both"/>
        <w:rPr>
          <w:b w:val="0"/>
          <w:i/>
          <w:lang w:val="lt-LT"/>
        </w:rPr>
      </w:pPr>
      <w:bookmarkStart w:id="18" w:name="_Toc507939126"/>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w:t>
      </w:r>
      <w:r w:rsidRPr="005A1A99">
        <w:rPr>
          <w:b w:val="0"/>
          <w:i/>
          <w:lang w:val="lt-LT"/>
        </w:rPr>
        <w:fldChar w:fldCharType="end"/>
      </w:r>
      <w:r w:rsidRPr="005A1A99">
        <w:rPr>
          <w:b w:val="0"/>
          <w:i/>
          <w:lang w:val="lt-LT"/>
        </w:rPr>
        <w:t xml:space="preserve">. </w:t>
      </w:r>
      <w:r w:rsidRPr="005A1A99">
        <w:rPr>
          <w:rFonts w:cs="Georgia"/>
          <w:b w:val="0"/>
          <w:i/>
          <w:szCs w:val="20"/>
          <w:lang w:val="lt-LT"/>
        </w:rPr>
        <w:t xml:space="preserve">2007–2013 m. ir 2014–2020 m. </w:t>
      </w:r>
      <w:r w:rsidR="00EA7A6C" w:rsidRPr="005A1A99">
        <w:rPr>
          <w:rFonts w:cs="Georgia"/>
          <w:b w:val="0"/>
          <w:i/>
          <w:szCs w:val="20"/>
          <w:lang w:val="lt-LT"/>
        </w:rPr>
        <w:t>periodų</w:t>
      </w:r>
      <w:r w:rsidRPr="005A1A99">
        <w:rPr>
          <w:rFonts w:cs="Georgia"/>
          <w:b w:val="0"/>
          <w:i/>
          <w:szCs w:val="20"/>
          <w:lang w:val="lt-LT"/>
        </w:rPr>
        <w:t xml:space="preserve"> finansinių </w:t>
      </w:r>
      <w:r w:rsidR="00EA7A6C" w:rsidRPr="005A1A99">
        <w:rPr>
          <w:rFonts w:cs="Georgia"/>
          <w:b w:val="0"/>
          <w:i/>
          <w:szCs w:val="20"/>
          <w:lang w:val="lt-LT"/>
        </w:rPr>
        <w:t>priemoni</w:t>
      </w:r>
      <w:r w:rsidRPr="005A1A99">
        <w:rPr>
          <w:rFonts w:cs="Georgia"/>
          <w:b w:val="0"/>
          <w:i/>
          <w:szCs w:val="20"/>
          <w:lang w:val="lt-LT"/>
        </w:rPr>
        <w:t>ų panaudojimo skirtumai</w:t>
      </w:r>
      <w:bookmarkEnd w:id="18"/>
      <w:r w:rsidRPr="005A1A99">
        <w:rPr>
          <w:rFonts w:cs="Georgia"/>
          <w:b w:val="0"/>
          <w:i/>
          <w:szCs w:val="20"/>
          <w:lang w:val="lt-LT"/>
        </w:rPr>
        <w:t xml:space="preserve"> </w:t>
      </w:r>
    </w:p>
    <w:tbl>
      <w:tblPr>
        <w:tblStyle w:val="viesussraas2parykinimas"/>
        <w:tblW w:w="5000" w:type="pct"/>
        <w:tblLayout w:type="fixed"/>
        <w:tblLook w:val="04A0" w:firstRow="1" w:lastRow="0" w:firstColumn="1" w:lastColumn="0" w:noHBand="0" w:noVBand="1"/>
      </w:tblPr>
      <w:tblGrid>
        <w:gridCol w:w="1521"/>
        <w:gridCol w:w="2556"/>
        <w:gridCol w:w="3039"/>
        <w:gridCol w:w="2126"/>
      </w:tblGrid>
      <w:tr w:rsidR="00CB4D9D" w:rsidRPr="002142B8" w14:paraId="6D743D79" w14:textId="77777777" w:rsidTr="00F9357D">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823" w:type="pct"/>
            <w:tcBorders>
              <w:top w:val="single" w:sz="8" w:space="0" w:color="C0504D" w:themeColor="accent2"/>
              <w:left w:val="single" w:sz="8" w:space="0" w:color="C0504D" w:themeColor="accent2"/>
              <w:bottom w:val="nil"/>
              <w:right w:val="single" w:sz="8" w:space="0" w:color="C0504D" w:themeColor="accent2"/>
            </w:tcBorders>
            <w:hideMark/>
          </w:tcPr>
          <w:p w14:paraId="3522C5EA" w14:textId="77777777" w:rsidR="00336C16" w:rsidRPr="002142B8" w:rsidRDefault="00336C16" w:rsidP="00C95047">
            <w:pPr>
              <w:widowControl w:val="0"/>
              <w:autoSpaceDE w:val="0"/>
              <w:autoSpaceDN w:val="0"/>
              <w:adjustRightInd w:val="0"/>
              <w:jc w:val="center"/>
              <w:rPr>
                <w:rFonts w:ascii="Georgia" w:hAnsi="Georgia" w:cs="Arial"/>
                <w:sz w:val="20"/>
                <w:szCs w:val="20"/>
              </w:rPr>
            </w:pPr>
            <w:r w:rsidRPr="002142B8">
              <w:rPr>
                <w:rFonts w:ascii="Georgia" w:hAnsi="Georgia" w:cs="Arial"/>
                <w:sz w:val="20"/>
                <w:szCs w:val="20"/>
              </w:rPr>
              <w:t>Tema</w:t>
            </w:r>
          </w:p>
        </w:tc>
        <w:tc>
          <w:tcPr>
            <w:tcW w:w="1383" w:type="pct"/>
            <w:tcBorders>
              <w:top w:val="single" w:sz="8" w:space="0" w:color="C0504D" w:themeColor="accent2"/>
              <w:left w:val="nil"/>
              <w:bottom w:val="nil"/>
              <w:right w:val="nil"/>
            </w:tcBorders>
            <w:hideMark/>
          </w:tcPr>
          <w:p w14:paraId="120F7568" w14:textId="77777777" w:rsidR="00336C16" w:rsidRPr="002142B8"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2007–2013</w:t>
            </w:r>
          </w:p>
        </w:tc>
        <w:tc>
          <w:tcPr>
            <w:tcW w:w="1644" w:type="pct"/>
            <w:tcBorders>
              <w:top w:val="single" w:sz="8" w:space="0" w:color="C0504D" w:themeColor="accent2"/>
              <w:left w:val="single" w:sz="8" w:space="0" w:color="C0504D" w:themeColor="accent2"/>
              <w:bottom w:val="nil"/>
              <w:right w:val="single" w:sz="8" w:space="0" w:color="C0504D" w:themeColor="accent2"/>
            </w:tcBorders>
            <w:hideMark/>
          </w:tcPr>
          <w:p w14:paraId="7617D09F" w14:textId="77777777" w:rsidR="00336C16" w:rsidRPr="002142B8"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2014–2020</w:t>
            </w:r>
          </w:p>
        </w:tc>
        <w:tc>
          <w:tcPr>
            <w:tcW w:w="1150" w:type="pct"/>
            <w:tcBorders>
              <w:top w:val="single" w:sz="8" w:space="0" w:color="C0504D" w:themeColor="accent2"/>
              <w:left w:val="nil"/>
              <w:bottom w:val="nil"/>
              <w:right w:val="single" w:sz="8" w:space="0" w:color="C0504D" w:themeColor="accent2"/>
            </w:tcBorders>
            <w:hideMark/>
          </w:tcPr>
          <w:p w14:paraId="0AAB6CA9" w14:textId="77777777" w:rsidR="00336C16" w:rsidRPr="002142B8"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Pokytis</w:t>
            </w:r>
          </w:p>
        </w:tc>
      </w:tr>
      <w:tr w:rsidR="00336C16" w:rsidRPr="002142B8" w14:paraId="4F8170AC" w14:textId="77777777" w:rsidTr="005B31C6">
        <w:trPr>
          <w:cnfStyle w:val="000000100000" w:firstRow="0" w:lastRow="0" w:firstColumn="0" w:lastColumn="0" w:oddVBand="0" w:evenVBand="0" w:oddHBand="1" w:evenHBand="0" w:firstRowFirstColumn="0" w:firstRowLastColumn="0" w:lastRowFirstColumn="0" w:lastRowLastColumn="0"/>
          <w:cantSplit/>
          <w:trHeight w:val="541"/>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C0504D" w:themeColor="accent2"/>
            </w:tcBorders>
            <w:hideMark/>
          </w:tcPr>
          <w:p w14:paraId="1F673FFF" w14:textId="77777777" w:rsidR="00336C16" w:rsidRPr="002142B8" w:rsidRDefault="00336C16" w:rsidP="00C95047">
            <w:pPr>
              <w:widowControl w:val="0"/>
              <w:autoSpaceDE w:val="0"/>
              <w:autoSpaceDN w:val="0"/>
              <w:adjustRightInd w:val="0"/>
              <w:rPr>
                <w:rFonts w:ascii="Georgia" w:hAnsi="Georgia" w:cs="Arial"/>
                <w:color w:val="000000"/>
                <w:sz w:val="20"/>
                <w:szCs w:val="20"/>
              </w:rPr>
            </w:pPr>
            <w:r w:rsidRPr="002142B8">
              <w:rPr>
                <w:rFonts w:ascii="Georgia" w:hAnsi="Georgia" w:cs="Arial"/>
                <w:b w:val="0"/>
                <w:color w:val="000000"/>
                <w:sz w:val="20"/>
                <w:szCs w:val="20"/>
              </w:rPr>
              <w:t xml:space="preserve">Remiama veikla </w:t>
            </w:r>
          </w:p>
        </w:tc>
        <w:tc>
          <w:tcPr>
            <w:tcW w:w="0" w:type="pct"/>
            <w:tcBorders>
              <w:left w:val="nil"/>
              <w:right w:val="nil"/>
            </w:tcBorders>
            <w:hideMark/>
          </w:tcPr>
          <w:p w14:paraId="570EE8FC"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Apribojimai sektoriams, paramos gavėjams: remiam</w:t>
            </w:r>
            <w:r w:rsidR="00EA7A6C" w:rsidRPr="002142B8">
              <w:rPr>
                <w:rFonts w:ascii="Georgia" w:hAnsi="Georgia" w:cs="Arial"/>
                <w:color w:val="000000"/>
                <w:sz w:val="20"/>
                <w:szCs w:val="20"/>
              </w:rPr>
              <w:t>os</w:t>
            </w:r>
            <w:r w:rsidRPr="002142B8">
              <w:rPr>
                <w:rFonts w:ascii="Georgia" w:hAnsi="Georgia" w:cs="Arial"/>
                <w:color w:val="000000"/>
                <w:sz w:val="20"/>
                <w:szCs w:val="20"/>
              </w:rPr>
              <w:t xml:space="preserve"> </w:t>
            </w:r>
            <w:r w:rsidR="00EA7A6C" w:rsidRPr="002142B8">
              <w:rPr>
                <w:rFonts w:ascii="Georgia" w:hAnsi="Georgia" w:cs="Arial"/>
                <w:color w:val="000000"/>
                <w:sz w:val="20"/>
                <w:szCs w:val="20"/>
              </w:rPr>
              <w:t>mažos ir vidutinės įmonės</w:t>
            </w:r>
            <w:r w:rsidRPr="002142B8">
              <w:rPr>
                <w:rFonts w:ascii="Georgia" w:hAnsi="Georgia" w:cs="Arial"/>
                <w:color w:val="000000"/>
                <w:sz w:val="20"/>
                <w:szCs w:val="20"/>
              </w:rPr>
              <w:t>, miestų plėtra ir energijos vartojimo efektyvumo didinimas</w:t>
            </w:r>
            <w:r w:rsidR="000470B4" w:rsidRPr="002142B8">
              <w:rPr>
                <w:rFonts w:ascii="Georgia" w:hAnsi="Georgia" w:cs="Arial"/>
                <w:color w:val="000000"/>
                <w:sz w:val="20"/>
                <w:szCs w:val="20"/>
              </w:rPr>
              <w:t>. 2007-2013 metų laikotarpyje finansin</w:t>
            </w:r>
            <w:r w:rsidR="00D96817" w:rsidRPr="002142B8">
              <w:rPr>
                <w:rFonts w:ascii="Georgia" w:hAnsi="Georgia" w:cs="Arial"/>
                <w:color w:val="000000"/>
                <w:sz w:val="20"/>
                <w:szCs w:val="20"/>
              </w:rPr>
              <w:t>ių</w:t>
            </w:r>
            <w:r w:rsidR="000470B4" w:rsidRPr="002142B8">
              <w:rPr>
                <w:rFonts w:ascii="Georgia" w:hAnsi="Georgia" w:cs="Arial"/>
                <w:color w:val="000000"/>
                <w:sz w:val="20"/>
                <w:szCs w:val="20"/>
              </w:rPr>
              <w:t xml:space="preserve"> priemon</w:t>
            </w:r>
            <w:r w:rsidR="00D96817" w:rsidRPr="002142B8">
              <w:rPr>
                <w:rFonts w:ascii="Georgia" w:hAnsi="Georgia" w:cs="Arial"/>
                <w:color w:val="000000"/>
                <w:sz w:val="20"/>
                <w:szCs w:val="20"/>
              </w:rPr>
              <w:t>ių įgyvendinimui</w:t>
            </w:r>
            <w:r w:rsidR="000470B4" w:rsidRPr="002142B8">
              <w:rPr>
                <w:rFonts w:ascii="Georgia" w:hAnsi="Georgia" w:cs="Arial"/>
                <w:color w:val="000000"/>
                <w:sz w:val="20"/>
                <w:szCs w:val="20"/>
              </w:rPr>
              <w:t xml:space="preserve"> negalėjo būti </w:t>
            </w:r>
            <w:r w:rsidR="00D96817" w:rsidRPr="002142B8">
              <w:rPr>
                <w:rFonts w:ascii="Georgia" w:hAnsi="Georgia" w:cs="Arial"/>
                <w:color w:val="000000"/>
                <w:sz w:val="20"/>
                <w:szCs w:val="20"/>
              </w:rPr>
              <w:t>naudojamos</w:t>
            </w:r>
            <w:r w:rsidR="000470B4" w:rsidRPr="002142B8">
              <w:rPr>
                <w:rFonts w:ascii="Georgia" w:hAnsi="Georgia" w:cs="Arial"/>
                <w:color w:val="000000"/>
                <w:sz w:val="20"/>
                <w:szCs w:val="20"/>
              </w:rPr>
              <w:t xml:space="preserve"> Sanglaudos fond</w:t>
            </w:r>
            <w:r w:rsidR="00936224" w:rsidRPr="002142B8">
              <w:rPr>
                <w:rFonts w:ascii="Georgia" w:hAnsi="Georgia" w:cs="Arial"/>
                <w:color w:val="000000"/>
                <w:sz w:val="20"/>
                <w:szCs w:val="20"/>
              </w:rPr>
              <w:t>o</w:t>
            </w:r>
            <w:r w:rsidR="00D96817" w:rsidRPr="002142B8">
              <w:rPr>
                <w:rFonts w:ascii="Georgia" w:hAnsi="Georgia" w:cs="Arial"/>
                <w:color w:val="000000"/>
                <w:sz w:val="20"/>
                <w:szCs w:val="20"/>
              </w:rPr>
              <w:t xml:space="preserve"> lėšos</w:t>
            </w:r>
            <w:r w:rsidR="000470B4" w:rsidRPr="002142B8">
              <w:rPr>
                <w:rFonts w:ascii="Georgia" w:hAnsi="Georgia" w:cs="Arial"/>
                <w:color w:val="000000"/>
                <w:sz w:val="20"/>
                <w:szCs w:val="20"/>
              </w:rPr>
              <w:t>.</w:t>
            </w:r>
            <w:r w:rsidRPr="002142B8">
              <w:rPr>
                <w:rFonts w:ascii="Georgia" w:hAnsi="Georgia" w:cs="Arial"/>
                <w:color w:val="000000"/>
                <w:sz w:val="20"/>
                <w:szCs w:val="20"/>
              </w:rPr>
              <w:t xml:space="preserve"> </w:t>
            </w:r>
          </w:p>
        </w:tc>
        <w:tc>
          <w:tcPr>
            <w:tcW w:w="0" w:type="pct"/>
            <w:tcBorders>
              <w:left w:val="single" w:sz="8" w:space="0" w:color="C0504D" w:themeColor="accent2"/>
              <w:right w:val="single" w:sz="8" w:space="0" w:color="C0504D" w:themeColor="accent2"/>
            </w:tcBorders>
            <w:hideMark/>
          </w:tcPr>
          <w:p w14:paraId="720CF318"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Valstybės narės ir valdymo institucijos gali naudoti finansines priemones visų teminių tikslų įgyvendinimui, jei yra užtikrinama nauda ir efektyvumas</w:t>
            </w:r>
          </w:p>
        </w:tc>
        <w:tc>
          <w:tcPr>
            <w:tcW w:w="0" w:type="pct"/>
            <w:tcBorders>
              <w:left w:val="nil"/>
            </w:tcBorders>
            <w:hideMark/>
          </w:tcPr>
          <w:p w14:paraId="75D6E0F8"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Užtikrinamas lankstumas ES valstybėms narėms ir regionams dėl paramos gavėjų, tikslinių sektorių projektų ir veiklos</w:t>
            </w:r>
          </w:p>
        </w:tc>
      </w:tr>
      <w:tr w:rsidR="00CB4D9D" w:rsidRPr="002142B8" w14:paraId="7400D7BF" w14:textId="77777777" w:rsidTr="00F9357D">
        <w:trPr>
          <w:cantSplit/>
          <w:trHeight w:val="452"/>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nil"/>
              <w:right w:val="single" w:sz="8" w:space="0" w:color="C0504D" w:themeColor="accent2"/>
            </w:tcBorders>
            <w:hideMark/>
          </w:tcPr>
          <w:p w14:paraId="33CC4396" w14:textId="77777777" w:rsidR="00336C16" w:rsidRPr="002142B8" w:rsidRDefault="00336C16" w:rsidP="00C95047">
            <w:pPr>
              <w:widowControl w:val="0"/>
              <w:autoSpaceDE w:val="0"/>
              <w:autoSpaceDN w:val="0"/>
              <w:adjustRightInd w:val="0"/>
              <w:rPr>
                <w:rFonts w:ascii="Georgia" w:hAnsi="Georgia" w:cs="Arial"/>
                <w:color w:val="000000"/>
                <w:sz w:val="20"/>
                <w:szCs w:val="20"/>
              </w:rPr>
            </w:pPr>
            <w:r w:rsidRPr="002142B8">
              <w:rPr>
                <w:rFonts w:ascii="Georgia" w:hAnsi="Georgia" w:cs="Arial"/>
                <w:b w:val="0"/>
                <w:color w:val="000000"/>
                <w:sz w:val="20"/>
                <w:szCs w:val="20"/>
              </w:rPr>
              <w:t>Priemonių</w:t>
            </w:r>
          </w:p>
          <w:p w14:paraId="3E49A7CF" w14:textId="77777777" w:rsidR="00336C16" w:rsidRPr="00A770A8" w:rsidRDefault="00336C16" w:rsidP="00C95047">
            <w:pPr>
              <w:widowControl w:val="0"/>
              <w:autoSpaceDE w:val="0"/>
              <w:autoSpaceDN w:val="0"/>
              <w:adjustRightInd w:val="0"/>
              <w:rPr>
                <w:rFonts w:ascii="Georgia" w:hAnsi="Georgia" w:cs="Arial"/>
                <w:b w:val="0"/>
                <w:color w:val="000000"/>
                <w:sz w:val="20"/>
                <w:szCs w:val="20"/>
              </w:rPr>
            </w:pPr>
            <w:r w:rsidRPr="00A770A8">
              <w:rPr>
                <w:rFonts w:ascii="Georgia" w:hAnsi="Georgia" w:cs="Arial"/>
                <w:color w:val="000000"/>
                <w:sz w:val="20"/>
                <w:szCs w:val="20"/>
              </w:rPr>
              <w:t xml:space="preserve">sinergija </w:t>
            </w:r>
          </w:p>
        </w:tc>
        <w:tc>
          <w:tcPr>
            <w:tcW w:w="1383" w:type="pct"/>
            <w:tcBorders>
              <w:top w:val="nil"/>
              <w:left w:val="nil"/>
              <w:bottom w:val="nil"/>
              <w:right w:val="nil"/>
            </w:tcBorders>
            <w:hideMark/>
          </w:tcPr>
          <w:p w14:paraId="2AB793A1" w14:textId="77777777" w:rsidR="00336C16" w:rsidRPr="002142B8" w:rsidRDefault="00EA7A6C"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Finansinių priemonių derinimas su kitomis paramos formomis neapibrėžtas</w:t>
            </w:r>
          </w:p>
        </w:tc>
        <w:tc>
          <w:tcPr>
            <w:tcW w:w="1644" w:type="pct"/>
            <w:tcBorders>
              <w:top w:val="nil"/>
              <w:left w:val="single" w:sz="8" w:space="0" w:color="C0504D" w:themeColor="accent2"/>
              <w:bottom w:val="nil"/>
              <w:right w:val="single" w:sz="8" w:space="0" w:color="C0504D" w:themeColor="accent2"/>
            </w:tcBorders>
            <w:hideMark/>
          </w:tcPr>
          <w:p w14:paraId="5FA762C0" w14:textId="77777777" w:rsidR="00336C16" w:rsidRPr="002142B8"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Finansinės priemonės gali būti derinamos su dotacijomis, subsidijomis ir garantijomis. Šiuo atveju kiekviena finansavimo forma turi būti apskaitoma atskirai. </w:t>
            </w:r>
          </w:p>
        </w:tc>
        <w:tc>
          <w:tcPr>
            <w:tcW w:w="1150" w:type="pct"/>
            <w:tcBorders>
              <w:top w:val="nil"/>
              <w:left w:val="nil"/>
              <w:bottom w:val="nil"/>
              <w:right w:val="single" w:sz="8" w:space="0" w:color="C0504D" w:themeColor="accent2"/>
            </w:tcBorders>
            <w:hideMark/>
          </w:tcPr>
          <w:p w14:paraId="338442BB" w14:textId="77777777" w:rsidR="00336C16" w:rsidRPr="002142B8"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Sukuriama sinergija tarp finansinių </w:t>
            </w:r>
            <w:r w:rsidR="00EA7A6C" w:rsidRPr="002142B8">
              <w:rPr>
                <w:rFonts w:ascii="Georgia" w:hAnsi="Georgia" w:cs="Arial"/>
                <w:color w:val="000000"/>
                <w:sz w:val="20"/>
                <w:szCs w:val="20"/>
              </w:rPr>
              <w:t xml:space="preserve">priemonių </w:t>
            </w:r>
            <w:r w:rsidRPr="002142B8">
              <w:rPr>
                <w:rFonts w:ascii="Georgia" w:hAnsi="Georgia" w:cs="Arial"/>
                <w:color w:val="000000"/>
                <w:sz w:val="20"/>
                <w:szCs w:val="20"/>
              </w:rPr>
              <w:t>ir kitų paramos priemonių, pvz., dotacijų</w:t>
            </w:r>
          </w:p>
        </w:tc>
      </w:tr>
      <w:tr w:rsidR="00336C16" w:rsidRPr="002142B8" w14:paraId="0033D281" w14:textId="77777777" w:rsidTr="005B31C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C0504D" w:themeColor="accent2"/>
            </w:tcBorders>
            <w:hideMark/>
          </w:tcPr>
          <w:p w14:paraId="5F61B617" w14:textId="77777777" w:rsidR="00336C16" w:rsidRPr="002142B8" w:rsidRDefault="00336C16" w:rsidP="00C95047">
            <w:pPr>
              <w:widowControl w:val="0"/>
              <w:autoSpaceDE w:val="0"/>
              <w:autoSpaceDN w:val="0"/>
              <w:adjustRightInd w:val="0"/>
              <w:rPr>
                <w:rFonts w:ascii="Georgia" w:hAnsi="Georgia" w:cs="Arial"/>
                <w:b w:val="0"/>
                <w:color w:val="000000"/>
                <w:sz w:val="20"/>
                <w:szCs w:val="20"/>
              </w:rPr>
            </w:pPr>
            <w:r w:rsidRPr="002142B8">
              <w:rPr>
                <w:rFonts w:ascii="Georgia" w:hAnsi="Georgia" w:cs="Arial"/>
                <w:b w:val="0"/>
                <w:color w:val="000000"/>
                <w:sz w:val="20"/>
                <w:szCs w:val="20"/>
              </w:rPr>
              <w:lastRenderedPageBreak/>
              <w:t xml:space="preserve">Įgyvendinimo alternatyvos </w:t>
            </w:r>
          </w:p>
        </w:tc>
        <w:tc>
          <w:tcPr>
            <w:tcW w:w="0" w:type="pct"/>
            <w:tcBorders>
              <w:left w:val="nil"/>
              <w:right w:val="nil"/>
            </w:tcBorders>
          </w:tcPr>
          <w:p w14:paraId="42938C5D" w14:textId="28DDA1C8"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Finansų inžinerijos </w:t>
            </w:r>
            <w:r w:rsidR="00032456" w:rsidRPr="002142B8">
              <w:rPr>
                <w:rFonts w:ascii="Georgia" w:hAnsi="Georgia" w:cs="Arial"/>
                <w:color w:val="000000"/>
                <w:sz w:val="20"/>
                <w:szCs w:val="20"/>
              </w:rPr>
              <w:t>priemonės</w:t>
            </w:r>
            <w:r w:rsidRPr="002142B8">
              <w:rPr>
                <w:rFonts w:ascii="Georgia" w:hAnsi="Georgia" w:cs="Arial"/>
                <w:color w:val="000000"/>
                <w:sz w:val="20"/>
                <w:szCs w:val="20"/>
              </w:rPr>
              <w:t>, įskaitant kontroliuojančiuosius fondus</w:t>
            </w:r>
            <w:r w:rsidR="00BB79B7">
              <w:rPr>
                <w:rFonts w:ascii="Georgia" w:hAnsi="Georgia" w:cs="Arial"/>
                <w:color w:val="000000"/>
                <w:sz w:val="20"/>
                <w:szCs w:val="20"/>
              </w:rPr>
              <w:t xml:space="preserve"> buvo </w:t>
            </w:r>
            <w:r w:rsidR="009C4AEE">
              <w:rPr>
                <w:rFonts w:ascii="Georgia" w:hAnsi="Georgia" w:cs="Arial"/>
                <w:color w:val="000000"/>
                <w:sz w:val="20"/>
                <w:szCs w:val="20"/>
              </w:rPr>
              <w:t>įgyvendinamos</w:t>
            </w:r>
            <w:r w:rsidRPr="002142B8">
              <w:rPr>
                <w:rFonts w:ascii="Georgia" w:hAnsi="Georgia" w:cs="Arial"/>
                <w:color w:val="000000"/>
                <w:sz w:val="20"/>
                <w:szCs w:val="20"/>
              </w:rPr>
              <w:t xml:space="preserve"> </w:t>
            </w:r>
            <w:r w:rsidR="00595C38">
              <w:rPr>
                <w:rFonts w:ascii="Georgia" w:hAnsi="Georgia" w:cs="Arial"/>
                <w:color w:val="000000"/>
                <w:sz w:val="20"/>
                <w:szCs w:val="20"/>
              </w:rPr>
              <w:t>t</w:t>
            </w:r>
            <w:r w:rsidRPr="002142B8">
              <w:rPr>
                <w:rFonts w:ascii="Georgia" w:hAnsi="Georgia" w:cs="Arial"/>
                <w:color w:val="000000"/>
                <w:sz w:val="20"/>
                <w:szCs w:val="20"/>
              </w:rPr>
              <w:t xml:space="preserve">aip: </w:t>
            </w:r>
          </w:p>
          <w:p w14:paraId="7277C787" w14:textId="2E8D10CB" w:rsidR="00336C16" w:rsidRDefault="00336C16" w:rsidP="00F91954">
            <w:pPr>
              <w:pStyle w:val="Sraopastraipa"/>
              <w:widowControl w:val="0"/>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p>
          <w:p w14:paraId="2E0DAAD6" w14:textId="5EEE2C5C" w:rsidR="00595C38" w:rsidRPr="00595C38" w:rsidRDefault="00595C38" w:rsidP="00595C38">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595C38">
              <w:rPr>
                <w:rFonts w:ascii="Georgia" w:hAnsi="Georgia" w:cs="Arial"/>
                <w:color w:val="000000"/>
                <w:sz w:val="20"/>
                <w:szCs w:val="20"/>
              </w:rPr>
              <w:t>su</w:t>
            </w:r>
            <w:r>
              <w:rPr>
                <w:rFonts w:ascii="Georgia" w:hAnsi="Georgia" w:cs="Arial"/>
                <w:color w:val="000000"/>
                <w:sz w:val="20"/>
                <w:szCs w:val="20"/>
              </w:rPr>
              <w:t>darant</w:t>
            </w:r>
            <w:r w:rsidRPr="00595C38">
              <w:rPr>
                <w:rFonts w:ascii="Georgia" w:hAnsi="Georgia" w:cs="Arial"/>
                <w:color w:val="000000"/>
                <w:sz w:val="20"/>
                <w:szCs w:val="20"/>
              </w:rPr>
              <w:t xml:space="preserve"> viešąją sutartį pagal taikytiną viešųjų pirkimų įstatymą;  </w:t>
            </w:r>
          </w:p>
          <w:p w14:paraId="78EA3ED9" w14:textId="74CA12CF" w:rsidR="00595C38" w:rsidRDefault="00595C38" w:rsidP="00595C38">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595C38">
              <w:rPr>
                <w:rFonts w:ascii="Georgia" w:hAnsi="Georgia" w:cs="Arial"/>
                <w:color w:val="000000"/>
                <w:sz w:val="20"/>
                <w:szCs w:val="20"/>
              </w:rPr>
              <w:t>kai pagal taikytinus viešųjų pirkimų teisės aktus sutartis nėra viešųjų paslaugų sutartis – sutei</w:t>
            </w:r>
            <w:r w:rsidR="009C4AEE">
              <w:rPr>
                <w:rFonts w:ascii="Georgia" w:hAnsi="Georgia" w:cs="Arial"/>
                <w:color w:val="000000"/>
                <w:sz w:val="20"/>
                <w:szCs w:val="20"/>
              </w:rPr>
              <w:t>kiant</w:t>
            </w:r>
            <w:r w:rsidRPr="00595C38">
              <w:rPr>
                <w:rFonts w:ascii="Georgia" w:hAnsi="Georgia" w:cs="Arial"/>
                <w:color w:val="000000"/>
                <w:sz w:val="20"/>
                <w:szCs w:val="20"/>
              </w:rPr>
              <w:t xml:space="preserve"> dotaciją, kuri šiuo tikslu apibrėžiama kaip tiesioginis negrąžintinas finansinis įnašas finansų įstaigai neskelbiant kvietimo teikti pasiūlymus, jei tai neprieštarauja nacionalinei teisei, atitinkančiai Sutarties nuostatas; </w:t>
            </w:r>
          </w:p>
          <w:p w14:paraId="13B47647" w14:textId="7D490BAE" w:rsidR="00595C38" w:rsidRPr="002142B8" w:rsidRDefault="00595C38" w:rsidP="00595C38">
            <w:pPr>
              <w:pStyle w:val="Sraopastraipa"/>
              <w:widowControl w:val="0"/>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suteikiant</w:t>
            </w:r>
            <w:r w:rsidRPr="00595C38">
              <w:rPr>
                <w:rFonts w:ascii="Georgia" w:hAnsi="Georgia" w:cs="Arial"/>
                <w:color w:val="000000"/>
                <w:sz w:val="20"/>
                <w:szCs w:val="20"/>
              </w:rPr>
              <w:t xml:space="preserve"> sutartį tiesiogiai EIB arba </w:t>
            </w:r>
            <w:r w:rsidRPr="00F91954">
              <w:rPr>
                <w:rFonts w:ascii="Georgia" w:hAnsi="Georgia" w:cs="Arial"/>
                <w:color w:val="000000"/>
                <w:sz w:val="20"/>
                <w:szCs w:val="20"/>
              </w:rPr>
              <w:t>Europos investicijų fondui</w:t>
            </w:r>
          </w:p>
        </w:tc>
        <w:tc>
          <w:tcPr>
            <w:tcW w:w="0" w:type="pct"/>
            <w:tcBorders>
              <w:left w:val="single" w:sz="8" w:space="0" w:color="C0504D" w:themeColor="accent2"/>
              <w:right w:val="single" w:sz="8" w:space="0" w:color="C0504D" w:themeColor="accent2"/>
            </w:tcBorders>
            <w:hideMark/>
          </w:tcPr>
          <w:p w14:paraId="0D2A3B0B"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Remdamos finansines priemones vadovaujančiosios institucijos gali:</w:t>
            </w:r>
          </w:p>
          <w:p w14:paraId="2827BFC8" w14:textId="77777777" w:rsidR="00336C16" w:rsidRPr="002142B8" w:rsidRDefault="00336C16" w:rsidP="00F91954">
            <w:pPr>
              <w:pStyle w:val="Sraopastraipa"/>
              <w:widowControl w:val="0"/>
              <w:numPr>
                <w:ilvl w:val="0"/>
                <w:numId w:val="18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investuoti į esamų arba naujų juridinių asmenų, kapitalą;</w:t>
            </w:r>
          </w:p>
          <w:p w14:paraId="17F52AA2" w14:textId="77777777" w:rsidR="00336C16" w:rsidRPr="002142B8" w:rsidRDefault="00336C16" w:rsidP="00F91954">
            <w:pPr>
              <w:pStyle w:val="Sraopastraipa"/>
              <w:widowControl w:val="0"/>
              <w:numPr>
                <w:ilvl w:val="0"/>
                <w:numId w:val="18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įgyvendinimo užduotis pavesti vykdyti:</w:t>
            </w:r>
          </w:p>
          <w:p w14:paraId="33714D90" w14:textId="77777777" w:rsidR="00336C16" w:rsidRPr="002142B8" w:rsidRDefault="00336C16" w:rsidP="00F91954">
            <w:pPr>
              <w:pStyle w:val="Sraopastraipa"/>
              <w:widowControl w:val="0"/>
              <w:numPr>
                <w:ilvl w:val="1"/>
                <w:numId w:val="185"/>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EIB;</w:t>
            </w:r>
          </w:p>
          <w:p w14:paraId="1CB95672" w14:textId="77777777" w:rsidR="00336C16" w:rsidRPr="002142B8" w:rsidRDefault="00336C16" w:rsidP="00F91954">
            <w:pPr>
              <w:pStyle w:val="Sraopastraipa"/>
              <w:widowControl w:val="0"/>
              <w:numPr>
                <w:ilvl w:val="1"/>
                <w:numId w:val="185"/>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Tarptautinėms finansų įstaigoms, arba valstybėje narėje įsteigtoms finansų įstaigoms;</w:t>
            </w:r>
          </w:p>
          <w:p w14:paraId="0D3611AF" w14:textId="77777777" w:rsidR="00336C16" w:rsidRPr="002142B8" w:rsidRDefault="00336C16" w:rsidP="00F91954">
            <w:pPr>
              <w:pStyle w:val="Sraopastraipa"/>
              <w:widowControl w:val="0"/>
              <w:numPr>
                <w:ilvl w:val="1"/>
                <w:numId w:val="185"/>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Viešosios arba privačiosios teisės subjektui;</w:t>
            </w:r>
          </w:p>
          <w:p w14:paraId="6E5117E0" w14:textId="77777777" w:rsidR="00336C16" w:rsidRPr="002142B8" w:rsidRDefault="00336C16" w:rsidP="00F91954">
            <w:pPr>
              <w:pStyle w:val="Sraopastraipa"/>
              <w:widowControl w:val="0"/>
              <w:numPr>
                <w:ilvl w:val="0"/>
                <w:numId w:val="18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Imtis įgyvendinimo užduotis vykdyti tiesiogiai. </w:t>
            </w:r>
          </w:p>
        </w:tc>
        <w:tc>
          <w:tcPr>
            <w:tcW w:w="0" w:type="pct"/>
            <w:tcBorders>
              <w:left w:val="nil"/>
            </w:tcBorders>
            <w:hideMark/>
          </w:tcPr>
          <w:p w14:paraId="380DDA25"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Komisijos pasiūlyme pateiktos skirtingos </w:t>
            </w:r>
          </w:p>
          <w:p w14:paraId="06769B55"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įgyvendinimo alternatyvos, iš kurių </w:t>
            </w:r>
          </w:p>
          <w:p w14:paraId="0F31AFD9" w14:textId="77777777" w:rsidR="00336C16" w:rsidRPr="002142B8"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valstybės narės ir vadovaujančiosios institucijos gali pasirinkti joms tinkamiausias</w:t>
            </w:r>
          </w:p>
        </w:tc>
      </w:tr>
      <w:tr w:rsidR="00336C16" w:rsidRPr="002142B8" w14:paraId="0065357A" w14:textId="77777777" w:rsidTr="005B31C6">
        <w:trPr>
          <w:trHeight w:val="579"/>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C0504D" w:themeColor="accent2"/>
              <w:bottom w:val="single" w:sz="8" w:space="0" w:color="C0504D" w:themeColor="accent2"/>
              <w:right w:val="single" w:sz="8" w:space="0" w:color="C0504D" w:themeColor="accent2"/>
            </w:tcBorders>
            <w:hideMark/>
          </w:tcPr>
          <w:p w14:paraId="5F1F5AF4" w14:textId="77777777" w:rsidR="00336C16" w:rsidRPr="002142B8" w:rsidRDefault="00336C16" w:rsidP="006A3B80">
            <w:pPr>
              <w:widowControl w:val="0"/>
              <w:autoSpaceDE w:val="0"/>
              <w:autoSpaceDN w:val="0"/>
              <w:adjustRightInd w:val="0"/>
              <w:rPr>
                <w:rFonts w:ascii="Georgia" w:hAnsi="Georgia" w:cs="Arial"/>
                <w:color w:val="000000"/>
                <w:sz w:val="20"/>
                <w:szCs w:val="20"/>
              </w:rPr>
            </w:pPr>
            <w:r w:rsidRPr="002142B8">
              <w:rPr>
                <w:rFonts w:ascii="Georgia" w:hAnsi="Georgia" w:cs="Arial"/>
                <w:b w:val="0"/>
                <w:color w:val="000000"/>
                <w:sz w:val="20"/>
                <w:szCs w:val="20"/>
              </w:rPr>
              <w:t xml:space="preserve">Finansinių priemonių tipai </w:t>
            </w:r>
          </w:p>
        </w:tc>
        <w:tc>
          <w:tcPr>
            <w:tcW w:w="0" w:type="pct"/>
            <w:tcBorders>
              <w:top w:val="nil"/>
              <w:left w:val="nil"/>
              <w:bottom w:val="single" w:sz="8" w:space="0" w:color="C0504D" w:themeColor="accent2"/>
              <w:right w:val="nil"/>
            </w:tcBorders>
          </w:tcPr>
          <w:p w14:paraId="50F13668"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Pagal poreikį sukurtos finansinės priemonės</w:t>
            </w:r>
          </w:p>
          <w:p w14:paraId="50C10DFF"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p>
        </w:tc>
        <w:tc>
          <w:tcPr>
            <w:tcW w:w="0" w:type="pct"/>
            <w:tcBorders>
              <w:top w:val="nil"/>
              <w:left w:val="single" w:sz="8" w:space="0" w:color="C0504D" w:themeColor="accent2"/>
              <w:bottom w:val="single" w:sz="8" w:space="0" w:color="C0504D" w:themeColor="accent2"/>
              <w:right w:val="single" w:sz="8" w:space="0" w:color="C0504D" w:themeColor="accent2"/>
            </w:tcBorders>
          </w:tcPr>
          <w:p w14:paraId="1942BDCA"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Vadovaujančios institucijos gali skirti finansinį įnašą šioms finansinėms priemonėms:</w:t>
            </w:r>
          </w:p>
          <w:p w14:paraId="3077B32B" w14:textId="77777777" w:rsidR="00336C16" w:rsidRPr="002142B8" w:rsidRDefault="00336C16" w:rsidP="00F91954">
            <w:pPr>
              <w:pStyle w:val="Sraopastraipa"/>
              <w:widowControl w:val="0"/>
              <w:numPr>
                <w:ilvl w:val="0"/>
                <w:numId w:val="18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Sąjungos lygmeniu nustatytoms finansinėms priemonėms, kurias tiesiogiai arba netiesiogiai valdo Komisija;</w:t>
            </w:r>
          </w:p>
          <w:p w14:paraId="7B2148B7" w14:textId="77777777" w:rsidR="00336C16" w:rsidRPr="002142B8" w:rsidRDefault="00336C16" w:rsidP="00F91954">
            <w:pPr>
              <w:pStyle w:val="Sraopastraipa"/>
              <w:widowControl w:val="0"/>
              <w:numPr>
                <w:ilvl w:val="0"/>
                <w:numId w:val="18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Nacionaliniu, regioniniu, tarptautiniu ar tarpvalstybiniu lygmenimis nustatytoms finansinėms priemonėms, kurias valdo arba už kurių valdymą atsako vadovaujančioji institucija:</w:t>
            </w:r>
          </w:p>
          <w:p w14:paraId="46EF9B5A" w14:textId="77777777" w:rsidR="00336C16" w:rsidRPr="002142B8" w:rsidRDefault="00336C16" w:rsidP="00F91954">
            <w:pPr>
              <w:pStyle w:val="Sraopastraipa"/>
              <w:widowControl w:val="0"/>
              <w:numPr>
                <w:ilvl w:val="1"/>
                <w:numId w:val="186"/>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Finansinėms priemonėms, kurios atitinka Komisijos nustatytas standartines sąlygas pagal šios dalies antra pastraipą (angl. </w:t>
            </w:r>
            <w:r w:rsidRPr="002142B8">
              <w:rPr>
                <w:rFonts w:ascii="Georgia" w:hAnsi="Georgia" w:cs="Arial"/>
                <w:i/>
                <w:color w:val="000000"/>
                <w:sz w:val="20"/>
                <w:szCs w:val="20"/>
              </w:rPr>
              <w:t>off the shelf</w:t>
            </w:r>
            <w:r w:rsidRPr="002142B8">
              <w:rPr>
                <w:rFonts w:ascii="Georgia" w:hAnsi="Georgia" w:cs="Arial"/>
                <w:color w:val="000000"/>
                <w:sz w:val="20"/>
                <w:szCs w:val="20"/>
              </w:rPr>
              <w:t>)</w:t>
            </w:r>
          </w:p>
          <w:p w14:paraId="7127A3BC" w14:textId="77777777" w:rsidR="00336C16" w:rsidRPr="002142B8" w:rsidRDefault="00336C16" w:rsidP="00F91954">
            <w:pPr>
              <w:pStyle w:val="Sraopastraipa"/>
              <w:widowControl w:val="0"/>
              <w:numPr>
                <w:ilvl w:val="1"/>
                <w:numId w:val="186"/>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Esamoms arba naujoms finansinėms priemonėms, kurios yra specialiai skirtos konkretiems pagal atitinkamą prioritetą </w:t>
            </w:r>
            <w:r w:rsidRPr="002142B8">
              <w:rPr>
                <w:rFonts w:ascii="Georgia" w:hAnsi="Georgia" w:cs="Arial"/>
                <w:color w:val="000000"/>
                <w:sz w:val="20"/>
                <w:szCs w:val="20"/>
              </w:rPr>
              <w:lastRenderedPageBreak/>
              <w:t>nustatytiems tikslams pasiekti.</w:t>
            </w:r>
          </w:p>
        </w:tc>
        <w:tc>
          <w:tcPr>
            <w:tcW w:w="0" w:type="pct"/>
            <w:tcBorders>
              <w:top w:val="nil"/>
              <w:left w:val="nil"/>
              <w:bottom w:val="single" w:sz="8" w:space="0" w:color="C0504D" w:themeColor="accent2"/>
              <w:right w:val="single" w:sz="8" w:space="0" w:color="C0504D" w:themeColor="accent2"/>
            </w:tcBorders>
            <w:hideMark/>
          </w:tcPr>
          <w:p w14:paraId="18C14D8C"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lastRenderedPageBreak/>
              <w:t xml:space="preserve">Komisijos pasiūlyme pateiktos skirtingos </w:t>
            </w:r>
          </w:p>
          <w:p w14:paraId="4AC8BD37"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 xml:space="preserve">įgyvendinimo alternatyvos, iš kurių </w:t>
            </w:r>
          </w:p>
          <w:p w14:paraId="120FBA27" w14:textId="77777777" w:rsidR="00336C16" w:rsidRPr="002142B8"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sidRPr="002142B8">
              <w:rPr>
                <w:rFonts w:ascii="Georgia" w:hAnsi="Georgia" w:cs="Arial"/>
                <w:color w:val="000000"/>
                <w:sz w:val="20"/>
                <w:szCs w:val="20"/>
              </w:rPr>
              <w:t>valstybės narės ir vadovaujančiosios institucijos gali pasirinkti joms tinkamiausias</w:t>
            </w:r>
          </w:p>
        </w:tc>
      </w:tr>
    </w:tbl>
    <w:p w14:paraId="45C12B7D" w14:textId="074091F4" w:rsidR="00336C16" w:rsidRPr="002142B8" w:rsidRDefault="00EA7A6C" w:rsidP="00936224">
      <w:pPr>
        <w:pStyle w:val="Antrat"/>
        <w:jc w:val="both"/>
        <w:rPr>
          <w:rFonts w:cs="Georgia"/>
          <w:i/>
          <w:szCs w:val="20"/>
          <w:lang w:val="lt-LT"/>
        </w:rPr>
      </w:pPr>
      <w:r w:rsidRPr="002142B8">
        <w:rPr>
          <w:rFonts w:cs="Georgia"/>
          <w:b w:val="0"/>
          <w:i/>
          <w:szCs w:val="20"/>
          <w:lang w:val="lt-LT"/>
        </w:rPr>
        <w:lastRenderedPageBreak/>
        <w:t>Šaltinis: P</w:t>
      </w:r>
      <w:r w:rsidR="00595C38">
        <w:rPr>
          <w:rFonts w:cs="Georgia"/>
          <w:b w:val="0"/>
          <w:i/>
          <w:szCs w:val="20"/>
          <w:lang w:val="lt-LT"/>
        </w:rPr>
        <w:t>w</w:t>
      </w:r>
      <w:r w:rsidRPr="002142B8">
        <w:rPr>
          <w:rFonts w:cs="Georgia"/>
          <w:b w:val="0"/>
          <w:i/>
          <w:szCs w:val="20"/>
          <w:lang w:val="lt-LT"/>
        </w:rPr>
        <w:t>C studija bei autorių papildymai.</w:t>
      </w:r>
    </w:p>
    <w:p w14:paraId="1EAE2DA9" w14:textId="77777777" w:rsidR="00EA7A6C" w:rsidRPr="002142B8" w:rsidRDefault="00EA7A6C" w:rsidP="00336C16">
      <w:pPr>
        <w:autoSpaceDE w:val="0"/>
        <w:autoSpaceDN w:val="0"/>
        <w:adjustRightInd w:val="0"/>
        <w:spacing w:after="0" w:line="240" w:lineRule="auto"/>
        <w:rPr>
          <w:rFonts w:ascii="Arial" w:hAnsi="Arial" w:cs="Arial"/>
          <w:color w:val="000000"/>
          <w:sz w:val="20"/>
          <w:szCs w:val="20"/>
          <w:lang w:val="lt-LT"/>
        </w:rPr>
      </w:pPr>
    </w:p>
    <w:p w14:paraId="1B1A66B1"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Schemoje žemiau yra pavaizduotos finansinių priemonių įgyvendinimo 2014-2020 m. periodu alternatyvos. Šios alternatyvos bus nagrinėjamos tolimesnėse analizės dalyse bei bus parenkamas efektyviausias finansinių priemonių įgyvendinimo modelis.  </w:t>
      </w:r>
    </w:p>
    <w:p w14:paraId="5EE253EA" w14:textId="77777777" w:rsidR="00336C16" w:rsidRPr="002142B8" w:rsidRDefault="00336C16" w:rsidP="00336C16">
      <w:pPr>
        <w:spacing w:after="0"/>
        <w:jc w:val="both"/>
        <w:rPr>
          <w:rFonts w:ascii="Georgia" w:hAnsi="Georgia" w:cs="Georgia"/>
          <w:sz w:val="20"/>
          <w:szCs w:val="20"/>
          <w:lang w:val="lt-LT"/>
        </w:rPr>
      </w:pPr>
    </w:p>
    <w:p w14:paraId="2BBA1A04" w14:textId="77777777" w:rsidR="00336C16" w:rsidRPr="002142B8" w:rsidRDefault="00336C16" w:rsidP="00336C16">
      <w:pPr>
        <w:spacing w:after="0" w:line="240" w:lineRule="auto"/>
        <w:jc w:val="both"/>
        <w:rPr>
          <w:lang w:val="lt-LT"/>
        </w:rPr>
      </w:pPr>
      <w:r w:rsidRPr="002142B8">
        <w:rPr>
          <w:noProof/>
          <w:lang w:val="lt-LT" w:eastAsia="lt-LT"/>
        </w:rPr>
        <w:drawing>
          <wp:inline distT="0" distB="0" distL="0" distR="0" wp14:anchorId="11C9A1F9" wp14:editId="1FD68AE6">
            <wp:extent cx="5720080" cy="4210685"/>
            <wp:effectExtent l="0" t="0" r="0" b="0"/>
            <wp:docPr id="30" name="Paveikslėlis 30"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6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20080" cy="4210685"/>
                    </a:xfrm>
                    <a:prstGeom prst="rect">
                      <a:avLst/>
                    </a:prstGeom>
                    <a:noFill/>
                    <a:ln>
                      <a:noFill/>
                    </a:ln>
                  </pic:spPr>
                </pic:pic>
              </a:graphicData>
            </a:graphic>
          </wp:inline>
        </w:drawing>
      </w:r>
    </w:p>
    <w:p w14:paraId="1D84D569" w14:textId="3FE8259D" w:rsidR="00336C16" w:rsidRPr="002142B8" w:rsidRDefault="00931CAF" w:rsidP="00931CAF">
      <w:pPr>
        <w:pStyle w:val="Antrat"/>
        <w:rPr>
          <w:rFonts w:cs="Georgia"/>
          <w:szCs w:val="20"/>
          <w:lang w:val="lt-LT"/>
        </w:rPr>
      </w:pPr>
      <w:bookmarkStart w:id="19" w:name="_Toc507939260"/>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1</w:t>
      </w:r>
      <w:r w:rsidRPr="002142B8">
        <w:rPr>
          <w:lang w:val="lt-LT"/>
        </w:rPr>
        <w:fldChar w:fldCharType="end"/>
      </w:r>
      <w:r w:rsidRPr="002142B8">
        <w:rPr>
          <w:lang w:val="lt-LT"/>
        </w:rPr>
        <w:t>.</w:t>
      </w:r>
      <w:r w:rsidRPr="002142B8">
        <w:rPr>
          <w:rFonts w:cs="Georgia"/>
          <w:szCs w:val="20"/>
          <w:lang w:val="lt-LT"/>
        </w:rPr>
        <w:t xml:space="preserve"> Finansinių priemonių įgyvendinimo 2014-2020 m. periodu alternatyvos</w:t>
      </w:r>
      <w:bookmarkEnd w:id="19"/>
    </w:p>
    <w:p w14:paraId="0BFBDB57" w14:textId="0F92062F" w:rsidR="00336C16" w:rsidRPr="002142B8" w:rsidRDefault="00B279A0" w:rsidP="00162BF5">
      <w:pPr>
        <w:pStyle w:val="Sraopastraipa"/>
        <w:numPr>
          <w:ilvl w:val="0"/>
          <w:numId w:val="30"/>
        </w:numPr>
        <w:autoSpaceDE w:val="0"/>
        <w:autoSpaceDN w:val="0"/>
        <w:adjustRightInd w:val="0"/>
        <w:spacing w:after="0"/>
        <w:jc w:val="both"/>
        <w:rPr>
          <w:rFonts w:ascii="Georgia" w:hAnsi="Georgia" w:cs="Georgia"/>
          <w:sz w:val="20"/>
          <w:szCs w:val="20"/>
          <w:lang w:val="lt-LT"/>
        </w:rPr>
      </w:pPr>
      <w:r w:rsidRPr="002142B8">
        <w:rPr>
          <w:rFonts w:ascii="Georgia" w:hAnsi="Georgia" w:cs="Arial"/>
          <w:i/>
          <w:color w:val="000000"/>
          <w:sz w:val="20"/>
          <w:szCs w:val="20"/>
          <w:lang w:val="lt-LT"/>
        </w:rPr>
        <w:t>ES</w:t>
      </w:r>
      <w:r w:rsidR="00336C16" w:rsidRPr="002142B8">
        <w:rPr>
          <w:rFonts w:ascii="Georgia" w:hAnsi="Georgia" w:cs="Arial"/>
          <w:i/>
          <w:color w:val="000000"/>
          <w:sz w:val="20"/>
          <w:szCs w:val="20"/>
          <w:lang w:val="lt-LT"/>
        </w:rPr>
        <w:t xml:space="preserve"> lygmeniu įgyvendinamos finansinės priemonės</w:t>
      </w:r>
      <w:r w:rsidR="00336C16" w:rsidRPr="002142B8">
        <w:rPr>
          <w:rFonts w:ascii="Georgia" w:hAnsi="Georgia" w:cs="Arial"/>
          <w:color w:val="000000"/>
          <w:sz w:val="20"/>
          <w:szCs w:val="20"/>
          <w:lang w:val="lt-LT"/>
        </w:rPr>
        <w:t>. Europos Komisijos parengtoje e</w:t>
      </w:r>
      <w:r w:rsidR="00300FF4" w:rsidRPr="002142B8">
        <w:rPr>
          <w:rFonts w:ascii="Georgia" w:hAnsi="Georgia" w:cs="Arial"/>
          <w:color w:val="000000"/>
          <w:sz w:val="20"/>
          <w:szCs w:val="20"/>
          <w:lang w:val="lt-LT"/>
        </w:rPr>
        <w:t>x-ante</w:t>
      </w:r>
      <w:r w:rsidR="00336C16" w:rsidRPr="002142B8">
        <w:rPr>
          <w:rFonts w:ascii="Georgia" w:hAnsi="Georgia" w:cs="Arial"/>
          <w:color w:val="000000"/>
          <w:sz w:val="20"/>
          <w:szCs w:val="20"/>
          <w:lang w:val="lt-LT"/>
        </w:rPr>
        <w:t xml:space="preserve"> vertinimo metodologijoje pažymima, kad </w:t>
      </w:r>
      <w:r w:rsidRPr="002142B8">
        <w:rPr>
          <w:rFonts w:ascii="Georgia" w:hAnsi="Georgia" w:cs="Arial"/>
          <w:color w:val="000000"/>
          <w:sz w:val="20"/>
          <w:szCs w:val="20"/>
          <w:lang w:val="lt-LT"/>
        </w:rPr>
        <w:t>ES</w:t>
      </w:r>
      <w:r w:rsidR="00336C16" w:rsidRPr="002142B8">
        <w:rPr>
          <w:rFonts w:ascii="Georgia" w:hAnsi="Georgia" w:cs="Arial"/>
          <w:color w:val="000000"/>
          <w:sz w:val="20"/>
          <w:szCs w:val="20"/>
          <w:lang w:val="lt-LT"/>
        </w:rPr>
        <w:t xml:space="preserve"> lygmeniu įgyvendinamos finansinės priemonės, kurias tiesiogiai arba netiesiogiai valdo </w:t>
      </w:r>
      <w:r w:rsidRPr="002142B8">
        <w:rPr>
          <w:rFonts w:ascii="Georgia" w:hAnsi="Georgia" w:cs="Arial"/>
          <w:color w:val="000000"/>
          <w:sz w:val="20"/>
          <w:szCs w:val="20"/>
          <w:lang w:val="lt-LT"/>
        </w:rPr>
        <w:t xml:space="preserve">Europos </w:t>
      </w:r>
      <w:r w:rsidR="00336C16" w:rsidRPr="002142B8">
        <w:rPr>
          <w:rFonts w:ascii="Georgia" w:hAnsi="Georgia" w:cs="Arial"/>
          <w:color w:val="000000"/>
          <w:sz w:val="20"/>
          <w:szCs w:val="20"/>
          <w:lang w:val="lt-LT"/>
        </w:rPr>
        <w:t xml:space="preserve">Komisija, yra tinkamas pasirinkimas tais atvejais, kuomet vadovaujančiosios institucijos kompetencijos arba techninės galimybės yra nepakankamos, arba kuomet nėra kritinės masės finansinės priemonės steigimui, o egzistuojanti </w:t>
      </w:r>
      <w:r w:rsidRPr="002142B8">
        <w:rPr>
          <w:rFonts w:ascii="Georgia" w:hAnsi="Georgia" w:cs="Arial"/>
          <w:color w:val="000000"/>
          <w:sz w:val="20"/>
          <w:szCs w:val="20"/>
          <w:lang w:val="lt-LT"/>
        </w:rPr>
        <w:t>ES</w:t>
      </w:r>
      <w:r w:rsidR="00336C16" w:rsidRPr="002142B8">
        <w:rPr>
          <w:rFonts w:ascii="Georgia" w:hAnsi="Georgia" w:cs="Arial"/>
          <w:color w:val="000000"/>
          <w:sz w:val="20"/>
          <w:szCs w:val="20"/>
          <w:lang w:val="lt-LT"/>
        </w:rPr>
        <w:t xml:space="preserve"> lygmeniu įgyvendinama finansinė priemonė pilnai dera su veiksmų programos tikslais. Šios įgyvendinimo alternatyvos privalumai: lėšos panaudojamos pagal patikrintas schemas, kompetentingus ekspertus, be to, </w:t>
      </w:r>
      <w:r w:rsidRPr="002142B8">
        <w:rPr>
          <w:rFonts w:ascii="Georgia" w:hAnsi="Georgia" w:cs="Arial"/>
          <w:color w:val="000000"/>
          <w:sz w:val="20"/>
          <w:szCs w:val="20"/>
          <w:lang w:val="lt-LT"/>
        </w:rPr>
        <w:t>bendrojo finansavimo</w:t>
      </w:r>
      <w:r w:rsidR="00336C16" w:rsidRPr="002142B8">
        <w:rPr>
          <w:rFonts w:ascii="Georgia" w:hAnsi="Georgia" w:cs="Arial"/>
          <w:color w:val="000000"/>
          <w:sz w:val="20"/>
          <w:szCs w:val="20"/>
          <w:lang w:val="lt-LT"/>
        </w:rPr>
        <w:t xml:space="preserve"> rodiklis gali būti padidintas iki 100%</w:t>
      </w:r>
      <w:r w:rsidR="00EF41BB" w:rsidRPr="002142B8">
        <w:rPr>
          <w:rFonts w:ascii="Georgia" w:hAnsi="Georgia" w:cs="Arial"/>
          <w:color w:val="000000"/>
          <w:sz w:val="20"/>
          <w:szCs w:val="20"/>
          <w:lang w:val="lt-LT"/>
        </w:rPr>
        <w:t xml:space="preserve"> (kaip tai numatyta Bendrųjų nuostatų reglamento 120.7 punkte)</w:t>
      </w:r>
      <w:r w:rsidR="00336C16" w:rsidRPr="002142B8">
        <w:rPr>
          <w:rFonts w:ascii="Georgia" w:hAnsi="Georgia" w:cs="Arial"/>
          <w:color w:val="000000"/>
          <w:sz w:val="20"/>
          <w:szCs w:val="20"/>
          <w:lang w:val="lt-LT"/>
        </w:rPr>
        <w:t xml:space="preserve">.  </w:t>
      </w:r>
    </w:p>
    <w:p w14:paraId="581A42F0" w14:textId="77777777" w:rsidR="00336C16" w:rsidRPr="002142B8" w:rsidRDefault="00336C16" w:rsidP="00162BF5">
      <w:pPr>
        <w:pStyle w:val="Sraopastraipa"/>
        <w:numPr>
          <w:ilvl w:val="0"/>
          <w:numId w:val="30"/>
        </w:numPr>
        <w:autoSpaceDE w:val="0"/>
        <w:autoSpaceDN w:val="0"/>
        <w:adjustRightInd w:val="0"/>
        <w:spacing w:after="0"/>
        <w:jc w:val="both"/>
        <w:rPr>
          <w:rFonts w:ascii="Georgia" w:hAnsi="Georgia" w:cs="Georgia"/>
          <w:sz w:val="20"/>
          <w:szCs w:val="20"/>
          <w:lang w:val="lt-LT"/>
        </w:rPr>
      </w:pPr>
      <w:r w:rsidRPr="002142B8">
        <w:rPr>
          <w:rFonts w:ascii="Georgia" w:hAnsi="Georgia" w:cs="Arial"/>
          <w:i/>
          <w:color w:val="000000"/>
          <w:sz w:val="20"/>
          <w:szCs w:val="20"/>
          <w:lang w:val="lt-LT"/>
        </w:rPr>
        <w:t>Nacionaliniu, regioniniu, tarptautiniu ar tarpvalstybiniu lygmeniu nustatytos finansinės priemonės, kurias valdo arba už kurių valdymą atsako vadovaujančioji institucija</w:t>
      </w:r>
      <w:r w:rsidRPr="002142B8">
        <w:rPr>
          <w:rFonts w:ascii="Georgia" w:hAnsi="Georgia" w:cs="Arial"/>
          <w:color w:val="000000"/>
          <w:sz w:val="20"/>
          <w:szCs w:val="20"/>
          <w:lang w:val="lt-LT"/>
        </w:rPr>
        <w:t>. Pasirinkus šią alternatyvą, tolimesniam finansinių priemonių kūrimui yra trys variantai: arba investuoti lėšas į finansinę priemonę įgyvendinančio juridinio asmens kapitalą, arba patikėti finansinės priemonės įgyvendinimą kitai institucijai, arba imtis įgyvendinimo užduotis vykdyti tiesiogiai, kai finansines priemones sudaro tik paskolos arba garantijos.</w:t>
      </w:r>
    </w:p>
    <w:p w14:paraId="0286E315" w14:textId="77777777" w:rsidR="00336C16" w:rsidRPr="002142B8"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2142B8">
        <w:rPr>
          <w:rFonts w:ascii="Georgia" w:hAnsi="Georgia" w:cs="Arial"/>
          <w:i/>
          <w:color w:val="000000"/>
          <w:sz w:val="20"/>
          <w:szCs w:val="20"/>
          <w:lang w:val="lt-LT"/>
        </w:rPr>
        <w:lastRenderedPageBreak/>
        <w:t>Investuojamos lėšos į finansinę priemonę įgyvendinančio juridinio asmens kapitalą</w:t>
      </w:r>
      <w:r w:rsidRPr="002142B8">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14:paraId="0BC253B4" w14:textId="77777777" w:rsidR="00336C16" w:rsidRPr="002142B8"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2142B8">
        <w:rPr>
          <w:rFonts w:ascii="Georgia" w:hAnsi="Georgia" w:cs="Arial"/>
          <w:i/>
          <w:color w:val="000000"/>
          <w:sz w:val="20"/>
          <w:szCs w:val="20"/>
          <w:lang w:val="lt-LT"/>
        </w:rPr>
        <w:t>Finansinės priemonės įgyvendinimas patikimas kitai institucijai</w:t>
      </w:r>
      <w:r w:rsidRPr="002142B8">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14:paraId="3911E747" w14:textId="77777777" w:rsidR="00336C16" w:rsidRPr="002142B8" w:rsidRDefault="00336C16" w:rsidP="00162BF5">
      <w:pPr>
        <w:pStyle w:val="Sraopastraipa"/>
        <w:numPr>
          <w:ilvl w:val="1"/>
          <w:numId w:val="30"/>
        </w:numPr>
        <w:autoSpaceDE w:val="0"/>
        <w:autoSpaceDN w:val="0"/>
        <w:adjustRightInd w:val="0"/>
        <w:spacing w:after="0"/>
        <w:jc w:val="both"/>
        <w:rPr>
          <w:rFonts w:ascii="Georgia" w:hAnsi="Georgia" w:cs="Georgia"/>
          <w:sz w:val="20"/>
          <w:szCs w:val="20"/>
          <w:lang w:val="lt-LT"/>
        </w:rPr>
      </w:pPr>
      <w:r w:rsidRPr="002142B8">
        <w:rPr>
          <w:rFonts w:ascii="Georgia" w:hAnsi="Georgia" w:cs="Arial"/>
          <w:i/>
          <w:color w:val="000000"/>
          <w:sz w:val="20"/>
          <w:szCs w:val="20"/>
          <w:lang w:val="lt-LT"/>
        </w:rPr>
        <w:t>Vadovaujančioji institucija finansinę priemonę įgyvendina pati, kai finansinę priemonę sudaro tik paskolos arba garantijos</w:t>
      </w:r>
      <w:r w:rsidRPr="002142B8">
        <w:rPr>
          <w:rFonts w:ascii="Georgia" w:hAnsi="Georgia" w:cs="Georgia"/>
          <w:sz w:val="20"/>
          <w:szCs w:val="20"/>
          <w:lang w:val="lt-LT"/>
        </w:rPr>
        <w:t xml:space="preserve">. </w:t>
      </w:r>
      <w:r w:rsidR="00E90FDC" w:rsidRPr="002142B8">
        <w:rPr>
          <w:rFonts w:ascii="Georgia" w:hAnsi="Georgia" w:cs="Georgia"/>
          <w:sz w:val="20"/>
          <w:szCs w:val="20"/>
          <w:lang w:val="lt-LT"/>
        </w:rPr>
        <w:t>F</w:t>
      </w:r>
      <w:r w:rsidRPr="002142B8">
        <w:rPr>
          <w:rFonts w:ascii="Georgia" w:hAnsi="Georgia" w:cs="Georgia"/>
          <w:sz w:val="20"/>
          <w:szCs w:val="20"/>
          <w:lang w:val="lt-LT"/>
        </w:rPr>
        <w:t xml:space="preserve">ondas nėra steigiamas, taip pat nėra pasirašoma finansavimo sutartis. Vadovaujančioji institucija turi parengti Investavimo strategiją, kurią peržiūri Stebėsenos komitetas. Mokėjimai iš Europos Komisijos vykdomi tokia pačia tvarka kaip subsidijų ir avansinio mokėjimo </w:t>
      </w:r>
      <w:r w:rsidR="0018202E" w:rsidRPr="002142B8">
        <w:rPr>
          <w:rFonts w:ascii="Georgia" w:hAnsi="Georgia" w:cs="Georgia"/>
          <w:sz w:val="20"/>
          <w:szCs w:val="20"/>
          <w:lang w:val="lt-LT"/>
        </w:rPr>
        <w:t>atveju</w:t>
      </w:r>
      <w:r w:rsidRPr="002142B8">
        <w:rPr>
          <w:rFonts w:ascii="Georgia" w:hAnsi="Georgia" w:cs="Georgia"/>
          <w:sz w:val="20"/>
          <w:szCs w:val="20"/>
          <w:lang w:val="lt-LT"/>
        </w:rPr>
        <w:t xml:space="preserve">. Valdymo mokestis nėra tinkamas finansuoti, tačiau valdymo išlaidos gali būti padengiamos techninės paramos lėšomis. Šis finansinių priemonių steigimo variantas yra priimtinas tais atvejais, kuomet finansinės priemonės apimtis yra nedidelė ir atskiro fondo kūrimas nėra pagrįstas. </w:t>
      </w:r>
    </w:p>
    <w:p w14:paraId="7EE252D1"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4B900A25"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Vadovaujantis </w:t>
      </w:r>
      <w:r w:rsidR="00E731B2" w:rsidRPr="002142B8">
        <w:rPr>
          <w:rFonts w:ascii="Georgia" w:hAnsi="Georgia" w:cs="Georgia"/>
          <w:sz w:val="20"/>
          <w:szCs w:val="20"/>
          <w:lang w:val="lt-LT"/>
        </w:rPr>
        <w:t xml:space="preserve">Bendrųjų </w:t>
      </w:r>
      <w:r w:rsidRPr="002142B8">
        <w:rPr>
          <w:rFonts w:ascii="Georgia" w:hAnsi="Georgia" w:cs="Georgia"/>
          <w:sz w:val="20"/>
          <w:szCs w:val="20"/>
          <w:lang w:val="lt-LT"/>
        </w:rPr>
        <w:t>nuostatų reglamento 38</w:t>
      </w:r>
      <w:r w:rsidR="00EF41BB" w:rsidRPr="002142B8">
        <w:rPr>
          <w:rFonts w:ascii="Georgia" w:hAnsi="Georgia" w:cs="Georgia"/>
          <w:sz w:val="20"/>
          <w:szCs w:val="20"/>
          <w:lang w:val="lt-LT"/>
        </w:rPr>
        <w:t>.</w:t>
      </w:r>
      <w:r w:rsidRPr="002142B8">
        <w:rPr>
          <w:rFonts w:ascii="Georgia" w:hAnsi="Georgia" w:cs="Georgia"/>
          <w:sz w:val="20"/>
          <w:szCs w:val="20"/>
          <w:lang w:val="lt-LT"/>
        </w:rPr>
        <w:t xml:space="preserve">4 </w:t>
      </w:r>
      <w:r w:rsidR="00EF41BB" w:rsidRPr="002142B8">
        <w:rPr>
          <w:rFonts w:ascii="Georgia" w:hAnsi="Georgia" w:cs="Georgia"/>
          <w:sz w:val="20"/>
          <w:szCs w:val="20"/>
          <w:lang w:val="lt-LT"/>
        </w:rPr>
        <w:t>punktu, v</w:t>
      </w:r>
      <w:r w:rsidRPr="002142B8">
        <w:rPr>
          <w:rFonts w:ascii="Georgia" w:hAnsi="Georgia" w:cs="Georgia"/>
          <w:sz w:val="20"/>
          <w:szCs w:val="20"/>
          <w:lang w:val="lt-LT"/>
        </w:rPr>
        <w:t>adovaujan</w:t>
      </w:r>
      <w:r w:rsidR="00EF41BB" w:rsidRPr="002142B8">
        <w:rPr>
          <w:rFonts w:ascii="Georgia" w:hAnsi="Georgia" w:cs="Georgia"/>
          <w:sz w:val="20"/>
          <w:szCs w:val="20"/>
          <w:lang w:val="lt-LT"/>
        </w:rPr>
        <w:t>čioji</w:t>
      </w:r>
      <w:r w:rsidRPr="002142B8">
        <w:rPr>
          <w:rFonts w:ascii="Georgia" w:hAnsi="Georgia" w:cs="Georgia"/>
          <w:sz w:val="20"/>
          <w:szCs w:val="20"/>
          <w:lang w:val="lt-LT"/>
        </w:rPr>
        <w:t xml:space="preserve"> institucija remdama nacionaliniu, regioniniu, tarptautiniu ar tarpvalstybiniu lygmenimis nustatytas finansines priemones, kurias valdo arba už kurių valdymą atsako vadovaujančioji institucija, gali:</w:t>
      </w:r>
    </w:p>
    <w:p w14:paraId="6FE20EC5" w14:textId="77777777" w:rsidR="00336C16" w:rsidRPr="002142B8" w:rsidRDefault="00336C16" w:rsidP="00336C16">
      <w:pPr>
        <w:autoSpaceDE w:val="0"/>
        <w:autoSpaceDN w:val="0"/>
        <w:adjustRightInd w:val="0"/>
        <w:spacing w:after="0"/>
        <w:ind w:left="709"/>
        <w:jc w:val="both"/>
        <w:rPr>
          <w:rFonts w:ascii="Georgia" w:hAnsi="Georgia" w:cs="Georgia"/>
          <w:i/>
          <w:sz w:val="20"/>
          <w:szCs w:val="20"/>
          <w:lang w:val="lt-LT"/>
        </w:rPr>
      </w:pPr>
      <w:r w:rsidRPr="002142B8">
        <w:rPr>
          <w:rFonts w:ascii="Georgia" w:hAnsi="Georgia" w:cs="Georgia"/>
          <w:i/>
          <w:sz w:val="20"/>
          <w:szCs w:val="20"/>
          <w:lang w:val="lt-LT"/>
        </w:rPr>
        <w:t xml:space="preserve">„a) </w:t>
      </w:r>
      <w:r w:rsidRPr="002142B8">
        <w:rPr>
          <w:rFonts w:ascii="Georgia" w:hAnsi="Georgia" w:cs="Georgia"/>
          <w:i/>
          <w:sz w:val="20"/>
          <w:szCs w:val="20"/>
          <w:lang w:val="lt-LT"/>
        </w:rPr>
        <w:tab/>
        <w:t>investuoti į esamų arba naujų juridinių asmenų, taip pat ir tų, kurie finansuojami kitų ESI fondų lėšomis, kurių paskirtis – įgyvendinti finansines priemones suderintas su atitinkamų ESI fondų tikslais, ir kurie imsis vykdyti įgyvendinimo užduotis, kapitalą; finansavimas šiems subjektams neviršija sumų, reikalingų naujoms investicijoms įgyvendinti pagal 37 straipsnį ir teikiamas laikantis šio bendrųjų nuostatų reglamento tikslų;</w:t>
      </w:r>
    </w:p>
    <w:p w14:paraId="4E5D99E5" w14:textId="77777777" w:rsidR="00336C16" w:rsidRPr="002142B8" w:rsidRDefault="00336C16" w:rsidP="00336C16">
      <w:pPr>
        <w:autoSpaceDE w:val="0"/>
        <w:autoSpaceDN w:val="0"/>
        <w:adjustRightInd w:val="0"/>
        <w:spacing w:after="0"/>
        <w:ind w:left="709"/>
        <w:jc w:val="both"/>
        <w:rPr>
          <w:rFonts w:ascii="Georgia" w:hAnsi="Georgia" w:cs="Georgia"/>
          <w:i/>
          <w:sz w:val="20"/>
          <w:szCs w:val="20"/>
          <w:lang w:val="lt-LT"/>
        </w:rPr>
      </w:pPr>
      <w:r w:rsidRPr="002142B8">
        <w:rPr>
          <w:rFonts w:ascii="Georgia" w:hAnsi="Georgia" w:cs="Georgia"/>
          <w:i/>
          <w:sz w:val="20"/>
          <w:szCs w:val="20"/>
          <w:lang w:val="lt-LT"/>
        </w:rPr>
        <w:t>b)</w:t>
      </w:r>
      <w:r w:rsidRPr="002142B8">
        <w:rPr>
          <w:rFonts w:ascii="Georgia" w:hAnsi="Georgia" w:cs="Georgia"/>
          <w:i/>
          <w:sz w:val="20"/>
          <w:szCs w:val="20"/>
          <w:lang w:val="lt-LT"/>
        </w:rPr>
        <w:tab/>
        <w:t>įgyvendinimo užduotis pavesti vykdyti:</w:t>
      </w:r>
    </w:p>
    <w:p w14:paraId="77E5C99E" w14:textId="77777777" w:rsidR="00336C16" w:rsidRPr="002142B8" w:rsidRDefault="00336C16" w:rsidP="00336C16">
      <w:pPr>
        <w:autoSpaceDE w:val="0"/>
        <w:autoSpaceDN w:val="0"/>
        <w:adjustRightInd w:val="0"/>
        <w:spacing w:after="0"/>
        <w:ind w:left="1560"/>
        <w:jc w:val="both"/>
        <w:rPr>
          <w:rFonts w:ascii="Georgia" w:hAnsi="Georgia" w:cs="Georgia"/>
          <w:i/>
          <w:sz w:val="20"/>
          <w:szCs w:val="20"/>
          <w:lang w:val="lt-LT"/>
        </w:rPr>
      </w:pPr>
      <w:r w:rsidRPr="002142B8">
        <w:rPr>
          <w:rFonts w:ascii="Georgia" w:hAnsi="Georgia" w:cs="Georgia"/>
          <w:i/>
          <w:sz w:val="20"/>
          <w:szCs w:val="20"/>
          <w:lang w:val="lt-LT"/>
        </w:rPr>
        <w:t>i)</w:t>
      </w:r>
      <w:r w:rsidRPr="002142B8">
        <w:rPr>
          <w:rFonts w:ascii="Georgia" w:hAnsi="Georgia" w:cs="Georgia"/>
          <w:i/>
          <w:sz w:val="20"/>
          <w:szCs w:val="20"/>
          <w:lang w:val="lt-LT"/>
        </w:rPr>
        <w:tab/>
        <w:t xml:space="preserve">EIB; </w:t>
      </w:r>
    </w:p>
    <w:p w14:paraId="4574B406" w14:textId="77777777" w:rsidR="00336C16" w:rsidRPr="002142B8" w:rsidRDefault="00336C16" w:rsidP="00336C16">
      <w:pPr>
        <w:autoSpaceDE w:val="0"/>
        <w:autoSpaceDN w:val="0"/>
        <w:adjustRightInd w:val="0"/>
        <w:spacing w:after="0"/>
        <w:ind w:left="1560"/>
        <w:jc w:val="both"/>
        <w:rPr>
          <w:rFonts w:ascii="Georgia" w:hAnsi="Georgia" w:cs="Georgia"/>
          <w:i/>
          <w:sz w:val="20"/>
          <w:szCs w:val="20"/>
          <w:lang w:val="lt-LT"/>
        </w:rPr>
      </w:pPr>
      <w:r w:rsidRPr="002142B8">
        <w:rPr>
          <w:rFonts w:ascii="Georgia" w:hAnsi="Georgia" w:cs="Georgia"/>
          <w:i/>
          <w:sz w:val="20"/>
          <w:szCs w:val="20"/>
          <w:lang w:val="lt-LT"/>
        </w:rPr>
        <w:t>ii)</w:t>
      </w:r>
      <w:r w:rsidRPr="002142B8">
        <w:rPr>
          <w:rFonts w:ascii="Georgia" w:hAnsi="Georgia" w:cs="Georgia"/>
          <w:i/>
          <w:sz w:val="20"/>
          <w:szCs w:val="20"/>
          <w:lang w:val="lt-LT"/>
        </w:rPr>
        <w:tab/>
        <w:t xml:space="preserve">tarptautinėms finansų įstaigoms, kuriose valstybė narė yra akcininkė, arba valstybėje narėje įsteigtoms finansų įstaigoms, kurių tikslas – siekti viešųjų interesų kontroliuojant valdžios institucijai; </w:t>
      </w:r>
    </w:p>
    <w:p w14:paraId="292B2D50" w14:textId="77777777" w:rsidR="00336C16" w:rsidRPr="002142B8" w:rsidRDefault="00336C16" w:rsidP="00336C16">
      <w:pPr>
        <w:autoSpaceDE w:val="0"/>
        <w:autoSpaceDN w:val="0"/>
        <w:adjustRightInd w:val="0"/>
        <w:spacing w:after="0"/>
        <w:ind w:left="1560"/>
        <w:jc w:val="both"/>
        <w:rPr>
          <w:rFonts w:ascii="Georgia" w:hAnsi="Georgia" w:cs="Georgia"/>
          <w:i/>
          <w:sz w:val="20"/>
          <w:szCs w:val="20"/>
          <w:lang w:val="lt-LT"/>
        </w:rPr>
      </w:pPr>
      <w:r w:rsidRPr="002142B8">
        <w:rPr>
          <w:rFonts w:ascii="Georgia" w:hAnsi="Georgia" w:cs="Georgia"/>
          <w:i/>
          <w:sz w:val="20"/>
          <w:szCs w:val="20"/>
          <w:lang w:val="lt-LT"/>
        </w:rPr>
        <w:t>iii)</w:t>
      </w:r>
      <w:r w:rsidRPr="002142B8">
        <w:rPr>
          <w:rFonts w:ascii="Georgia" w:hAnsi="Georgia" w:cs="Georgia"/>
          <w:i/>
          <w:sz w:val="20"/>
          <w:szCs w:val="20"/>
          <w:lang w:val="lt-LT"/>
        </w:rPr>
        <w:tab/>
        <w:t>viešosios arba privačiosios teisės subjektui; ar</w:t>
      </w:r>
    </w:p>
    <w:p w14:paraId="78761573" w14:textId="77777777" w:rsidR="00336C16" w:rsidRPr="002142B8" w:rsidRDefault="00336C16" w:rsidP="00336C16">
      <w:pPr>
        <w:autoSpaceDE w:val="0"/>
        <w:autoSpaceDN w:val="0"/>
        <w:adjustRightInd w:val="0"/>
        <w:spacing w:after="0"/>
        <w:ind w:left="709"/>
        <w:jc w:val="both"/>
        <w:rPr>
          <w:rFonts w:ascii="Georgia" w:hAnsi="Georgia" w:cs="Georgia"/>
          <w:i/>
          <w:sz w:val="20"/>
          <w:szCs w:val="20"/>
          <w:lang w:val="lt-LT"/>
        </w:rPr>
      </w:pPr>
      <w:r w:rsidRPr="002142B8">
        <w:rPr>
          <w:rFonts w:ascii="Georgia" w:hAnsi="Georgia" w:cs="Georgia"/>
          <w:i/>
          <w:sz w:val="20"/>
          <w:szCs w:val="20"/>
          <w:lang w:val="lt-LT"/>
        </w:rPr>
        <w:t>c)</w:t>
      </w:r>
      <w:r w:rsidRPr="002142B8">
        <w:rPr>
          <w:rFonts w:ascii="Georgia" w:hAnsi="Georgia" w:cs="Georgia"/>
          <w:i/>
          <w:sz w:val="20"/>
          <w:szCs w:val="20"/>
          <w:lang w:val="lt-LT"/>
        </w:rPr>
        <w:tab/>
        <w:t>imtis įgyvendinimo užduotis vykdyti tiesiogiai, kai finansines priemones sudaro tik paskolos arba garantijos. Tuo atveju vadovaujančioji institucija laikoma paramos gavėju, kaip apibrėžta 2 straipsnio 10 punkte.“</w:t>
      </w:r>
    </w:p>
    <w:p w14:paraId="6521D03D"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5D3EB0EA" w14:textId="77777777" w:rsidR="00336C16" w:rsidRPr="002142B8" w:rsidRDefault="00455941"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Vadovaujančioji institucija taip pat turi galimybę</w:t>
      </w:r>
      <w:r w:rsidR="00336C16" w:rsidRPr="002142B8">
        <w:rPr>
          <w:rFonts w:ascii="Georgia" w:hAnsi="Georgia" w:cs="Georgia"/>
          <w:sz w:val="20"/>
          <w:szCs w:val="20"/>
          <w:lang w:val="lt-LT"/>
        </w:rPr>
        <w:t xml:space="preserve"> pasirinkti vieną iš dviejų finansinių priemonių tipų</w:t>
      </w:r>
      <w:r w:rsidRPr="002142B8">
        <w:rPr>
          <w:rStyle w:val="Puslapioinaosnuoroda"/>
          <w:rFonts w:ascii="Georgia" w:hAnsi="Georgia" w:cs="Georgia"/>
          <w:sz w:val="20"/>
          <w:szCs w:val="20"/>
          <w:lang w:val="lt-LT"/>
        </w:rPr>
        <w:footnoteReference w:id="7"/>
      </w:r>
      <w:r w:rsidR="00336C16" w:rsidRPr="002142B8">
        <w:rPr>
          <w:rFonts w:ascii="Georgia" w:hAnsi="Georgia" w:cs="Georgia"/>
          <w:sz w:val="20"/>
          <w:szCs w:val="20"/>
          <w:lang w:val="lt-LT"/>
        </w:rPr>
        <w:t>:</w:t>
      </w:r>
    </w:p>
    <w:p w14:paraId="4915EB68" w14:textId="77777777" w:rsidR="00336C16" w:rsidRPr="002142B8" w:rsidRDefault="00336C16" w:rsidP="00162BF5">
      <w:pPr>
        <w:pStyle w:val="Sraopastraipa"/>
        <w:numPr>
          <w:ilvl w:val="0"/>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i/>
          <w:color w:val="000000"/>
          <w:sz w:val="20"/>
          <w:szCs w:val="20"/>
          <w:lang w:val="lt-LT"/>
        </w:rPr>
        <w:t>Fin</w:t>
      </w:r>
      <w:r w:rsidR="00455941" w:rsidRPr="002142B8">
        <w:rPr>
          <w:rFonts w:ascii="Georgia" w:hAnsi="Georgia" w:cs="Arial"/>
          <w:i/>
          <w:color w:val="000000"/>
          <w:sz w:val="20"/>
          <w:szCs w:val="20"/>
          <w:lang w:val="lt-LT"/>
        </w:rPr>
        <w:t>ansinė</w:t>
      </w:r>
      <w:r w:rsidRPr="002142B8">
        <w:rPr>
          <w:rFonts w:ascii="Georgia" w:hAnsi="Georgia" w:cs="Arial"/>
          <w:i/>
          <w:color w:val="000000"/>
          <w:sz w:val="20"/>
          <w:szCs w:val="20"/>
          <w:lang w:val="lt-LT"/>
        </w:rPr>
        <w:t>s priemonės, kurios atitinka Komisijos nustatytas standartines sąlygas pagal šios dalies antra pastraipą (angl.</w:t>
      </w:r>
      <w:r w:rsidRPr="002142B8">
        <w:rPr>
          <w:rFonts w:ascii="Georgia" w:hAnsi="Georgia" w:cs="Arial"/>
          <w:color w:val="000000"/>
          <w:sz w:val="20"/>
          <w:szCs w:val="20"/>
          <w:lang w:val="lt-LT"/>
        </w:rPr>
        <w:t xml:space="preserve"> </w:t>
      </w:r>
      <w:r w:rsidRPr="002142B8">
        <w:rPr>
          <w:rFonts w:ascii="Georgia" w:hAnsi="Georgia" w:cs="Arial"/>
          <w:i/>
          <w:color w:val="000000"/>
          <w:sz w:val="20"/>
          <w:szCs w:val="20"/>
          <w:lang w:val="lt-LT"/>
        </w:rPr>
        <w:t>off the shelf</w:t>
      </w:r>
      <w:r w:rsidRPr="002142B8">
        <w:rPr>
          <w:rFonts w:ascii="Georgia" w:hAnsi="Georgia" w:cs="Arial"/>
          <w:color w:val="000000"/>
          <w:sz w:val="20"/>
          <w:szCs w:val="20"/>
          <w:lang w:val="lt-LT"/>
        </w:rPr>
        <w:t>). Tai naujo tipo finansinės priemonės, kurioms yra taikomos iš anksto nustatytos standartinės sąlygos. Šio tipo finansinių priemonių valstybės pagalbos schema yra iš anksto suderinta su Europos Komisija ir valstybės pagalbos reikalavimais, todėl šalims narėms, pasirinkusioms šią alternatyvą, nereikia analizuoti šio klausimo. Standartinių sąlygų finansinės priemonės yra siūlomos šios:</w:t>
      </w:r>
    </w:p>
    <w:p w14:paraId="68F4CBEC" w14:textId="77777777" w:rsidR="00336C16" w:rsidRPr="002142B8"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Paskolų fondas MVĮ;</w:t>
      </w:r>
    </w:p>
    <w:p w14:paraId="12400018" w14:textId="77777777" w:rsidR="00336C16" w:rsidRPr="002142B8"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Garantijų MVĮ fondas;</w:t>
      </w:r>
    </w:p>
    <w:p w14:paraId="3C5046A6" w14:textId="77777777" w:rsidR="00336C16" w:rsidRPr="002142B8"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Kapitalo investicijų į MVĮ fondas;</w:t>
      </w:r>
    </w:p>
    <w:p w14:paraId="6EB33567" w14:textId="77777777" w:rsidR="00336C16" w:rsidRPr="002142B8" w:rsidRDefault="00336C16" w:rsidP="00162BF5">
      <w:pPr>
        <w:pStyle w:val="Sraopastraipa"/>
        <w:numPr>
          <w:ilvl w:val="1"/>
          <w:numId w:val="31"/>
        </w:numPr>
        <w:autoSpaceDE w:val="0"/>
        <w:autoSpaceDN w:val="0"/>
        <w:adjustRightInd w:val="0"/>
        <w:spacing w:after="0"/>
        <w:jc w:val="both"/>
        <w:rPr>
          <w:rFonts w:ascii="Georgia" w:hAnsi="Georgia" w:cs="Arial"/>
          <w:b/>
          <w:i/>
          <w:color w:val="000000"/>
          <w:sz w:val="20"/>
          <w:szCs w:val="20"/>
          <w:lang w:val="lt-LT"/>
        </w:rPr>
      </w:pPr>
      <w:r w:rsidRPr="002142B8">
        <w:rPr>
          <w:rFonts w:ascii="Georgia" w:hAnsi="Georgia" w:cs="Arial"/>
          <w:b/>
          <w:i/>
          <w:color w:val="000000"/>
          <w:sz w:val="20"/>
          <w:szCs w:val="20"/>
          <w:lang w:val="lt-LT"/>
        </w:rPr>
        <w:t>Paskolų fondas energijos efektyvumo priemonėms pastatų sektoriuje;</w:t>
      </w:r>
    </w:p>
    <w:p w14:paraId="6C14AE38" w14:textId="77777777" w:rsidR="00336C16" w:rsidRPr="002142B8" w:rsidRDefault="00336C16" w:rsidP="00162BF5">
      <w:pPr>
        <w:pStyle w:val="Sraopastraipa"/>
        <w:numPr>
          <w:ilvl w:val="1"/>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lastRenderedPageBreak/>
        <w:t>Paskolų fondas tvariai miestų plėtrai.</w:t>
      </w:r>
    </w:p>
    <w:p w14:paraId="706C99A5" w14:textId="77777777" w:rsidR="00336C16" w:rsidRPr="002142B8" w:rsidRDefault="00336C16" w:rsidP="00162BF5">
      <w:pPr>
        <w:pStyle w:val="Sraopastraipa"/>
        <w:numPr>
          <w:ilvl w:val="0"/>
          <w:numId w:val="31"/>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i/>
          <w:color w:val="000000"/>
          <w:sz w:val="20"/>
          <w:szCs w:val="20"/>
          <w:lang w:val="lt-LT"/>
        </w:rPr>
        <w:t>Nacionaliniu, regioniniu, tarptautiniu ar tarpvalstybiniu lygmenimis nustatytoms finansinėms priemonėms, kurias valdo arba už kurių valdymą atsako vadovaujančioji institucija</w:t>
      </w:r>
      <w:r w:rsidRPr="002142B8">
        <w:rPr>
          <w:rFonts w:ascii="Georgia" w:hAnsi="Georgia" w:cs="Arial"/>
          <w:color w:val="000000"/>
          <w:sz w:val="20"/>
          <w:szCs w:val="20"/>
          <w:lang w:val="lt-LT"/>
        </w:rPr>
        <w:t xml:space="preserve">. Tai gali būti nauja arba esama finansinė priemonė, galbūt su reikiamomis modifikacijomis. Renkantis šį finansinių priemonių tipą, privaloma laikytis viešųjų pirkimų ir valstybės pagalbos taikytinų taisyklių. </w:t>
      </w:r>
    </w:p>
    <w:p w14:paraId="114F4029"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p>
    <w:p w14:paraId="285D2A0E"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Pažymėtina, kad alternatyva, kai vadovaujančioji institucija gali skirti finansinį įnašą ES lygmeniu nustatytai/-oms finansinei/ -ėms priemonei/-ėms, kurias tiesiogiai arba netiesiogiai valdo Europos Komisija (pvz., Horizon 2020, COSME, LIFE, CEF ir t.t.), nėra priimtina, kadangi:</w:t>
      </w:r>
    </w:p>
    <w:p w14:paraId="192327AA" w14:textId="77777777" w:rsidR="002C12CB" w:rsidRPr="002142B8"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vadovaujančioji institucija turi pakankamai kompetencijų ir techninių galimybių, jog būtų pajėgi suprojektuoti specifinę finansinę/-es priemonę/-es: 2007-2013 m. ES finansiniu laikotarpiu Lietuva buvo viena pirmųjų valstybių ES, kurioje pradėjo sėkmingai funkcionuoti JEREMIE ir JESSICA iniciatyvų finansuojamos finansinės priemonės, vadovaujančioji institucija aktyviai dalyvavo skleidžiant gerąją patirtį ES lygiu;</w:t>
      </w:r>
    </w:p>
    <w:p w14:paraId="74B570A8" w14:textId="77777777" w:rsidR="002C12CB" w:rsidRPr="002142B8"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ES lygmeniu nustatytos finansinės priemonės neatitinka veiksmų programos tikslų ir identifikuoto poreikio intervencijoms: įvertinus nagrinėjamas sritis, turinio požiūriu artimiausia ES lygmeniu nustatyta priemonė yra LIFE programa (4, 5 ir 6 tematiniai tikslai). Tačiau šios programos projektų specifika nesudaro galimybių efektyviai spręsti veiksmų programoje identifikuotų problemų;</w:t>
      </w:r>
    </w:p>
    <w:p w14:paraId="6FAFDD4E" w14:textId="77777777" w:rsidR="002C12CB" w:rsidRPr="002142B8" w:rsidRDefault="002C12CB" w:rsidP="00162BF5">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 xml:space="preserve">Lietuvoje energijos efektyvumo sektoriuje yra reikalinga kritinė masė finansinės/-ių priemonės/-ių steigimui tiek potencialių projektų skaičiaus, tiek finansinių apimčių požiūriu. </w:t>
      </w:r>
    </w:p>
    <w:p w14:paraId="48C9F857"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p>
    <w:p w14:paraId="0748F6F4"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Galimybė skirti finansinį įnašą regioniniu, tarptautiniu ar tarpvalstybiniu lygmeniu nustatytoms finansinėms priemonėms taip pat nėra priimtina, kadangi:</w:t>
      </w:r>
    </w:p>
    <w:p w14:paraId="15369DD9" w14:textId="77777777" w:rsidR="002C12CB" w:rsidRPr="002142B8" w:rsidRDefault="002C12CB" w:rsidP="00162BF5">
      <w:pPr>
        <w:pStyle w:val="Sraopastraipa"/>
        <w:numPr>
          <w:ilvl w:val="0"/>
          <w:numId w:val="49"/>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regioniniu: Lietuva yra pernelyg maža, jog būtų tikslinga finansines priemones papildomai apriboti geografiškai. Atskiroms teritorijoms galima suteikti įdiegiant papildomas skatinamąsias priemones (pvz. 2007-2013 m. ES finansiniu laikotarpiu JESSICA KF pirmojo ir ketvirtojo kvietimų metu Zarasų, Visagino ir Ignalinos rajonuose įgyvendinamiems projektams taikytas didesnis subsidijos procentas);</w:t>
      </w:r>
    </w:p>
    <w:p w14:paraId="6B5251F1" w14:textId="77777777" w:rsidR="002C12CB" w:rsidRPr="002142B8" w:rsidRDefault="002C12CB" w:rsidP="00162BF5">
      <w:pPr>
        <w:pStyle w:val="Sraopastraipa"/>
        <w:numPr>
          <w:ilvl w:val="0"/>
          <w:numId w:val="49"/>
        </w:num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tarptautiniu, tarpvalstybiniu: papildomos sąnaudos siekiant integruoti skirtingų valstybių teisines nuostatas. Be to, įvertinus numatomą projektų turinį, tokio pobūdžio finansinių priemonių steigimas nesukurtų pridėtinės vertės (numatomi projektai, kurių poveikis geografiniu požiūriu yra koncentruotas ir tiesiogiai neįtakoja gretimų valstybių).</w:t>
      </w:r>
    </w:p>
    <w:p w14:paraId="501E68A9"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p>
    <w:p w14:paraId="39A1FAA1"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Tuo tarpu finansinių priemonių įgyvendinimas nacionaliniu lygiu 2007-2013 m. ES periodu pasiteisino (tiek JESSICA, tiek JEREMIE iniciatyvų atveju).</w:t>
      </w:r>
    </w:p>
    <w:p w14:paraId="1618C729" w14:textId="77777777"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p>
    <w:p w14:paraId="4F9D2D1C" w14:textId="7003EC8C" w:rsidR="002C12CB" w:rsidRPr="002142B8" w:rsidRDefault="002C12CB" w:rsidP="002C12CB">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Atsižvelgiant į tai, tolesniuose e</w:t>
      </w:r>
      <w:r w:rsidR="00300FF4" w:rsidRPr="002142B8">
        <w:rPr>
          <w:rFonts w:ascii="Georgia" w:hAnsi="Georgia" w:cs="Arial"/>
          <w:color w:val="000000"/>
          <w:sz w:val="20"/>
          <w:szCs w:val="20"/>
          <w:lang w:val="lt-LT"/>
        </w:rPr>
        <w:t>x-ante</w:t>
      </w:r>
      <w:r w:rsidRPr="002142B8">
        <w:rPr>
          <w:rFonts w:ascii="Georgia" w:hAnsi="Georgia" w:cs="Arial"/>
          <w:color w:val="000000"/>
          <w:sz w:val="20"/>
          <w:szCs w:val="20"/>
          <w:lang w:val="lt-LT"/>
        </w:rPr>
        <w:t xml:space="preserve"> vertinimo skyriuose analizė bus atliekama apsiribojant tik galimybe finansinį įnašą skirti nacionaliniu lygiu nustatytai finansinei priemonei/-ėms.</w:t>
      </w:r>
    </w:p>
    <w:p w14:paraId="5BD8745F" w14:textId="77777777" w:rsidR="002C12CB" w:rsidRPr="002142B8" w:rsidRDefault="002C12CB" w:rsidP="00336C16">
      <w:pPr>
        <w:autoSpaceDE w:val="0"/>
        <w:autoSpaceDN w:val="0"/>
        <w:adjustRightInd w:val="0"/>
        <w:spacing w:after="0"/>
        <w:jc w:val="both"/>
        <w:rPr>
          <w:rFonts w:ascii="Georgia" w:hAnsi="Georgia" w:cs="Georgia"/>
          <w:sz w:val="20"/>
          <w:szCs w:val="20"/>
          <w:lang w:val="lt-LT"/>
        </w:rPr>
      </w:pPr>
    </w:p>
    <w:p w14:paraId="19F53B41" w14:textId="77777777" w:rsidR="00336C16" w:rsidRPr="002142B8" w:rsidRDefault="0018202E" w:rsidP="00336C16">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Sekančioje schemoje pateikiamos galimos finansinių priemonių valdymo ir įgyvendinimo alternatyvos.</w:t>
      </w:r>
      <w:r w:rsidR="00336C16" w:rsidRPr="002142B8">
        <w:rPr>
          <w:rFonts w:ascii="Georgia" w:hAnsi="Georgia" w:cs="Georgia"/>
          <w:sz w:val="20"/>
          <w:szCs w:val="20"/>
          <w:lang w:val="lt-LT"/>
        </w:rPr>
        <w:t xml:space="preserve"> </w:t>
      </w:r>
    </w:p>
    <w:p w14:paraId="6FEEDED0" w14:textId="77777777" w:rsidR="00336C16" w:rsidRPr="002142B8" w:rsidRDefault="00336C16" w:rsidP="00336C16">
      <w:pPr>
        <w:autoSpaceDE w:val="0"/>
        <w:autoSpaceDN w:val="0"/>
        <w:adjustRightInd w:val="0"/>
        <w:spacing w:after="0"/>
        <w:jc w:val="both"/>
        <w:rPr>
          <w:rFonts w:ascii="Georgia" w:hAnsi="Georgia" w:cs="Georgia"/>
          <w:sz w:val="20"/>
          <w:szCs w:val="20"/>
          <w:lang w:val="lt-LT"/>
        </w:rPr>
      </w:pPr>
    </w:p>
    <w:p w14:paraId="39E6C63A" w14:textId="77777777" w:rsidR="00455941" w:rsidRPr="002142B8" w:rsidRDefault="008C214F" w:rsidP="00336C16">
      <w:pPr>
        <w:autoSpaceDE w:val="0"/>
        <w:autoSpaceDN w:val="0"/>
        <w:adjustRightInd w:val="0"/>
        <w:spacing w:after="0"/>
        <w:jc w:val="both"/>
        <w:rPr>
          <w:rFonts w:ascii="Georgia" w:hAnsi="Georgia" w:cs="Georgia"/>
          <w:sz w:val="20"/>
          <w:szCs w:val="20"/>
          <w:lang w:val="lt-LT"/>
        </w:rPr>
      </w:pPr>
      <w:r w:rsidRPr="002142B8">
        <w:rPr>
          <w:noProof/>
          <w:lang w:val="lt-LT" w:eastAsia="lt-LT"/>
        </w:rPr>
        <w:lastRenderedPageBreak/>
        <mc:AlternateContent>
          <mc:Choice Requires="wpg">
            <w:drawing>
              <wp:anchor distT="0" distB="0" distL="114300" distR="114300" simplePos="0" relativeHeight="251630592" behindDoc="0" locked="0" layoutInCell="1" allowOverlap="1" wp14:anchorId="5B28206D" wp14:editId="049B51FB">
                <wp:simplePos x="0" y="0"/>
                <wp:positionH relativeFrom="column">
                  <wp:posOffset>620726</wp:posOffset>
                </wp:positionH>
                <wp:positionV relativeFrom="paragraph">
                  <wp:posOffset>1056640</wp:posOffset>
                </wp:positionV>
                <wp:extent cx="3797935" cy="2242820"/>
                <wp:effectExtent l="0" t="0" r="0" b="43180"/>
                <wp:wrapNone/>
                <wp:docPr id="31" name="Grupė 34"/>
                <wp:cNvGraphicFramePr/>
                <a:graphic xmlns:a="http://schemas.openxmlformats.org/drawingml/2006/main">
                  <a:graphicData uri="http://schemas.microsoft.com/office/word/2010/wordprocessingGroup">
                    <wpg:wgp>
                      <wpg:cNvGrpSpPr/>
                      <wpg:grpSpPr>
                        <a:xfrm>
                          <a:off x="0" y="0"/>
                          <a:ext cx="3797935" cy="2242820"/>
                          <a:chOff x="0" y="0"/>
                          <a:chExt cx="3797845" cy="2242583"/>
                        </a:xfrm>
                      </wpg:grpSpPr>
                      <wps:wsp>
                        <wps:cNvPr id="35" name="2 teksto laukas"/>
                        <wps:cNvSpPr txBox="1">
                          <a:spLocks noChangeArrowheads="1"/>
                        </wps:cNvSpPr>
                        <wps:spPr bwMode="auto">
                          <a:xfrm>
                            <a:off x="0" y="0"/>
                            <a:ext cx="1265274" cy="372139"/>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F424763" w14:textId="77777777" w:rsidR="00133798" w:rsidRDefault="00133798"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133798" w:rsidRDefault="00133798"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wps:txbx>
                        <wps:bodyPr rot="0" vert="horz" wrap="square" lIns="91440" tIns="45720" rIns="91440" bIns="45720" anchor="t" anchorCtr="0">
                          <a:noAutofit/>
                        </wps:bodyPr>
                      </wps:wsp>
                      <wps:wsp>
                        <wps:cNvPr id="39" name="Stačiakampis 156"/>
                        <wps:cNvSpPr/>
                        <wps:spPr>
                          <a:xfrm>
                            <a:off x="2389781" y="594641"/>
                            <a:ext cx="905774"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ačiakampis 157"/>
                        <wps:cNvSpPr/>
                        <wps:spPr>
                          <a:xfrm>
                            <a:off x="2883445" y="690008"/>
                            <a:ext cx="91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Alkūninė jungtis 158"/>
                        <wps:cNvCnPr/>
                        <wps:spPr>
                          <a:xfrm rot="16200000" flipH="1">
                            <a:off x="2140144" y="1001353"/>
                            <a:ext cx="1475105" cy="982800"/>
                          </a:xfrm>
                          <a:prstGeom prst="bentConnector3">
                            <a:avLst>
                              <a:gd name="adj1" fmla="val 292"/>
                            </a:avLst>
                          </a:prstGeom>
                          <a:ln w="12700">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ė 34" o:spid="_x0000_s1030" style="position:absolute;left:0;text-align:left;margin-left:48.9pt;margin-top:83.2pt;width:299.05pt;height:176.6pt;z-index:251630592" coordsize="37978,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">
                <v:roundrect id="2 teksto laukas" o:spid="_x0000_s1031" style="position:absolute;width:12652;height:3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icIA&#10;AADbAAAADwAAAGRycy9kb3ducmV2LnhtbESPQYvCMBSE74L/ITzBm6auWKRrlFUUvOlWL94ezdu2&#10;bPPSTaLWf28EYY/DzHzDLFadacSNnK8tK5iMExDEhdU1lwrOp91oDsIHZI2NZVLwIA+rZb+3wEzb&#10;O3/TLQ+liBD2GSqoQmgzKX1RkUE/ti1x9H6sMxiidKXUDu8Rbhr5kSSpNFhzXKiwpU1FxW9+NQr+&#10;arfebaw7Fmmab0/+cGmwvSg1HHRfnyACdeE//G7vtYLp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DCJwgAAANsAAAAPAAAAAAAAAAAAAAAAAJgCAABkcnMvZG93&#10;bnJldi54bWxQSwUGAAAAAAQABAD1AAAAhwMAAAAA&#10;" fillcolor="white [3201]" strokecolor="#f79646 [3209]" strokeweight="2pt">
                  <v:textbox>
                    <w:txbxContent>
                      <w:p w14:paraId="0F424763" w14:textId="77777777" w:rsidR="00133798" w:rsidRDefault="00133798"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133798" w:rsidRDefault="00133798"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v:textbox>
                </v:roundrect>
                <v:rect id="Stačiakampis 156" o:spid="_x0000_s1032" style="position:absolute;left:23897;top:5946;width:9058;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qOsQA&#10;AADbAAAADwAAAGRycy9kb3ducmV2LnhtbESPQWvCQBSE70L/w/IEb2ajorapq5RSQ/TWtOn5kX1N&#10;QrNvY3bV9N93BaHHYWa+YTa7wbTiQr1rLCuYRTEI4tLqhisFnx/76SMI55E1tpZJwS852G0fRhtM&#10;tL3yO11yX4kAYZeggtr7LpHSlTUZdJHtiIP3bXuDPsi+krrHa4CbVs7jeCUNNhwWauzotabyJz8b&#10;Befl+vA2fJ3SRREX62PRLjOfdkpNxsPLMwhPg/8P39uZVrB4gt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qjrEAAAA2wAAAA8AAAAAAAAAAAAAAAAAmAIAAGRycy9k&#10;b3ducmV2LnhtbFBLBQYAAAAABAAEAPUAAACJAwAAAAA=&#10;" fillcolor="white [3212]" stroked="f" strokeweight="2pt"/>
                <v:rect id="Stačiakampis 157" o:spid="_x0000_s1033" style="position:absolute;left:28834;top:6900;width:9144;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158" o:spid="_x0000_s1034" type="#_x0000_t34" style="position:absolute;left:21400;top:10014;width:14751;height:98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L+8UAAADbAAAADwAAAGRycy9kb3ducmV2LnhtbESPT2vCQBTE74LfYXlCb7qJLVWiq4gg&#10;SKmHWi/eHtlnEs2+jdnNn/rp3UKhx2FmfsMs170pRUu1KywriCcRCOLU6oIzBafv3XgOwnlkjaVl&#10;UvBDDtar4WCJibYdf1F79JkIEHYJKsi9rxIpXZqTQTexFXHwLrY26IOsM6lr7ALclHIaRe/SYMFh&#10;IceKtjmlt2NjFGzOs+Iavx7a8tC0n/joPpp+e1fqZdRvFiA89f4//NfeawVvMfx+CT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L+8UAAADbAAAADwAAAAAAAAAA&#10;AAAAAAChAgAAZHJzL2Rvd25yZXYueG1sUEsFBgAAAAAEAAQA+QAAAJMDAAAAAA==&#10;" adj="63" strokecolor="#f68c36 [3049]" strokeweight="1pt">
                  <v:stroke endarrow="open"/>
                </v:shape>
              </v:group>
            </w:pict>
          </mc:Fallback>
        </mc:AlternateContent>
      </w:r>
      <w:r w:rsidRPr="002142B8">
        <w:rPr>
          <w:noProof/>
          <w:lang w:val="lt-LT" w:eastAsia="lt-LT"/>
        </w:rPr>
        <w:drawing>
          <wp:inline distT="0" distB="0" distL="0" distR="0" wp14:anchorId="5D653B41" wp14:editId="55A4B50B">
            <wp:extent cx="5730875" cy="3657600"/>
            <wp:effectExtent l="0" t="0" r="3175" b="0"/>
            <wp:docPr id="17" name="Paveikslėlis 28" descr="Paveikslė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34" descr="Paveikslėlis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0875" cy="3657600"/>
                    </a:xfrm>
                    <a:prstGeom prst="rect">
                      <a:avLst/>
                    </a:prstGeom>
                    <a:noFill/>
                    <a:ln>
                      <a:noFill/>
                    </a:ln>
                  </pic:spPr>
                </pic:pic>
              </a:graphicData>
            </a:graphic>
          </wp:inline>
        </w:drawing>
      </w:r>
    </w:p>
    <w:p w14:paraId="654F71DD" w14:textId="77777777" w:rsidR="00336C16" w:rsidRPr="002142B8" w:rsidRDefault="00336C16" w:rsidP="00336C16">
      <w:pPr>
        <w:autoSpaceDE w:val="0"/>
        <w:autoSpaceDN w:val="0"/>
        <w:adjustRightInd w:val="0"/>
        <w:spacing w:after="0" w:line="240" w:lineRule="auto"/>
        <w:jc w:val="both"/>
        <w:rPr>
          <w:rFonts w:ascii="Georgia" w:hAnsi="Georgia" w:cs="Georgia"/>
          <w:sz w:val="20"/>
          <w:szCs w:val="20"/>
          <w:lang w:val="lt-LT"/>
        </w:rPr>
      </w:pPr>
    </w:p>
    <w:p w14:paraId="33D02079" w14:textId="2E07928B" w:rsidR="00336C16" w:rsidRPr="002142B8" w:rsidRDefault="00931CAF" w:rsidP="00931CAF">
      <w:pPr>
        <w:pStyle w:val="Antrat"/>
        <w:jc w:val="both"/>
        <w:rPr>
          <w:rFonts w:cs="Georgia"/>
          <w:szCs w:val="20"/>
          <w:lang w:val="lt-LT"/>
        </w:rPr>
      </w:pPr>
      <w:bookmarkStart w:id="20" w:name="_Toc507939261"/>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2</w:t>
      </w:r>
      <w:r w:rsidRPr="002142B8">
        <w:rPr>
          <w:lang w:val="lt-LT"/>
        </w:rPr>
        <w:fldChar w:fldCharType="end"/>
      </w:r>
      <w:r w:rsidRPr="002142B8">
        <w:rPr>
          <w:lang w:val="lt-LT"/>
        </w:rPr>
        <w:t xml:space="preserve">. </w:t>
      </w:r>
      <w:r w:rsidRPr="002142B8">
        <w:rPr>
          <w:rFonts w:cs="Georgia"/>
          <w:szCs w:val="20"/>
          <w:lang w:val="lt-LT"/>
        </w:rPr>
        <w:t>Finansinių priemonių valdymo ir įgyvendinimo alternatyvos</w:t>
      </w:r>
      <w:bookmarkEnd w:id="20"/>
    </w:p>
    <w:p w14:paraId="527A9F18"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r w:rsidRPr="002142B8">
        <w:rPr>
          <w:rFonts w:ascii="Georgia" w:hAnsi="Georgia" w:cs="Georgia"/>
          <w:sz w:val="20"/>
          <w:szCs w:val="20"/>
          <w:lang w:val="lt-LT"/>
        </w:rPr>
        <w:t>Jeigu vadovaujančioji institucija priima sprendimą i</w:t>
      </w:r>
      <w:r w:rsidRPr="002142B8">
        <w:rPr>
          <w:rFonts w:ascii="Georgia" w:hAnsi="Georgia" w:cs="Arial"/>
          <w:color w:val="000000"/>
          <w:sz w:val="20"/>
          <w:szCs w:val="20"/>
          <w:lang w:val="lt-LT"/>
        </w:rPr>
        <w:t>nvestuoti lėšas į finansinę priemonę įgyvendinančio juridinio asmens kapitalą arba finansinės priemonės įgyvendinimą patikėti kitai institucijai, finansinė priemonė gali būti steigiama su arba be fondų fondo. Fondų fondas – tai fondas, kuris steigiamas tam, kad sukoncentruoti vienos ar kelių programų lėšas kelioms finansinėms priemonėms, arba priemonėms įgyvendinamoms per finansinius tarpininkus. Fondų fondas gali valdyti finansines priemones, įgyvendinamas pagal skirtingus tematinius tikslus. Numačius fondų fondo steigimą, dalis finansinės priemonės įgyvendinimo veiklų gali būti patikėta keliems finansiniams tarpininkams, kurie teiks finansavimą galutiniams naudos gavėjams. Jeigu bus nuspręsta fondų fondo nesteigti, lėšos galutinius naudos gavėjus pasieks ne per du lygius (fondų fondą ir finansinį tarpininką), o per vieną lygį, t.y.</w:t>
      </w:r>
      <w:r w:rsidR="00873719" w:rsidRPr="002142B8">
        <w:rPr>
          <w:rFonts w:ascii="Georgia" w:hAnsi="Georgia" w:cs="Arial"/>
          <w:color w:val="000000"/>
          <w:sz w:val="20"/>
          <w:szCs w:val="20"/>
          <w:lang w:val="lt-LT"/>
        </w:rPr>
        <w:t xml:space="preserve"> tik finansinės priemonės valdytoją, kuris tiesiogiai finansuos projektus</w:t>
      </w:r>
      <w:r w:rsidRPr="002142B8">
        <w:rPr>
          <w:rFonts w:ascii="Georgia" w:hAnsi="Georgia" w:cs="Arial"/>
          <w:color w:val="000000"/>
          <w:sz w:val="20"/>
          <w:szCs w:val="20"/>
          <w:lang w:val="lt-LT"/>
        </w:rPr>
        <w:t xml:space="preserve">. Jeigu vadovaujančioji institucija priima sprendimą įgyvendinti veiklas pati, paprastai tarp vadovaujančios institucijos ir galutinių naudos gavėjų nėra jokių tarpininkų ir vadovaujanti institucija yra laikoma paramos gavėju, todėl negali  pavesti vienai ar kelioms tarpinėms institucijoms įgyvendinti veiklas vadovaujančios institucijos vardu. </w:t>
      </w:r>
    </w:p>
    <w:p w14:paraId="45362D17"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p>
    <w:p w14:paraId="4A6CAF3C"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 xml:space="preserve">Vadovaujantis šiomis nuostatomis </w:t>
      </w:r>
      <w:r w:rsidR="00873719" w:rsidRPr="002142B8">
        <w:rPr>
          <w:rFonts w:ascii="Georgia" w:hAnsi="Georgia" w:cs="Arial"/>
          <w:color w:val="000000"/>
          <w:sz w:val="20"/>
          <w:szCs w:val="20"/>
          <w:lang w:val="lt-LT"/>
        </w:rPr>
        <w:t>v</w:t>
      </w:r>
      <w:r w:rsidRPr="002142B8">
        <w:rPr>
          <w:rFonts w:ascii="Georgia" w:hAnsi="Georgia" w:cs="Arial"/>
          <w:color w:val="000000"/>
          <w:sz w:val="20"/>
          <w:szCs w:val="20"/>
          <w:lang w:val="lt-LT"/>
        </w:rPr>
        <w:t>adovaujančioji institucija gali pasinaudoti trimis pagrindinėmis valdymo struktūromis (</w:t>
      </w:r>
      <w:r w:rsidR="00931CAF" w:rsidRPr="002142B8">
        <w:rPr>
          <w:rFonts w:ascii="Georgia" w:hAnsi="Georgia" w:cs="Arial"/>
          <w:color w:val="000000"/>
          <w:sz w:val="20"/>
          <w:szCs w:val="20"/>
          <w:lang w:val="lt-LT"/>
        </w:rPr>
        <w:t>paveikslas</w:t>
      </w:r>
      <w:r w:rsidR="001E4B4F" w:rsidRPr="002142B8">
        <w:rPr>
          <w:rFonts w:ascii="Georgia" w:hAnsi="Georgia" w:cs="Arial"/>
          <w:color w:val="000000"/>
          <w:sz w:val="20"/>
          <w:szCs w:val="20"/>
          <w:lang w:val="lt-LT"/>
        </w:rPr>
        <w:t xml:space="preserve"> aukščiau</w:t>
      </w:r>
      <w:r w:rsidRPr="002142B8">
        <w:rPr>
          <w:rFonts w:ascii="Georgia" w:hAnsi="Georgia" w:cs="Arial"/>
          <w:color w:val="000000"/>
          <w:sz w:val="20"/>
          <w:szCs w:val="20"/>
          <w:lang w:val="lt-LT"/>
        </w:rPr>
        <w:t xml:space="preserve">) tam, kad galėtų įgyvendinti pasirinktas finansines priemones. </w:t>
      </w:r>
    </w:p>
    <w:p w14:paraId="468B6F82" w14:textId="77777777" w:rsidR="00336C16" w:rsidRPr="002142B8" w:rsidRDefault="00336C16" w:rsidP="00336C16">
      <w:pPr>
        <w:rPr>
          <w:rFonts w:ascii="Times New Roman" w:hAnsi="Times New Roman" w:cs="Times New Roman"/>
          <w:sz w:val="24"/>
          <w:szCs w:val="24"/>
          <w:lang w:val="lt-LT"/>
        </w:rPr>
      </w:pPr>
      <w:r w:rsidRPr="002142B8">
        <w:rPr>
          <w:noProof/>
          <w:lang w:val="lt-LT" w:eastAsia="lt-LT"/>
        </w:rPr>
        <w:lastRenderedPageBreak/>
        <mc:AlternateContent>
          <mc:Choice Requires="wpc">
            <w:drawing>
              <wp:inline distT="0" distB="0" distL="0" distR="0" wp14:anchorId="627CA52C" wp14:editId="2AC23CF1">
                <wp:extent cx="5741035" cy="3657600"/>
                <wp:effectExtent l="0" t="0" r="12065" b="0"/>
                <wp:docPr id="33"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8" name="Rectangle 7"/>
                        <wps:cNvSpPr>
                          <a:spLocks noChangeArrowheads="1"/>
                        </wps:cNvSpPr>
                        <wps:spPr bwMode="auto">
                          <a:xfrm>
                            <a:off x="42900" y="554200"/>
                            <a:ext cx="1802711" cy="30063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49" name="Rectangle 8"/>
                        <wps:cNvSpPr>
                          <a:spLocks noChangeArrowheads="1"/>
                        </wps:cNvSpPr>
                        <wps:spPr bwMode="auto">
                          <a:xfrm>
                            <a:off x="1997612"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0" name="Rectangle 9"/>
                        <wps:cNvSpPr>
                          <a:spLocks noChangeArrowheads="1"/>
                        </wps:cNvSpPr>
                        <wps:spPr bwMode="auto">
                          <a:xfrm>
                            <a:off x="3930124" y="555400"/>
                            <a:ext cx="1802611" cy="30051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1" name="AutoShape 10"/>
                        <wps:cNvSpPr>
                          <a:spLocks noChangeArrowheads="1"/>
                        </wps:cNvSpPr>
                        <wps:spPr bwMode="auto">
                          <a:xfrm>
                            <a:off x="292902" y="735700"/>
                            <a:ext cx="1423609" cy="241200"/>
                          </a:xfrm>
                          <a:prstGeom prst="roundRect">
                            <a:avLst>
                              <a:gd name="adj" fmla="val 16667"/>
                            </a:avLst>
                          </a:prstGeom>
                          <a:solidFill>
                            <a:srgbClr val="E36C0A"/>
                          </a:solidFill>
                          <a:ln w="9525">
                            <a:solidFill>
                              <a:srgbClr val="974706"/>
                            </a:solidFill>
                            <a:round/>
                            <a:headEnd/>
                            <a:tailEnd/>
                          </a:ln>
                        </wps:spPr>
                        <wps:txbx>
                          <w:txbxContent>
                            <w:p w14:paraId="5A0931AF" w14:textId="77777777" w:rsidR="00133798" w:rsidRDefault="00133798" w:rsidP="00336C16">
                              <w:pPr>
                                <w:spacing w:after="0" w:line="240" w:lineRule="auto"/>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2" name="AutoShape 11"/>
                        <wps:cNvSpPr>
                          <a:spLocks noChangeArrowheads="1"/>
                        </wps:cNvSpPr>
                        <wps:spPr bwMode="auto">
                          <a:xfrm>
                            <a:off x="2239714" y="735700"/>
                            <a:ext cx="1423709" cy="241200"/>
                          </a:xfrm>
                          <a:prstGeom prst="roundRect">
                            <a:avLst>
                              <a:gd name="adj" fmla="val 16667"/>
                            </a:avLst>
                          </a:prstGeom>
                          <a:solidFill>
                            <a:srgbClr val="E36C0A"/>
                          </a:solidFill>
                          <a:ln w="9525">
                            <a:solidFill>
                              <a:srgbClr val="974706"/>
                            </a:solidFill>
                            <a:round/>
                            <a:headEnd/>
                            <a:tailEnd/>
                          </a:ln>
                        </wps:spPr>
                        <wps:txbx>
                          <w:txbxContent>
                            <w:p w14:paraId="508A7CE6" w14:textId="77777777" w:rsidR="00133798" w:rsidRDefault="00133798"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4" name="AutoShape 12"/>
                        <wps:cNvSpPr>
                          <a:spLocks noChangeArrowheads="1"/>
                        </wps:cNvSpPr>
                        <wps:spPr bwMode="auto">
                          <a:xfrm>
                            <a:off x="4109225" y="735700"/>
                            <a:ext cx="1423709" cy="241200"/>
                          </a:xfrm>
                          <a:prstGeom prst="roundRect">
                            <a:avLst>
                              <a:gd name="adj" fmla="val 16667"/>
                            </a:avLst>
                          </a:prstGeom>
                          <a:solidFill>
                            <a:srgbClr val="E36C0A"/>
                          </a:solidFill>
                          <a:ln w="9525">
                            <a:solidFill>
                              <a:srgbClr val="974706"/>
                            </a:solidFill>
                            <a:round/>
                            <a:headEnd/>
                            <a:tailEnd/>
                          </a:ln>
                        </wps:spPr>
                        <wps:txbx>
                          <w:txbxContent>
                            <w:p w14:paraId="0359D22C" w14:textId="77777777" w:rsidR="00133798" w:rsidRDefault="00133798"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5" name="AutoShape 13"/>
                        <wps:cNvSpPr>
                          <a:spLocks noChangeArrowheads="1"/>
                        </wps:cNvSpPr>
                        <wps:spPr bwMode="auto">
                          <a:xfrm>
                            <a:off x="258152" y="2978400"/>
                            <a:ext cx="1486509" cy="464800"/>
                          </a:xfrm>
                          <a:prstGeom prst="roundRect">
                            <a:avLst>
                              <a:gd name="adj" fmla="val 16667"/>
                            </a:avLst>
                          </a:prstGeom>
                          <a:solidFill>
                            <a:srgbClr val="E36C0A"/>
                          </a:solidFill>
                          <a:ln w="9525">
                            <a:solidFill>
                              <a:srgbClr val="974706"/>
                            </a:solidFill>
                            <a:round/>
                            <a:headEnd/>
                            <a:tailEnd/>
                          </a:ln>
                        </wps:spPr>
                        <wps:txbx>
                          <w:txbxContent>
                            <w:p w14:paraId="6E739A4B" w14:textId="15BC88F1" w:rsidR="00133798" w:rsidRDefault="00133798" w:rsidP="00336C16">
                              <w:pPr>
                                <w:spacing w:after="0" w:line="240" w:lineRule="auto"/>
                                <w:jc w:val="center"/>
                                <w:rPr>
                                  <w:b/>
                                  <w:color w:val="FFFFFF"/>
                                  <w:sz w:val="16"/>
                                  <w:szCs w:val="16"/>
                                </w:rPr>
                              </w:pPr>
                              <w:r>
                                <w:rPr>
                                  <w:b/>
                                  <w:color w:val="FFFFFF"/>
                                  <w:sz w:val="16"/>
                                  <w:szCs w:val="16"/>
                                </w:rPr>
                                <w:t>Galutiniai naudos</w:t>
                              </w:r>
                            </w:p>
                            <w:p w14:paraId="63F32E66"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txbxContent>
                        </wps:txbx>
                        <wps:bodyPr rot="0" vert="horz" wrap="square" lIns="91440" tIns="45720" rIns="91440" bIns="45720" anchor="t" anchorCtr="0" upright="1">
                          <a:noAutofit/>
                        </wps:bodyPr>
                      </wps:wsp>
                      <wps:wsp>
                        <wps:cNvPr id="456" name="AutoShape 14"/>
                        <wps:cNvSpPr>
                          <a:spLocks noChangeArrowheads="1"/>
                        </wps:cNvSpPr>
                        <wps:spPr bwMode="auto">
                          <a:xfrm>
                            <a:off x="2214409" y="2978900"/>
                            <a:ext cx="1469109" cy="465500"/>
                          </a:xfrm>
                          <a:prstGeom prst="roundRect">
                            <a:avLst>
                              <a:gd name="adj" fmla="val 16667"/>
                            </a:avLst>
                          </a:prstGeom>
                          <a:solidFill>
                            <a:srgbClr val="E36C0A"/>
                          </a:solidFill>
                          <a:ln w="9525">
                            <a:solidFill>
                              <a:srgbClr val="974706"/>
                            </a:solidFill>
                            <a:round/>
                            <a:headEnd/>
                            <a:tailEnd/>
                          </a:ln>
                        </wps:spPr>
                        <wps:txbx>
                          <w:txbxContent>
                            <w:p w14:paraId="77C2CA91" w14:textId="7CDE3A26" w:rsidR="00133798" w:rsidRDefault="00133798" w:rsidP="00336C16">
                              <w:pPr>
                                <w:spacing w:after="0" w:line="240" w:lineRule="auto"/>
                                <w:jc w:val="center"/>
                                <w:rPr>
                                  <w:b/>
                                  <w:color w:val="FFFFFF"/>
                                  <w:sz w:val="16"/>
                                  <w:szCs w:val="16"/>
                                </w:rPr>
                              </w:pPr>
                              <w:r>
                                <w:rPr>
                                  <w:b/>
                                  <w:color w:val="FFFFFF"/>
                                  <w:sz w:val="16"/>
                                  <w:szCs w:val="16"/>
                                </w:rPr>
                                <w:t>Galutiniai naudos</w:t>
                              </w:r>
                            </w:p>
                            <w:p w14:paraId="06E207E8"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p w14:paraId="2855F0A0" w14:textId="77777777" w:rsidR="00133798" w:rsidRDefault="00133798"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7" name="AutoShape 15"/>
                        <wps:cNvSpPr>
                          <a:spLocks noChangeArrowheads="1"/>
                        </wps:cNvSpPr>
                        <wps:spPr bwMode="auto">
                          <a:xfrm>
                            <a:off x="4109225" y="2979400"/>
                            <a:ext cx="1423709" cy="466200"/>
                          </a:xfrm>
                          <a:prstGeom prst="roundRect">
                            <a:avLst>
                              <a:gd name="adj" fmla="val 16667"/>
                            </a:avLst>
                          </a:prstGeom>
                          <a:solidFill>
                            <a:srgbClr val="E36C0A"/>
                          </a:solidFill>
                          <a:ln w="9525">
                            <a:solidFill>
                              <a:srgbClr val="974706"/>
                            </a:solidFill>
                            <a:round/>
                            <a:headEnd/>
                            <a:tailEnd/>
                          </a:ln>
                        </wps:spPr>
                        <wps:txbx>
                          <w:txbxContent>
                            <w:p w14:paraId="1B93D7A8" w14:textId="7469B146" w:rsidR="00133798" w:rsidRDefault="00133798" w:rsidP="00336C16">
                              <w:pPr>
                                <w:spacing w:after="0" w:line="240" w:lineRule="auto"/>
                                <w:jc w:val="center"/>
                                <w:rPr>
                                  <w:b/>
                                  <w:color w:val="FFFFFF"/>
                                  <w:sz w:val="16"/>
                                  <w:szCs w:val="16"/>
                                </w:rPr>
                              </w:pPr>
                              <w:r>
                                <w:rPr>
                                  <w:b/>
                                  <w:color w:val="FFFFFF"/>
                                  <w:sz w:val="16"/>
                                  <w:szCs w:val="16"/>
                                </w:rPr>
                                <w:t>Galutiniai naudos</w:t>
                              </w:r>
                            </w:p>
                            <w:p w14:paraId="11C50853"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p w14:paraId="4EDD05C8" w14:textId="77777777" w:rsidR="00133798" w:rsidRDefault="00133798"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8" name="AutoShape 16"/>
                        <wps:cNvSpPr>
                          <a:spLocks noChangeArrowheads="1"/>
                        </wps:cNvSpPr>
                        <wps:spPr bwMode="auto">
                          <a:xfrm>
                            <a:off x="2239714" y="2441050"/>
                            <a:ext cx="1423709" cy="358294"/>
                          </a:xfrm>
                          <a:prstGeom prst="roundRect">
                            <a:avLst>
                              <a:gd name="adj" fmla="val 16667"/>
                            </a:avLst>
                          </a:prstGeom>
                          <a:solidFill>
                            <a:srgbClr val="E36C0A"/>
                          </a:solidFill>
                          <a:ln w="9525">
                            <a:solidFill>
                              <a:srgbClr val="974706"/>
                            </a:solidFill>
                            <a:round/>
                            <a:headEnd/>
                            <a:tailEnd/>
                          </a:ln>
                        </wps:spPr>
                        <wps:txbx>
                          <w:txbxContent>
                            <w:p w14:paraId="2BA347D0" w14:textId="77777777" w:rsidR="00133798" w:rsidRDefault="00133798" w:rsidP="00336C16">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464" name="AutoShape 17"/>
                        <wps:cNvSpPr>
                          <a:spLocks noChangeArrowheads="1"/>
                        </wps:cNvSpPr>
                        <wps:spPr bwMode="auto">
                          <a:xfrm>
                            <a:off x="4105401" y="2498050"/>
                            <a:ext cx="1424509" cy="242100"/>
                          </a:xfrm>
                          <a:prstGeom prst="roundRect">
                            <a:avLst>
                              <a:gd name="adj" fmla="val 16667"/>
                            </a:avLst>
                          </a:prstGeom>
                          <a:solidFill>
                            <a:srgbClr val="E36C0A"/>
                          </a:solidFill>
                          <a:ln w="9525">
                            <a:solidFill>
                              <a:srgbClr val="974706"/>
                            </a:solidFill>
                            <a:prstDash val="dash"/>
                            <a:round/>
                            <a:headEnd/>
                            <a:tailEnd/>
                          </a:ln>
                        </wps:spPr>
                        <wps:txbx>
                          <w:txbxContent>
                            <w:p w14:paraId="4A16F55B" w14:textId="77777777" w:rsidR="00133798" w:rsidRDefault="00133798" w:rsidP="00336C16">
                              <w:pPr>
                                <w:spacing w:after="0" w:line="240" w:lineRule="auto"/>
                                <w:jc w:val="center"/>
                                <w:rPr>
                                  <w:b/>
                                  <w:color w:val="FFFFFF"/>
                                  <w:sz w:val="16"/>
                                  <w:szCs w:val="16"/>
                                </w:rPr>
                              </w:pPr>
                              <w:r>
                                <w:rPr>
                                  <w:b/>
                                  <w:color w:val="FFFFFF"/>
                                  <w:sz w:val="16"/>
                                  <w:szCs w:val="16"/>
                                </w:rPr>
                                <w:t>Finansinis tarpininkas</w:t>
                              </w:r>
                            </w:p>
                          </w:txbxContent>
                        </wps:txbx>
                        <wps:bodyPr rot="0" vert="horz" wrap="square" lIns="91440" tIns="45720" rIns="91440" bIns="45720" anchor="t" anchorCtr="0" upright="1">
                          <a:noAutofit/>
                        </wps:bodyPr>
                      </wps:wsp>
                      <wps:wsp>
                        <wps:cNvPr id="465" name="AutoShape 18"/>
                        <wps:cNvSpPr>
                          <a:spLocks noChangeArrowheads="1"/>
                        </wps:cNvSpPr>
                        <wps:spPr bwMode="auto">
                          <a:xfrm>
                            <a:off x="4110425" y="1171063"/>
                            <a:ext cx="1423709" cy="242000"/>
                          </a:xfrm>
                          <a:prstGeom prst="roundRect">
                            <a:avLst>
                              <a:gd name="adj" fmla="val 16667"/>
                            </a:avLst>
                          </a:prstGeom>
                          <a:solidFill>
                            <a:srgbClr val="E36C0A"/>
                          </a:solidFill>
                          <a:ln w="9525">
                            <a:solidFill>
                              <a:srgbClr val="974706"/>
                            </a:solidFill>
                            <a:round/>
                            <a:headEnd/>
                            <a:tailEnd/>
                          </a:ln>
                        </wps:spPr>
                        <wps:txbx>
                          <w:txbxContent>
                            <w:p w14:paraId="4F2E6EEC" w14:textId="77777777" w:rsidR="00133798" w:rsidRDefault="00133798" w:rsidP="00336C16">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467" name="Oval 20"/>
                        <wps:cNvSpPr>
                          <a:spLocks noChangeArrowheads="1"/>
                        </wps:cNvSpPr>
                        <wps:spPr bwMode="auto">
                          <a:xfrm>
                            <a:off x="2381062" y="1591565"/>
                            <a:ext cx="1140207" cy="644400"/>
                          </a:xfrm>
                          <a:prstGeom prst="ellipse">
                            <a:avLst/>
                          </a:prstGeom>
                          <a:solidFill>
                            <a:srgbClr val="FFC000"/>
                          </a:solidFill>
                          <a:ln w="9525">
                            <a:solidFill>
                              <a:srgbClr val="974706"/>
                            </a:solidFill>
                            <a:round/>
                            <a:headEnd/>
                            <a:tailEnd/>
                          </a:ln>
                        </wps:spPr>
                        <wps:txbx>
                          <w:txbxContent>
                            <w:p w14:paraId="268CC852" w14:textId="77777777" w:rsidR="00133798" w:rsidRPr="00873719" w:rsidRDefault="00133798" w:rsidP="001A5AF6">
                              <w:pPr>
                                <w:jc w:val="center"/>
                                <w:rPr>
                                  <w:b/>
                                  <w:color w:val="FFFFFF"/>
                                  <w:lang w:val="lt-LT"/>
                                </w:rPr>
                              </w:pPr>
                              <w:r>
                                <w:rPr>
                                  <w:b/>
                                  <w:color w:val="FFFFFF"/>
                                  <w:sz w:val="18"/>
                                  <w:lang w:val="lt-LT"/>
                                </w:rPr>
                                <w:t>Finansinė priemonė</w:t>
                              </w:r>
                            </w:p>
                            <w:p w14:paraId="01EDB71A" w14:textId="77777777" w:rsidR="00133798" w:rsidRPr="00873719" w:rsidRDefault="00133798" w:rsidP="00336C16">
                              <w:pPr>
                                <w:jc w:val="center"/>
                                <w:rPr>
                                  <w:b/>
                                  <w:color w:val="FFFFFF"/>
                                  <w:lang w:val="lt-LT"/>
                                </w:rPr>
                              </w:pPr>
                            </w:p>
                          </w:txbxContent>
                        </wps:txbx>
                        <wps:bodyPr rot="0" vert="horz" wrap="square" lIns="91440" tIns="45720" rIns="91440" bIns="45720" anchor="t" anchorCtr="0" upright="1">
                          <a:noAutofit/>
                        </wps:bodyPr>
                      </wps:wsp>
                      <wps:wsp>
                        <wps:cNvPr id="469" name="AutoShape 22"/>
                        <wps:cNvCnPr>
                          <a:cxnSpLocks noChangeShapeType="1"/>
                          <a:stCxn id="451" idx="2"/>
                          <a:endCxn id="165" idx="0"/>
                        </wps:cNvCnPr>
                        <wps:spPr bwMode="auto">
                          <a:xfrm>
                            <a:off x="1004707" y="976900"/>
                            <a:ext cx="1771" cy="6185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3"/>
                        <wps:cNvCnPr>
                          <a:cxnSpLocks noChangeShapeType="1"/>
                          <a:stCxn id="165" idx="4"/>
                          <a:endCxn id="455" idx="0"/>
                        </wps:cNvCnPr>
                        <wps:spPr bwMode="auto">
                          <a:xfrm flipH="1">
                            <a:off x="1001407" y="2239348"/>
                            <a:ext cx="5071" cy="739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24"/>
                        <wps:cNvCnPr>
                          <a:cxnSpLocks noChangeShapeType="1"/>
                          <a:stCxn id="467" idx="4"/>
                          <a:endCxn id="458" idx="0"/>
                        </wps:cNvCnPr>
                        <wps:spPr bwMode="auto">
                          <a:xfrm>
                            <a:off x="2951166" y="2235965"/>
                            <a:ext cx="403" cy="20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5"/>
                        <wps:cNvCnPr>
                          <a:cxnSpLocks noChangeShapeType="1"/>
                          <a:stCxn id="458" idx="2"/>
                          <a:endCxn id="456" idx="0"/>
                        </wps:cNvCnPr>
                        <wps:spPr bwMode="auto">
                          <a:xfrm flipH="1">
                            <a:off x="2948964" y="2799344"/>
                            <a:ext cx="2605" cy="179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26"/>
                        <wps:cNvCnPr>
                          <a:cxnSpLocks noChangeShapeType="1"/>
                          <a:stCxn id="452" idx="2"/>
                          <a:endCxn id="467" idx="0"/>
                        </wps:cNvCnPr>
                        <wps:spPr bwMode="auto">
                          <a:xfrm flipH="1">
                            <a:off x="2951166" y="976900"/>
                            <a:ext cx="403" cy="61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AutoShape 27"/>
                        <wps:cNvCnPr>
                          <a:cxnSpLocks noChangeShapeType="1"/>
                          <a:stCxn id="465" idx="2"/>
                          <a:endCxn id="166" idx="0"/>
                        </wps:cNvCnPr>
                        <wps:spPr bwMode="auto">
                          <a:xfrm flipH="1">
                            <a:off x="4819497" y="1413063"/>
                            <a:ext cx="2783" cy="184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28"/>
                        <wps:cNvCnPr>
                          <a:cxnSpLocks noChangeShapeType="1"/>
                          <a:stCxn id="166" idx="4"/>
                          <a:endCxn id="464" idx="0"/>
                        </wps:cNvCnPr>
                        <wps:spPr bwMode="auto">
                          <a:xfrm flipH="1">
                            <a:off x="4817656" y="2241111"/>
                            <a:ext cx="1841" cy="2569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29"/>
                        <wps:cNvCnPr>
                          <a:cxnSpLocks noChangeShapeType="1"/>
                          <a:stCxn id="464" idx="2"/>
                        </wps:cNvCnPr>
                        <wps:spPr bwMode="auto">
                          <a:xfrm flipH="1">
                            <a:off x="4816332" y="2740150"/>
                            <a:ext cx="1324" cy="24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30"/>
                        <wps:cNvCnPr>
                          <a:cxnSpLocks noChangeShapeType="1"/>
                          <a:stCxn id="464" idx="2"/>
                          <a:endCxn id="457" idx="0"/>
                        </wps:cNvCnPr>
                        <wps:spPr bwMode="auto">
                          <a:xfrm>
                            <a:off x="4817656" y="2740150"/>
                            <a:ext cx="3424" cy="23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10"/>
                        <wps:cNvSpPr>
                          <a:spLocks noChangeArrowheads="1"/>
                        </wps:cNvSpPr>
                        <wps:spPr bwMode="auto">
                          <a:xfrm>
                            <a:off x="292902" y="180000"/>
                            <a:ext cx="14232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73A0F53E" w14:textId="77777777" w:rsidR="00133798" w:rsidRDefault="00133798" w:rsidP="00336C16">
                              <w:pPr>
                                <w:pStyle w:val="prastasistinklapis"/>
                                <w:jc w:val="center"/>
                              </w:pPr>
                              <w:r>
                                <w:rPr>
                                  <w:rFonts w:ascii="Calibri" w:eastAsia="Calibri" w:hAnsi="Calibri"/>
                                  <w:b/>
                                  <w:bCs/>
                                  <w:sz w:val="16"/>
                                  <w:szCs w:val="16"/>
                                  <w:lang w:val="en-US"/>
                                </w:rPr>
                                <w:t>I STRUKTŪRA</w:t>
                              </w:r>
                            </w:p>
                          </w:txbxContent>
                        </wps:txbx>
                        <wps:bodyPr rot="0" vert="horz" wrap="square" lIns="91440" tIns="45720" rIns="91440" bIns="45720" anchor="t" anchorCtr="0" upright="1">
                          <a:noAutofit/>
                        </wps:bodyPr>
                      </wps:wsp>
                      <wps:wsp>
                        <wps:cNvPr id="479" name="AutoShape 10"/>
                        <wps:cNvSpPr>
                          <a:spLocks noChangeArrowheads="1"/>
                        </wps:cNvSpPr>
                        <wps:spPr bwMode="auto">
                          <a:xfrm>
                            <a:off x="2194113"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8514968" w14:textId="77777777" w:rsidR="00133798" w:rsidRDefault="00133798" w:rsidP="00336C16">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32" name="AutoShape 10"/>
                        <wps:cNvSpPr>
                          <a:spLocks noChangeArrowheads="1"/>
                        </wps:cNvSpPr>
                        <wps:spPr bwMode="auto">
                          <a:xfrm>
                            <a:off x="4110425"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4EB8B44A" w14:textId="77777777" w:rsidR="00133798" w:rsidRDefault="00133798" w:rsidP="00336C16">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164" name="AutoShape 26"/>
                        <wps:cNvCnPr>
                          <a:cxnSpLocks noChangeShapeType="1"/>
                          <a:stCxn id="454" idx="2"/>
                          <a:endCxn id="465" idx="0"/>
                        </wps:cNvCnPr>
                        <wps:spPr bwMode="auto">
                          <a:xfrm>
                            <a:off x="4821080" y="976900"/>
                            <a:ext cx="1200" cy="194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Oval 165"/>
                        <wps:cNvSpPr>
                          <a:spLocks noChangeArrowheads="1"/>
                        </wps:cNvSpPr>
                        <wps:spPr bwMode="auto">
                          <a:xfrm>
                            <a:off x="436565" y="1595458"/>
                            <a:ext cx="1139825" cy="643890"/>
                          </a:xfrm>
                          <a:prstGeom prst="ellipse">
                            <a:avLst/>
                          </a:prstGeom>
                          <a:solidFill>
                            <a:srgbClr val="FFC000"/>
                          </a:solidFill>
                          <a:ln w="9525">
                            <a:solidFill>
                              <a:srgbClr val="974706"/>
                            </a:solidFill>
                            <a:round/>
                            <a:headEnd/>
                            <a:tailEnd/>
                          </a:ln>
                        </wps:spPr>
                        <wps:txbx>
                          <w:txbxContent>
                            <w:p w14:paraId="776FB9DE"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166" name="Oval 166"/>
                        <wps:cNvSpPr>
                          <a:spLocks noChangeArrowheads="1"/>
                        </wps:cNvSpPr>
                        <wps:spPr bwMode="auto">
                          <a:xfrm>
                            <a:off x="4249584" y="1597221"/>
                            <a:ext cx="1139825" cy="643890"/>
                          </a:xfrm>
                          <a:prstGeom prst="ellipse">
                            <a:avLst/>
                          </a:prstGeom>
                          <a:solidFill>
                            <a:srgbClr val="FFC000"/>
                          </a:solidFill>
                          <a:ln w="9525">
                            <a:solidFill>
                              <a:srgbClr val="974706"/>
                            </a:solidFill>
                            <a:round/>
                            <a:headEnd/>
                            <a:tailEnd/>
                          </a:ln>
                        </wps:spPr>
                        <wps:txbx>
                          <w:txbxContent>
                            <w:p w14:paraId="5621665E"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c:wpc>
                  </a:graphicData>
                </a:graphic>
              </wp:inline>
            </w:drawing>
          </mc:Choice>
          <mc:Fallback>
            <w:pict>
              <v:group id="Drobė 33" o:spid="_x0000_s1035" editas="canvas" style="width:452.05pt;height:4in;mso-position-horizontal-relative:char;mso-position-vertical-relative:line" coordsize="5741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">
                <v:shape id="_x0000_s1036" type="#_x0000_t75" style="position:absolute;width:57410;height:36576;visibility:visible;mso-wrap-style:square">
                  <v:fill o:detectmouseclick="t"/>
                  <v:path o:connecttype="none"/>
                </v:shape>
                <v:rect id="Rectangle 7" o:spid="_x0000_s1037" style="position:absolute;left:429;top:5542;width:18027;height:30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PtcAA&#10;AADcAAAADwAAAGRycy9kb3ducmV2LnhtbERPy4rCMBTdC/5DuMLsbKrIMFRjKYIg48YXiLtrc22L&#10;zU1JMrbz92YxMMvDea/ywbTiRc43lhXMkhQEcWl1w5WCy3k7/QLhA7LG1jIp+CUP+Xo8WmGmbc9H&#10;ep1CJWII+wwV1CF0mZS+rMmgT2xHHLmHdQZDhK6S2mEfw00r52n6KQ02HBtq7GhTU/k8/RgF3e2b&#10;dB+0vA5nd9+5fXHYVwelPiZDsQQRaAj/4j/3TitYLO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PtcAAAADcAAAADwAAAAAAAAAAAAAAAACYAgAAZHJzL2Rvd25y&#10;ZXYueG1sUEsFBgAAAAAEAAQA9QAAAIUDAAAAAA==&#10;" strokecolor="#e36c0a" strokeweight="1.5pt"/>
                <v:rect id="Rectangle 8" o:spid="_x0000_s1038" style="position:absolute;left:19976;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qLsQA&#10;AADcAAAADwAAAGRycy9kb3ducmV2LnhtbESPzWrDMBCE74W+g9hCb7XcEErrWAkhEAjNJX9QcttY&#10;G8vUWhlJiZ23jwqBHoeZ+YYpZ4NtxZV8aBwreM9yEMSV0w3XCg775dsniBCRNbaOScGNAsymz08l&#10;Ftr1vKXrLtYiQTgUqMDE2BVShsqQxZC5jjh5Z+ctxiR9LbXHPsFtK0d5/iEtNpwWDHa0MFT97i5W&#10;QXf8Jt1HLX+GvT+t/Hq+WdcbpV5fhvkERKQh/ocf7ZVWMB5/wd+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qi7EAAAA3AAAAA8AAAAAAAAAAAAAAAAAmAIAAGRycy9k&#10;b3ducmV2LnhtbFBLBQYAAAAABAAEAPUAAACJAwAAAAA=&#10;" strokecolor="#e36c0a" strokeweight="1.5pt"/>
                <v:rect id="_x0000_s1039" style="position:absolute;left:39301;top:5554;width:18026;height:3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VbsAA&#10;AADcAAAADwAAAGRycy9kb3ducmV2LnhtbERPy4rCMBTdC/5DuII7TR1mZKjGUgRBxo0vGNxdm2tb&#10;bG5KkrH17ycLweXhvJdZbxrxIOdrywpm0wQEcWF1zaWC82kz+QbhA7LGxjIpeJKHbDUcLDHVtuMD&#10;PY6hFDGEfYoKqhDaVEpfVGTQT21LHLmbdQZDhK6U2mEXw00jP5JkLg3WHBsqbGldUXE//hkF7eWH&#10;dBe0/O1P7rp1u3y/K/dKjUd9vgARqA9v8cu91Qo+v+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6VbsAAAADcAAAADwAAAAAAAAAAAAAAAACYAgAAZHJzL2Rvd25y&#10;ZXYueG1sUEsFBgAAAAAEAAQA9QAAAIUDAAAAAA==&#10;" strokecolor="#e36c0a" strokeweight="1.5pt"/>
                <v:roundrect id="_x0000_s1040" style="position:absolute;left:2929;top:7357;width:14236;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tRMMA&#10;AADcAAAADwAAAGRycy9kb3ducmV2LnhtbESPQWsCMRSE7wX/Q3iCt5pVrJStUUQUvNnVpefH5jVZ&#10;3Lwsm+iu/vqmUOhxmJlvmNVmcI24Uxdqzwpm0wwEceV1zUZBeTm8voMIEVlj45kUPCjAZj16WWGu&#10;fc8F3c/RiAThkKMCG2ObSxkqSw7D1LfEyfv2ncOYZGek7rBPcNfIeZYtpcOa04LFlnaWquv55hQY&#10;bbfF58kU+8wsQhmXc3z2X0pNxsP2A0SkIf6H/9pHrWDxNoP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YtRMMAAADcAAAADwAAAAAAAAAAAAAAAACYAgAAZHJzL2Rv&#10;d25yZXYueG1sUEsFBgAAAAAEAAQA9QAAAIgDAAAAAA==&#10;" fillcolor="#e36c0a" strokecolor="#974706">
                  <v:textbox>
                    <w:txbxContent>
                      <w:p w14:paraId="5A0931AF" w14:textId="77777777" w:rsidR="00133798" w:rsidRDefault="00133798" w:rsidP="00336C16">
                        <w:pPr>
                          <w:spacing w:after="0" w:line="240" w:lineRule="auto"/>
                          <w:rPr>
                            <w:b/>
                            <w:color w:val="FFFFFF"/>
                            <w:sz w:val="16"/>
                            <w:szCs w:val="16"/>
                          </w:rPr>
                        </w:pPr>
                        <w:r>
                          <w:rPr>
                            <w:b/>
                            <w:color w:val="FFFFFF"/>
                            <w:sz w:val="16"/>
                            <w:szCs w:val="16"/>
                          </w:rPr>
                          <w:t>Vadovaujančioji institucija</w:t>
                        </w:r>
                      </w:p>
                    </w:txbxContent>
                  </v:textbox>
                </v:roundrect>
                <v:roundrect id="_x0000_s1041" style="position:absolute;left:22397;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zM8IA&#10;AADcAAAADwAAAGRycy9kb3ducmV2LnhtbESPQWsCMRSE7wX/Q3hCbzXrolJWo4hU8NauFc+PzTNZ&#10;3Lwsm9Td9tc3guBxmJlvmNVmcI24URdqzwqmkwwEceV1zUbB6Xv/9g4iRGSNjWdS8EsBNuvRywoL&#10;7Xsu6XaMRiQIhwIV2BjbQspQWXIYJr4lTt7Fdw5jkp2RusM+wV0j8yxbSIc1pwWLLe0sVdfjj1Ng&#10;tN2WX5+m/MjMLJziIse//qzU63jYLkFEGuIz/GgftILZ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LMzwgAAANwAAAAPAAAAAAAAAAAAAAAAAJgCAABkcnMvZG93&#10;bnJldi54bWxQSwUGAAAAAAQABAD1AAAAhwMAAAAA&#10;" fillcolor="#e36c0a" strokecolor="#974706">
                  <v:textbox>
                    <w:txbxContent>
                      <w:p w14:paraId="508A7CE6" w14:textId="77777777" w:rsidR="00133798" w:rsidRDefault="00133798" w:rsidP="00336C16">
                        <w:pPr>
                          <w:spacing w:after="0" w:line="240" w:lineRule="auto"/>
                          <w:jc w:val="center"/>
                          <w:rPr>
                            <w:b/>
                            <w:color w:val="FFFFFF"/>
                            <w:sz w:val="16"/>
                            <w:szCs w:val="16"/>
                          </w:rPr>
                        </w:pPr>
                        <w:r>
                          <w:rPr>
                            <w:b/>
                            <w:color w:val="FFFFFF"/>
                            <w:sz w:val="16"/>
                            <w:szCs w:val="16"/>
                          </w:rPr>
                          <w:t>Vadovaujančioji institucija</w:t>
                        </w:r>
                      </w:p>
                    </w:txbxContent>
                  </v:textbox>
                </v:roundrect>
                <v:roundrect id="_x0000_s1042" style="position:absolute;left:41092;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O3MIA&#10;AADcAAAADwAAAGRycy9kb3ducmV2LnhtbESPQWsCMRSE74L/IbxCb5qtbEW2RhFR8FZXpefH5pks&#10;bl6WTXS3/fWmUOhxmJlvmOV6cI14UBdqzwrephkI4srrmo2Cy3k/WYAIEVlj45kUfFOA9Wo8WmKh&#10;fc8lPU7RiAThUKACG2NbSBkqSw7D1LfEybv6zmFMsjNSd9gnuGvkLMvm0mHNacFiS1tL1e10dwqM&#10;tpvy+GnKXWbycInzGf70X0q9vgybDxCRhvgf/msftIL8PY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7cwgAAANwAAAAPAAAAAAAAAAAAAAAAAJgCAABkcnMvZG93&#10;bnJldi54bWxQSwUGAAAAAAQABAD1AAAAhwMAAAAA&#10;" fillcolor="#e36c0a" strokecolor="#974706">
                  <v:textbox>
                    <w:txbxContent>
                      <w:p w14:paraId="0359D22C" w14:textId="77777777" w:rsidR="00133798" w:rsidRDefault="00133798" w:rsidP="00336C16">
                        <w:pPr>
                          <w:spacing w:after="0" w:line="240" w:lineRule="auto"/>
                          <w:jc w:val="center"/>
                          <w:rPr>
                            <w:b/>
                            <w:color w:val="FFFFFF"/>
                            <w:sz w:val="16"/>
                            <w:szCs w:val="16"/>
                          </w:rPr>
                        </w:pPr>
                        <w:r>
                          <w:rPr>
                            <w:b/>
                            <w:color w:val="FFFFFF"/>
                            <w:sz w:val="16"/>
                            <w:szCs w:val="16"/>
                          </w:rPr>
                          <w:t>Vadovaujančioji institucija</w:t>
                        </w:r>
                      </w:p>
                    </w:txbxContent>
                  </v:textbox>
                </v:roundrect>
                <v:roundrect id="AutoShape 13" o:spid="_x0000_s1043" style="position:absolute;left:2581;top:29784;width:14865;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rR8IA&#10;AADcAAAADwAAAGRycy9kb3ducmV2LnhtbESPQWsCMRSE7wX/Q3iCt5pVVGQ1iogFb+2qeH5snsni&#10;5mXZpO7qr28KhR6HmfmGWW97V4sHtaHyrGAyzkAQl15XbBRczh/vSxAhImusPZOCJwXYbgZva8y1&#10;77igxykakSAcclRgY2xyKUNpyWEY+4Y4eTffOoxJtkbqFrsEd7WcZtlCOqw4LVhsaG+pvJ++nQKj&#10;7a74+jTFITOzcImLKb66q1KjYb9bgYjUx//wX/uoFczm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StHwgAAANwAAAAPAAAAAAAAAAAAAAAAAJgCAABkcnMvZG93&#10;bnJldi54bWxQSwUGAAAAAAQABAD1AAAAhwMAAAAA&#10;" fillcolor="#e36c0a" strokecolor="#974706">
                  <v:textbox>
                    <w:txbxContent>
                      <w:p w14:paraId="6E739A4B" w14:textId="15BC88F1" w:rsidR="00133798" w:rsidRDefault="00133798" w:rsidP="00336C16">
                        <w:pPr>
                          <w:spacing w:after="0" w:line="240" w:lineRule="auto"/>
                          <w:jc w:val="center"/>
                          <w:rPr>
                            <w:b/>
                            <w:color w:val="FFFFFF"/>
                            <w:sz w:val="16"/>
                            <w:szCs w:val="16"/>
                          </w:rPr>
                        </w:pPr>
                        <w:r>
                          <w:rPr>
                            <w:b/>
                            <w:color w:val="FFFFFF"/>
                            <w:sz w:val="16"/>
                            <w:szCs w:val="16"/>
                          </w:rPr>
                          <w:t>Galutiniai naudos</w:t>
                        </w:r>
                      </w:p>
                      <w:p w14:paraId="63F32E66"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txbxContent>
                  </v:textbox>
                </v:roundrect>
                <v:roundrect id="_x0000_s1044" style="position:absolute;left:22144;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MMIA&#10;AADcAAAADwAAAGRycy9kb3ducmV2LnhtbESPQWsCMRSE7wX/Q3hCbzWr6CKrUUQqeGtXxfNj80wW&#10;Ny/LJnW3/fWNUOhxmJlvmPV2cI14UBdqzwqmkwwEceV1zUbB5Xx4W4IIEVlj45kUfFOA7Wb0ssZC&#10;+55LepyiEQnCoUAFNsa2kDJUlhyGiW+Jk3fzncOYZGek7rBPcNfIWZbl0mHNacFiS3tL1f305RQY&#10;bXfl54cp3zMzD5eYz/Cnvyr1Oh52KxCRhvgf/msftYL5Iof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7UwwgAAANwAAAAPAAAAAAAAAAAAAAAAAJgCAABkcnMvZG93&#10;bnJldi54bWxQSwUGAAAAAAQABAD1AAAAhwMAAAAA&#10;" fillcolor="#e36c0a" strokecolor="#974706">
                  <v:textbox>
                    <w:txbxContent>
                      <w:p w14:paraId="77C2CA91" w14:textId="7CDE3A26" w:rsidR="00133798" w:rsidRDefault="00133798" w:rsidP="00336C16">
                        <w:pPr>
                          <w:spacing w:after="0" w:line="240" w:lineRule="auto"/>
                          <w:jc w:val="center"/>
                          <w:rPr>
                            <w:b/>
                            <w:color w:val="FFFFFF"/>
                            <w:sz w:val="16"/>
                            <w:szCs w:val="16"/>
                          </w:rPr>
                        </w:pPr>
                        <w:r>
                          <w:rPr>
                            <w:b/>
                            <w:color w:val="FFFFFF"/>
                            <w:sz w:val="16"/>
                            <w:szCs w:val="16"/>
                          </w:rPr>
                          <w:t>Galutiniai naudos</w:t>
                        </w:r>
                      </w:p>
                      <w:p w14:paraId="06E207E8"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p w14:paraId="2855F0A0" w14:textId="77777777" w:rsidR="00133798" w:rsidRDefault="00133798" w:rsidP="00336C16">
                        <w:pPr>
                          <w:spacing w:after="0" w:line="240" w:lineRule="auto"/>
                          <w:jc w:val="center"/>
                          <w:rPr>
                            <w:b/>
                            <w:color w:val="FFFFFF"/>
                            <w:sz w:val="16"/>
                            <w:szCs w:val="16"/>
                          </w:rPr>
                        </w:pPr>
                      </w:p>
                    </w:txbxContent>
                  </v:textbox>
                </v:roundrect>
                <v:roundrect id="_x0000_s1045" style="position:absolute;left:41092;top:29794;width:14237;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q8MA&#10;AADcAAAADwAAAGRycy9kb3ducmV2LnhtbESPT2sCMRTE7wW/Q3iF3mq24p+yNYqIhd50VTw/Ns9k&#10;cfOybKK79dMbodDjMDO/YebL3tXiRm2oPCv4GGYgiEuvKzYKjofv908QISJrrD2Tgl8KsFwMXuaY&#10;a99xQbd9NCJBOOSowMbY5FKG0pLDMPQNcfLOvnUYk2yN1C12Ce5qOcqyqXRYcVqw2NDaUnnZX50C&#10;o+2q2G1NscnMOBzjdIT37qTU22u/+gIRqY//4b/2j1Ywnsz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Qq8MAAADcAAAADwAAAAAAAAAAAAAAAACYAgAAZHJzL2Rv&#10;d25yZXYueG1sUEsFBgAAAAAEAAQA9QAAAIgDAAAAAA==&#10;" fillcolor="#e36c0a" strokecolor="#974706">
                  <v:textbox>
                    <w:txbxContent>
                      <w:p w14:paraId="1B93D7A8" w14:textId="7469B146" w:rsidR="00133798" w:rsidRDefault="00133798" w:rsidP="00336C16">
                        <w:pPr>
                          <w:spacing w:after="0" w:line="240" w:lineRule="auto"/>
                          <w:jc w:val="center"/>
                          <w:rPr>
                            <w:b/>
                            <w:color w:val="FFFFFF"/>
                            <w:sz w:val="16"/>
                            <w:szCs w:val="16"/>
                          </w:rPr>
                        </w:pPr>
                        <w:r>
                          <w:rPr>
                            <w:b/>
                            <w:color w:val="FFFFFF"/>
                            <w:sz w:val="16"/>
                            <w:szCs w:val="16"/>
                          </w:rPr>
                          <w:t>Galutiniai naudos</w:t>
                        </w:r>
                      </w:p>
                      <w:p w14:paraId="11C50853" w14:textId="77777777" w:rsidR="00133798" w:rsidRDefault="00133798" w:rsidP="00336C16">
                        <w:pPr>
                          <w:spacing w:after="0" w:line="240" w:lineRule="auto"/>
                          <w:jc w:val="center"/>
                          <w:rPr>
                            <w:b/>
                            <w:color w:val="FFFFFF"/>
                            <w:sz w:val="16"/>
                            <w:szCs w:val="16"/>
                          </w:rPr>
                        </w:pPr>
                        <w:r>
                          <w:rPr>
                            <w:b/>
                            <w:color w:val="FFFFFF"/>
                            <w:sz w:val="16"/>
                            <w:szCs w:val="16"/>
                          </w:rPr>
                          <w:t xml:space="preserve"> gavėjai</w:t>
                        </w:r>
                      </w:p>
                      <w:p w14:paraId="4EDD05C8" w14:textId="77777777" w:rsidR="00133798" w:rsidRDefault="00133798" w:rsidP="00336C16">
                        <w:pPr>
                          <w:spacing w:after="0" w:line="240" w:lineRule="auto"/>
                          <w:jc w:val="center"/>
                          <w:rPr>
                            <w:b/>
                            <w:color w:val="FFFFFF"/>
                            <w:sz w:val="16"/>
                            <w:szCs w:val="16"/>
                          </w:rPr>
                        </w:pPr>
                      </w:p>
                    </w:txbxContent>
                  </v:textbox>
                </v:roundrect>
                <v:roundrect id="_x0000_s1046" style="position:absolute;left:22397;top:24410;width:14237;height:3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E2cAA&#10;AADcAAAADwAAAGRycy9kb3ducmV2LnhtbERPz2vCMBS+D/wfwhN2m+lKV0ZnFBEHu21V2fnRvCVl&#10;zUtpsrb61y8HwePH93u9nV0nRhpC61nB8yoDQdx43bJRcD69P72CCBFZY+eZFFwowHazeFhjpf3E&#10;NY3HaEQK4VChAhtjX0kZGksOw8r3xIn78YPDmOBgpB5wSuGuk3mWldJhy6nBYk97S83v8c8pMNru&#10;6q9PUx8yU4RzLHO8Tt9KPS7n3RuISHO8i2/uD62geEl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yE2cAAAADcAAAADwAAAAAAAAAAAAAAAACYAgAAZHJzL2Rvd25y&#10;ZXYueG1sUEsFBgAAAAAEAAQA9QAAAIUDAAAAAA==&#10;" fillcolor="#e36c0a" strokecolor="#974706">
                  <v:textbox>
                    <w:txbxContent>
                      <w:p w14:paraId="2BA347D0" w14:textId="77777777" w:rsidR="00133798" w:rsidRDefault="00133798" w:rsidP="00336C16">
                        <w:pPr>
                          <w:spacing w:after="0" w:line="240" w:lineRule="auto"/>
                          <w:jc w:val="center"/>
                          <w:rPr>
                            <w:b/>
                            <w:color w:val="FFFFFF"/>
                            <w:sz w:val="16"/>
                            <w:szCs w:val="16"/>
                          </w:rPr>
                        </w:pPr>
                        <w:r>
                          <w:rPr>
                            <w:b/>
                            <w:color w:val="FFFFFF"/>
                            <w:sz w:val="16"/>
                            <w:szCs w:val="16"/>
                          </w:rPr>
                          <w:t>Finansinės priemonės valdytojas</w:t>
                        </w:r>
                      </w:p>
                    </w:txbxContent>
                  </v:textbox>
                </v:roundrect>
                <v:roundrect id="_x0000_s1047" style="position:absolute;left:41054;top:24980;width:1424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hGMYA&#10;AADcAAAADwAAAGRycy9kb3ducmV2LnhtbESP0WrCQBRE34X+w3ILvohuKlYkZiPSNsWHtmD0Ay7Z&#10;axKavZtmtzH+vSsIPg4zc4ZJNoNpRE+dqy0reJlFIIgLq2suFRwP2XQFwnlkjY1lUnAhB5v0aZRg&#10;rO2Z99TnvhQBwi5GBZX3bSylKyoy6Ga2JQ7eyXYGfZBdKXWH5wA3jZxH0VIarDksVNjSW0XFb/5v&#10;FPSv7+3HZbuTmB0/3d9XNjHf+Y9S4+dhuwbhafCP8L290woWyw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hGMYAAADcAAAADwAAAAAAAAAAAAAAAACYAgAAZHJz&#10;L2Rvd25yZXYueG1sUEsFBgAAAAAEAAQA9QAAAIsDAAAAAA==&#10;" fillcolor="#e36c0a" strokecolor="#974706">
                  <v:stroke dashstyle="dash"/>
                  <v:textbox>
                    <w:txbxContent>
                      <w:p w14:paraId="4A16F55B" w14:textId="77777777" w:rsidR="00133798" w:rsidRDefault="00133798" w:rsidP="00336C16">
                        <w:pPr>
                          <w:spacing w:after="0" w:line="240" w:lineRule="auto"/>
                          <w:jc w:val="center"/>
                          <w:rPr>
                            <w:b/>
                            <w:color w:val="FFFFFF"/>
                            <w:sz w:val="16"/>
                            <w:szCs w:val="16"/>
                          </w:rPr>
                        </w:pPr>
                        <w:r>
                          <w:rPr>
                            <w:b/>
                            <w:color w:val="FFFFFF"/>
                            <w:sz w:val="16"/>
                            <w:szCs w:val="16"/>
                          </w:rPr>
                          <w:t>Finansinis tarpininkas</w:t>
                        </w:r>
                      </w:p>
                    </w:txbxContent>
                  </v:textbox>
                </v:roundrect>
                <v:roundrect id="_x0000_s1048" style="position:absolute;left:41104;top:11710;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sIA&#10;AADcAAAADwAAAGRycy9kb3ducmV2LnhtbESPQWsCMRSE7wX/Q3hCbzWr6CKrUUQqeGtXxfNj80wW&#10;Ny/LJnW3/fWNUOhxmJlvmPV2cI14UBdqzwqmkwwEceV1zUbB5Xx4W4IIEVlj45kUfFOA7Wb0ssZC&#10;+55LepyiEQnCoUAFNsa2kDJUlhyGiW+Jk3fzncOYZGek7rBPcNfIWZbl0mHNacFiS3tL1f305RQY&#10;bXfl54cp3zMzD5eYz/Cnvyr1Oh52KxCRhvgf/msftYJ5voD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eH6wgAAANwAAAAPAAAAAAAAAAAAAAAAAJgCAABkcnMvZG93&#10;bnJldi54bWxQSwUGAAAAAAQABAD1AAAAhwMAAAAA&#10;" fillcolor="#e36c0a" strokecolor="#974706">
                  <v:textbox>
                    <w:txbxContent>
                      <w:p w14:paraId="4F2E6EEC" w14:textId="77777777" w:rsidR="00133798" w:rsidRDefault="00133798" w:rsidP="00336C16">
                        <w:pPr>
                          <w:spacing w:after="0" w:line="240" w:lineRule="auto"/>
                          <w:jc w:val="center"/>
                          <w:rPr>
                            <w:b/>
                            <w:color w:val="FFFFFF"/>
                            <w:sz w:val="16"/>
                            <w:szCs w:val="16"/>
                          </w:rPr>
                        </w:pPr>
                        <w:r>
                          <w:rPr>
                            <w:b/>
                            <w:color w:val="FFFFFF"/>
                            <w:sz w:val="16"/>
                            <w:szCs w:val="16"/>
                          </w:rPr>
                          <w:t>Fondų fondas</w:t>
                        </w:r>
                      </w:p>
                    </w:txbxContent>
                  </v:textbox>
                </v:roundrect>
                <v:oval id="_x0000_s1049" style="position:absolute;left:23810;top:15915;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UUsYA&#10;AADcAAAADwAAAGRycy9kb3ducmV2LnhtbESPQWvCQBSE70L/w/KE3nSjBJWYTSilRcWD1HrQ22v2&#10;NQnNvg3ZbUz/fVcQPA4z8w2T5oNpRE+dqy0rmE0jEMSF1TWXCk6f75MVCOeRNTaWScEfOcizp1GK&#10;ibZX/qD+6EsRIOwSVFB53yZSuqIig25qW+LgfdvOoA+yK6Xu8BrgppHzKFpIgzWHhQpbeq2o+Dn+&#10;GgXzy+Fr3+7izdnHrtnsdxGutm9KPY+HlzUIT4N/hO/trVYQL5ZwOx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UUsYAAADcAAAADwAAAAAAAAAAAAAAAACYAgAAZHJz&#10;L2Rvd25yZXYueG1sUEsFBgAAAAAEAAQA9QAAAIsDAAAAAA==&#10;" fillcolor="#ffc000" strokecolor="#974706">
                  <v:textbox>
                    <w:txbxContent>
                      <w:p w14:paraId="268CC852" w14:textId="77777777" w:rsidR="00133798" w:rsidRPr="00873719" w:rsidRDefault="00133798" w:rsidP="001A5AF6">
                        <w:pPr>
                          <w:jc w:val="center"/>
                          <w:rPr>
                            <w:b/>
                            <w:color w:val="FFFFFF"/>
                            <w:lang w:val="lt-LT"/>
                          </w:rPr>
                        </w:pPr>
                        <w:r>
                          <w:rPr>
                            <w:b/>
                            <w:color w:val="FFFFFF"/>
                            <w:sz w:val="18"/>
                            <w:lang w:val="lt-LT"/>
                          </w:rPr>
                          <w:t>Finansinė priemonė</w:t>
                        </w:r>
                      </w:p>
                      <w:p w14:paraId="01EDB71A" w14:textId="77777777" w:rsidR="00133798" w:rsidRPr="00873719" w:rsidRDefault="00133798" w:rsidP="00336C16">
                        <w:pPr>
                          <w:jc w:val="center"/>
                          <w:rPr>
                            <w:b/>
                            <w:color w:val="FFFFFF"/>
                            <w:lang w:val="lt-LT"/>
                          </w:rPr>
                        </w:pPr>
                      </w:p>
                    </w:txbxContent>
                  </v:textbox>
                </v:oval>
                <v:shapetype id="_x0000_t32" coordsize="21600,21600" o:spt="32" o:oned="t" path="m,l21600,21600e" filled="f">
                  <v:path arrowok="t" fillok="f" o:connecttype="none"/>
                  <o:lock v:ext="edit" shapetype="t"/>
                </v:shapetype>
                <v:shape id="AutoShape 22" o:spid="_x0000_s1050" type="#_x0000_t32" style="position:absolute;left:10047;top:9769;width:17;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AutoShape 23" o:spid="_x0000_s1051" type="#_x0000_t32" style="position:absolute;left:10014;top:22393;width:50;height:7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1LsEAAADcAAAADwAAAGRycy9kb3ducmV2LnhtbERPz2vCMBS+C/sfwht403Ti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rUuwQAAANwAAAAPAAAAAAAAAAAAAAAA&#10;AKECAABkcnMvZG93bnJldi54bWxQSwUGAAAAAAQABAD5AAAAjwMAAAAA&#10;">
                  <v:stroke endarrow="block"/>
                </v:shape>
                <v:shape id="AutoShape 24" o:spid="_x0000_s1052" type="#_x0000_t32" style="position:absolute;left:29511;top:22359;width:4;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AutoShape 25" o:spid="_x0000_s1053" type="#_x0000_t32" style="position:absolute;left:29489;top:27993;width:26;height:1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OwsMAAADcAAAADwAAAGRycy9kb3ducmV2LnhtbESPQWsCMRSE7wX/Q3iCt5pVbJ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jsLDAAAA3AAAAA8AAAAAAAAAAAAA&#10;AAAAoQIAAGRycy9kb3ducmV2LnhtbFBLBQYAAAAABAAEAPkAAACRAwAAAAA=&#10;">
                  <v:stroke endarrow="block"/>
                </v:shape>
                <v:shape id="AutoShape 26" o:spid="_x0000_s1054" type="#_x0000_t32" style="position:absolute;left:29511;top:9769;width:4;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b8AAADaAAAADwAAAGRycy9kb3ducmV2LnhtbERPTWvDMAy9D/ofjAq7Lc4KGyOLW7pC&#10;oexS1hXao4i1xDSWQ+zFyb+vA4OdxON9qtyMthUD9d44VvCc5SCIK6cN1wrO3/unNxA+IGtsHZOC&#10;iTxs1ouHEgvtIn/RcAq1SCHsC1TQhNAVUvqqIYs+cx1x4n5cbzEk2NdS9xhTuG3lKs9fpUXDqaHB&#10;jnYNVbfTr1Vg4tEM3WEXPz4vV68jmenFGaUel+P2HUSgMfyL/9wHnebD/Mp85f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i4/b8AAADaAAAADwAAAAAAAAAAAAAAAACh&#10;AgAAZHJzL2Rvd25yZXYueG1sUEsFBgAAAAAEAAQA+QAAAI0DAAAAAA==&#10;">
                  <v:stroke endarrow="block"/>
                </v:shape>
                <v:shape id="AutoShape 27" o:spid="_x0000_s1055" type="#_x0000_t32" style="position:absolute;left:48194;top:14130;width:28;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shape id="AutoShape 28" o:spid="_x0000_s1056" type="#_x0000_t32" style="position:absolute;left:48176;top:22411;width:18;height:2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29" o:spid="_x0000_s1057" type="#_x0000_t32" style="position:absolute;left:48163;top:27401;width:13;height:2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30" o:spid="_x0000_s1058" type="#_x0000_t32" style="position:absolute;left:48176;top:27401;width:34;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oundrect id="_x0000_s1059" style="position:absolute;left:2929;top:1800;width:14232;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gfsEA&#10;AADcAAAADwAAAGRycy9kb3ducmV2LnhtbERPz2vCMBS+D/wfwhN2m+lkdNI1lSkWdtPVXbw9mre2&#10;rHmpSVbrf28OgseP73e+nkwvRnK+s6zgdZGAIK6t7rhR8HMsX1YgfEDW2FsmBVfysC5mTzlm2l74&#10;m8YqNCKGsM9QQRvCkEnp65YM+oUdiCP3a53BEKFrpHZ4ieGml8skSaXBjmNDiwNtW6r/qn+j4Ny5&#10;Tbm17lCnabU7+v2px+Gk1PN8+vwAEWgKD/Hd/aUVvL3HtfFMPA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IH7BAAAA3AAAAA8AAAAAAAAAAAAAAAAAmAIAAGRycy9kb3du&#10;cmV2LnhtbFBLBQYAAAAABAAEAPUAAACGAwAAAAA=&#10;" fillcolor="white [3201]" strokecolor="#f79646 [3209]" strokeweight="2pt">
                  <v:textbox>
                    <w:txbxContent>
                      <w:p w14:paraId="73A0F53E" w14:textId="77777777" w:rsidR="00133798" w:rsidRDefault="00133798" w:rsidP="00336C16">
                        <w:pPr>
                          <w:pStyle w:val="prastasistinklapis"/>
                          <w:jc w:val="center"/>
                        </w:pPr>
                        <w:r>
                          <w:rPr>
                            <w:rFonts w:ascii="Calibri" w:eastAsia="Calibri" w:hAnsi="Calibri"/>
                            <w:b/>
                            <w:bCs/>
                            <w:sz w:val="16"/>
                            <w:szCs w:val="16"/>
                            <w:lang w:val="en-US"/>
                          </w:rPr>
                          <w:t>I STRUKTŪRA</w:t>
                        </w:r>
                      </w:p>
                    </w:txbxContent>
                  </v:textbox>
                </v:roundrect>
                <v:roundrect id="_x0000_s1060" style="position:absolute;left:21941;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F5cQA&#10;AADcAAAADwAAAGRycy9kb3ducmV2LnhtbESPQWvCQBSE70L/w/IK3nRTKbFNXUMbKvRWTXrx9sg+&#10;k2D2bbq7avz33YLgcZiZb5hVPppenMn5zrKCp3kCgri2uuNGwU+1mb2A8AFZY2+ZFFzJQ75+mKww&#10;0/bCOzqXoRERwj5DBW0IQyalr1sy6Od2II7ewTqDIUrXSO3wEuGml4skSaXBjuNCiwMVLdXH8mQU&#10;/HbuY1NYt63TtPys/Pe+x2Gv1PRxfH8DEWgM9/Ct/aUVPC9f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heXEAAAA3AAAAA8AAAAAAAAAAAAAAAAAmAIAAGRycy9k&#10;b3ducmV2LnhtbFBLBQYAAAAABAAEAPUAAACJAwAAAAA=&#10;" fillcolor="white [3201]" strokecolor="#f79646 [3209]" strokeweight="2pt">
                  <v:textbox>
                    <w:txbxContent>
                      <w:p w14:paraId="28514968" w14:textId="77777777" w:rsidR="00133798" w:rsidRDefault="00133798" w:rsidP="00336C16">
                        <w:pPr>
                          <w:pStyle w:val="prastasistinklapis"/>
                          <w:jc w:val="center"/>
                        </w:pPr>
                        <w:r>
                          <w:rPr>
                            <w:rFonts w:ascii="Calibri" w:eastAsia="Calibri" w:hAnsi="Calibri"/>
                            <w:b/>
                            <w:bCs/>
                            <w:sz w:val="16"/>
                            <w:szCs w:val="16"/>
                          </w:rPr>
                          <w:t>II STRUKTŪRA</w:t>
                        </w:r>
                      </w:p>
                    </w:txbxContent>
                  </v:textbox>
                </v:roundrect>
                <v:roundrect id="_x0000_s1061" style="position:absolute;left:4110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MA&#10;AADbAAAADwAAAGRycy9kb3ducmV2LnhtbESPwWrDMBBE74H8g9hAb7GcFExwo4Q2NNBbU7sX3xZr&#10;a5taK0dSbffvq0Ahx2Fm3jD742x6MZLznWUFmyQFQVxb3XGj4LM8r3cgfEDW2FsmBb/k4XhYLvaY&#10;azvxB41FaESEsM9RQRvCkEvp65YM+sQOxNH7ss5giNI1UjucItz0cpummTTYcVxocaBTS/V38WMU&#10;XDv3cj5Zd6mzrHgt/XvV41Ap9bCan59ABJrDPfzfftMKHrdw+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o/cMAAADbAAAADwAAAAAAAAAAAAAAAACYAgAAZHJzL2Rv&#10;d25yZXYueG1sUEsFBgAAAAAEAAQA9QAAAIgDAAAAAA==&#10;" fillcolor="white [3201]" strokecolor="#f79646 [3209]" strokeweight="2pt">
                  <v:textbox>
                    <w:txbxContent>
                      <w:p w14:paraId="4EB8B44A" w14:textId="77777777" w:rsidR="00133798" w:rsidRDefault="00133798" w:rsidP="00336C16">
                        <w:pPr>
                          <w:pStyle w:val="prastasistinklapis"/>
                          <w:jc w:val="center"/>
                        </w:pPr>
                        <w:r>
                          <w:rPr>
                            <w:rFonts w:ascii="Calibri" w:eastAsia="Calibri" w:hAnsi="Calibri"/>
                            <w:b/>
                            <w:bCs/>
                            <w:sz w:val="16"/>
                            <w:szCs w:val="16"/>
                          </w:rPr>
                          <w:t>III STRUKTŪRA</w:t>
                        </w:r>
                      </w:p>
                    </w:txbxContent>
                  </v:textbox>
                </v:roundrect>
                <v:shape id="AutoShape 26" o:spid="_x0000_s1062" type="#_x0000_t32" style="position:absolute;left:48210;top:9769;width:12;height:1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oval id="Oval 165" o:spid="_x0000_s1063" style="position:absolute;left:4365;top:15954;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MOsMA&#10;AADcAAAADwAAAGRycy9kb3ducmV2LnhtbERPTWvCQBC9C/6HZYTedGNIRWJWKdJixENRe6i3MTsm&#10;odnZkN1q+u9doeBtHu9zslVvGnGlztWWFUwnEQjiwuqaSwVfx4/xHITzyBoby6TgjxyslsNBhqm2&#10;N97T9eBLEULYpaig8r5NpXRFRQbdxLbEgbvYzqAPsCul7vAWwk0j4yiaSYM1h4YKW1pXVPwcfo2C&#10;+PR53rXbZPPtE9dsdtsI5/m7Ui+j/m0BwlPvn+J/d67D/Nkr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MOsMAAADcAAAADwAAAAAAAAAAAAAAAACYAgAAZHJzL2Rv&#10;d25yZXYueG1sUEsFBgAAAAAEAAQA9QAAAIgDAAAAAA==&#10;" fillcolor="#ffc000" strokecolor="#974706">
                  <v:textbox>
                    <w:txbxContent>
                      <w:p w14:paraId="776FB9DE"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oval id="_x0000_s1064" style="position:absolute;left:42495;top:15972;width:11399;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TcQA&#10;AADcAAAADwAAAGRycy9kb3ducmV2LnhtbERPTWvCQBC9F/oflil4qxuDBIluQpGWKB5K1YPeptlp&#10;EpqdDdk1Sf99t1DwNo/3OZt8Mq0YqHeNZQWLeQSCuLS64UrB+fT2vALhPLLG1jIp+CEHefb4sMFU&#10;25E/aDj6SoQQdikqqL3vUildWZNBN7cdceC+bG/QB9hXUvc4hnDTyjiKEmmw4dBQY0fbmsrv480o&#10;iK/vn4duvywufuna4rCPcLV7VWr2NL2sQXia/F38797pMD9J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0k3EAAAA3AAAAA8AAAAAAAAAAAAAAAAAmAIAAGRycy9k&#10;b3ducmV2LnhtbFBLBQYAAAAABAAEAPUAAACJAwAAAAA=&#10;" fillcolor="#ffc000" strokecolor="#974706">
                  <v:textbox>
                    <w:txbxContent>
                      <w:p w14:paraId="5621665E"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133798" w:rsidRDefault="00133798"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w10:anchorlock/>
              </v:group>
            </w:pict>
          </mc:Fallback>
        </mc:AlternateContent>
      </w:r>
    </w:p>
    <w:p w14:paraId="6E41987A" w14:textId="06522973" w:rsidR="00931CAF" w:rsidRPr="002142B8" w:rsidRDefault="00931CAF" w:rsidP="00931CAF">
      <w:pPr>
        <w:pStyle w:val="Antrat"/>
        <w:rPr>
          <w:lang w:val="lt-LT"/>
        </w:rPr>
      </w:pPr>
      <w:bookmarkStart w:id="21" w:name="_Toc507939262"/>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3</w:t>
      </w:r>
      <w:r w:rsidRPr="002142B8">
        <w:rPr>
          <w:lang w:val="lt-LT"/>
        </w:rPr>
        <w:fldChar w:fldCharType="end"/>
      </w:r>
      <w:r w:rsidRPr="002142B8">
        <w:rPr>
          <w:lang w:val="lt-LT"/>
        </w:rPr>
        <w:t>. Galimos finansinės priemonės įgyvendinimo struktūros</w:t>
      </w:r>
      <w:bookmarkEnd w:id="21"/>
    </w:p>
    <w:p w14:paraId="658380BF" w14:textId="77777777" w:rsidR="00336C16" w:rsidRPr="002142B8" w:rsidRDefault="00873719" w:rsidP="00336C16">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Pirmoji</w:t>
      </w:r>
      <w:r w:rsidR="00336C16" w:rsidRPr="002142B8">
        <w:rPr>
          <w:rFonts w:ascii="Georgia" w:hAnsi="Georgia" w:cs="Arial"/>
          <w:color w:val="000000"/>
          <w:sz w:val="20"/>
          <w:szCs w:val="20"/>
          <w:lang w:val="lt-LT"/>
        </w:rPr>
        <w:t xml:space="preserve"> struktūra vadovaujančiai institucijai suteikia galimybę tiesiogiai įgyvendinti finansinę priemonę. Tai yra naudinga tais atvejais, kai jai reikia finansuoti didelių, pavienių projektų įgyvendinimą, nes leidžia sutaupyti daug laiko ir resursų dėl tiesioginio valdymo galimybės. Šios alternatyvos trūkumai</w:t>
      </w:r>
      <w:r w:rsidR="001C20A9" w:rsidRPr="002142B8">
        <w:rPr>
          <w:rFonts w:ascii="Georgia" w:hAnsi="Georgia" w:cs="Arial"/>
          <w:color w:val="000000"/>
          <w:sz w:val="20"/>
          <w:szCs w:val="20"/>
          <w:lang w:val="lt-LT"/>
        </w:rPr>
        <w:t xml:space="preserve"> – </w:t>
      </w:r>
      <w:r w:rsidR="00336C16" w:rsidRPr="002142B8">
        <w:rPr>
          <w:rFonts w:ascii="Georgia" w:hAnsi="Georgia" w:cs="Arial"/>
          <w:color w:val="000000"/>
          <w:sz w:val="20"/>
          <w:szCs w:val="20"/>
          <w:lang w:val="lt-LT"/>
        </w:rPr>
        <w:t>ją</w:t>
      </w:r>
      <w:r w:rsidR="001C20A9" w:rsidRPr="002142B8">
        <w:rPr>
          <w:rFonts w:ascii="Georgia" w:hAnsi="Georgia" w:cs="Arial"/>
          <w:color w:val="000000"/>
          <w:sz w:val="20"/>
          <w:szCs w:val="20"/>
          <w:lang w:val="lt-LT"/>
        </w:rPr>
        <w:t xml:space="preserve"> </w:t>
      </w:r>
      <w:r w:rsidR="00336C16" w:rsidRPr="002142B8">
        <w:rPr>
          <w:rFonts w:ascii="Georgia" w:hAnsi="Georgia" w:cs="Arial"/>
          <w:color w:val="000000"/>
          <w:sz w:val="20"/>
          <w:szCs w:val="20"/>
          <w:lang w:val="lt-LT"/>
        </w:rPr>
        <w:t>sunku įgyvendinti praktikoje kai projektas turi daug galutinių paramos gavėjų, pavyzdžiui</w:t>
      </w:r>
      <w:r w:rsidR="001C20A9" w:rsidRPr="002142B8">
        <w:rPr>
          <w:rFonts w:ascii="Georgia" w:hAnsi="Georgia" w:cs="Arial"/>
          <w:color w:val="000000"/>
          <w:sz w:val="20"/>
          <w:szCs w:val="20"/>
          <w:lang w:val="lt-LT"/>
        </w:rPr>
        <w:t>,</w:t>
      </w:r>
      <w:r w:rsidR="00336C16" w:rsidRPr="002142B8">
        <w:rPr>
          <w:rFonts w:ascii="Georgia" w:hAnsi="Georgia" w:cs="Arial"/>
          <w:color w:val="000000"/>
          <w:sz w:val="20"/>
          <w:szCs w:val="20"/>
          <w:lang w:val="lt-LT"/>
        </w:rPr>
        <w:t xml:space="preserve"> daugiabučių </w:t>
      </w:r>
      <w:r w:rsidR="001C20A9" w:rsidRPr="002142B8">
        <w:rPr>
          <w:rFonts w:ascii="Georgia" w:hAnsi="Georgia" w:cs="Arial"/>
          <w:color w:val="000000"/>
          <w:sz w:val="20"/>
          <w:szCs w:val="20"/>
          <w:lang w:val="lt-LT"/>
        </w:rPr>
        <w:t xml:space="preserve">modernizavimo </w:t>
      </w:r>
      <w:r w:rsidR="00336C16" w:rsidRPr="002142B8">
        <w:rPr>
          <w:rFonts w:ascii="Georgia" w:hAnsi="Georgia" w:cs="Arial"/>
          <w:color w:val="000000"/>
          <w:sz w:val="20"/>
          <w:szCs w:val="20"/>
          <w:lang w:val="lt-LT"/>
        </w:rPr>
        <w:t xml:space="preserve">atveju, taip pat visas funkcijas turi atlikti pati vadovaujančioji institucija (tarp įgyvendinamų funkcijų būtina paminėti ir lėšų surinkimą paskolų atveju, kuris gali užsitęsti ilgiau nei konkretaus periodo išlaidų tinkamumo laikotarpis). Ši alternatyva turi labai ribotas galimybes užtikrinti papildomų lėšų pritraukimą. Šios alternatyvos atveju </w:t>
      </w:r>
      <w:r w:rsidR="001C20A9" w:rsidRPr="002142B8">
        <w:rPr>
          <w:rFonts w:ascii="Georgia" w:hAnsi="Georgia" w:cs="Arial"/>
          <w:color w:val="000000"/>
          <w:sz w:val="20"/>
          <w:szCs w:val="20"/>
          <w:lang w:val="lt-LT"/>
        </w:rPr>
        <w:t>v</w:t>
      </w:r>
      <w:r w:rsidR="00336C16" w:rsidRPr="002142B8">
        <w:rPr>
          <w:rFonts w:ascii="Georgia" w:hAnsi="Georgia" w:cs="Arial"/>
          <w:color w:val="000000"/>
          <w:sz w:val="20"/>
          <w:szCs w:val="20"/>
          <w:lang w:val="lt-LT"/>
        </w:rPr>
        <w:t>adovaujančioji institucija yra laikoma paramos gavėju.</w:t>
      </w:r>
    </w:p>
    <w:p w14:paraId="00EF061E"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p>
    <w:p w14:paraId="6CCA617F"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Pagal antrą</w:t>
      </w:r>
      <w:r w:rsidR="001C20A9" w:rsidRPr="002142B8">
        <w:rPr>
          <w:rFonts w:ascii="Georgia" w:hAnsi="Georgia" w:cs="Arial"/>
          <w:color w:val="000000"/>
          <w:sz w:val="20"/>
          <w:szCs w:val="20"/>
          <w:lang w:val="lt-LT"/>
        </w:rPr>
        <w:t>ją</w:t>
      </w:r>
      <w:r w:rsidRPr="002142B8">
        <w:rPr>
          <w:rFonts w:ascii="Georgia" w:hAnsi="Georgia" w:cs="Arial"/>
          <w:color w:val="000000"/>
          <w:sz w:val="20"/>
          <w:szCs w:val="20"/>
          <w:lang w:val="lt-LT"/>
        </w:rPr>
        <w:t xml:space="preserve"> struktūrą finansinė priemonė yra įgyvendinama per finansinių priemonių valdytojus. Vadovaujančioji institucija pastaruosius atrenka, t.y. paveda vykdyti tam tikras užduotis aukščiau nurodytais </w:t>
      </w:r>
      <w:r w:rsidR="00E731B2" w:rsidRPr="002142B8">
        <w:rPr>
          <w:rFonts w:ascii="Georgia" w:hAnsi="Georgia" w:cs="Arial"/>
          <w:color w:val="000000"/>
          <w:sz w:val="20"/>
          <w:szCs w:val="20"/>
          <w:lang w:val="lt-LT"/>
        </w:rPr>
        <w:t xml:space="preserve">Bendrųjų </w:t>
      </w:r>
      <w:r w:rsidRPr="002142B8">
        <w:rPr>
          <w:rFonts w:ascii="Georgia" w:hAnsi="Georgia" w:cs="Arial"/>
          <w:color w:val="000000"/>
          <w:sz w:val="20"/>
          <w:szCs w:val="20"/>
          <w:lang w:val="lt-LT"/>
        </w:rPr>
        <w:t>nuostatų reglamento 38</w:t>
      </w:r>
      <w:r w:rsidR="001C20A9" w:rsidRPr="002142B8">
        <w:rPr>
          <w:rFonts w:ascii="Georgia" w:hAnsi="Georgia" w:cs="Arial"/>
          <w:color w:val="000000"/>
          <w:sz w:val="20"/>
          <w:szCs w:val="20"/>
          <w:lang w:val="lt-LT"/>
        </w:rPr>
        <w:t>.</w:t>
      </w:r>
      <w:r w:rsidRPr="002142B8">
        <w:rPr>
          <w:rFonts w:ascii="Georgia" w:hAnsi="Georgia" w:cs="Arial"/>
          <w:color w:val="000000"/>
          <w:sz w:val="20"/>
          <w:szCs w:val="20"/>
          <w:lang w:val="lt-LT"/>
        </w:rPr>
        <w:t>4</w:t>
      </w:r>
      <w:r w:rsidR="001C20A9" w:rsidRPr="002142B8">
        <w:rPr>
          <w:rFonts w:ascii="Georgia" w:hAnsi="Georgia" w:cs="Arial"/>
          <w:color w:val="000000"/>
          <w:sz w:val="20"/>
          <w:szCs w:val="20"/>
          <w:lang w:val="lt-LT"/>
        </w:rPr>
        <w:t xml:space="preserve"> (a) – (c) </w:t>
      </w:r>
      <w:r w:rsidRPr="002142B8">
        <w:rPr>
          <w:rFonts w:ascii="Georgia" w:hAnsi="Georgia" w:cs="Arial"/>
          <w:color w:val="000000"/>
          <w:sz w:val="20"/>
          <w:szCs w:val="20"/>
          <w:lang w:val="lt-LT"/>
        </w:rPr>
        <w:t>punkt</w:t>
      </w:r>
      <w:r w:rsidR="001C20A9" w:rsidRPr="002142B8">
        <w:rPr>
          <w:rFonts w:ascii="Georgia" w:hAnsi="Georgia" w:cs="Arial"/>
          <w:color w:val="000000"/>
          <w:sz w:val="20"/>
          <w:szCs w:val="20"/>
          <w:lang w:val="lt-LT"/>
        </w:rPr>
        <w:t>uose</w:t>
      </w:r>
      <w:r w:rsidRPr="002142B8">
        <w:rPr>
          <w:rFonts w:ascii="Georgia" w:hAnsi="Georgia" w:cs="Arial"/>
          <w:color w:val="000000"/>
          <w:sz w:val="20"/>
          <w:szCs w:val="20"/>
          <w:lang w:val="lt-LT"/>
        </w:rPr>
        <w:t xml:space="preserve"> nurodytais būdais. Pagrindinis jos apribojimas, kad vadovaujantis Bendr</w:t>
      </w:r>
      <w:r w:rsidR="00E731B2" w:rsidRPr="002142B8">
        <w:rPr>
          <w:rFonts w:ascii="Georgia" w:hAnsi="Georgia" w:cs="Arial"/>
          <w:color w:val="000000"/>
          <w:sz w:val="20"/>
          <w:szCs w:val="20"/>
          <w:lang w:val="lt-LT"/>
        </w:rPr>
        <w:t>ųjų</w:t>
      </w:r>
      <w:r w:rsidRPr="002142B8">
        <w:rPr>
          <w:rFonts w:ascii="Georgia" w:hAnsi="Georgia" w:cs="Arial"/>
          <w:color w:val="000000"/>
          <w:sz w:val="20"/>
          <w:szCs w:val="20"/>
          <w:lang w:val="lt-LT"/>
        </w:rPr>
        <w:t xml:space="preserve"> nuostatų reglamento 38</w:t>
      </w:r>
      <w:r w:rsidR="001C20A9" w:rsidRPr="002142B8">
        <w:rPr>
          <w:rFonts w:ascii="Georgia" w:hAnsi="Georgia" w:cs="Arial"/>
          <w:color w:val="000000"/>
          <w:sz w:val="20"/>
          <w:szCs w:val="20"/>
          <w:lang w:val="lt-LT"/>
        </w:rPr>
        <w:t>.</w:t>
      </w:r>
      <w:r w:rsidRPr="002142B8">
        <w:rPr>
          <w:rFonts w:ascii="Georgia" w:hAnsi="Georgia" w:cs="Arial"/>
          <w:color w:val="000000"/>
          <w:sz w:val="20"/>
          <w:szCs w:val="20"/>
          <w:lang w:val="lt-LT"/>
        </w:rPr>
        <w:t xml:space="preserve">5 </w:t>
      </w:r>
      <w:r w:rsidR="001C20A9" w:rsidRPr="002142B8">
        <w:rPr>
          <w:rFonts w:ascii="Georgia" w:hAnsi="Georgia" w:cs="Arial"/>
          <w:color w:val="000000"/>
          <w:sz w:val="20"/>
          <w:szCs w:val="20"/>
          <w:lang w:val="lt-LT"/>
        </w:rPr>
        <w:t xml:space="preserve">punktu </w:t>
      </w:r>
      <w:r w:rsidRPr="002142B8">
        <w:rPr>
          <w:rFonts w:ascii="Georgia" w:hAnsi="Georgia" w:cs="Arial"/>
          <w:color w:val="000000"/>
          <w:sz w:val="20"/>
          <w:szCs w:val="20"/>
          <w:lang w:val="lt-LT"/>
        </w:rPr>
        <w:t xml:space="preserve">nėra galimybės priemonės įgyvendinimui pasitelkti finansinių tarpininkų, tokia galimybė minima tik </w:t>
      </w:r>
      <w:r w:rsidR="001C20A9" w:rsidRPr="002142B8">
        <w:rPr>
          <w:rFonts w:ascii="Georgia" w:hAnsi="Georgia" w:cs="Arial"/>
          <w:color w:val="000000"/>
          <w:sz w:val="20"/>
          <w:szCs w:val="20"/>
          <w:lang w:val="lt-LT"/>
        </w:rPr>
        <w:t>f</w:t>
      </w:r>
      <w:r w:rsidRPr="002142B8">
        <w:rPr>
          <w:rFonts w:ascii="Georgia" w:hAnsi="Georgia" w:cs="Arial"/>
          <w:color w:val="000000"/>
          <w:sz w:val="20"/>
          <w:szCs w:val="20"/>
          <w:lang w:val="lt-LT"/>
        </w:rPr>
        <w:t xml:space="preserve">ondų fondo steigimo atveju. Ši alternatyva yra galimybė įgyvendinti finansinę priemonę kai viena institucija gali užtikrinti visos finansinės priemonės įgyvendinimą (projektų atranką ir finansavimą) ir kai tikėtinas papildomų lėšų pritraukimas gali būti užtikrinamas </w:t>
      </w:r>
      <w:r w:rsidR="009E2E51" w:rsidRPr="002142B8">
        <w:rPr>
          <w:rFonts w:ascii="Georgia" w:hAnsi="Georgia" w:cs="Arial"/>
          <w:color w:val="000000"/>
          <w:sz w:val="20"/>
          <w:szCs w:val="20"/>
          <w:lang w:val="lt-LT"/>
        </w:rPr>
        <w:t xml:space="preserve">tuo pačiu </w:t>
      </w:r>
      <w:r w:rsidRPr="002142B8">
        <w:rPr>
          <w:rFonts w:ascii="Georgia" w:hAnsi="Georgia" w:cs="Arial"/>
          <w:color w:val="000000"/>
          <w:sz w:val="20"/>
          <w:szCs w:val="20"/>
          <w:lang w:val="lt-LT"/>
        </w:rPr>
        <w:t xml:space="preserve">būdu. </w:t>
      </w:r>
    </w:p>
    <w:p w14:paraId="2B0B329C"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p>
    <w:p w14:paraId="67A15838" w14:textId="77777777" w:rsidR="00336C16" w:rsidRPr="002142B8" w:rsidRDefault="00336C16" w:rsidP="00336C16">
      <w:pPr>
        <w:autoSpaceDE w:val="0"/>
        <w:autoSpaceDN w:val="0"/>
        <w:adjustRightInd w:val="0"/>
        <w:spacing w:after="0"/>
        <w:jc w:val="both"/>
        <w:rPr>
          <w:rFonts w:ascii="Georgia" w:hAnsi="Georgia" w:cs="Arial"/>
          <w:color w:val="000000"/>
          <w:sz w:val="20"/>
          <w:szCs w:val="20"/>
          <w:lang w:val="lt-LT"/>
        </w:rPr>
      </w:pPr>
      <w:r w:rsidRPr="002142B8">
        <w:rPr>
          <w:rFonts w:ascii="Georgia" w:hAnsi="Georgia" w:cs="Arial"/>
          <w:color w:val="000000"/>
          <w:sz w:val="20"/>
          <w:szCs w:val="20"/>
          <w:lang w:val="lt-LT"/>
        </w:rPr>
        <w:t xml:space="preserve">Trečioji struktūra leidžia vadovaujančiai institucijai įgyvendinti finansinę priemonę pasinaudojant fondų fondo valdytojo pagalba. </w:t>
      </w:r>
      <w:r w:rsidR="009E2E51" w:rsidRPr="002142B8">
        <w:rPr>
          <w:rFonts w:ascii="Georgia" w:hAnsi="Georgia" w:cs="Arial"/>
          <w:color w:val="000000"/>
          <w:sz w:val="20"/>
          <w:szCs w:val="20"/>
          <w:lang w:val="lt-LT"/>
        </w:rPr>
        <w:t>Kaip nustatyta</w:t>
      </w:r>
      <w:r w:rsidRPr="002142B8">
        <w:rPr>
          <w:rFonts w:ascii="Georgia" w:hAnsi="Georgia" w:cs="Arial"/>
          <w:color w:val="000000"/>
          <w:sz w:val="20"/>
          <w:szCs w:val="20"/>
          <w:lang w:val="lt-LT"/>
        </w:rPr>
        <w:t xml:space="preserve"> Bendr</w:t>
      </w:r>
      <w:r w:rsidR="00E731B2" w:rsidRPr="002142B8">
        <w:rPr>
          <w:rFonts w:ascii="Georgia" w:hAnsi="Georgia" w:cs="Arial"/>
          <w:color w:val="000000"/>
          <w:sz w:val="20"/>
          <w:szCs w:val="20"/>
          <w:lang w:val="lt-LT"/>
        </w:rPr>
        <w:t>ųjų</w:t>
      </w:r>
      <w:r w:rsidRPr="002142B8">
        <w:rPr>
          <w:rFonts w:ascii="Georgia" w:hAnsi="Georgia" w:cs="Arial"/>
          <w:color w:val="000000"/>
          <w:sz w:val="20"/>
          <w:szCs w:val="20"/>
          <w:lang w:val="lt-LT"/>
        </w:rPr>
        <w:t xml:space="preserve"> nuostatų reglamento 38.4(b)</w:t>
      </w:r>
      <w:r w:rsidR="009E2E51" w:rsidRPr="002142B8">
        <w:rPr>
          <w:rFonts w:ascii="Georgia" w:hAnsi="Georgia" w:cs="Arial"/>
          <w:color w:val="000000"/>
          <w:sz w:val="20"/>
          <w:szCs w:val="20"/>
          <w:lang w:val="lt-LT"/>
        </w:rPr>
        <w:t xml:space="preserve"> punkte, </w:t>
      </w:r>
      <w:r w:rsidRPr="002142B8">
        <w:rPr>
          <w:rFonts w:ascii="Georgia" w:hAnsi="Georgia" w:cs="Arial"/>
          <w:color w:val="000000"/>
          <w:sz w:val="20"/>
          <w:szCs w:val="20"/>
          <w:lang w:val="lt-LT"/>
        </w:rPr>
        <w:t>vadovaujančiajai institucijai yra sudarytos kelios galimybės atrinkti fondų fondo valdytoją</w:t>
      </w:r>
      <w:r w:rsidR="009E2E51" w:rsidRPr="002142B8">
        <w:rPr>
          <w:rFonts w:ascii="Georgia" w:hAnsi="Georgia" w:cs="Arial"/>
          <w:color w:val="000000"/>
          <w:sz w:val="20"/>
          <w:szCs w:val="20"/>
          <w:lang w:val="lt-LT"/>
        </w:rPr>
        <w:t xml:space="preserve">. </w:t>
      </w:r>
      <w:r w:rsidRPr="002142B8">
        <w:rPr>
          <w:rFonts w:ascii="Georgia" w:hAnsi="Georgia" w:cs="Arial"/>
          <w:color w:val="000000"/>
          <w:sz w:val="20"/>
          <w:szCs w:val="20"/>
          <w:lang w:val="lt-LT"/>
        </w:rPr>
        <w:t xml:space="preserve">Šios alternatyvos atveju yra plačiausios galimybės įgyvendinti ir derinti skirtingas finansines priemones pasitelkiant </w:t>
      </w:r>
      <w:r w:rsidR="009E2E51" w:rsidRPr="002142B8">
        <w:rPr>
          <w:rFonts w:ascii="Georgia" w:hAnsi="Georgia" w:cs="Arial"/>
          <w:color w:val="000000"/>
          <w:sz w:val="20"/>
          <w:szCs w:val="20"/>
          <w:lang w:val="lt-LT"/>
        </w:rPr>
        <w:t>f</w:t>
      </w:r>
      <w:r w:rsidRPr="002142B8">
        <w:rPr>
          <w:rFonts w:ascii="Georgia" w:hAnsi="Georgia" w:cs="Arial"/>
          <w:color w:val="000000"/>
          <w:sz w:val="20"/>
          <w:szCs w:val="20"/>
          <w:lang w:val="lt-LT"/>
        </w:rPr>
        <w:t xml:space="preserve">ondų fondo valdytoją. </w:t>
      </w:r>
      <w:r w:rsidR="009E2E51" w:rsidRPr="002142B8">
        <w:rPr>
          <w:rFonts w:ascii="Georgia" w:hAnsi="Georgia" w:cs="Arial"/>
          <w:color w:val="000000"/>
          <w:sz w:val="20"/>
          <w:szCs w:val="20"/>
          <w:lang w:val="lt-LT"/>
        </w:rPr>
        <w:t>Ši alternatyva taip pat leidžia</w:t>
      </w:r>
      <w:r w:rsidRPr="002142B8">
        <w:rPr>
          <w:rFonts w:ascii="Georgia" w:hAnsi="Georgia" w:cs="Arial"/>
          <w:color w:val="000000"/>
          <w:sz w:val="20"/>
          <w:szCs w:val="20"/>
          <w:lang w:val="lt-LT"/>
        </w:rPr>
        <w:t xml:space="preserve"> ieškoti tinkamiausio</w:t>
      </w:r>
      <w:r w:rsidR="009E2E51" w:rsidRPr="002142B8">
        <w:rPr>
          <w:rFonts w:ascii="Georgia" w:hAnsi="Georgia" w:cs="Arial"/>
          <w:color w:val="000000"/>
          <w:sz w:val="20"/>
          <w:szCs w:val="20"/>
          <w:lang w:val="lt-LT"/>
        </w:rPr>
        <w:t>s</w:t>
      </w:r>
      <w:r w:rsidRPr="002142B8">
        <w:rPr>
          <w:rFonts w:ascii="Georgia" w:hAnsi="Georgia" w:cs="Arial"/>
          <w:color w:val="000000"/>
          <w:sz w:val="20"/>
          <w:szCs w:val="20"/>
          <w:lang w:val="lt-LT"/>
        </w:rPr>
        <w:t xml:space="preserve"> konkrečios finansinės priemonės įgyvendinimo schemos, kadangi </w:t>
      </w:r>
      <w:r w:rsidR="009E2E51" w:rsidRPr="002142B8">
        <w:rPr>
          <w:rFonts w:ascii="Georgia" w:hAnsi="Georgia" w:cs="Arial"/>
          <w:color w:val="000000"/>
          <w:sz w:val="20"/>
          <w:szCs w:val="20"/>
          <w:lang w:val="lt-LT"/>
        </w:rPr>
        <w:t>f</w:t>
      </w:r>
      <w:r w:rsidRPr="002142B8">
        <w:rPr>
          <w:rFonts w:ascii="Georgia" w:hAnsi="Georgia" w:cs="Arial"/>
          <w:color w:val="000000"/>
          <w:sz w:val="20"/>
          <w:szCs w:val="20"/>
          <w:lang w:val="lt-LT"/>
        </w:rPr>
        <w:t>ondų fondo valdytojas gali finansines priemones įgyvendinti pats tiesiogiai arba dalį įgyvendinimo užduočių pavesti vykdyt</w:t>
      </w:r>
      <w:r w:rsidR="009E2E51" w:rsidRPr="002142B8">
        <w:rPr>
          <w:rFonts w:ascii="Georgia" w:hAnsi="Georgia" w:cs="Arial"/>
          <w:color w:val="000000"/>
          <w:sz w:val="20"/>
          <w:szCs w:val="20"/>
          <w:lang w:val="lt-LT"/>
        </w:rPr>
        <w:t>i</w:t>
      </w:r>
      <w:r w:rsidRPr="002142B8">
        <w:rPr>
          <w:rFonts w:ascii="Georgia" w:hAnsi="Georgia" w:cs="Arial"/>
          <w:color w:val="000000"/>
          <w:sz w:val="20"/>
          <w:szCs w:val="20"/>
          <w:lang w:val="lt-LT"/>
        </w:rPr>
        <w:t xml:space="preserve"> finansiniams tarpininkams</w:t>
      </w:r>
      <w:r w:rsidR="009E2E51" w:rsidRPr="002142B8">
        <w:rPr>
          <w:rFonts w:ascii="Georgia" w:hAnsi="Georgia" w:cs="Arial"/>
          <w:color w:val="000000"/>
          <w:sz w:val="20"/>
          <w:szCs w:val="20"/>
          <w:lang w:val="lt-LT"/>
        </w:rPr>
        <w:t xml:space="preserve"> (kaip tai numatyta Bendrųjų nuostatų reglamento 38.5 punkte), be to, fondų fondo valdytojas gali derinti skirtingas finansines priemones</w:t>
      </w:r>
      <w:r w:rsidRPr="002142B8">
        <w:rPr>
          <w:rFonts w:ascii="Georgia" w:hAnsi="Georgia" w:cs="Arial"/>
          <w:color w:val="000000"/>
          <w:sz w:val="20"/>
          <w:szCs w:val="20"/>
          <w:lang w:val="lt-LT"/>
        </w:rPr>
        <w:t xml:space="preserve">. Tiesioginis (be finansinių tarpininkų) užduočių </w:t>
      </w:r>
      <w:r w:rsidRPr="002142B8">
        <w:rPr>
          <w:rFonts w:ascii="Georgia" w:hAnsi="Georgia" w:cs="Arial"/>
          <w:color w:val="000000"/>
          <w:sz w:val="20"/>
          <w:szCs w:val="20"/>
          <w:lang w:val="lt-LT"/>
        </w:rPr>
        <w:lastRenderedPageBreak/>
        <w:t>vykdymas tikslingas tuomet, kai finansiniai tarpininkai nedalyvauja savo lėšomis, kai finansiniai tarpininkai nesuinteresuoti finansinės priemonės įgyvendinimu arba kai yra rinkos nepakankamumas, t.y. finansiniai tarpininkai nepadengia visos numatytos finansinės priemonės įgyvendinimo.</w:t>
      </w:r>
    </w:p>
    <w:p w14:paraId="33C25C79" w14:textId="77777777" w:rsidR="00336C16" w:rsidRPr="002142B8" w:rsidRDefault="00336C16" w:rsidP="00336C16">
      <w:pPr>
        <w:autoSpaceDE w:val="0"/>
        <w:autoSpaceDN w:val="0"/>
        <w:adjustRightInd w:val="0"/>
        <w:spacing w:after="0" w:line="240" w:lineRule="auto"/>
        <w:jc w:val="both"/>
        <w:rPr>
          <w:rFonts w:ascii="Georgia" w:hAnsi="Georgia" w:cs="Arial"/>
          <w:color w:val="000000"/>
          <w:sz w:val="20"/>
          <w:szCs w:val="20"/>
          <w:lang w:val="lt-LT"/>
        </w:rPr>
      </w:pPr>
    </w:p>
    <w:p w14:paraId="426258A9" w14:textId="77777777" w:rsidR="00336C16" w:rsidRPr="002142B8" w:rsidRDefault="00336C16" w:rsidP="00336C16">
      <w:pPr>
        <w:rPr>
          <w:lang w:val="lt-LT"/>
        </w:rPr>
      </w:pPr>
      <w:r w:rsidRPr="002142B8">
        <w:rPr>
          <w:lang w:val="lt-LT"/>
        </w:rPr>
        <w:br w:type="page"/>
      </w:r>
    </w:p>
    <w:p w14:paraId="65234B03" w14:textId="74BA2FA3" w:rsidR="005A0219" w:rsidRPr="002142B8" w:rsidRDefault="005A0219" w:rsidP="00162BF5">
      <w:pPr>
        <w:pStyle w:val="Antrat1"/>
        <w:numPr>
          <w:ilvl w:val="0"/>
          <w:numId w:val="76"/>
        </w:numPr>
        <w:ind w:left="426"/>
        <w:rPr>
          <w:rFonts w:eastAsia="Times New Roman"/>
          <w:lang w:val="lt-LT"/>
        </w:rPr>
      </w:pPr>
      <w:bookmarkStart w:id="22" w:name="_Toc25589882"/>
      <w:r w:rsidRPr="002142B8">
        <w:rPr>
          <w:rFonts w:eastAsia="Times New Roman"/>
          <w:lang w:val="lt-LT"/>
        </w:rPr>
        <w:lastRenderedPageBreak/>
        <w:t>Rinkos nepakankamumo analizė</w:t>
      </w:r>
      <w:bookmarkEnd w:id="22"/>
    </w:p>
    <w:p w14:paraId="1601A2C9" w14:textId="77777777" w:rsidR="005A0219" w:rsidRPr="002142B8" w:rsidRDefault="005A0219" w:rsidP="00162BF5">
      <w:pPr>
        <w:pStyle w:val="Antrat2"/>
        <w:numPr>
          <w:ilvl w:val="1"/>
          <w:numId w:val="69"/>
        </w:numPr>
        <w:ind w:left="851"/>
        <w:rPr>
          <w:rFonts w:eastAsia="Times New Roman"/>
          <w:lang w:val="lt-LT"/>
        </w:rPr>
      </w:pPr>
      <w:bookmarkStart w:id="23" w:name="_Toc25589883"/>
      <w:r w:rsidRPr="002142B8">
        <w:rPr>
          <w:rFonts w:eastAsia="Times New Roman"/>
          <w:lang w:val="lt-LT"/>
        </w:rPr>
        <w:t>Sektoriaus infrastruktūros, naudojamos viešųjų paslaugų teikimui, apžvalga</w:t>
      </w:r>
      <w:bookmarkEnd w:id="23"/>
    </w:p>
    <w:p w14:paraId="57CEB3B0" w14:textId="77777777" w:rsidR="005A0219" w:rsidRPr="002142B8" w:rsidRDefault="005A0219" w:rsidP="0063781D">
      <w:pPr>
        <w:keepNext/>
        <w:keepLines/>
        <w:numPr>
          <w:ilvl w:val="2"/>
          <w:numId w:val="2"/>
        </w:numPr>
        <w:spacing w:before="200" w:after="240" w:line="240" w:lineRule="auto"/>
        <w:ind w:left="851" w:hanging="851"/>
        <w:jc w:val="both"/>
        <w:outlineLvl w:val="1"/>
        <w:rPr>
          <w:rFonts w:ascii="Georgia" w:eastAsia="Times New Roman" w:hAnsi="Georgia" w:cs="Arial Unicode MS"/>
          <w:b/>
          <w:i/>
          <w:color w:val="821A1A"/>
          <w:sz w:val="28"/>
          <w:szCs w:val="28"/>
          <w:lang w:val="lt-LT"/>
        </w:rPr>
      </w:pPr>
      <w:bookmarkStart w:id="24" w:name="_Toc25589884"/>
      <w:r w:rsidRPr="002142B8">
        <w:rPr>
          <w:rFonts w:ascii="Georgia" w:eastAsia="Times New Roman" w:hAnsi="Georgia" w:cs="Arial Unicode MS"/>
          <w:b/>
          <w:i/>
          <w:color w:val="821A1A"/>
          <w:sz w:val="28"/>
          <w:szCs w:val="28"/>
          <w:lang w:val="lt-LT"/>
        </w:rPr>
        <w:t>Viešieji pastatai</w:t>
      </w:r>
      <w:bookmarkEnd w:id="24"/>
    </w:p>
    <w:p w14:paraId="2FD04965" w14:textId="03CD128B" w:rsidR="005A0219" w:rsidRPr="002142B8" w:rsidRDefault="005A0219" w:rsidP="00BA7CAB">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Remiantis Lietuvos Respublikos nekilnojamo turto registro įregistruotų statinių apskaitos duomenimis, 2017 m. sausio 1</w:t>
      </w:r>
      <w:r w:rsidR="00BA7CAB"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d. valstybei priklausė 5</w:t>
      </w:r>
      <w:r w:rsidR="00BA7CAB"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 xml:space="preserve">316 pastatai, savivaldybėms – 7 506 pastatai, kitiems savininkams – 28 499 pastatai. Taigi valstybei ir savivaldybėms nuosavybės teise priklauso apie 31 proc. visų viešųjų pastatų Lietuvoje.  Pagal pateiktus duomenis vidutinis valstybės ir savivaldybių nuosavybės teise valdomo </w:t>
      </w:r>
      <w:r w:rsidR="00133798">
        <w:rPr>
          <w:rFonts w:ascii="Georgia" w:eastAsia="Georgia" w:hAnsi="Georgia" w:cs="Georgia"/>
          <w:sz w:val="20"/>
          <w:szCs w:val="20"/>
          <w:lang w:val="lt-LT"/>
        </w:rPr>
        <w:t>iki 2 Į</w:t>
      </w:r>
      <w:r w:rsidRPr="002142B8">
        <w:rPr>
          <w:rFonts w:ascii="Georgia" w:eastAsia="Georgia" w:hAnsi="Georgia" w:cs="Georgia"/>
          <w:sz w:val="20"/>
          <w:szCs w:val="20"/>
          <w:lang w:val="lt-LT"/>
        </w:rPr>
        <w:t>pastato dydis yra apie</w:t>
      </w:r>
      <w:r w:rsidR="00BA7CAB"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1 209 m</w:t>
      </w:r>
      <w:r w:rsidRPr="002142B8">
        <w:rPr>
          <w:rFonts w:ascii="Georgia" w:eastAsia="Georgia" w:hAnsi="Georgia" w:cs="Georgia"/>
          <w:sz w:val="20"/>
          <w:szCs w:val="20"/>
          <w:vertAlign w:val="superscript"/>
          <w:lang w:val="lt-LT"/>
        </w:rPr>
        <w:t>2</w:t>
      </w:r>
      <w:r w:rsidRPr="002142B8">
        <w:rPr>
          <w:rFonts w:ascii="Georgia" w:eastAsia="Georgia" w:hAnsi="Georgia" w:cs="Georgia"/>
          <w:sz w:val="20"/>
          <w:szCs w:val="20"/>
          <w:lang w:val="lt-LT"/>
        </w:rPr>
        <w:t>. Centrinės valdžios ir savivaldybių pastatų fonde savivaldybių pastatai sudaro 59 proc., o centrinės valdžios pastatai – 41 proc.</w:t>
      </w:r>
    </w:p>
    <w:p w14:paraId="649C7517" w14:textId="31EB7EBC" w:rsidR="005A0219" w:rsidRPr="005A1A99" w:rsidRDefault="005A0219" w:rsidP="005A0219">
      <w:pPr>
        <w:spacing w:before="120" w:after="120" w:line="240" w:lineRule="auto"/>
        <w:rPr>
          <w:rFonts w:ascii="Georgia" w:eastAsia="PMingLiU" w:hAnsi="Georgia" w:cs="Georgia"/>
          <w:bCs/>
          <w:i/>
          <w:color w:val="A32020"/>
          <w:sz w:val="20"/>
          <w:szCs w:val="20"/>
          <w:lang w:val="lt-LT"/>
        </w:rPr>
      </w:pPr>
      <w:bookmarkStart w:id="25" w:name="_Toc455735500"/>
      <w:bookmarkStart w:id="26" w:name="_Toc507939127"/>
      <w:r w:rsidRPr="005A1A99">
        <w:rPr>
          <w:rFonts w:ascii="Georgia" w:eastAsia="PMingLiU" w:hAnsi="Georgia" w:cs="Georgia"/>
          <w:bCs/>
          <w:i/>
          <w:color w:val="A32020"/>
          <w:sz w:val="20"/>
          <w:szCs w:val="20"/>
          <w:lang w:val="lt-LT"/>
        </w:rPr>
        <w:t xml:space="preserve">Lentelė </w:t>
      </w:r>
      <w:r w:rsidRPr="005A1A99">
        <w:rPr>
          <w:rFonts w:ascii="Georgia" w:eastAsia="PMingLiU" w:hAnsi="Georgia" w:cs="Georgia"/>
          <w:bCs/>
          <w:i/>
          <w:color w:val="A32020"/>
          <w:sz w:val="20"/>
          <w:szCs w:val="20"/>
          <w:lang w:val="lt-LT"/>
        </w:rPr>
        <w:fldChar w:fldCharType="begin"/>
      </w:r>
      <w:r w:rsidRPr="005A1A99">
        <w:rPr>
          <w:rFonts w:ascii="Georgia" w:eastAsia="PMingLiU" w:hAnsi="Georgia" w:cs="Georgia"/>
          <w:bCs/>
          <w:i/>
          <w:color w:val="A32020"/>
          <w:sz w:val="20"/>
          <w:szCs w:val="20"/>
          <w:lang w:val="lt-LT"/>
        </w:rPr>
        <w:instrText xml:space="preserve"> SEQ Lentelė \* ARABIC </w:instrText>
      </w:r>
      <w:r w:rsidRPr="005A1A99">
        <w:rPr>
          <w:rFonts w:ascii="Georgia" w:eastAsia="PMingLiU" w:hAnsi="Georgia" w:cs="Georgia"/>
          <w:bCs/>
          <w:i/>
          <w:color w:val="A32020"/>
          <w:sz w:val="20"/>
          <w:szCs w:val="20"/>
          <w:lang w:val="lt-LT"/>
        </w:rPr>
        <w:fldChar w:fldCharType="separate"/>
      </w:r>
      <w:r w:rsidR="009652A6">
        <w:rPr>
          <w:rFonts w:ascii="Georgia" w:eastAsia="PMingLiU" w:hAnsi="Georgia" w:cs="Georgia"/>
          <w:bCs/>
          <w:i/>
          <w:noProof/>
          <w:color w:val="A32020"/>
          <w:sz w:val="20"/>
          <w:szCs w:val="20"/>
          <w:lang w:val="lt-LT"/>
        </w:rPr>
        <w:t>5</w:t>
      </w:r>
      <w:r w:rsidRPr="005A1A99">
        <w:rPr>
          <w:rFonts w:ascii="Georgia" w:eastAsia="PMingLiU" w:hAnsi="Georgia" w:cs="Georgia"/>
          <w:bCs/>
          <w:i/>
          <w:color w:val="A32020"/>
          <w:sz w:val="20"/>
          <w:szCs w:val="20"/>
          <w:lang w:val="lt-LT"/>
        </w:rPr>
        <w:fldChar w:fldCharType="end"/>
      </w:r>
      <w:r w:rsidRPr="005A1A99">
        <w:rPr>
          <w:rFonts w:ascii="Georgia" w:eastAsia="PMingLiU" w:hAnsi="Georgia" w:cs="Georgia"/>
          <w:bCs/>
          <w:i/>
          <w:color w:val="A32020"/>
          <w:sz w:val="20"/>
          <w:szCs w:val="20"/>
          <w:lang w:val="lt-LT"/>
        </w:rPr>
        <w:t>. Viešųjų pastatų skaičius ir tipai</w:t>
      </w:r>
      <w:bookmarkEnd w:id="25"/>
      <w:bookmarkEnd w:id="26"/>
    </w:p>
    <w:tbl>
      <w:tblPr>
        <w:tblStyle w:val="LightList-Accent21"/>
        <w:tblW w:w="5000" w:type="pct"/>
        <w:tblLayout w:type="fixed"/>
        <w:tblLook w:val="04A0" w:firstRow="1" w:lastRow="0" w:firstColumn="1" w:lastColumn="0" w:noHBand="0" w:noVBand="1"/>
      </w:tblPr>
      <w:tblGrid>
        <w:gridCol w:w="2120"/>
        <w:gridCol w:w="1155"/>
        <w:gridCol w:w="1327"/>
        <w:gridCol w:w="1170"/>
        <w:gridCol w:w="1152"/>
        <w:gridCol w:w="1190"/>
        <w:gridCol w:w="1128"/>
      </w:tblGrid>
      <w:tr w:rsidR="00CB4D9D" w:rsidRPr="002142B8" w14:paraId="11805D72" w14:textId="77777777" w:rsidTr="00F9357D">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147" w:type="pct"/>
            <w:vMerge w:val="restart"/>
            <w:tcBorders>
              <w:top w:val="single" w:sz="8" w:space="0" w:color="D62E1C"/>
              <w:left w:val="single" w:sz="8" w:space="0" w:color="D62E1C"/>
              <w:bottom w:val="nil"/>
              <w:right w:val="nil"/>
            </w:tcBorders>
            <w:hideMark/>
          </w:tcPr>
          <w:p w14:paraId="6144E58B" w14:textId="77777777" w:rsidR="005A0219" w:rsidRPr="002142B8" w:rsidRDefault="005A0219" w:rsidP="005A0219">
            <w:pPr>
              <w:jc w:val="center"/>
              <w:rPr>
                <w:rFonts w:ascii="Georgia" w:eastAsia="Georgia" w:hAnsi="Georgia" w:cs="Arial Unicode MS"/>
                <w:sz w:val="18"/>
                <w:szCs w:val="18"/>
              </w:rPr>
            </w:pPr>
            <w:r w:rsidRPr="002142B8">
              <w:rPr>
                <w:rFonts w:ascii="Georgia" w:eastAsia="Georgia" w:hAnsi="Georgia" w:cs="Arial Unicode MS"/>
                <w:sz w:val="18"/>
                <w:szCs w:val="18"/>
              </w:rPr>
              <w:t>Pastatų paskirtis</w:t>
            </w:r>
          </w:p>
        </w:tc>
        <w:tc>
          <w:tcPr>
            <w:tcW w:w="1343" w:type="pct"/>
            <w:gridSpan w:val="2"/>
            <w:tcBorders>
              <w:top w:val="single" w:sz="8" w:space="0" w:color="D62E1C"/>
              <w:left w:val="nil"/>
              <w:bottom w:val="nil"/>
              <w:right w:val="nil"/>
            </w:tcBorders>
            <w:hideMark/>
          </w:tcPr>
          <w:p w14:paraId="2B26FECE"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Centrinės valdžios nuosavybė</w:t>
            </w:r>
          </w:p>
        </w:tc>
        <w:tc>
          <w:tcPr>
            <w:tcW w:w="1256" w:type="pct"/>
            <w:gridSpan w:val="2"/>
            <w:tcBorders>
              <w:top w:val="single" w:sz="8" w:space="0" w:color="D62E1C"/>
              <w:left w:val="nil"/>
              <w:bottom w:val="nil"/>
              <w:right w:val="nil"/>
            </w:tcBorders>
            <w:hideMark/>
          </w:tcPr>
          <w:p w14:paraId="120A019A"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Savivaldybių nuosavybė</w:t>
            </w:r>
          </w:p>
        </w:tc>
        <w:tc>
          <w:tcPr>
            <w:tcW w:w="1254" w:type="pct"/>
            <w:gridSpan w:val="2"/>
            <w:tcBorders>
              <w:top w:val="single" w:sz="8" w:space="0" w:color="D62E1C"/>
              <w:left w:val="nil"/>
              <w:bottom w:val="nil"/>
              <w:right w:val="single" w:sz="8" w:space="0" w:color="D62E1C"/>
            </w:tcBorders>
            <w:hideMark/>
          </w:tcPr>
          <w:p w14:paraId="24EC1F7A"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Kita nuosavybė</w:t>
            </w:r>
          </w:p>
        </w:tc>
      </w:tr>
      <w:tr w:rsidR="00CB4D9D" w:rsidRPr="002142B8" w14:paraId="084BEFED" w14:textId="77777777" w:rsidTr="00F9357D">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147" w:type="pct"/>
            <w:vMerge/>
            <w:tcBorders>
              <w:top w:val="single" w:sz="8" w:space="0" w:color="D62E1C"/>
              <w:left w:val="single" w:sz="8" w:space="0" w:color="D62E1C"/>
              <w:bottom w:val="nil"/>
              <w:right w:val="nil"/>
            </w:tcBorders>
            <w:vAlign w:val="center"/>
            <w:hideMark/>
          </w:tcPr>
          <w:p w14:paraId="048D94E4" w14:textId="77777777" w:rsidR="005A0219" w:rsidRPr="002142B8" w:rsidRDefault="005A0219" w:rsidP="005A0219">
            <w:pPr>
              <w:rPr>
                <w:rFonts w:ascii="Georgia" w:eastAsia="Georgia" w:hAnsi="Georgia" w:cs="Arial Unicode MS"/>
                <w:sz w:val="18"/>
                <w:szCs w:val="18"/>
              </w:rPr>
            </w:pPr>
          </w:p>
        </w:tc>
        <w:tc>
          <w:tcPr>
            <w:tcW w:w="625" w:type="pct"/>
            <w:tcBorders>
              <w:top w:val="nil"/>
              <w:left w:val="nil"/>
              <w:bottom w:val="nil"/>
              <w:right w:val="nil"/>
            </w:tcBorders>
            <w:hideMark/>
          </w:tcPr>
          <w:p w14:paraId="4695A454"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Skaičius, vnt.</w:t>
            </w:r>
          </w:p>
        </w:tc>
        <w:tc>
          <w:tcPr>
            <w:tcW w:w="717" w:type="pct"/>
            <w:tcBorders>
              <w:top w:val="nil"/>
              <w:left w:val="nil"/>
              <w:bottom w:val="nil"/>
              <w:right w:val="nil"/>
            </w:tcBorders>
            <w:hideMark/>
          </w:tcPr>
          <w:p w14:paraId="75CDF883"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vertAlign w:val="superscript"/>
              </w:rPr>
            </w:pPr>
            <w:r w:rsidRPr="002142B8">
              <w:rPr>
                <w:rFonts w:ascii="Georgia" w:eastAsia="Georgia" w:hAnsi="Georgia" w:cs="Arial Unicode MS"/>
                <w:sz w:val="18"/>
                <w:szCs w:val="18"/>
              </w:rPr>
              <w:t>Plotas, m</w:t>
            </w:r>
            <w:r w:rsidRPr="002142B8">
              <w:rPr>
                <w:rFonts w:ascii="Georgia" w:eastAsia="Georgia" w:hAnsi="Georgia" w:cs="Arial Unicode MS"/>
                <w:sz w:val="18"/>
                <w:szCs w:val="18"/>
                <w:vertAlign w:val="superscript"/>
              </w:rPr>
              <w:t>2</w:t>
            </w:r>
          </w:p>
        </w:tc>
        <w:tc>
          <w:tcPr>
            <w:tcW w:w="633" w:type="pct"/>
            <w:tcBorders>
              <w:top w:val="nil"/>
              <w:left w:val="nil"/>
              <w:bottom w:val="nil"/>
              <w:right w:val="nil"/>
            </w:tcBorders>
            <w:hideMark/>
          </w:tcPr>
          <w:p w14:paraId="79C3BD29"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Skaičius, vnt.</w:t>
            </w:r>
          </w:p>
        </w:tc>
        <w:tc>
          <w:tcPr>
            <w:tcW w:w="623" w:type="pct"/>
            <w:tcBorders>
              <w:top w:val="nil"/>
              <w:left w:val="nil"/>
              <w:bottom w:val="nil"/>
              <w:right w:val="nil"/>
            </w:tcBorders>
            <w:hideMark/>
          </w:tcPr>
          <w:p w14:paraId="653CCC99"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Plotas, m</w:t>
            </w:r>
            <w:r w:rsidRPr="002142B8">
              <w:rPr>
                <w:rFonts w:ascii="Georgia" w:eastAsia="Georgia" w:hAnsi="Georgia" w:cs="Arial Unicode MS"/>
                <w:sz w:val="18"/>
                <w:szCs w:val="18"/>
                <w:vertAlign w:val="superscript"/>
              </w:rPr>
              <w:t>2</w:t>
            </w:r>
          </w:p>
        </w:tc>
        <w:tc>
          <w:tcPr>
            <w:tcW w:w="644" w:type="pct"/>
            <w:tcBorders>
              <w:top w:val="nil"/>
              <w:left w:val="nil"/>
              <w:bottom w:val="nil"/>
              <w:right w:val="nil"/>
            </w:tcBorders>
            <w:hideMark/>
          </w:tcPr>
          <w:p w14:paraId="6881E96A"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Skaičius, vnt.</w:t>
            </w:r>
          </w:p>
        </w:tc>
        <w:tc>
          <w:tcPr>
            <w:tcW w:w="610" w:type="pct"/>
            <w:tcBorders>
              <w:top w:val="nil"/>
              <w:left w:val="nil"/>
              <w:bottom w:val="nil"/>
              <w:right w:val="single" w:sz="8" w:space="0" w:color="D62E1C"/>
            </w:tcBorders>
            <w:hideMark/>
          </w:tcPr>
          <w:p w14:paraId="5AE46D8F"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8"/>
                <w:szCs w:val="18"/>
              </w:rPr>
            </w:pPr>
            <w:r w:rsidRPr="002142B8">
              <w:rPr>
                <w:rFonts w:ascii="Georgia" w:eastAsia="Georgia" w:hAnsi="Georgia" w:cs="Arial Unicode MS"/>
                <w:sz w:val="18"/>
                <w:szCs w:val="18"/>
              </w:rPr>
              <w:t>Plotas, m</w:t>
            </w:r>
            <w:r w:rsidRPr="002142B8">
              <w:rPr>
                <w:rFonts w:ascii="Georgia" w:eastAsia="Georgia" w:hAnsi="Georgia" w:cs="Arial Unicode MS"/>
                <w:sz w:val="18"/>
                <w:szCs w:val="18"/>
                <w:vertAlign w:val="superscript"/>
              </w:rPr>
              <w:t>2</w:t>
            </w:r>
          </w:p>
        </w:tc>
      </w:tr>
      <w:tr w:rsidR="00CB4D9D" w:rsidRPr="002142B8" w14:paraId="00F7C680" w14:textId="77777777" w:rsidTr="00F9357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64401CEE"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Gyvenamieji namai įvairioms socialinėms grupėms</w:t>
            </w:r>
          </w:p>
        </w:tc>
        <w:tc>
          <w:tcPr>
            <w:tcW w:w="625" w:type="pct"/>
            <w:tcBorders>
              <w:top w:val="single" w:sz="8" w:space="0" w:color="C0504D"/>
              <w:left w:val="nil"/>
              <w:bottom w:val="single" w:sz="8" w:space="0" w:color="C0504D"/>
              <w:right w:val="nil"/>
            </w:tcBorders>
            <w:shd w:val="clear" w:color="auto" w:fill="auto"/>
            <w:vAlign w:val="center"/>
            <w:hideMark/>
          </w:tcPr>
          <w:p w14:paraId="0AA2BB6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305</w:t>
            </w:r>
          </w:p>
        </w:tc>
        <w:tc>
          <w:tcPr>
            <w:tcW w:w="717" w:type="pct"/>
            <w:tcBorders>
              <w:top w:val="single" w:sz="8" w:space="0" w:color="C0504D"/>
              <w:left w:val="nil"/>
              <w:bottom w:val="single" w:sz="8" w:space="0" w:color="C0504D"/>
              <w:right w:val="nil"/>
            </w:tcBorders>
            <w:shd w:val="clear" w:color="auto" w:fill="auto"/>
            <w:vAlign w:val="center"/>
            <w:hideMark/>
          </w:tcPr>
          <w:p w14:paraId="1FFBB88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759 941</w:t>
            </w:r>
          </w:p>
        </w:tc>
        <w:tc>
          <w:tcPr>
            <w:tcW w:w="633" w:type="pct"/>
            <w:tcBorders>
              <w:top w:val="single" w:sz="8" w:space="0" w:color="C0504D"/>
              <w:left w:val="nil"/>
              <w:bottom w:val="single" w:sz="8" w:space="0" w:color="C0504D"/>
              <w:right w:val="nil"/>
            </w:tcBorders>
            <w:shd w:val="clear" w:color="auto" w:fill="auto"/>
            <w:vAlign w:val="center"/>
            <w:hideMark/>
          </w:tcPr>
          <w:p w14:paraId="16E20A27"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283</w:t>
            </w:r>
          </w:p>
        </w:tc>
        <w:tc>
          <w:tcPr>
            <w:tcW w:w="623" w:type="pct"/>
            <w:tcBorders>
              <w:top w:val="single" w:sz="8" w:space="0" w:color="C0504D"/>
              <w:left w:val="nil"/>
              <w:bottom w:val="single" w:sz="8" w:space="0" w:color="C0504D"/>
              <w:right w:val="nil"/>
            </w:tcBorders>
            <w:shd w:val="clear" w:color="auto" w:fill="auto"/>
            <w:vAlign w:val="center"/>
            <w:hideMark/>
          </w:tcPr>
          <w:p w14:paraId="78AC331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330 177</w:t>
            </w:r>
          </w:p>
        </w:tc>
        <w:tc>
          <w:tcPr>
            <w:tcW w:w="644" w:type="pct"/>
            <w:tcBorders>
              <w:top w:val="single" w:sz="8" w:space="0" w:color="C0504D"/>
              <w:left w:val="nil"/>
              <w:bottom w:val="single" w:sz="8" w:space="0" w:color="C0504D"/>
              <w:right w:val="nil"/>
            </w:tcBorders>
            <w:shd w:val="clear" w:color="auto" w:fill="auto"/>
            <w:vAlign w:val="center"/>
            <w:hideMark/>
          </w:tcPr>
          <w:p w14:paraId="0131BB2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1 257</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6BE6668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2 537 422</w:t>
            </w:r>
          </w:p>
        </w:tc>
      </w:tr>
      <w:tr w:rsidR="00CB4D9D" w:rsidRPr="002142B8" w14:paraId="39A7971D" w14:textId="77777777" w:rsidTr="00F9357D">
        <w:trPr>
          <w:trHeight w:val="577"/>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nil"/>
              <w:right w:val="nil"/>
            </w:tcBorders>
            <w:hideMark/>
          </w:tcPr>
          <w:p w14:paraId="3C86D4C6"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Administracinės</w:t>
            </w:r>
          </w:p>
        </w:tc>
        <w:tc>
          <w:tcPr>
            <w:tcW w:w="625" w:type="pct"/>
            <w:tcBorders>
              <w:top w:val="nil"/>
              <w:left w:val="nil"/>
              <w:bottom w:val="nil"/>
              <w:right w:val="nil"/>
            </w:tcBorders>
            <w:shd w:val="clear" w:color="auto" w:fill="auto"/>
            <w:vAlign w:val="center"/>
            <w:hideMark/>
          </w:tcPr>
          <w:p w14:paraId="1B9D7338"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1 424</w:t>
            </w:r>
          </w:p>
        </w:tc>
        <w:tc>
          <w:tcPr>
            <w:tcW w:w="717" w:type="pct"/>
            <w:tcBorders>
              <w:top w:val="nil"/>
              <w:left w:val="nil"/>
              <w:bottom w:val="nil"/>
              <w:right w:val="nil"/>
            </w:tcBorders>
            <w:shd w:val="clear" w:color="auto" w:fill="auto"/>
            <w:vAlign w:val="center"/>
            <w:hideMark/>
          </w:tcPr>
          <w:p w14:paraId="0259EEA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1 448 383</w:t>
            </w:r>
          </w:p>
        </w:tc>
        <w:tc>
          <w:tcPr>
            <w:tcW w:w="633" w:type="pct"/>
            <w:tcBorders>
              <w:top w:val="nil"/>
              <w:left w:val="nil"/>
              <w:bottom w:val="nil"/>
              <w:right w:val="nil"/>
            </w:tcBorders>
            <w:shd w:val="clear" w:color="auto" w:fill="auto"/>
            <w:vAlign w:val="center"/>
            <w:hideMark/>
          </w:tcPr>
          <w:p w14:paraId="4F2474A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751</w:t>
            </w:r>
          </w:p>
        </w:tc>
        <w:tc>
          <w:tcPr>
            <w:tcW w:w="623" w:type="pct"/>
            <w:tcBorders>
              <w:top w:val="nil"/>
              <w:left w:val="nil"/>
              <w:bottom w:val="nil"/>
              <w:right w:val="nil"/>
            </w:tcBorders>
            <w:shd w:val="clear" w:color="auto" w:fill="auto"/>
            <w:vAlign w:val="center"/>
            <w:hideMark/>
          </w:tcPr>
          <w:p w14:paraId="449CD0B0"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440 775</w:t>
            </w:r>
          </w:p>
        </w:tc>
        <w:tc>
          <w:tcPr>
            <w:tcW w:w="644" w:type="pct"/>
            <w:tcBorders>
              <w:top w:val="nil"/>
              <w:left w:val="nil"/>
              <w:bottom w:val="nil"/>
              <w:right w:val="nil"/>
            </w:tcBorders>
            <w:shd w:val="clear" w:color="auto" w:fill="auto"/>
            <w:vAlign w:val="center"/>
            <w:hideMark/>
          </w:tcPr>
          <w:p w14:paraId="4EFED77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7 784</w:t>
            </w:r>
          </w:p>
        </w:tc>
        <w:tc>
          <w:tcPr>
            <w:tcW w:w="610" w:type="pct"/>
            <w:tcBorders>
              <w:top w:val="nil"/>
              <w:left w:val="nil"/>
              <w:bottom w:val="nil"/>
              <w:right w:val="single" w:sz="8" w:space="0" w:color="C0504D"/>
            </w:tcBorders>
            <w:shd w:val="clear" w:color="auto" w:fill="auto"/>
            <w:vAlign w:val="center"/>
            <w:hideMark/>
          </w:tcPr>
          <w:p w14:paraId="219DB14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7 364 290</w:t>
            </w:r>
          </w:p>
        </w:tc>
      </w:tr>
      <w:tr w:rsidR="00CB4D9D" w:rsidRPr="002142B8" w14:paraId="42551865" w14:textId="77777777" w:rsidTr="00F9357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6D5CF997"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Kultūros, mokslo ir sporto</w:t>
            </w:r>
          </w:p>
        </w:tc>
        <w:tc>
          <w:tcPr>
            <w:tcW w:w="625" w:type="pct"/>
            <w:tcBorders>
              <w:top w:val="single" w:sz="8" w:space="0" w:color="C0504D"/>
              <w:left w:val="nil"/>
              <w:bottom w:val="single" w:sz="8" w:space="0" w:color="C0504D"/>
              <w:right w:val="nil"/>
            </w:tcBorders>
            <w:shd w:val="clear" w:color="auto" w:fill="auto"/>
            <w:vAlign w:val="center"/>
            <w:hideMark/>
          </w:tcPr>
          <w:p w14:paraId="22E00FB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1 043</w:t>
            </w:r>
          </w:p>
        </w:tc>
        <w:tc>
          <w:tcPr>
            <w:tcW w:w="717" w:type="pct"/>
            <w:tcBorders>
              <w:top w:val="single" w:sz="8" w:space="0" w:color="C0504D"/>
              <w:left w:val="nil"/>
              <w:bottom w:val="single" w:sz="8" w:space="0" w:color="C0504D"/>
              <w:right w:val="nil"/>
            </w:tcBorders>
            <w:shd w:val="clear" w:color="auto" w:fill="auto"/>
            <w:vAlign w:val="center"/>
            <w:hideMark/>
          </w:tcPr>
          <w:p w14:paraId="08C6BA4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2 374 897</w:t>
            </w:r>
          </w:p>
        </w:tc>
        <w:tc>
          <w:tcPr>
            <w:tcW w:w="633" w:type="pct"/>
            <w:tcBorders>
              <w:top w:val="single" w:sz="8" w:space="0" w:color="C0504D"/>
              <w:left w:val="nil"/>
              <w:bottom w:val="single" w:sz="8" w:space="0" w:color="C0504D"/>
              <w:right w:val="nil"/>
            </w:tcBorders>
            <w:shd w:val="clear" w:color="auto" w:fill="auto"/>
            <w:vAlign w:val="center"/>
            <w:hideMark/>
          </w:tcPr>
          <w:p w14:paraId="4AE488B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4 231</w:t>
            </w:r>
          </w:p>
        </w:tc>
        <w:tc>
          <w:tcPr>
            <w:tcW w:w="623" w:type="pct"/>
            <w:tcBorders>
              <w:top w:val="single" w:sz="8" w:space="0" w:color="C0504D"/>
              <w:left w:val="nil"/>
              <w:bottom w:val="single" w:sz="8" w:space="0" w:color="C0504D"/>
              <w:right w:val="nil"/>
            </w:tcBorders>
            <w:shd w:val="clear" w:color="auto" w:fill="auto"/>
            <w:vAlign w:val="center"/>
            <w:hideMark/>
          </w:tcPr>
          <w:p w14:paraId="3C5C947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6 777 808</w:t>
            </w:r>
          </w:p>
        </w:tc>
        <w:tc>
          <w:tcPr>
            <w:tcW w:w="644" w:type="pct"/>
            <w:tcBorders>
              <w:top w:val="single" w:sz="8" w:space="0" w:color="C0504D"/>
              <w:left w:val="nil"/>
              <w:bottom w:val="single" w:sz="8" w:space="0" w:color="C0504D"/>
              <w:right w:val="nil"/>
            </w:tcBorders>
            <w:shd w:val="clear" w:color="auto" w:fill="auto"/>
            <w:vAlign w:val="center"/>
            <w:hideMark/>
          </w:tcPr>
          <w:p w14:paraId="46B777F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2 160</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0782DC96"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2 147 871</w:t>
            </w:r>
          </w:p>
        </w:tc>
      </w:tr>
      <w:tr w:rsidR="00CB4D9D" w:rsidRPr="002142B8" w14:paraId="66430AA8" w14:textId="77777777" w:rsidTr="00F9357D">
        <w:trPr>
          <w:trHeight w:val="349"/>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nil"/>
              <w:right w:val="nil"/>
            </w:tcBorders>
            <w:hideMark/>
          </w:tcPr>
          <w:p w14:paraId="5595B37B"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Gydymo</w:t>
            </w:r>
          </w:p>
        </w:tc>
        <w:tc>
          <w:tcPr>
            <w:tcW w:w="625" w:type="pct"/>
            <w:tcBorders>
              <w:top w:val="nil"/>
              <w:left w:val="nil"/>
              <w:bottom w:val="nil"/>
              <w:right w:val="nil"/>
            </w:tcBorders>
            <w:shd w:val="clear" w:color="auto" w:fill="auto"/>
            <w:vAlign w:val="center"/>
            <w:hideMark/>
          </w:tcPr>
          <w:p w14:paraId="6B1358E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371</w:t>
            </w:r>
          </w:p>
        </w:tc>
        <w:tc>
          <w:tcPr>
            <w:tcW w:w="717" w:type="pct"/>
            <w:tcBorders>
              <w:top w:val="nil"/>
              <w:left w:val="nil"/>
              <w:bottom w:val="nil"/>
              <w:right w:val="nil"/>
            </w:tcBorders>
            <w:shd w:val="clear" w:color="auto" w:fill="auto"/>
            <w:vAlign w:val="center"/>
            <w:hideMark/>
          </w:tcPr>
          <w:p w14:paraId="6045E92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956 846</w:t>
            </w:r>
          </w:p>
        </w:tc>
        <w:tc>
          <w:tcPr>
            <w:tcW w:w="633" w:type="pct"/>
            <w:tcBorders>
              <w:top w:val="nil"/>
              <w:left w:val="nil"/>
              <w:bottom w:val="nil"/>
              <w:right w:val="nil"/>
            </w:tcBorders>
            <w:shd w:val="clear" w:color="auto" w:fill="auto"/>
            <w:vAlign w:val="center"/>
            <w:hideMark/>
          </w:tcPr>
          <w:p w14:paraId="750F9F7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610</w:t>
            </w:r>
          </w:p>
        </w:tc>
        <w:tc>
          <w:tcPr>
            <w:tcW w:w="623" w:type="pct"/>
            <w:tcBorders>
              <w:top w:val="nil"/>
              <w:left w:val="nil"/>
              <w:bottom w:val="nil"/>
              <w:right w:val="nil"/>
            </w:tcBorders>
            <w:shd w:val="clear" w:color="auto" w:fill="auto"/>
            <w:vAlign w:val="center"/>
            <w:hideMark/>
          </w:tcPr>
          <w:p w14:paraId="7366826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1 116 157</w:t>
            </w:r>
          </w:p>
        </w:tc>
        <w:tc>
          <w:tcPr>
            <w:tcW w:w="644" w:type="pct"/>
            <w:tcBorders>
              <w:top w:val="nil"/>
              <w:left w:val="nil"/>
              <w:bottom w:val="nil"/>
              <w:right w:val="nil"/>
            </w:tcBorders>
            <w:shd w:val="clear" w:color="auto" w:fill="auto"/>
            <w:vAlign w:val="center"/>
            <w:hideMark/>
          </w:tcPr>
          <w:p w14:paraId="3EA6B84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843</w:t>
            </w:r>
          </w:p>
        </w:tc>
        <w:tc>
          <w:tcPr>
            <w:tcW w:w="610" w:type="pct"/>
            <w:tcBorders>
              <w:top w:val="nil"/>
              <w:left w:val="nil"/>
              <w:bottom w:val="nil"/>
              <w:right w:val="single" w:sz="8" w:space="0" w:color="C0504D"/>
            </w:tcBorders>
            <w:shd w:val="clear" w:color="auto" w:fill="auto"/>
            <w:vAlign w:val="center"/>
            <w:hideMark/>
          </w:tcPr>
          <w:p w14:paraId="1CF7B76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815 883</w:t>
            </w:r>
          </w:p>
        </w:tc>
      </w:tr>
      <w:tr w:rsidR="00CB4D9D" w:rsidRPr="002142B8" w14:paraId="6A5768B5" w14:textId="77777777" w:rsidTr="00F9357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47" w:type="pct"/>
            <w:tcBorders>
              <w:right w:val="nil"/>
            </w:tcBorders>
            <w:hideMark/>
          </w:tcPr>
          <w:p w14:paraId="34FCC9FD"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Specialiosios, religinės ir kitos paskirties pastatai</w:t>
            </w:r>
          </w:p>
        </w:tc>
        <w:tc>
          <w:tcPr>
            <w:tcW w:w="625" w:type="pct"/>
            <w:tcBorders>
              <w:top w:val="single" w:sz="8" w:space="0" w:color="C0504D"/>
              <w:left w:val="nil"/>
              <w:bottom w:val="single" w:sz="8" w:space="0" w:color="C0504D"/>
              <w:right w:val="nil"/>
            </w:tcBorders>
            <w:shd w:val="clear" w:color="auto" w:fill="auto"/>
            <w:vAlign w:val="center"/>
            <w:hideMark/>
          </w:tcPr>
          <w:p w14:paraId="60DDCB8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2 173</w:t>
            </w:r>
          </w:p>
        </w:tc>
        <w:tc>
          <w:tcPr>
            <w:tcW w:w="717" w:type="pct"/>
            <w:tcBorders>
              <w:top w:val="single" w:sz="8" w:space="0" w:color="C0504D"/>
              <w:left w:val="nil"/>
              <w:bottom w:val="single" w:sz="8" w:space="0" w:color="C0504D"/>
              <w:right w:val="nil"/>
            </w:tcBorders>
            <w:shd w:val="clear" w:color="auto" w:fill="auto"/>
            <w:vAlign w:val="center"/>
            <w:hideMark/>
          </w:tcPr>
          <w:p w14:paraId="37D59AA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1 093 663</w:t>
            </w:r>
          </w:p>
        </w:tc>
        <w:tc>
          <w:tcPr>
            <w:tcW w:w="633" w:type="pct"/>
            <w:tcBorders>
              <w:top w:val="single" w:sz="8" w:space="0" w:color="C0504D"/>
              <w:left w:val="nil"/>
              <w:bottom w:val="single" w:sz="8" w:space="0" w:color="C0504D"/>
              <w:right w:val="nil"/>
            </w:tcBorders>
            <w:shd w:val="clear" w:color="auto" w:fill="auto"/>
            <w:vAlign w:val="center"/>
            <w:hideMark/>
          </w:tcPr>
          <w:p w14:paraId="189A399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1 631</w:t>
            </w:r>
          </w:p>
        </w:tc>
        <w:tc>
          <w:tcPr>
            <w:tcW w:w="623" w:type="pct"/>
            <w:tcBorders>
              <w:top w:val="single" w:sz="8" w:space="0" w:color="C0504D"/>
              <w:left w:val="nil"/>
              <w:bottom w:val="single" w:sz="8" w:space="0" w:color="C0504D"/>
              <w:right w:val="nil"/>
            </w:tcBorders>
            <w:shd w:val="clear" w:color="auto" w:fill="auto"/>
            <w:vAlign w:val="center"/>
            <w:hideMark/>
          </w:tcPr>
          <w:p w14:paraId="6F9FBED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209 340</w:t>
            </w:r>
          </w:p>
        </w:tc>
        <w:tc>
          <w:tcPr>
            <w:tcW w:w="644" w:type="pct"/>
            <w:tcBorders>
              <w:top w:val="single" w:sz="8" w:space="0" w:color="C0504D"/>
              <w:left w:val="nil"/>
              <w:bottom w:val="single" w:sz="8" w:space="0" w:color="C0504D"/>
              <w:right w:val="nil"/>
            </w:tcBorders>
            <w:shd w:val="clear" w:color="auto" w:fill="auto"/>
            <w:vAlign w:val="center"/>
            <w:hideMark/>
          </w:tcPr>
          <w:p w14:paraId="5E699419"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16 455</w:t>
            </w:r>
          </w:p>
        </w:tc>
        <w:tc>
          <w:tcPr>
            <w:tcW w:w="610" w:type="pct"/>
            <w:tcBorders>
              <w:top w:val="single" w:sz="8" w:space="0" w:color="C0504D"/>
              <w:left w:val="nil"/>
              <w:bottom w:val="single" w:sz="8" w:space="0" w:color="C0504D"/>
              <w:right w:val="single" w:sz="8" w:space="0" w:color="C0504D"/>
            </w:tcBorders>
            <w:shd w:val="clear" w:color="auto" w:fill="auto"/>
            <w:vAlign w:val="center"/>
            <w:hideMark/>
          </w:tcPr>
          <w:p w14:paraId="13637A4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2 841 004</w:t>
            </w:r>
          </w:p>
        </w:tc>
      </w:tr>
      <w:tr w:rsidR="00CB4D9D" w:rsidRPr="002142B8" w14:paraId="4883EE45" w14:textId="77777777" w:rsidTr="00F9357D">
        <w:trPr>
          <w:trHeight w:val="357"/>
        </w:trPr>
        <w:tc>
          <w:tcPr>
            <w:cnfStyle w:val="001000000000" w:firstRow="0" w:lastRow="0" w:firstColumn="1" w:lastColumn="0" w:oddVBand="0" w:evenVBand="0" w:oddHBand="0" w:evenHBand="0" w:firstRowFirstColumn="0" w:firstRowLastColumn="0" w:lastRowFirstColumn="0" w:lastRowLastColumn="0"/>
            <w:tcW w:w="1147" w:type="pct"/>
            <w:tcBorders>
              <w:top w:val="nil"/>
              <w:left w:val="single" w:sz="8" w:space="0" w:color="D62E1C"/>
              <w:bottom w:val="single" w:sz="8" w:space="0" w:color="D62E1C"/>
              <w:right w:val="nil"/>
            </w:tcBorders>
            <w:hideMark/>
          </w:tcPr>
          <w:p w14:paraId="3658E350" w14:textId="77777777" w:rsidR="005A0219" w:rsidRPr="002142B8" w:rsidRDefault="005A0219" w:rsidP="005A0219">
            <w:pPr>
              <w:rPr>
                <w:rFonts w:ascii="Georgia" w:eastAsia="Georgia" w:hAnsi="Georgia" w:cs="Arial Unicode MS"/>
                <w:sz w:val="18"/>
                <w:szCs w:val="18"/>
              </w:rPr>
            </w:pPr>
            <w:r w:rsidRPr="002142B8">
              <w:rPr>
                <w:rFonts w:ascii="Georgia" w:eastAsia="Georgia" w:hAnsi="Georgia" w:cs="Arial Unicode MS"/>
                <w:sz w:val="18"/>
                <w:szCs w:val="18"/>
              </w:rPr>
              <w:t>Iš viso:</w:t>
            </w:r>
          </w:p>
        </w:tc>
        <w:tc>
          <w:tcPr>
            <w:tcW w:w="625" w:type="pct"/>
            <w:tcBorders>
              <w:top w:val="nil"/>
              <w:left w:val="nil"/>
              <w:bottom w:val="single" w:sz="8" w:space="0" w:color="C0504D"/>
              <w:right w:val="nil"/>
            </w:tcBorders>
            <w:shd w:val="clear" w:color="auto" w:fill="auto"/>
            <w:vAlign w:val="center"/>
            <w:hideMark/>
          </w:tcPr>
          <w:p w14:paraId="0B153BB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5 316</w:t>
            </w:r>
          </w:p>
        </w:tc>
        <w:tc>
          <w:tcPr>
            <w:tcW w:w="717" w:type="pct"/>
            <w:tcBorders>
              <w:top w:val="nil"/>
              <w:left w:val="nil"/>
              <w:bottom w:val="single" w:sz="8" w:space="0" w:color="C0504D"/>
              <w:right w:val="nil"/>
            </w:tcBorders>
            <w:shd w:val="clear" w:color="auto" w:fill="auto"/>
            <w:vAlign w:val="center"/>
            <w:hideMark/>
          </w:tcPr>
          <w:p w14:paraId="489FE804"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6 633 730</w:t>
            </w:r>
          </w:p>
        </w:tc>
        <w:tc>
          <w:tcPr>
            <w:tcW w:w="633" w:type="pct"/>
            <w:tcBorders>
              <w:top w:val="nil"/>
              <w:left w:val="nil"/>
              <w:bottom w:val="single" w:sz="8" w:space="0" w:color="C0504D"/>
              <w:right w:val="nil"/>
            </w:tcBorders>
            <w:shd w:val="clear" w:color="auto" w:fill="auto"/>
            <w:vAlign w:val="center"/>
            <w:hideMark/>
          </w:tcPr>
          <w:p w14:paraId="3994BED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7 506</w:t>
            </w:r>
          </w:p>
        </w:tc>
        <w:tc>
          <w:tcPr>
            <w:tcW w:w="623" w:type="pct"/>
            <w:tcBorders>
              <w:top w:val="nil"/>
              <w:left w:val="nil"/>
              <w:bottom w:val="single" w:sz="8" w:space="0" w:color="C0504D"/>
              <w:right w:val="nil"/>
            </w:tcBorders>
            <w:shd w:val="clear" w:color="auto" w:fill="auto"/>
            <w:vAlign w:val="center"/>
            <w:hideMark/>
          </w:tcPr>
          <w:p w14:paraId="1A6917D8"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8 874 257</w:t>
            </w:r>
          </w:p>
        </w:tc>
        <w:tc>
          <w:tcPr>
            <w:tcW w:w="644" w:type="pct"/>
            <w:tcBorders>
              <w:top w:val="nil"/>
              <w:left w:val="nil"/>
              <w:bottom w:val="single" w:sz="8" w:space="0" w:color="C0504D"/>
              <w:right w:val="nil"/>
            </w:tcBorders>
            <w:shd w:val="clear" w:color="auto" w:fill="auto"/>
            <w:vAlign w:val="center"/>
            <w:hideMark/>
          </w:tcPr>
          <w:p w14:paraId="4CC46A9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28 499</w:t>
            </w:r>
          </w:p>
        </w:tc>
        <w:tc>
          <w:tcPr>
            <w:tcW w:w="610" w:type="pct"/>
            <w:tcBorders>
              <w:top w:val="nil"/>
              <w:left w:val="nil"/>
              <w:bottom w:val="single" w:sz="8" w:space="0" w:color="C0504D"/>
              <w:right w:val="single" w:sz="8" w:space="0" w:color="C0504D"/>
            </w:tcBorders>
            <w:shd w:val="clear" w:color="auto" w:fill="auto"/>
            <w:vAlign w:val="center"/>
            <w:hideMark/>
          </w:tcPr>
          <w:p w14:paraId="263B3599"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8"/>
                <w:szCs w:val="18"/>
              </w:rPr>
            </w:pPr>
            <w:r w:rsidRPr="002142B8">
              <w:rPr>
                <w:rFonts w:ascii="Georgia" w:eastAsia="Georgia" w:hAnsi="Georgia" w:cs="Arial Unicode MS"/>
                <w:color w:val="000000"/>
                <w:sz w:val="18"/>
                <w:szCs w:val="18"/>
              </w:rPr>
              <w:t>15 706 470</w:t>
            </w:r>
          </w:p>
        </w:tc>
      </w:tr>
    </w:tbl>
    <w:p w14:paraId="0858B60B" w14:textId="77777777" w:rsidR="005A0219" w:rsidRPr="002142B8" w:rsidRDefault="005A0219" w:rsidP="005A0219">
      <w:pPr>
        <w:spacing w:after="160" w:line="240" w:lineRule="auto"/>
        <w:jc w:val="both"/>
        <w:rPr>
          <w:rFonts w:ascii="Georgia" w:eastAsia="Georgia" w:hAnsi="Georgia" w:cs="Arial Unicode MS"/>
          <w:b/>
          <w:iCs/>
          <w:color w:val="821A1A"/>
          <w:sz w:val="20"/>
          <w:szCs w:val="18"/>
          <w:lang w:val="lt-LT"/>
        </w:rPr>
      </w:pPr>
      <w:r w:rsidRPr="002142B8">
        <w:rPr>
          <w:rFonts w:ascii="Georgia" w:eastAsia="Georgia" w:hAnsi="Georgia" w:cs="Georgia"/>
          <w:i/>
          <w:iCs/>
          <w:color w:val="821A1A"/>
          <w:sz w:val="20"/>
          <w:szCs w:val="20"/>
          <w:lang w:val="lt-LT"/>
        </w:rPr>
        <w:t xml:space="preserve">Šaltinis: VĮ Registrų centras (2017 m. sausio 1 d.) </w:t>
      </w:r>
    </w:p>
    <w:p w14:paraId="4E4C89D4"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Žemiau esančioje lentelėje žemiau pateiktas viešųjų pastatų pasiskirstymas pagal statybos metus. </w:t>
      </w:r>
    </w:p>
    <w:p w14:paraId="69506EF1" w14:textId="77777777" w:rsidR="005A0219" w:rsidRPr="002142B8" w:rsidRDefault="005A0219" w:rsidP="005A0219">
      <w:pPr>
        <w:autoSpaceDE w:val="0"/>
        <w:autoSpaceDN w:val="0"/>
        <w:adjustRightInd w:val="0"/>
        <w:spacing w:after="0" w:line="240" w:lineRule="auto"/>
        <w:ind w:left="426"/>
        <w:jc w:val="both"/>
        <w:rPr>
          <w:rFonts w:ascii="Georgia" w:eastAsia="Georgia" w:hAnsi="Georgia" w:cs="Georgia"/>
          <w:sz w:val="20"/>
          <w:szCs w:val="20"/>
          <w:lang w:val="lt-LT"/>
        </w:rPr>
      </w:pPr>
    </w:p>
    <w:p w14:paraId="4DBD0717" w14:textId="3DEDDF95" w:rsidR="005A0219" w:rsidRPr="005A1A99" w:rsidRDefault="005A0219" w:rsidP="005A0219">
      <w:pPr>
        <w:spacing w:before="120" w:after="120" w:line="240" w:lineRule="auto"/>
        <w:rPr>
          <w:rFonts w:ascii="Georgia" w:eastAsia="PMingLiU" w:hAnsi="Georgia" w:cs="Georgia"/>
          <w:bCs/>
          <w:i/>
          <w:color w:val="A32020"/>
          <w:sz w:val="20"/>
          <w:szCs w:val="20"/>
          <w:lang w:val="lt-LT"/>
        </w:rPr>
      </w:pPr>
      <w:bookmarkStart w:id="27" w:name="_Toc455735501"/>
      <w:bookmarkStart w:id="28" w:name="_Toc507939128"/>
      <w:r w:rsidRPr="005A1A99">
        <w:rPr>
          <w:rFonts w:ascii="Georgia" w:eastAsia="PMingLiU" w:hAnsi="Georgia" w:cs="Georgia"/>
          <w:bCs/>
          <w:i/>
          <w:color w:val="A32020"/>
          <w:sz w:val="20"/>
          <w:szCs w:val="20"/>
          <w:lang w:val="lt-LT"/>
        </w:rPr>
        <w:t xml:space="preserve">Lentelė </w:t>
      </w:r>
      <w:r w:rsidRPr="005A1A99">
        <w:rPr>
          <w:rFonts w:ascii="Georgia" w:eastAsia="PMingLiU" w:hAnsi="Georgia" w:cs="Georgia"/>
          <w:bCs/>
          <w:i/>
          <w:color w:val="A32020"/>
          <w:sz w:val="20"/>
          <w:szCs w:val="20"/>
          <w:lang w:val="lt-LT"/>
        </w:rPr>
        <w:fldChar w:fldCharType="begin"/>
      </w:r>
      <w:r w:rsidRPr="005A1A99">
        <w:rPr>
          <w:rFonts w:ascii="Georgia" w:eastAsia="PMingLiU" w:hAnsi="Georgia" w:cs="Georgia"/>
          <w:bCs/>
          <w:i/>
          <w:color w:val="A32020"/>
          <w:sz w:val="20"/>
          <w:szCs w:val="20"/>
          <w:lang w:val="lt-LT"/>
        </w:rPr>
        <w:instrText xml:space="preserve"> SEQ Lentelė \* ARABIC </w:instrText>
      </w:r>
      <w:r w:rsidRPr="005A1A99">
        <w:rPr>
          <w:rFonts w:ascii="Georgia" w:eastAsia="PMingLiU" w:hAnsi="Georgia" w:cs="Georgia"/>
          <w:bCs/>
          <w:i/>
          <w:color w:val="A32020"/>
          <w:sz w:val="20"/>
          <w:szCs w:val="20"/>
          <w:lang w:val="lt-LT"/>
        </w:rPr>
        <w:fldChar w:fldCharType="separate"/>
      </w:r>
      <w:r w:rsidR="009652A6">
        <w:rPr>
          <w:rFonts w:ascii="Georgia" w:eastAsia="PMingLiU" w:hAnsi="Georgia" w:cs="Georgia"/>
          <w:bCs/>
          <w:i/>
          <w:noProof/>
          <w:color w:val="A32020"/>
          <w:sz w:val="20"/>
          <w:szCs w:val="20"/>
          <w:lang w:val="lt-LT"/>
        </w:rPr>
        <w:t>6</w:t>
      </w:r>
      <w:r w:rsidRPr="005A1A99">
        <w:rPr>
          <w:rFonts w:ascii="Georgia" w:eastAsia="PMingLiU" w:hAnsi="Georgia" w:cs="Georgia"/>
          <w:bCs/>
          <w:i/>
          <w:color w:val="A32020"/>
          <w:sz w:val="20"/>
          <w:szCs w:val="20"/>
          <w:lang w:val="lt-LT"/>
        </w:rPr>
        <w:fldChar w:fldCharType="end"/>
      </w:r>
      <w:r w:rsidRPr="005A1A99">
        <w:rPr>
          <w:rFonts w:ascii="Georgia" w:eastAsia="PMingLiU" w:hAnsi="Georgia" w:cs="Georgia"/>
          <w:bCs/>
          <w:i/>
          <w:color w:val="A32020"/>
          <w:sz w:val="20"/>
          <w:szCs w:val="20"/>
          <w:lang w:val="lt-LT"/>
        </w:rPr>
        <w:t>. Viešosios paskirties pastatų pasiskirstymas pagal statybos metus</w:t>
      </w:r>
      <w:bookmarkEnd w:id="27"/>
      <w:bookmarkEnd w:id="28"/>
      <w:r w:rsidRPr="005A1A99">
        <w:rPr>
          <w:rFonts w:ascii="Georgia" w:eastAsia="PMingLiU" w:hAnsi="Georgia" w:cs="Georgia"/>
          <w:bCs/>
          <w:i/>
          <w:color w:val="A32020"/>
          <w:sz w:val="20"/>
          <w:szCs w:val="20"/>
          <w:lang w:val="lt-LT"/>
        </w:rPr>
        <w:t xml:space="preserve"> </w:t>
      </w:r>
    </w:p>
    <w:tbl>
      <w:tblPr>
        <w:tblStyle w:val="LightList-Accent21"/>
        <w:tblW w:w="5000" w:type="pct"/>
        <w:tblLayout w:type="fixed"/>
        <w:tblLook w:val="04A0" w:firstRow="1" w:lastRow="0" w:firstColumn="1" w:lastColumn="0" w:noHBand="0" w:noVBand="1"/>
      </w:tblPr>
      <w:tblGrid>
        <w:gridCol w:w="1371"/>
        <w:gridCol w:w="896"/>
        <w:gridCol w:w="1054"/>
        <w:gridCol w:w="895"/>
        <w:gridCol w:w="1020"/>
        <w:gridCol w:w="904"/>
        <w:gridCol w:w="1113"/>
        <w:gridCol w:w="924"/>
        <w:gridCol w:w="1065"/>
      </w:tblGrid>
      <w:tr w:rsidR="00415ADA" w:rsidRPr="002142B8" w14:paraId="31E8EBFE" w14:textId="77777777" w:rsidTr="0063781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742" w:type="pct"/>
            <w:hideMark/>
          </w:tcPr>
          <w:p w14:paraId="67C5DAA4"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w:sz w:val="16"/>
                <w:szCs w:val="16"/>
              </w:rPr>
              <w:t xml:space="preserve">Pastato tipas </w:t>
            </w:r>
          </w:p>
        </w:tc>
        <w:tc>
          <w:tcPr>
            <w:tcW w:w="1055" w:type="pct"/>
            <w:gridSpan w:val="2"/>
            <w:hideMark/>
          </w:tcPr>
          <w:p w14:paraId="2C61A4E3"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Iki 1940 m.</w:t>
            </w:r>
          </w:p>
        </w:tc>
        <w:tc>
          <w:tcPr>
            <w:tcW w:w="1036" w:type="pct"/>
            <w:gridSpan w:val="2"/>
            <w:hideMark/>
          </w:tcPr>
          <w:p w14:paraId="38FF741A"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1941–1960</w:t>
            </w:r>
          </w:p>
        </w:tc>
        <w:tc>
          <w:tcPr>
            <w:tcW w:w="1091" w:type="pct"/>
            <w:gridSpan w:val="2"/>
            <w:hideMark/>
          </w:tcPr>
          <w:p w14:paraId="3B15E8E8"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1961–1990</w:t>
            </w:r>
          </w:p>
        </w:tc>
        <w:tc>
          <w:tcPr>
            <w:tcW w:w="1077" w:type="pct"/>
            <w:gridSpan w:val="2"/>
            <w:hideMark/>
          </w:tcPr>
          <w:p w14:paraId="5294CF7E"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1991 m. ir vėliau</w:t>
            </w:r>
          </w:p>
        </w:tc>
      </w:tr>
      <w:tr w:rsidR="0063781D" w:rsidRPr="002142B8" w14:paraId="4E814171" w14:textId="77777777" w:rsidTr="0063781D">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742" w:type="pct"/>
          </w:tcPr>
          <w:p w14:paraId="4FB2333C" w14:textId="77777777" w:rsidR="005A0219" w:rsidRPr="002142B8" w:rsidRDefault="005A0219" w:rsidP="005A0219">
            <w:pPr>
              <w:autoSpaceDE w:val="0"/>
              <w:autoSpaceDN w:val="0"/>
              <w:adjustRightInd w:val="0"/>
              <w:rPr>
                <w:rFonts w:ascii="Georgia" w:eastAsia="Georgia" w:hAnsi="Georgia" w:cs="Arial"/>
                <w:sz w:val="16"/>
                <w:szCs w:val="16"/>
              </w:rPr>
            </w:pPr>
          </w:p>
        </w:tc>
        <w:tc>
          <w:tcPr>
            <w:tcW w:w="485" w:type="pct"/>
            <w:hideMark/>
          </w:tcPr>
          <w:p w14:paraId="026454F9"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Pastatų skaičius</w:t>
            </w:r>
          </w:p>
        </w:tc>
        <w:tc>
          <w:tcPr>
            <w:tcW w:w="569" w:type="pct"/>
            <w:hideMark/>
          </w:tcPr>
          <w:p w14:paraId="5E1C9591"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Bendras plotas m</w:t>
            </w:r>
            <w:r w:rsidRPr="002142B8">
              <w:rPr>
                <w:rFonts w:ascii="Georgia" w:eastAsia="Georgia" w:hAnsi="Georgia" w:cs="Arial"/>
                <w:sz w:val="16"/>
                <w:szCs w:val="16"/>
                <w:vertAlign w:val="superscript"/>
              </w:rPr>
              <w:t>2</w:t>
            </w:r>
          </w:p>
        </w:tc>
        <w:tc>
          <w:tcPr>
            <w:tcW w:w="484" w:type="pct"/>
            <w:hideMark/>
          </w:tcPr>
          <w:p w14:paraId="09A2D5F7"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Pastatų skaičius</w:t>
            </w:r>
          </w:p>
        </w:tc>
        <w:tc>
          <w:tcPr>
            <w:tcW w:w="551" w:type="pct"/>
            <w:hideMark/>
          </w:tcPr>
          <w:p w14:paraId="46F719A1"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Bendras plotas m</w:t>
            </w:r>
            <w:r w:rsidRPr="002142B8">
              <w:rPr>
                <w:rFonts w:ascii="Georgia" w:eastAsia="Georgia" w:hAnsi="Georgia" w:cs="Arial"/>
                <w:sz w:val="16"/>
                <w:szCs w:val="16"/>
                <w:vertAlign w:val="superscript"/>
              </w:rPr>
              <w:t>2</w:t>
            </w:r>
          </w:p>
        </w:tc>
        <w:tc>
          <w:tcPr>
            <w:tcW w:w="489" w:type="pct"/>
            <w:hideMark/>
          </w:tcPr>
          <w:p w14:paraId="109F1879"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Pastatų skaičius</w:t>
            </w:r>
          </w:p>
        </w:tc>
        <w:tc>
          <w:tcPr>
            <w:tcW w:w="602" w:type="pct"/>
            <w:hideMark/>
          </w:tcPr>
          <w:p w14:paraId="427A8B69"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Bendras plotas m</w:t>
            </w:r>
            <w:r w:rsidRPr="002142B8">
              <w:rPr>
                <w:rFonts w:ascii="Georgia" w:eastAsia="Georgia" w:hAnsi="Georgia" w:cs="Arial"/>
                <w:sz w:val="16"/>
                <w:szCs w:val="16"/>
                <w:vertAlign w:val="superscript"/>
              </w:rPr>
              <w:t>2</w:t>
            </w:r>
          </w:p>
        </w:tc>
        <w:tc>
          <w:tcPr>
            <w:tcW w:w="500" w:type="pct"/>
            <w:hideMark/>
          </w:tcPr>
          <w:p w14:paraId="7243107C"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Pastatų skaičius</w:t>
            </w:r>
          </w:p>
        </w:tc>
        <w:tc>
          <w:tcPr>
            <w:tcW w:w="576" w:type="pct"/>
            <w:hideMark/>
          </w:tcPr>
          <w:p w14:paraId="11DC60FB"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w:sz w:val="16"/>
                <w:szCs w:val="16"/>
              </w:rPr>
            </w:pPr>
            <w:r w:rsidRPr="002142B8">
              <w:rPr>
                <w:rFonts w:ascii="Georgia" w:eastAsia="Georgia" w:hAnsi="Georgia" w:cs="Arial"/>
                <w:sz w:val="16"/>
                <w:szCs w:val="16"/>
              </w:rPr>
              <w:t>Bendras plotas m</w:t>
            </w:r>
            <w:r w:rsidRPr="002142B8">
              <w:rPr>
                <w:rFonts w:ascii="Georgia" w:eastAsia="Georgia" w:hAnsi="Georgia" w:cs="Arial"/>
                <w:sz w:val="16"/>
                <w:szCs w:val="16"/>
                <w:vertAlign w:val="superscript"/>
              </w:rPr>
              <w:t>2</w:t>
            </w:r>
          </w:p>
        </w:tc>
      </w:tr>
      <w:tr w:rsidR="00150010" w:rsidRPr="002142B8" w14:paraId="31168C88" w14:textId="77777777" w:rsidTr="0077117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42" w:type="pct"/>
            <w:hideMark/>
          </w:tcPr>
          <w:p w14:paraId="4FB87819"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Unicode MS"/>
                <w:sz w:val="16"/>
                <w:szCs w:val="16"/>
              </w:rPr>
              <w:t>Gyvenamieji namai įvairioms socialinėms grupėms</w:t>
            </w:r>
          </w:p>
        </w:tc>
        <w:tc>
          <w:tcPr>
            <w:tcW w:w="485" w:type="pct"/>
            <w:tcBorders>
              <w:top w:val="single" w:sz="8" w:space="0" w:color="C0504D"/>
              <w:left w:val="nil"/>
              <w:bottom w:val="single" w:sz="8" w:space="0" w:color="C0504D"/>
              <w:right w:val="nil"/>
            </w:tcBorders>
            <w:shd w:val="clear" w:color="auto" w:fill="auto"/>
            <w:vAlign w:val="center"/>
            <w:hideMark/>
          </w:tcPr>
          <w:p w14:paraId="72E42E1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285</w:t>
            </w:r>
          </w:p>
        </w:tc>
        <w:tc>
          <w:tcPr>
            <w:tcW w:w="569" w:type="pct"/>
            <w:tcBorders>
              <w:top w:val="single" w:sz="8" w:space="0" w:color="C0504D"/>
              <w:left w:val="nil"/>
              <w:bottom w:val="single" w:sz="8" w:space="0" w:color="C0504D"/>
              <w:right w:val="nil"/>
            </w:tcBorders>
            <w:shd w:val="clear" w:color="auto" w:fill="auto"/>
            <w:vAlign w:val="center"/>
            <w:hideMark/>
          </w:tcPr>
          <w:p w14:paraId="36C8645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163 473</w:t>
            </w:r>
          </w:p>
        </w:tc>
        <w:tc>
          <w:tcPr>
            <w:tcW w:w="484" w:type="pct"/>
            <w:tcBorders>
              <w:top w:val="single" w:sz="8" w:space="0" w:color="C0504D"/>
              <w:left w:val="nil"/>
              <w:bottom w:val="single" w:sz="8" w:space="0" w:color="C0504D"/>
              <w:right w:val="nil"/>
            </w:tcBorders>
            <w:shd w:val="clear" w:color="auto" w:fill="auto"/>
            <w:vAlign w:val="center"/>
            <w:hideMark/>
          </w:tcPr>
          <w:p w14:paraId="40BD7A5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136</w:t>
            </w:r>
          </w:p>
        </w:tc>
        <w:tc>
          <w:tcPr>
            <w:tcW w:w="551" w:type="pct"/>
            <w:tcBorders>
              <w:top w:val="single" w:sz="8" w:space="0" w:color="C0504D"/>
              <w:left w:val="nil"/>
              <w:bottom w:val="single" w:sz="8" w:space="0" w:color="C0504D"/>
              <w:right w:val="nil"/>
            </w:tcBorders>
            <w:shd w:val="clear" w:color="auto" w:fill="auto"/>
            <w:vAlign w:val="center"/>
            <w:hideMark/>
          </w:tcPr>
          <w:p w14:paraId="400AA88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143 473</w:t>
            </w:r>
          </w:p>
        </w:tc>
        <w:tc>
          <w:tcPr>
            <w:tcW w:w="489" w:type="pct"/>
            <w:tcBorders>
              <w:top w:val="single" w:sz="8" w:space="0" w:color="C0504D"/>
              <w:left w:val="nil"/>
              <w:bottom w:val="single" w:sz="8" w:space="0" w:color="C0504D"/>
              <w:right w:val="nil"/>
            </w:tcBorders>
            <w:shd w:val="clear" w:color="auto" w:fill="auto"/>
            <w:vAlign w:val="center"/>
            <w:hideMark/>
          </w:tcPr>
          <w:p w14:paraId="73EF3B5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1 284</w:t>
            </w:r>
          </w:p>
        </w:tc>
        <w:tc>
          <w:tcPr>
            <w:tcW w:w="602" w:type="pct"/>
            <w:tcBorders>
              <w:top w:val="single" w:sz="8" w:space="0" w:color="C0504D"/>
              <w:left w:val="nil"/>
              <w:bottom w:val="single" w:sz="8" w:space="0" w:color="C0504D"/>
              <w:right w:val="nil"/>
            </w:tcBorders>
            <w:shd w:val="clear" w:color="auto" w:fill="auto"/>
            <w:vAlign w:val="center"/>
            <w:hideMark/>
          </w:tcPr>
          <w:p w14:paraId="3BC4A10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3 139 412</w:t>
            </w:r>
          </w:p>
        </w:tc>
        <w:tc>
          <w:tcPr>
            <w:tcW w:w="500" w:type="pct"/>
            <w:tcBorders>
              <w:top w:val="single" w:sz="8" w:space="0" w:color="C0504D"/>
              <w:left w:val="nil"/>
              <w:bottom w:val="single" w:sz="8" w:space="0" w:color="C0504D"/>
              <w:right w:val="nil"/>
            </w:tcBorders>
            <w:shd w:val="clear" w:color="auto" w:fill="auto"/>
            <w:vAlign w:val="center"/>
            <w:hideMark/>
          </w:tcPr>
          <w:p w14:paraId="0163096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140</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4F6D59B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181 178</w:t>
            </w:r>
          </w:p>
        </w:tc>
      </w:tr>
      <w:tr w:rsidR="00150010" w:rsidRPr="002142B8" w14:paraId="5D50AC3A" w14:textId="77777777" w:rsidTr="0077117B">
        <w:trPr>
          <w:trHeight w:val="162"/>
        </w:trPr>
        <w:tc>
          <w:tcPr>
            <w:cnfStyle w:val="001000000000" w:firstRow="0" w:lastRow="0" w:firstColumn="1" w:lastColumn="0" w:oddVBand="0" w:evenVBand="0" w:oddHBand="0" w:evenHBand="0" w:firstRowFirstColumn="0" w:firstRowLastColumn="0" w:lastRowFirstColumn="0" w:lastRowLastColumn="0"/>
            <w:tcW w:w="742" w:type="pct"/>
            <w:hideMark/>
          </w:tcPr>
          <w:p w14:paraId="491A094F" w14:textId="07FE24EC"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w:sz w:val="16"/>
                <w:szCs w:val="16"/>
              </w:rPr>
              <w:t>Administraci</w:t>
            </w:r>
            <w:r w:rsidR="00415ADA" w:rsidRPr="002142B8">
              <w:rPr>
                <w:rFonts w:ascii="Georgia" w:eastAsia="Georgia" w:hAnsi="Georgia" w:cs="Arial"/>
                <w:sz w:val="16"/>
                <w:szCs w:val="16"/>
              </w:rPr>
              <w:t>-</w:t>
            </w:r>
            <w:r w:rsidRPr="002142B8">
              <w:rPr>
                <w:rFonts w:ascii="Georgia" w:eastAsia="Georgia" w:hAnsi="Georgia" w:cs="Arial"/>
                <w:sz w:val="16"/>
                <w:szCs w:val="16"/>
              </w:rPr>
              <w:t xml:space="preserve">niai pastatai </w:t>
            </w:r>
          </w:p>
        </w:tc>
        <w:tc>
          <w:tcPr>
            <w:tcW w:w="485" w:type="pct"/>
            <w:tcBorders>
              <w:top w:val="nil"/>
              <w:left w:val="nil"/>
              <w:bottom w:val="nil"/>
              <w:right w:val="nil"/>
            </w:tcBorders>
            <w:shd w:val="clear" w:color="auto" w:fill="auto"/>
            <w:vAlign w:val="center"/>
            <w:hideMark/>
          </w:tcPr>
          <w:p w14:paraId="06E3F59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1 527</w:t>
            </w:r>
          </w:p>
        </w:tc>
        <w:tc>
          <w:tcPr>
            <w:tcW w:w="569" w:type="pct"/>
            <w:tcBorders>
              <w:top w:val="nil"/>
              <w:left w:val="nil"/>
              <w:bottom w:val="nil"/>
              <w:right w:val="nil"/>
            </w:tcBorders>
            <w:shd w:val="clear" w:color="auto" w:fill="auto"/>
            <w:vAlign w:val="center"/>
            <w:hideMark/>
          </w:tcPr>
          <w:p w14:paraId="725260A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1 181 839</w:t>
            </w:r>
          </w:p>
        </w:tc>
        <w:tc>
          <w:tcPr>
            <w:tcW w:w="484" w:type="pct"/>
            <w:tcBorders>
              <w:top w:val="nil"/>
              <w:left w:val="nil"/>
              <w:bottom w:val="nil"/>
              <w:right w:val="nil"/>
            </w:tcBorders>
            <w:shd w:val="clear" w:color="auto" w:fill="auto"/>
            <w:vAlign w:val="center"/>
            <w:hideMark/>
          </w:tcPr>
          <w:p w14:paraId="5D53A21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810</w:t>
            </w:r>
          </w:p>
        </w:tc>
        <w:tc>
          <w:tcPr>
            <w:tcW w:w="551" w:type="pct"/>
            <w:tcBorders>
              <w:top w:val="nil"/>
              <w:left w:val="nil"/>
              <w:bottom w:val="nil"/>
              <w:right w:val="nil"/>
            </w:tcBorders>
            <w:shd w:val="clear" w:color="auto" w:fill="auto"/>
            <w:vAlign w:val="center"/>
            <w:hideMark/>
          </w:tcPr>
          <w:p w14:paraId="6C7F27A5"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512 755</w:t>
            </w:r>
          </w:p>
        </w:tc>
        <w:tc>
          <w:tcPr>
            <w:tcW w:w="489" w:type="pct"/>
            <w:tcBorders>
              <w:top w:val="nil"/>
              <w:left w:val="nil"/>
              <w:bottom w:val="nil"/>
              <w:right w:val="nil"/>
            </w:tcBorders>
            <w:shd w:val="clear" w:color="auto" w:fill="auto"/>
            <w:vAlign w:val="center"/>
            <w:hideMark/>
          </w:tcPr>
          <w:p w14:paraId="6520E178"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6 068</w:t>
            </w:r>
          </w:p>
        </w:tc>
        <w:tc>
          <w:tcPr>
            <w:tcW w:w="602" w:type="pct"/>
            <w:tcBorders>
              <w:top w:val="nil"/>
              <w:left w:val="nil"/>
              <w:bottom w:val="nil"/>
              <w:right w:val="nil"/>
            </w:tcBorders>
            <w:shd w:val="clear" w:color="auto" w:fill="auto"/>
            <w:vAlign w:val="center"/>
            <w:hideMark/>
          </w:tcPr>
          <w:p w14:paraId="3976B49A"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5 485 324</w:t>
            </w:r>
          </w:p>
        </w:tc>
        <w:tc>
          <w:tcPr>
            <w:tcW w:w="500" w:type="pct"/>
            <w:tcBorders>
              <w:top w:val="nil"/>
              <w:left w:val="nil"/>
              <w:bottom w:val="nil"/>
              <w:right w:val="nil"/>
            </w:tcBorders>
            <w:shd w:val="clear" w:color="auto" w:fill="auto"/>
            <w:vAlign w:val="center"/>
            <w:hideMark/>
          </w:tcPr>
          <w:p w14:paraId="19FB4307"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1 554</w:t>
            </w:r>
          </w:p>
        </w:tc>
        <w:tc>
          <w:tcPr>
            <w:tcW w:w="576" w:type="pct"/>
            <w:tcBorders>
              <w:top w:val="nil"/>
              <w:left w:val="nil"/>
              <w:bottom w:val="nil"/>
              <w:right w:val="single" w:sz="8" w:space="0" w:color="C0504D"/>
            </w:tcBorders>
            <w:shd w:val="clear" w:color="auto" w:fill="auto"/>
            <w:vAlign w:val="center"/>
            <w:hideMark/>
          </w:tcPr>
          <w:p w14:paraId="5747172B"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2 073 535</w:t>
            </w:r>
          </w:p>
        </w:tc>
      </w:tr>
      <w:tr w:rsidR="00150010" w:rsidRPr="002142B8" w14:paraId="415AB28E" w14:textId="77777777" w:rsidTr="0077117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42" w:type="pct"/>
            <w:hideMark/>
          </w:tcPr>
          <w:p w14:paraId="7AEC2494"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w:sz w:val="16"/>
                <w:szCs w:val="16"/>
              </w:rPr>
              <w:t xml:space="preserve">Kultūros, švietimo, sporto reikmėms naudojami pastatai </w:t>
            </w:r>
          </w:p>
        </w:tc>
        <w:tc>
          <w:tcPr>
            <w:tcW w:w="485" w:type="pct"/>
            <w:tcBorders>
              <w:top w:val="single" w:sz="8" w:space="0" w:color="C0504D"/>
              <w:left w:val="nil"/>
              <w:bottom w:val="single" w:sz="8" w:space="0" w:color="C0504D"/>
              <w:right w:val="nil"/>
            </w:tcBorders>
            <w:shd w:val="clear" w:color="auto" w:fill="auto"/>
            <w:vAlign w:val="center"/>
            <w:hideMark/>
          </w:tcPr>
          <w:p w14:paraId="5044371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1 560</w:t>
            </w:r>
          </w:p>
        </w:tc>
        <w:tc>
          <w:tcPr>
            <w:tcW w:w="569" w:type="pct"/>
            <w:tcBorders>
              <w:top w:val="single" w:sz="8" w:space="0" w:color="C0504D"/>
              <w:left w:val="nil"/>
              <w:bottom w:val="single" w:sz="8" w:space="0" w:color="C0504D"/>
              <w:right w:val="nil"/>
            </w:tcBorders>
            <w:shd w:val="clear" w:color="auto" w:fill="auto"/>
            <w:vAlign w:val="center"/>
            <w:hideMark/>
          </w:tcPr>
          <w:p w14:paraId="6402CBA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1 448 521</w:t>
            </w:r>
          </w:p>
        </w:tc>
        <w:tc>
          <w:tcPr>
            <w:tcW w:w="484" w:type="pct"/>
            <w:tcBorders>
              <w:top w:val="single" w:sz="8" w:space="0" w:color="C0504D"/>
              <w:left w:val="nil"/>
              <w:bottom w:val="single" w:sz="8" w:space="0" w:color="C0504D"/>
              <w:right w:val="nil"/>
            </w:tcBorders>
            <w:shd w:val="clear" w:color="auto" w:fill="auto"/>
            <w:vAlign w:val="center"/>
            <w:hideMark/>
          </w:tcPr>
          <w:p w14:paraId="5A4C363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644</w:t>
            </w:r>
          </w:p>
        </w:tc>
        <w:tc>
          <w:tcPr>
            <w:tcW w:w="551" w:type="pct"/>
            <w:tcBorders>
              <w:top w:val="single" w:sz="8" w:space="0" w:color="C0504D"/>
              <w:left w:val="nil"/>
              <w:bottom w:val="single" w:sz="8" w:space="0" w:color="C0504D"/>
              <w:right w:val="nil"/>
            </w:tcBorders>
            <w:shd w:val="clear" w:color="auto" w:fill="auto"/>
            <w:vAlign w:val="center"/>
            <w:hideMark/>
          </w:tcPr>
          <w:p w14:paraId="38C7ABD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599 934</w:t>
            </w:r>
          </w:p>
        </w:tc>
        <w:tc>
          <w:tcPr>
            <w:tcW w:w="489" w:type="pct"/>
            <w:tcBorders>
              <w:top w:val="single" w:sz="8" w:space="0" w:color="C0504D"/>
              <w:left w:val="nil"/>
              <w:bottom w:val="single" w:sz="8" w:space="0" w:color="C0504D"/>
              <w:right w:val="nil"/>
            </w:tcBorders>
            <w:shd w:val="clear" w:color="auto" w:fill="auto"/>
            <w:vAlign w:val="center"/>
            <w:hideMark/>
          </w:tcPr>
          <w:p w14:paraId="5F17961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4 676</w:t>
            </w:r>
          </w:p>
        </w:tc>
        <w:tc>
          <w:tcPr>
            <w:tcW w:w="602" w:type="pct"/>
            <w:tcBorders>
              <w:top w:val="single" w:sz="8" w:space="0" w:color="C0504D"/>
              <w:left w:val="nil"/>
              <w:bottom w:val="single" w:sz="8" w:space="0" w:color="C0504D"/>
              <w:right w:val="nil"/>
            </w:tcBorders>
            <w:shd w:val="clear" w:color="auto" w:fill="auto"/>
            <w:vAlign w:val="center"/>
            <w:hideMark/>
          </w:tcPr>
          <w:p w14:paraId="26E4F0E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7 859 768</w:t>
            </w:r>
          </w:p>
        </w:tc>
        <w:tc>
          <w:tcPr>
            <w:tcW w:w="500" w:type="pct"/>
            <w:tcBorders>
              <w:top w:val="single" w:sz="8" w:space="0" w:color="C0504D"/>
              <w:left w:val="nil"/>
              <w:bottom w:val="single" w:sz="8" w:space="0" w:color="C0504D"/>
              <w:right w:val="nil"/>
            </w:tcBorders>
            <w:shd w:val="clear" w:color="auto" w:fill="auto"/>
            <w:vAlign w:val="center"/>
            <w:hideMark/>
          </w:tcPr>
          <w:p w14:paraId="37FAA8E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554</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262DAD36"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1 392 334</w:t>
            </w:r>
          </w:p>
        </w:tc>
      </w:tr>
      <w:tr w:rsidR="00150010" w:rsidRPr="002142B8" w14:paraId="58897ADD" w14:textId="77777777" w:rsidTr="0077117B">
        <w:trPr>
          <w:trHeight w:val="161"/>
        </w:trPr>
        <w:tc>
          <w:tcPr>
            <w:cnfStyle w:val="001000000000" w:firstRow="0" w:lastRow="0" w:firstColumn="1" w:lastColumn="0" w:oddVBand="0" w:evenVBand="0" w:oddHBand="0" w:evenHBand="0" w:firstRowFirstColumn="0" w:firstRowLastColumn="0" w:lastRowFirstColumn="0" w:lastRowLastColumn="0"/>
            <w:tcW w:w="742" w:type="pct"/>
            <w:hideMark/>
          </w:tcPr>
          <w:p w14:paraId="4F80C56E"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w:sz w:val="16"/>
                <w:szCs w:val="16"/>
              </w:rPr>
              <w:t xml:space="preserve">Medicinos reikmėms naudojami pastatai </w:t>
            </w:r>
          </w:p>
        </w:tc>
        <w:tc>
          <w:tcPr>
            <w:tcW w:w="485" w:type="pct"/>
            <w:tcBorders>
              <w:top w:val="nil"/>
              <w:left w:val="nil"/>
              <w:bottom w:val="nil"/>
              <w:right w:val="nil"/>
            </w:tcBorders>
            <w:shd w:val="clear" w:color="auto" w:fill="auto"/>
            <w:vAlign w:val="center"/>
            <w:hideMark/>
          </w:tcPr>
          <w:p w14:paraId="1A22F09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412</w:t>
            </w:r>
          </w:p>
        </w:tc>
        <w:tc>
          <w:tcPr>
            <w:tcW w:w="569" w:type="pct"/>
            <w:tcBorders>
              <w:top w:val="nil"/>
              <w:left w:val="nil"/>
              <w:bottom w:val="nil"/>
              <w:right w:val="nil"/>
            </w:tcBorders>
            <w:shd w:val="clear" w:color="auto" w:fill="auto"/>
            <w:vAlign w:val="center"/>
            <w:hideMark/>
          </w:tcPr>
          <w:p w14:paraId="4975A734"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384 450</w:t>
            </w:r>
          </w:p>
        </w:tc>
        <w:tc>
          <w:tcPr>
            <w:tcW w:w="484" w:type="pct"/>
            <w:tcBorders>
              <w:top w:val="nil"/>
              <w:left w:val="nil"/>
              <w:bottom w:val="nil"/>
              <w:right w:val="nil"/>
            </w:tcBorders>
            <w:shd w:val="clear" w:color="auto" w:fill="auto"/>
            <w:vAlign w:val="center"/>
            <w:hideMark/>
          </w:tcPr>
          <w:p w14:paraId="419C4C8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193</w:t>
            </w:r>
          </w:p>
        </w:tc>
        <w:tc>
          <w:tcPr>
            <w:tcW w:w="551" w:type="pct"/>
            <w:tcBorders>
              <w:top w:val="nil"/>
              <w:left w:val="nil"/>
              <w:bottom w:val="nil"/>
              <w:right w:val="nil"/>
            </w:tcBorders>
            <w:shd w:val="clear" w:color="auto" w:fill="auto"/>
            <w:vAlign w:val="center"/>
            <w:hideMark/>
          </w:tcPr>
          <w:p w14:paraId="242FF02B"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120 933</w:t>
            </w:r>
          </w:p>
        </w:tc>
        <w:tc>
          <w:tcPr>
            <w:tcW w:w="489" w:type="pct"/>
            <w:tcBorders>
              <w:top w:val="nil"/>
              <w:left w:val="nil"/>
              <w:bottom w:val="nil"/>
              <w:right w:val="nil"/>
            </w:tcBorders>
            <w:shd w:val="clear" w:color="auto" w:fill="auto"/>
            <w:vAlign w:val="center"/>
            <w:hideMark/>
          </w:tcPr>
          <w:p w14:paraId="5E1D6C6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987</w:t>
            </w:r>
          </w:p>
        </w:tc>
        <w:tc>
          <w:tcPr>
            <w:tcW w:w="602" w:type="pct"/>
            <w:tcBorders>
              <w:top w:val="nil"/>
              <w:left w:val="nil"/>
              <w:bottom w:val="nil"/>
              <w:right w:val="nil"/>
            </w:tcBorders>
            <w:shd w:val="clear" w:color="auto" w:fill="auto"/>
            <w:vAlign w:val="center"/>
            <w:hideMark/>
          </w:tcPr>
          <w:p w14:paraId="29D46989"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1 876 698</w:t>
            </w:r>
          </w:p>
        </w:tc>
        <w:tc>
          <w:tcPr>
            <w:tcW w:w="500" w:type="pct"/>
            <w:tcBorders>
              <w:top w:val="nil"/>
              <w:left w:val="nil"/>
              <w:bottom w:val="nil"/>
              <w:right w:val="nil"/>
            </w:tcBorders>
            <w:shd w:val="clear" w:color="auto" w:fill="auto"/>
            <w:vAlign w:val="center"/>
            <w:hideMark/>
          </w:tcPr>
          <w:p w14:paraId="54E1767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232</w:t>
            </w:r>
          </w:p>
        </w:tc>
        <w:tc>
          <w:tcPr>
            <w:tcW w:w="576" w:type="pct"/>
            <w:tcBorders>
              <w:top w:val="nil"/>
              <w:left w:val="nil"/>
              <w:bottom w:val="nil"/>
              <w:right w:val="single" w:sz="8" w:space="0" w:color="C0504D"/>
            </w:tcBorders>
            <w:shd w:val="clear" w:color="auto" w:fill="auto"/>
            <w:vAlign w:val="center"/>
            <w:hideMark/>
          </w:tcPr>
          <w:p w14:paraId="688BDC2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506 804</w:t>
            </w:r>
          </w:p>
        </w:tc>
      </w:tr>
      <w:tr w:rsidR="00150010" w:rsidRPr="002142B8" w14:paraId="3C2EEFC7" w14:textId="77777777" w:rsidTr="0077117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42" w:type="pct"/>
            <w:hideMark/>
          </w:tcPr>
          <w:p w14:paraId="2D3B610E"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Unicode MS"/>
                <w:sz w:val="16"/>
                <w:szCs w:val="16"/>
              </w:rPr>
              <w:lastRenderedPageBreak/>
              <w:t>Specialiosios, religinės ir kitos paskirties pastatai</w:t>
            </w:r>
          </w:p>
        </w:tc>
        <w:tc>
          <w:tcPr>
            <w:tcW w:w="485" w:type="pct"/>
            <w:tcBorders>
              <w:top w:val="single" w:sz="8" w:space="0" w:color="C0504D"/>
              <w:left w:val="nil"/>
              <w:bottom w:val="single" w:sz="8" w:space="0" w:color="C0504D"/>
              <w:right w:val="nil"/>
            </w:tcBorders>
            <w:shd w:val="clear" w:color="auto" w:fill="auto"/>
            <w:vAlign w:val="center"/>
            <w:hideMark/>
          </w:tcPr>
          <w:p w14:paraId="5A0717B9"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1 998</w:t>
            </w:r>
          </w:p>
        </w:tc>
        <w:tc>
          <w:tcPr>
            <w:tcW w:w="569" w:type="pct"/>
            <w:tcBorders>
              <w:top w:val="single" w:sz="8" w:space="0" w:color="C0504D"/>
              <w:left w:val="nil"/>
              <w:bottom w:val="single" w:sz="8" w:space="0" w:color="C0504D"/>
              <w:right w:val="nil"/>
            </w:tcBorders>
            <w:shd w:val="clear" w:color="auto" w:fill="auto"/>
            <w:vAlign w:val="center"/>
            <w:hideMark/>
          </w:tcPr>
          <w:p w14:paraId="5D25F28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656 806</w:t>
            </w:r>
          </w:p>
        </w:tc>
        <w:tc>
          <w:tcPr>
            <w:tcW w:w="484" w:type="pct"/>
            <w:tcBorders>
              <w:top w:val="single" w:sz="8" w:space="0" w:color="C0504D"/>
              <w:left w:val="nil"/>
              <w:bottom w:val="single" w:sz="8" w:space="0" w:color="C0504D"/>
              <w:right w:val="nil"/>
            </w:tcBorders>
            <w:shd w:val="clear" w:color="auto" w:fill="auto"/>
            <w:vAlign w:val="center"/>
            <w:hideMark/>
          </w:tcPr>
          <w:p w14:paraId="13D68C46"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1 237</w:t>
            </w:r>
          </w:p>
        </w:tc>
        <w:tc>
          <w:tcPr>
            <w:tcW w:w="551" w:type="pct"/>
            <w:tcBorders>
              <w:top w:val="single" w:sz="8" w:space="0" w:color="C0504D"/>
              <w:left w:val="nil"/>
              <w:bottom w:val="single" w:sz="8" w:space="0" w:color="C0504D"/>
              <w:right w:val="nil"/>
            </w:tcBorders>
            <w:shd w:val="clear" w:color="auto" w:fill="auto"/>
            <w:vAlign w:val="center"/>
            <w:hideMark/>
          </w:tcPr>
          <w:p w14:paraId="28D021B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233 451</w:t>
            </w:r>
          </w:p>
        </w:tc>
        <w:tc>
          <w:tcPr>
            <w:tcW w:w="489" w:type="pct"/>
            <w:tcBorders>
              <w:top w:val="single" w:sz="8" w:space="0" w:color="C0504D"/>
              <w:left w:val="nil"/>
              <w:bottom w:val="single" w:sz="8" w:space="0" w:color="C0504D"/>
              <w:right w:val="nil"/>
            </w:tcBorders>
            <w:shd w:val="clear" w:color="auto" w:fill="auto"/>
            <w:vAlign w:val="center"/>
            <w:hideMark/>
          </w:tcPr>
          <w:p w14:paraId="53AB0E0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12 626</w:t>
            </w:r>
          </w:p>
        </w:tc>
        <w:tc>
          <w:tcPr>
            <w:tcW w:w="602" w:type="pct"/>
            <w:tcBorders>
              <w:top w:val="single" w:sz="8" w:space="0" w:color="C0504D"/>
              <w:left w:val="nil"/>
              <w:bottom w:val="single" w:sz="8" w:space="0" w:color="C0504D"/>
              <w:right w:val="nil"/>
            </w:tcBorders>
            <w:shd w:val="clear" w:color="auto" w:fill="auto"/>
            <w:vAlign w:val="center"/>
            <w:hideMark/>
          </w:tcPr>
          <w:p w14:paraId="6444F4A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2 527 351</w:t>
            </w:r>
          </w:p>
        </w:tc>
        <w:tc>
          <w:tcPr>
            <w:tcW w:w="500" w:type="pct"/>
            <w:tcBorders>
              <w:top w:val="single" w:sz="8" w:space="0" w:color="C0504D"/>
              <w:left w:val="nil"/>
              <w:bottom w:val="single" w:sz="8" w:space="0" w:color="C0504D"/>
              <w:right w:val="nil"/>
            </w:tcBorders>
            <w:shd w:val="clear" w:color="auto" w:fill="auto"/>
            <w:vAlign w:val="center"/>
            <w:hideMark/>
          </w:tcPr>
          <w:p w14:paraId="4469D48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4 398</w:t>
            </w:r>
          </w:p>
        </w:tc>
        <w:tc>
          <w:tcPr>
            <w:tcW w:w="576" w:type="pct"/>
            <w:tcBorders>
              <w:top w:val="single" w:sz="8" w:space="0" w:color="C0504D"/>
              <w:left w:val="nil"/>
              <w:bottom w:val="single" w:sz="8" w:space="0" w:color="C0504D"/>
              <w:right w:val="single" w:sz="8" w:space="0" w:color="C0504D"/>
            </w:tcBorders>
            <w:shd w:val="clear" w:color="auto" w:fill="auto"/>
            <w:vAlign w:val="center"/>
            <w:hideMark/>
          </w:tcPr>
          <w:p w14:paraId="2B0A10B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726 408</w:t>
            </w:r>
          </w:p>
        </w:tc>
      </w:tr>
      <w:tr w:rsidR="00150010" w:rsidRPr="002142B8" w14:paraId="3B84BEB1" w14:textId="77777777" w:rsidTr="0077117B">
        <w:trPr>
          <w:trHeight w:val="64"/>
        </w:trPr>
        <w:tc>
          <w:tcPr>
            <w:cnfStyle w:val="001000000000" w:firstRow="0" w:lastRow="0" w:firstColumn="1" w:lastColumn="0" w:oddVBand="0" w:evenVBand="0" w:oddHBand="0" w:evenHBand="0" w:firstRowFirstColumn="0" w:firstRowLastColumn="0" w:lastRowFirstColumn="0" w:lastRowLastColumn="0"/>
            <w:tcW w:w="742" w:type="pct"/>
            <w:hideMark/>
          </w:tcPr>
          <w:p w14:paraId="6FB175D7" w14:textId="77777777" w:rsidR="005A0219" w:rsidRPr="002142B8" w:rsidRDefault="005A0219" w:rsidP="005A0219">
            <w:pPr>
              <w:autoSpaceDE w:val="0"/>
              <w:autoSpaceDN w:val="0"/>
              <w:adjustRightInd w:val="0"/>
              <w:rPr>
                <w:rFonts w:ascii="Georgia" w:eastAsia="Georgia" w:hAnsi="Georgia" w:cs="Arial"/>
                <w:sz w:val="16"/>
                <w:szCs w:val="16"/>
              </w:rPr>
            </w:pPr>
            <w:r w:rsidRPr="002142B8">
              <w:rPr>
                <w:rFonts w:ascii="Georgia" w:eastAsia="Georgia" w:hAnsi="Georgia" w:cs="Arial"/>
                <w:sz w:val="16"/>
                <w:szCs w:val="16"/>
              </w:rPr>
              <w:t xml:space="preserve">Iš viso </w:t>
            </w:r>
          </w:p>
        </w:tc>
        <w:tc>
          <w:tcPr>
            <w:tcW w:w="485" w:type="pct"/>
            <w:tcBorders>
              <w:top w:val="nil"/>
              <w:left w:val="nil"/>
              <w:bottom w:val="single" w:sz="8" w:space="0" w:color="C0504D"/>
              <w:right w:val="nil"/>
            </w:tcBorders>
            <w:shd w:val="clear" w:color="auto" w:fill="auto"/>
            <w:vAlign w:val="center"/>
            <w:hideMark/>
          </w:tcPr>
          <w:p w14:paraId="06029D10"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5 782</w:t>
            </w:r>
          </w:p>
        </w:tc>
        <w:tc>
          <w:tcPr>
            <w:tcW w:w="569" w:type="pct"/>
            <w:tcBorders>
              <w:top w:val="nil"/>
              <w:left w:val="nil"/>
              <w:bottom w:val="single" w:sz="8" w:space="0" w:color="C0504D"/>
              <w:right w:val="nil"/>
            </w:tcBorders>
            <w:shd w:val="clear" w:color="auto" w:fill="auto"/>
            <w:vAlign w:val="center"/>
            <w:hideMark/>
          </w:tcPr>
          <w:p w14:paraId="2D502E47"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3 835 089</w:t>
            </w:r>
          </w:p>
        </w:tc>
        <w:tc>
          <w:tcPr>
            <w:tcW w:w="484" w:type="pct"/>
            <w:tcBorders>
              <w:top w:val="nil"/>
              <w:left w:val="nil"/>
              <w:bottom w:val="single" w:sz="8" w:space="0" w:color="C0504D"/>
              <w:right w:val="nil"/>
            </w:tcBorders>
            <w:shd w:val="clear" w:color="auto" w:fill="auto"/>
            <w:vAlign w:val="center"/>
            <w:hideMark/>
          </w:tcPr>
          <w:p w14:paraId="780C2DD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3 020</w:t>
            </w:r>
          </w:p>
        </w:tc>
        <w:tc>
          <w:tcPr>
            <w:tcW w:w="551" w:type="pct"/>
            <w:tcBorders>
              <w:top w:val="nil"/>
              <w:left w:val="nil"/>
              <w:bottom w:val="single" w:sz="8" w:space="0" w:color="C0504D"/>
              <w:right w:val="nil"/>
            </w:tcBorders>
            <w:shd w:val="clear" w:color="auto" w:fill="auto"/>
            <w:vAlign w:val="center"/>
            <w:hideMark/>
          </w:tcPr>
          <w:p w14:paraId="0648497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1 610 546</w:t>
            </w:r>
          </w:p>
        </w:tc>
        <w:tc>
          <w:tcPr>
            <w:tcW w:w="489" w:type="pct"/>
            <w:tcBorders>
              <w:top w:val="nil"/>
              <w:left w:val="nil"/>
              <w:bottom w:val="single" w:sz="8" w:space="0" w:color="C0504D"/>
              <w:right w:val="nil"/>
            </w:tcBorders>
            <w:shd w:val="clear" w:color="auto" w:fill="auto"/>
            <w:vAlign w:val="center"/>
            <w:hideMark/>
          </w:tcPr>
          <w:p w14:paraId="1E37D79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25 641</w:t>
            </w:r>
          </w:p>
        </w:tc>
        <w:tc>
          <w:tcPr>
            <w:tcW w:w="602" w:type="pct"/>
            <w:tcBorders>
              <w:top w:val="nil"/>
              <w:left w:val="nil"/>
              <w:bottom w:val="single" w:sz="8" w:space="0" w:color="C0504D"/>
              <w:right w:val="nil"/>
            </w:tcBorders>
            <w:shd w:val="clear" w:color="auto" w:fill="auto"/>
            <w:vAlign w:val="center"/>
            <w:hideMark/>
          </w:tcPr>
          <w:p w14:paraId="5F558E05"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20 888 553</w:t>
            </w:r>
          </w:p>
        </w:tc>
        <w:tc>
          <w:tcPr>
            <w:tcW w:w="500" w:type="pct"/>
            <w:tcBorders>
              <w:top w:val="nil"/>
              <w:left w:val="nil"/>
              <w:bottom w:val="single" w:sz="8" w:space="0" w:color="C0504D"/>
              <w:right w:val="nil"/>
            </w:tcBorders>
            <w:shd w:val="clear" w:color="auto" w:fill="auto"/>
            <w:vAlign w:val="center"/>
            <w:hideMark/>
          </w:tcPr>
          <w:p w14:paraId="7036466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6 878</w:t>
            </w:r>
          </w:p>
        </w:tc>
        <w:tc>
          <w:tcPr>
            <w:tcW w:w="576" w:type="pct"/>
            <w:tcBorders>
              <w:top w:val="nil"/>
              <w:left w:val="nil"/>
              <w:bottom w:val="single" w:sz="8" w:space="0" w:color="C0504D"/>
              <w:right w:val="single" w:sz="8" w:space="0" w:color="C0504D"/>
            </w:tcBorders>
            <w:shd w:val="clear" w:color="auto" w:fill="auto"/>
            <w:vAlign w:val="center"/>
            <w:hideMark/>
          </w:tcPr>
          <w:p w14:paraId="6D38EA6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16"/>
                <w:szCs w:val="16"/>
              </w:rPr>
            </w:pPr>
            <w:r w:rsidRPr="002142B8">
              <w:rPr>
                <w:rFonts w:ascii="Georgia" w:eastAsia="Georgia" w:hAnsi="Georgia" w:cs="Arial Unicode MS"/>
                <w:color w:val="000000"/>
                <w:sz w:val="16"/>
                <w:szCs w:val="16"/>
              </w:rPr>
              <w:t>4 880 259</w:t>
            </w:r>
          </w:p>
        </w:tc>
      </w:tr>
    </w:tbl>
    <w:p w14:paraId="6E946756" w14:textId="77777777" w:rsidR="005A0219" w:rsidRPr="002142B8" w:rsidRDefault="005A0219" w:rsidP="005A0219">
      <w:pPr>
        <w:spacing w:after="160"/>
        <w:jc w:val="both"/>
        <w:rPr>
          <w:rFonts w:ascii="Georgia" w:eastAsia="Georgia" w:hAnsi="Georgia" w:cs="Georgia"/>
          <w:iCs/>
          <w:color w:val="821A1A"/>
          <w:sz w:val="20"/>
          <w:szCs w:val="20"/>
          <w:lang w:val="lt-LT"/>
        </w:rPr>
      </w:pPr>
      <w:r w:rsidRPr="002142B8">
        <w:rPr>
          <w:rFonts w:ascii="Georgia" w:eastAsia="Georgia" w:hAnsi="Georgia" w:cs="Georgia"/>
          <w:i/>
          <w:iCs/>
          <w:color w:val="821A1A"/>
          <w:sz w:val="20"/>
          <w:szCs w:val="20"/>
          <w:lang w:val="lt-LT"/>
        </w:rPr>
        <w:t>Šaltinis: VĮ Registrų centras (2017 m. sausio 1 d.)</w:t>
      </w:r>
    </w:p>
    <w:p w14:paraId="4E4D42AE"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62 proc. visų viešosios paskirties pastatų buvo pastatyti 1961–1990 m. laikotarpiu, kai vyravo plytinių ir stambiaplokščių pastatų statyba. Pasitaiko ir medinių konstrukcijų pastatų. Šių pastatų išorinių atitvarų šiluminės varžos charakteristikos prastos, neatitinka esamų normatyvinių reikalavimų. Juose eksploatuojama pasenusi ir neefektyvi šildymo sistema, nepakeisti žemo šilumos perdavimo koeficiento langai, inžinerinė ir mechaninė įranga susidėvėjusi. Šiluminės energijos sąnaudos, išreikštos kilovatvalandėmis patalpų naudingojo ploto vienam kvadratiniam metrui, šiuose pastatuose sudaro nuo 160-610 kWh/m</w:t>
      </w:r>
      <w:r w:rsidRPr="002142B8">
        <w:rPr>
          <w:rFonts w:ascii="Georgia" w:eastAsia="Georgia" w:hAnsi="Georgia" w:cs="Georgia"/>
          <w:sz w:val="20"/>
          <w:szCs w:val="20"/>
          <w:vertAlign w:val="superscript"/>
          <w:lang w:val="lt-LT"/>
        </w:rPr>
        <w:t>2</w:t>
      </w:r>
      <w:r w:rsidRPr="002142B8">
        <w:rPr>
          <w:rFonts w:ascii="Georgia" w:eastAsia="Georgia" w:hAnsi="Georgia" w:cs="Georgia"/>
          <w:sz w:val="20"/>
          <w:szCs w:val="20"/>
          <w:lang w:val="lt-LT"/>
        </w:rPr>
        <w:t xml:space="preserve"> per metus, o šie pastatai priskiriami E, F ir G pastato energinio naudingumo klasėms. Šių pastatų šildymui per metus vidutiniškai suvartojama apie 2 300 GWh šilumos energijos.</w:t>
      </w:r>
    </w:p>
    <w:p w14:paraId="0503F18B"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03561D4B"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Iki 1990 m. statyti pastatai atitiko tuo metu keliamus statybų reikalavimus, tačiau šiandien šie reikalavimai yra 3–5 kartus griežtesni; pvz., 1959–1990 m. gyvenamųjų namų išorinių pertvarų šilumos perdavimo koeficientas buvo apytiksliai 1,1–1,3 W/(m</w:t>
      </w:r>
      <w:r w:rsidRPr="002142B8">
        <w:rPr>
          <w:rFonts w:ascii="Georgia" w:eastAsia="Georgia" w:hAnsi="Georgia" w:cs="Georgia"/>
          <w:sz w:val="20"/>
          <w:szCs w:val="20"/>
          <w:vertAlign w:val="superscript"/>
          <w:lang w:val="lt-LT"/>
        </w:rPr>
        <w:t>2</w:t>
      </w:r>
      <w:r w:rsidRPr="002142B8">
        <w:rPr>
          <w:rFonts w:ascii="Georgia" w:eastAsia="Georgia" w:hAnsi="Georgia" w:cs="Georgia"/>
          <w:sz w:val="20"/>
          <w:szCs w:val="20"/>
          <w:lang w:val="lt-LT"/>
        </w:rPr>
        <w:t>K), o dabar šis rodiklis yra 0,2 W/(m</w:t>
      </w:r>
      <w:r w:rsidRPr="002142B8">
        <w:rPr>
          <w:rFonts w:ascii="Georgia" w:eastAsia="Georgia" w:hAnsi="Georgia" w:cs="Georgia"/>
          <w:sz w:val="20"/>
          <w:szCs w:val="20"/>
          <w:vertAlign w:val="superscript"/>
          <w:lang w:val="lt-LT"/>
        </w:rPr>
        <w:t>2</w:t>
      </w:r>
      <w:r w:rsidRPr="002142B8">
        <w:rPr>
          <w:rFonts w:ascii="Georgia" w:eastAsia="Georgia" w:hAnsi="Georgia" w:cs="Georgia"/>
          <w:sz w:val="20"/>
          <w:szCs w:val="20"/>
          <w:lang w:val="lt-LT"/>
        </w:rPr>
        <w:t xml:space="preserve">K) arba 5 kartus mažesnis. Įvertinus tai, akivaizdu, kad dėl blogai apšiltintų pertvarų (stogo, išorinių sienų, grindų ir langų) didžiausią dalį sudaro pastatai, kuriuose patenkinamai temperatūrai pastato viduje užtikrinti suvartojama labai daug šilumos. </w:t>
      </w:r>
    </w:p>
    <w:p w14:paraId="19AE77C7"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5535C33E"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Žemiau lentelėje pateikiamas viešųjų pastatų teritorinis pasiskirstymas pagal naudojimo paskirtį ir nuosavybės formą.</w:t>
      </w:r>
    </w:p>
    <w:p w14:paraId="0A8FF2F9" w14:textId="77777777" w:rsidR="005A0219" w:rsidRPr="002142B8" w:rsidRDefault="005A0219" w:rsidP="005A0219">
      <w:pPr>
        <w:autoSpaceDE w:val="0"/>
        <w:autoSpaceDN w:val="0"/>
        <w:adjustRightInd w:val="0"/>
        <w:spacing w:after="0" w:line="240" w:lineRule="auto"/>
        <w:ind w:left="1560"/>
        <w:jc w:val="both"/>
        <w:rPr>
          <w:rFonts w:ascii="Georgia" w:eastAsia="Georgia" w:hAnsi="Georgia" w:cs="Georgia"/>
          <w:sz w:val="20"/>
          <w:szCs w:val="20"/>
          <w:lang w:val="lt-LT"/>
        </w:rPr>
      </w:pPr>
    </w:p>
    <w:p w14:paraId="4F68FEF1" w14:textId="1CBDE1E2" w:rsidR="005A0219" w:rsidRPr="002142B8" w:rsidRDefault="005A0219" w:rsidP="005A0219">
      <w:pPr>
        <w:spacing w:after="160" w:line="240" w:lineRule="auto"/>
        <w:jc w:val="both"/>
        <w:rPr>
          <w:rFonts w:ascii="Georgia" w:eastAsia="Georgia" w:hAnsi="Georgia" w:cs="Arial Unicode MS"/>
          <w:i/>
          <w:iCs/>
          <w:color w:val="821A1A"/>
          <w:sz w:val="20"/>
          <w:szCs w:val="18"/>
          <w:lang w:val="lt-LT"/>
        </w:rPr>
      </w:pPr>
      <w:bookmarkStart w:id="29" w:name="_Toc507939129"/>
      <w:bookmarkStart w:id="30" w:name="_Toc455735502"/>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7</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Georgia"/>
          <w:i/>
          <w:iCs/>
          <w:color w:val="821A1A"/>
          <w:sz w:val="20"/>
          <w:szCs w:val="20"/>
          <w:lang w:val="lt-LT"/>
        </w:rPr>
        <w:t>Viešųjų pastatų teritorinis pasiskirstymas</w:t>
      </w:r>
      <w:bookmarkEnd w:id="29"/>
      <w:r w:rsidRPr="002142B8">
        <w:rPr>
          <w:rFonts w:ascii="Georgia" w:eastAsia="Georgia" w:hAnsi="Georgia" w:cs="Georgia"/>
          <w:i/>
          <w:iCs/>
          <w:color w:val="821A1A"/>
          <w:sz w:val="20"/>
          <w:szCs w:val="20"/>
          <w:lang w:val="lt-LT"/>
        </w:rPr>
        <w:t xml:space="preserve"> </w:t>
      </w:r>
      <w:bookmarkEnd w:id="30"/>
    </w:p>
    <w:tbl>
      <w:tblPr>
        <w:tblStyle w:val="LightList-Accent21"/>
        <w:tblW w:w="5230" w:type="pct"/>
        <w:tblLayout w:type="fixed"/>
        <w:tblCellMar>
          <w:left w:w="28" w:type="dxa"/>
          <w:right w:w="28" w:type="dxa"/>
        </w:tblCellMar>
        <w:tblLook w:val="04A0" w:firstRow="1" w:lastRow="0" w:firstColumn="1" w:lastColumn="0" w:noHBand="0" w:noVBand="1"/>
      </w:tblPr>
      <w:tblGrid>
        <w:gridCol w:w="1447"/>
        <w:gridCol w:w="708"/>
        <w:gridCol w:w="922"/>
        <w:gridCol w:w="669"/>
        <w:gridCol w:w="751"/>
        <w:gridCol w:w="781"/>
        <w:gridCol w:w="857"/>
        <w:gridCol w:w="844"/>
        <w:gridCol w:w="851"/>
        <w:gridCol w:w="847"/>
        <w:gridCol w:w="823"/>
      </w:tblGrid>
      <w:tr w:rsidR="00486F4A" w:rsidRPr="002142B8" w14:paraId="0C5EC88F" w14:textId="77777777" w:rsidTr="00AA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 w:type="pct"/>
            <w:vMerge w:val="restart"/>
            <w:tcBorders>
              <w:top w:val="single" w:sz="8" w:space="0" w:color="D62E1C"/>
              <w:left w:val="single" w:sz="8" w:space="0" w:color="D62E1C"/>
              <w:bottom w:val="nil"/>
              <w:right w:val="nil"/>
            </w:tcBorders>
            <w:hideMark/>
          </w:tcPr>
          <w:p w14:paraId="0A093E25" w14:textId="77777777" w:rsidR="005A0219" w:rsidRPr="002142B8" w:rsidRDefault="005A0219" w:rsidP="005A0219">
            <w:pPr>
              <w:keepNext/>
              <w:jc w:val="center"/>
              <w:rPr>
                <w:rFonts w:ascii="Georgia" w:eastAsia="Times New Roman" w:hAnsi="Georgia" w:cs="Arial Unicode MS"/>
                <w:sz w:val="20"/>
                <w:szCs w:val="20"/>
                <w:lang w:eastAsia="lt-LT"/>
              </w:rPr>
            </w:pPr>
            <w:r w:rsidRPr="002142B8">
              <w:rPr>
                <w:rFonts w:ascii="Georgia" w:eastAsia="Times New Roman" w:hAnsi="Georgia" w:cs="Arial Unicode MS"/>
                <w:sz w:val="20"/>
                <w:szCs w:val="20"/>
                <w:lang w:eastAsia="lt-LT"/>
              </w:rPr>
              <w:t>Apskritis</w:t>
            </w:r>
          </w:p>
        </w:tc>
        <w:tc>
          <w:tcPr>
            <w:tcW w:w="858" w:type="pct"/>
            <w:gridSpan w:val="2"/>
            <w:tcBorders>
              <w:top w:val="single" w:sz="8" w:space="0" w:color="D62E1C"/>
              <w:left w:val="nil"/>
              <w:bottom w:val="nil"/>
              <w:right w:val="nil"/>
            </w:tcBorders>
            <w:hideMark/>
          </w:tcPr>
          <w:p w14:paraId="1FA1B5B6" w14:textId="488AC032"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2142B8">
              <w:rPr>
                <w:rFonts w:ascii="Georgia" w:eastAsia="Times New Roman" w:hAnsi="Georgia" w:cs="Arial Unicode MS"/>
                <w:sz w:val="20"/>
                <w:szCs w:val="20"/>
                <w:lang w:eastAsia="lt-LT"/>
              </w:rPr>
              <w:t>Administraci</w:t>
            </w:r>
            <w:r w:rsidR="00BE5A85" w:rsidRPr="002142B8">
              <w:rPr>
                <w:rFonts w:ascii="Georgia" w:eastAsia="Times New Roman" w:hAnsi="Georgia" w:cs="Arial Unicode MS"/>
                <w:sz w:val="20"/>
                <w:szCs w:val="20"/>
                <w:lang w:eastAsia="lt-LT"/>
              </w:rPr>
              <w:t>-</w:t>
            </w:r>
            <w:r w:rsidRPr="002142B8">
              <w:rPr>
                <w:rFonts w:ascii="Georgia" w:eastAsia="Times New Roman" w:hAnsi="Georgia" w:cs="Arial Unicode MS"/>
                <w:sz w:val="20"/>
                <w:szCs w:val="20"/>
                <w:lang w:eastAsia="lt-LT"/>
              </w:rPr>
              <w:t>nės paskirties pastatai</w:t>
            </w:r>
          </w:p>
        </w:tc>
        <w:tc>
          <w:tcPr>
            <w:tcW w:w="747" w:type="pct"/>
            <w:gridSpan w:val="2"/>
            <w:tcBorders>
              <w:top w:val="single" w:sz="8" w:space="0" w:color="D62E1C"/>
              <w:left w:val="nil"/>
              <w:bottom w:val="nil"/>
              <w:right w:val="nil"/>
            </w:tcBorders>
            <w:hideMark/>
          </w:tcPr>
          <w:p w14:paraId="19C4B74C"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2142B8">
              <w:rPr>
                <w:rFonts w:ascii="Georgia" w:eastAsia="Georgia" w:hAnsi="Georgia" w:cs="Arial Unicode MS"/>
                <w:sz w:val="20"/>
                <w:szCs w:val="20"/>
              </w:rPr>
              <w:t>Kultūros, mokslo ir sporto paskirties pastatai</w:t>
            </w:r>
          </w:p>
        </w:tc>
        <w:tc>
          <w:tcPr>
            <w:tcW w:w="862" w:type="pct"/>
            <w:gridSpan w:val="2"/>
            <w:tcBorders>
              <w:top w:val="single" w:sz="8" w:space="0" w:color="D62E1C"/>
              <w:left w:val="nil"/>
              <w:bottom w:val="nil"/>
              <w:right w:val="nil"/>
            </w:tcBorders>
            <w:hideMark/>
          </w:tcPr>
          <w:p w14:paraId="2AB8B095"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2142B8">
              <w:rPr>
                <w:rFonts w:ascii="Georgia" w:eastAsia="Times New Roman" w:hAnsi="Georgia" w:cs="Arial Unicode MS"/>
                <w:sz w:val="20"/>
                <w:szCs w:val="20"/>
                <w:lang w:eastAsia="lt-LT"/>
              </w:rPr>
              <w:t>Gydymo paskirties pastatai</w:t>
            </w:r>
          </w:p>
        </w:tc>
        <w:tc>
          <w:tcPr>
            <w:tcW w:w="892" w:type="pct"/>
            <w:gridSpan w:val="2"/>
            <w:tcBorders>
              <w:top w:val="single" w:sz="8" w:space="0" w:color="D62E1C"/>
              <w:left w:val="nil"/>
              <w:bottom w:val="nil"/>
              <w:right w:val="nil"/>
            </w:tcBorders>
            <w:hideMark/>
          </w:tcPr>
          <w:p w14:paraId="0A5B1308"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2142B8">
              <w:rPr>
                <w:rFonts w:ascii="Georgia" w:eastAsia="Georgia" w:hAnsi="Georgia" w:cs="Arial Unicode MS"/>
                <w:sz w:val="20"/>
                <w:szCs w:val="20"/>
              </w:rPr>
              <w:t>Gyvenamieji namai įvairioms socialinėms grupėms</w:t>
            </w:r>
          </w:p>
        </w:tc>
        <w:tc>
          <w:tcPr>
            <w:tcW w:w="877" w:type="pct"/>
            <w:gridSpan w:val="2"/>
            <w:tcBorders>
              <w:top w:val="single" w:sz="8" w:space="0" w:color="D62E1C"/>
              <w:left w:val="nil"/>
              <w:bottom w:val="nil"/>
              <w:right w:val="single" w:sz="8" w:space="0" w:color="D62E1C"/>
            </w:tcBorders>
            <w:hideMark/>
          </w:tcPr>
          <w:p w14:paraId="62F5D7A5"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20"/>
                <w:szCs w:val="20"/>
                <w:lang w:eastAsia="lt-LT"/>
              </w:rPr>
            </w:pPr>
            <w:r w:rsidRPr="002142B8">
              <w:rPr>
                <w:rFonts w:ascii="Georgia" w:eastAsia="Georgia" w:hAnsi="Georgia" w:cs="Arial Unicode MS"/>
                <w:sz w:val="20"/>
                <w:szCs w:val="20"/>
              </w:rPr>
              <w:t>Specialiosios, religinės ir kitos paskirties pastatai</w:t>
            </w:r>
          </w:p>
        </w:tc>
      </w:tr>
      <w:tr w:rsidR="0063781D" w:rsidRPr="002142B8" w14:paraId="6A4C1E34" w14:textId="77777777" w:rsidTr="00AA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 w:type="pct"/>
            <w:vMerge/>
            <w:tcBorders>
              <w:top w:val="single" w:sz="8" w:space="0" w:color="D62E1C"/>
              <w:left w:val="single" w:sz="8" w:space="0" w:color="D62E1C"/>
              <w:bottom w:val="nil"/>
              <w:right w:val="nil"/>
            </w:tcBorders>
            <w:vAlign w:val="center"/>
            <w:hideMark/>
          </w:tcPr>
          <w:p w14:paraId="2B40D3D7" w14:textId="77777777" w:rsidR="005A0219" w:rsidRPr="002142B8" w:rsidRDefault="005A0219" w:rsidP="005A0219">
            <w:pPr>
              <w:rPr>
                <w:rFonts w:ascii="Georgia" w:eastAsia="Times New Roman" w:hAnsi="Georgia" w:cs="Arial Unicode MS"/>
                <w:sz w:val="20"/>
                <w:szCs w:val="20"/>
                <w:lang w:eastAsia="lt-LT"/>
              </w:rPr>
            </w:pPr>
          </w:p>
        </w:tc>
        <w:tc>
          <w:tcPr>
            <w:tcW w:w="373" w:type="pct"/>
            <w:tcBorders>
              <w:top w:val="nil"/>
              <w:left w:val="nil"/>
              <w:bottom w:val="nil"/>
              <w:right w:val="nil"/>
            </w:tcBorders>
            <w:hideMark/>
          </w:tcPr>
          <w:p w14:paraId="710BBA4A"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Valsty-bės</w:t>
            </w:r>
          </w:p>
        </w:tc>
        <w:tc>
          <w:tcPr>
            <w:tcW w:w="485" w:type="pct"/>
            <w:tcBorders>
              <w:top w:val="nil"/>
              <w:left w:val="nil"/>
              <w:bottom w:val="nil"/>
              <w:right w:val="nil"/>
            </w:tcBorders>
            <w:hideMark/>
          </w:tcPr>
          <w:p w14:paraId="69F6AB41"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Savival-dybių</w:t>
            </w:r>
          </w:p>
        </w:tc>
        <w:tc>
          <w:tcPr>
            <w:tcW w:w="352" w:type="pct"/>
            <w:tcBorders>
              <w:top w:val="nil"/>
              <w:left w:val="nil"/>
              <w:bottom w:val="nil"/>
              <w:right w:val="nil"/>
            </w:tcBorders>
            <w:hideMark/>
          </w:tcPr>
          <w:p w14:paraId="3714DEEA"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Valsty-bės</w:t>
            </w:r>
          </w:p>
        </w:tc>
        <w:tc>
          <w:tcPr>
            <w:tcW w:w="395" w:type="pct"/>
            <w:tcBorders>
              <w:top w:val="nil"/>
              <w:left w:val="nil"/>
              <w:bottom w:val="nil"/>
              <w:right w:val="nil"/>
            </w:tcBorders>
            <w:hideMark/>
          </w:tcPr>
          <w:p w14:paraId="36B88BFA"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Savival-dybių</w:t>
            </w:r>
          </w:p>
        </w:tc>
        <w:tc>
          <w:tcPr>
            <w:tcW w:w="411" w:type="pct"/>
            <w:tcBorders>
              <w:top w:val="nil"/>
              <w:left w:val="nil"/>
              <w:bottom w:val="nil"/>
              <w:right w:val="nil"/>
            </w:tcBorders>
            <w:hideMark/>
          </w:tcPr>
          <w:p w14:paraId="60DECEE9"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Valsty-bės</w:t>
            </w:r>
          </w:p>
        </w:tc>
        <w:tc>
          <w:tcPr>
            <w:tcW w:w="451" w:type="pct"/>
            <w:tcBorders>
              <w:top w:val="nil"/>
              <w:left w:val="nil"/>
              <w:bottom w:val="nil"/>
              <w:right w:val="nil"/>
            </w:tcBorders>
            <w:hideMark/>
          </w:tcPr>
          <w:p w14:paraId="5EB4995C"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Savival-dybių</w:t>
            </w:r>
          </w:p>
        </w:tc>
        <w:tc>
          <w:tcPr>
            <w:tcW w:w="444" w:type="pct"/>
            <w:tcBorders>
              <w:top w:val="nil"/>
              <w:left w:val="nil"/>
              <w:bottom w:val="nil"/>
              <w:right w:val="nil"/>
            </w:tcBorders>
            <w:hideMark/>
          </w:tcPr>
          <w:p w14:paraId="516C3AA8" w14:textId="4A69C89A"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Valsty</w:t>
            </w:r>
            <w:r w:rsidR="00BE5A85" w:rsidRPr="002142B8">
              <w:rPr>
                <w:rFonts w:ascii="Georgia" w:eastAsia="Times New Roman" w:hAnsi="Georgia" w:cs="Arial Unicode MS"/>
                <w:sz w:val="18"/>
                <w:szCs w:val="20"/>
                <w:lang w:eastAsia="lt-LT"/>
              </w:rPr>
              <w:t>-</w:t>
            </w:r>
            <w:r w:rsidRPr="002142B8">
              <w:rPr>
                <w:rFonts w:ascii="Georgia" w:eastAsia="Times New Roman" w:hAnsi="Georgia" w:cs="Arial Unicode MS"/>
                <w:sz w:val="18"/>
                <w:szCs w:val="20"/>
                <w:lang w:eastAsia="lt-LT"/>
              </w:rPr>
              <w:t>bės</w:t>
            </w:r>
          </w:p>
        </w:tc>
        <w:tc>
          <w:tcPr>
            <w:tcW w:w="448" w:type="pct"/>
            <w:tcBorders>
              <w:top w:val="nil"/>
              <w:left w:val="nil"/>
              <w:bottom w:val="nil"/>
              <w:right w:val="nil"/>
            </w:tcBorders>
            <w:hideMark/>
          </w:tcPr>
          <w:p w14:paraId="40132FE0"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Savival-dybių</w:t>
            </w:r>
          </w:p>
        </w:tc>
        <w:tc>
          <w:tcPr>
            <w:tcW w:w="446" w:type="pct"/>
            <w:tcBorders>
              <w:top w:val="nil"/>
              <w:left w:val="nil"/>
              <w:bottom w:val="nil"/>
              <w:right w:val="nil"/>
            </w:tcBorders>
            <w:hideMark/>
          </w:tcPr>
          <w:p w14:paraId="3B206CFB" w14:textId="117ED952"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Valsty</w:t>
            </w:r>
            <w:r w:rsidR="00BE5A85" w:rsidRPr="002142B8">
              <w:rPr>
                <w:rFonts w:ascii="Georgia" w:eastAsia="Times New Roman" w:hAnsi="Georgia" w:cs="Arial Unicode MS"/>
                <w:sz w:val="18"/>
                <w:szCs w:val="20"/>
                <w:lang w:eastAsia="lt-LT"/>
              </w:rPr>
              <w:t>-</w:t>
            </w:r>
            <w:r w:rsidRPr="002142B8">
              <w:rPr>
                <w:rFonts w:ascii="Georgia" w:eastAsia="Times New Roman" w:hAnsi="Georgia" w:cs="Arial Unicode MS"/>
                <w:sz w:val="18"/>
                <w:szCs w:val="20"/>
                <w:lang w:eastAsia="lt-LT"/>
              </w:rPr>
              <w:t>bės</w:t>
            </w:r>
          </w:p>
        </w:tc>
        <w:tc>
          <w:tcPr>
            <w:tcW w:w="434" w:type="pct"/>
            <w:tcBorders>
              <w:top w:val="nil"/>
              <w:left w:val="nil"/>
              <w:bottom w:val="nil"/>
              <w:right w:val="single" w:sz="8" w:space="0" w:color="D62E1C"/>
            </w:tcBorders>
            <w:hideMark/>
          </w:tcPr>
          <w:p w14:paraId="6601B365" w14:textId="77777777" w:rsidR="005A0219" w:rsidRPr="002142B8" w:rsidRDefault="005A0219" w:rsidP="005A0219">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Unicode MS"/>
                <w:sz w:val="18"/>
                <w:szCs w:val="20"/>
                <w:lang w:eastAsia="lt-LT"/>
              </w:rPr>
            </w:pPr>
            <w:r w:rsidRPr="002142B8">
              <w:rPr>
                <w:rFonts w:ascii="Georgia" w:eastAsia="Times New Roman" w:hAnsi="Georgia" w:cs="Arial Unicode MS"/>
                <w:sz w:val="18"/>
                <w:szCs w:val="20"/>
                <w:lang w:eastAsia="lt-LT"/>
              </w:rPr>
              <w:t>Savival-dybių</w:t>
            </w:r>
          </w:p>
        </w:tc>
      </w:tr>
      <w:tr w:rsidR="00486F4A" w:rsidRPr="002142B8" w14:paraId="0380EBEA"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052F9C0B"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Alytaus</w:t>
            </w:r>
          </w:p>
        </w:tc>
        <w:tc>
          <w:tcPr>
            <w:tcW w:w="373" w:type="pct"/>
            <w:tcBorders>
              <w:top w:val="single" w:sz="8" w:space="0" w:color="C0504D"/>
              <w:left w:val="nil"/>
              <w:bottom w:val="single" w:sz="8" w:space="0" w:color="C0504D"/>
              <w:right w:val="nil"/>
            </w:tcBorders>
            <w:shd w:val="clear" w:color="auto" w:fill="auto"/>
            <w:vAlign w:val="center"/>
            <w:hideMark/>
          </w:tcPr>
          <w:p w14:paraId="0E81FBB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98</w:t>
            </w:r>
          </w:p>
        </w:tc>
        <w:tc>
          <w:tcPr>
            <w:tcW w:w="485" w:type="pct"/>
            <w:tcBorders>
              <w:top w:val="single" w:sz="8" w:space="0" w:color="C0504D"/>
              <w:left w:val="nil"/>
              <w:bottom w:val="single" w:sz="8" w:space="0" w:color="C0504D"/>
              <w:right w:val="nil"/>
            </w:tcBorders>
            <w:shd w:val="clear" w:color="auto" w:fill="auto"/>
            <w:vAlign w:val="center"/>
            <w:hideMark/>
          </w:tcPr>
          <w:p w14:paraId="2BA3157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41</w:t>
            </w:r>
          </w:p>
        </w:tc>
        <w:tc>
          <w:tcPr>
            <w:tcW w:w="352" w:type="pct"/>
            <w:tcBorders>
              <w:top w:val="single" w:sz="8" w:space="0" w:color="C0504D"/>
              <w:left w:val="nil"/>
              <w:bottom w:val="single" w:sz="8" w:space="0" w:color="C0504D"/>
              <w:right w:val="nil"/>
            </w:tcBorders>
            <w:shd w:val="clear" w:color="auto" w:fill="auto"/>
            <w:vAlign w:val="center"/>
            <w:hideMark/>
          </w:tcPr>
          <w:p w14:paraId="2A7A681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42</w:t>
            </w:r>
          </w:p>
        </w:tc>
        <w:tc>
          <w:tcPr>
            <w:tcW w:w="395" w:type="pct"/>
            <w:tcBorders>
              <w:top w:val="single" w:sz="8" w:space="0" w:color="C0504D"/>
              <w:left w:val="nil"/>
              <w:bottom w:val="single" w:sz="8" w:space="0" w:color="C0504D"/>
              <w:right w:val="nil"/>
            </w:tcBorders>
            <w:shd w:val="clear" w:color="auto" w:fill="auto"/>
            <w:vAlign w:val="center"/>
            <w:hideMark/>
          </w:tcPr>
          <w:p w14:paraId="34F8249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243</w:t>
            </w:r>
          </w:p>
        </w:tc>
        <w:tc>
          <w:tcPr>
            <w:tcW w:w="411" w:type="pct"/>
            <w:tcBorders>
              <w:top w:val="single" w:sz="8" w:space="0" w:color="C0504D"/>
              <w:left w:val="nil"/>
              <w:bottom w:val="single" w:sz="8" w:space="0" w:color="C0504D"/>
              <w:right w:val="nil"/>
            </w:tcBorders>
            <w:shd w:val="clear" w:color="auto" w:fill="auto"/>
            <w:vAlign w:val="center"/>
            <w:hideMark/>
          </w:tcPr>
          <w:p w14:paraId="2EA1178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25</w:t>
            </w:r>
          </w:p>
        </w:tc>
        <w:tc>
          <w:tcPr>
            <w:tcW w:w="451" w:type="pct"/>
            <w:tcBorders>
              <w:top w:val="single" w:sz="8" w:space="0" w:color="C0504D"/>
              <w:left w:val="nil"/>
              <w:bottom w:val="single" w:sz="8" w:space="0" w:color="C0504D"/>
              <w:right w:val="nil"/>
            </w:tcBorders>
            <w:shd w:val="clear" w:color="auto" w:fill="auto"/>
            <w:vAlign w:val="center"/>
            <w:hideMark/>
          </w:tcPr>
          <w:p w14:paraId="750FE82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55</w:t>
            </w:r>
          </w:p>
        </w:tc>
        <w:tc>
          <w:tcPr>
            <w:tcW w:w="444" w:type="pct"/>
            <w:tcBorders>
              <w:top w:val="single" w:sz="8" w:space="0" w:color="C0504D"/>
              <w:left w:val="nil"/>
              <w:bottom w:val="single" w:sz="8" w:space="0" w:color="C0504D"/>
              <w:right w:val="nil"/>
            </w:tcBorders>
            <w:shd w:val="clear" w:color="auto" w:fill="auto"/>
            <w:vAlign w:val="center"/>
            <w:hideMark/>
          </w:tcPr>
          <w:p w14:paraId="7E4B4CF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Times New Roman" w:eastAsia="Georgia" w:hAnsi="Times New Roman" w:cs="Arial Unicode MS"/>
                <w:color w:val="000000"/>
                <w:sz w:val="16"/>
                <w:szCs w:val="16"/>
              </w:rPr>
            </w:pPr>
            <w:r w:rsidRPr="002142B8">
              <w:rPr>
                <w:rFonts w:ascii="Georgia" w:eastAsia="Georgia" w:hAnsi="Georgia" w:cs="Arial Unicode MS"/>
                <w:color w:val="000000"/>
                <w:sz w:val="16"/>
                <w:szCs w:val="16"/>
              </w:rPr>
              <w:t>11</w:t>
            </w:r>
          </w:p>
        </w:tc>
        <w:tc>
          <w:tcPr>
            <w:tcW w:w="448" w:type="pct"/>
            <w:tcBorders>
              <w:top w:val="single" w:sz="8" w:space="0" w:color="C0504D"/>
              <w:left w:val="nil"/>
              <w:bottom w:val="single" w:sz="8" w:space="0" w:color="C0504D"/>
              <w:right w:val="nil"/>
            </w:tcBorders>
            <w:shd w:val="clear" w:color="auto" w:fill="auto"/>
            <w:vAlign w:val="center"/>
            <w:hideMark/>
          </w:tcPr>
          <w:p w14:paraId="29D5276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17</w:t>
            </w:r>
          </w:p>
        </w:tc>
        <w:tc>
          <w:tcPr>
            <w:tcW w:w="446" w:type="pct"/>
            <w:tcBorders>
              <w:top w:val="single" w:sz="8" w:space="0" w:color="C0504D"/>
              <w:left w:val="nil"/>
              <w:bottom w:val="single" w:sz="8" w:space="0" w:color="C0504D"/>
              <w:right w:val="nil"/>
            </w:tcBorders>
            <w:shd w:val="clear" w:color="auto" w:fill="auto"/>
            <w:vAlign w:val="center"/>
            <w:hideMark/>
          </w:tcPr>
          <w:p w14:paraId="71557BB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154</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77794CB6"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136</w:t>
            </w:r>
          </w:p>
        </w:tc>
      </w:tr>
      <w:tr w:rsidR="0063781D" w:rsidRPr="002142B8" w14:paraId="217599FD"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03E724FC"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Kauno</w:t>
            </w:r>
          </w:p>
        </w:tc>
        <w:tc>
          <w:tcPr>
            <w:tcW w:w="373" w:type="pct"/>
            <w:tcBorders>
              <w:top w:val="nil"/>
              <w:left w:val="nil"/>
              <w:bottom w:val="nil"/>
              <w:right w:val="nil"/>
            </w:tcBorders>
            <w:shd w:val="clear" w:color="auto" w:fill="auto"/>
            <w:vAlign w:val="center"/>
            <w:hideMark/>
          </w:tcPr>
          <w:p w14:paraId="55829B2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223</w:t>
            </w:r>
          </w:p>
        </w:tc>
        <w:tc>
          <w:tcPr>
            <w:tcW w:w="485" w:type="pct"/>
            <w:tcBorders>
              <w:top w:val="nil"/>
              <w:left w:val="nil"/>
              <w:bottom w:val="nil"/>
              <w:right w:val="nil"/>
            </w:tcBorders>
            <w:shd w:val="clear" w:color="auto" w:fill="auto"/>
            <w:vAlign w:val="center"/>
            <w:hideMark/>
          </w:tcPr>
          <w:p w14:paraId="0E863B0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131</w:t>
            </w:r>
          </w:p>
        </w:tc>
        <w:tc>
          <w:tcPr>
            <w:tcW w:w="352" w:type="pct"/>
            <w:tcBorders>
              <w:top w:val="nil"/>
              <w:left w:val="nil"/>
              <w:bottom w:val="nil"/>
              <w:right w:val="nil"/>
            </w:tcBorders>
            <w:shd w:val="clear" w:color="auto" w:fill="auto"/>
            <w:vAlign w:val="center"/>
            <w:hideMark/>
          </w:tcPr>
          <w:p w14:paraId="4E941114"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250</w:t>
            </w:r>
          </w:p>
        </w:tc>
        <w:tc>
          <w:tcPr>
            <w:tcW w:w="395" w:type="pct"/>
            <w:tcBorders>
              <w:top w:val="nil"/>
              <w:left w:val="nil"/>
              <w:bottom w:val="nil"/>
              <w:right w:val="nil"/>
            </w:tcBorders>
            <w:shd w:val="clear" w:color="auto" w:fill="auto"/>
            <w:vAlign w:val="center"/>
            <w:hideMark/>
          </w:tcPr>
          <w:p w14:paraId="215FFE50"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714</w:t>
            </w:r>
          </w:p>
        </w:tc>
        <w:tc>
          <w:tcPr>
            <w:tcW w:w="411" w:type="pct"/>
            <w:tcBorders>
              <w:top w:val="nil"/>
              <w:left w:val="nil"/>
              <w:bottom w:val="nil"/>
              <w:right w:val="nil"/>
            </w:tcBorders>
            <w:shd w:val="clear" w:color="auto" w:fill="auto"/>
            <w:vAlign w:val="center"/>
            <w:hideMark/>
          </w:tcPr>
          <w:p w14:paraId="7AAC18E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90</w:t>
            </w:r>
          </w:p>
        </w:tc>
        <w:tc>
          <w:tcPr>
            <w:tcW w:w="451" w:type="pct"/>
            <w:tcBorders>
              <w:top w:val="nil"/>
              <w:left w:val="nil"/>
              <w:bottom w:val="nil"/>
              <w:right w:val="nil"/>
            </w:tcBorders>
            <w:shd w:val="clear" w:color="auto" w:fill="auto"/>
            <w:vAlign w:val="center"/>
            <w:hideMark/>
          </w:tcPr>
          <w:p w14:paraId="3745427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108</w:t>
            </w:r>
          </w:p>
        </w:tc>
        <w:tc>
          <w:tcPr>
            <w:tcW w:w="444" w:type="pct"/>
            <w:tcBorders>
              <w:top w:val="nil"/>
              <w:left w:val="nil"/>
              <w:bottom w:val="nil"/>
              <w:right w:val="nil"/>
            </w:tcBorders>
            <w:shd w:val="clear" w:color="auto" w:fill="auto"/>
            <w:vAlign w:val="center"/>
            <w:hideMark/>
          </w:tcPr>
          <w:p w14:paraId="7712DD1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65</w:t>
            </w:r>
          </w:p>
        </w:tc>
        <w:tc>
          <w:tcPr>
            <w:tcW w:w="448" w:type="pct"/>
            <w:tcBorders>
              <w:top w:val="nil"/>
              <w:left w:val="nil"/>
              <w:bottom w:val="nil"/>
              <w:right w:val="nil"/>
            </w:tcBorders>
            <w:shd w:val="clear" w:color="auto" w:fill="auto"/>
            <w:vAlign w:val="center"/>
            <w:hideMark/>
          </w:tcPr>
          <w:p w14:paraId="29B9893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30</w:t>
            </w:r>
          </w:p>
        </w:tc>
        <w:tc>
          <w:tcPr>
            <w:tcW w:w="446" w:type="pct"/>
            <w:tcBorders>
              <w:top w:val="nil"/>
              <w:left w:val="nil"/>
              <w:bottom w:val="nil"/>
              <w:right w:val="nil"/>
            </w:tcBorders>
            <w:shd w:val="clear" w:color="auto" w:fill="auto"/>
            <w:vAlign w:val="center"/>
            <w:hideMark/>
          </w:tcPr>
          <w:p w14:paraId="4DD2AB9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551</w:t>
            </w:r>
          </w:p>
        </w:tc>
        <w:tc>
          <w:tcPr>
            <w:tcW w:w="434" w:type="pct"/>
            <w:tcBorders>
              <w:top w:val="nil"/>
              <w:left w:val="nil"/>
              <w:bottom w:val="nil"/>
              <w:right w:val="single" w:sz="8" w:space="0" w:color="C0504D"/>
            </w:tcBorders>
            <w:shd w:val="clear" w:color="auto" w:fill="auto"/>
            <w:vAlign w:val="center"/>
            <w:hideMark/>
          </w:tcPr>
          <w:p w14:paraId="260ED10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255</w:t>
            </w:r>
          </w:p>
        </w:tc>
      </w:tr>
      <w:tr w:rsidR="00486F4A" w:rsidRPr="002142B8" w14:paraId="7F79F84E"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7A14B56"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Klaipėdos</w:t>
            </w:r>
          </w:p>
        </w:tc>
        <w:tc>
          <w:tcPr>
            <w:tcW w:w="373" w:type="pct"/>
            <w:tcBorders>
              <w:top w:val="single" w:sz="8" w:space="0" w:color="C0504D"/>
              <w:left w:val="nil"/>
              <w:bottom w:val="single" w:sz="8" w:space="0" w:color="C0504D"/>
              <w:right w:val="nil"/>
            </w:tcBorders>
            <w:shd w:val="clear" w:color="auto" w:fill="auto"/>
            <w:vAlign w:val="center"/>
            <w:hideMark/>
          </w:tcPr>
          <w:p w14:paraId="41D4069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141</w:t>
            </w:r>
          </w:p>
        </w:tc>
        <w:tc>
          <w:tcPr>
            <w:tcW w:w="485" w:type="pct"/>
            <w:tcBorders>
              <w:top w:val="single" w:sz="8" w:space="0" w:color="C0504D"/>
              <w:left w:val="nil"/>
              <w:bottom w:val="single" w:sz="8" w:space="0" w:color="C0504D"/>
              <w:right w:val="nil"/>
            </w:tcBorders>
            <w:shd w:val="clear" w:color="auto" w:fill="auto"/>
            <w:vAlign w:val="center"/>
            <w:hideMark/>
          </w:tcPr>
          <w:p w14:paraId="7E0CF13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56</w:t>
            </w:r>
          </w:p>
        </w:tc>
        <w:tc>
          <w:tcPr>
            <w:tcW w:w="352" w:type="pct"/>
            <w:tcBorders>
              <w:top w:val="single" w:sz="8" w:space="0" w:color="C0504D"/>
              <w:left w:val="nil"/>
              <w:bottom w:val="single" w:sz="8" w:space="0" w:color="C0504D"/>
              <w:right w:val="nil"/>
            </w:tcBorders>
            <w:shd w:val="clear" w:color="auto" w:fill="auto"/>
            <w:vAlign w:val="center"/>
            <w:hideMark/>
          </w:tcPr>
          <w:p w14:paraId="518DE30E"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115</w:t>
            </w:r>
          </w:p>
        </w:tc>
        <w:tc>
          <w:tcPr>
            <w:tcW w:w="395" w:type="pct"/>
            <w:tcBorders>
              <w:top w:val="single" w:sz="8" w:space="0" w:color="C0504D"/>
              <w:left w:val="nil"/>
              <w:bottom w:val="single" w:sz="8" w:space="0" w:color="C0504D"/>
              <w:right w:val="nil"/>
            </w:tcBorders>
            <w:shd w:val="clear" w:color="auto" w:fill="auto"/>
            <w:vAlign w:val="center"/>
            <w:hideMark/>
          </w:tcPr>
          <w:p w14:paraId="4B4C6C79"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447</w:t>
            </w:r>
          </w:p>
        </w:tc>
        <w:tc>
          <w:tcPr>
            <w:tcW w:w="411" w:type="pct"/>
            <w:tcBorders>
              <w:top w:val="single" w:sz="8" w:space="0" w:color="C0504D"/>
              <w:left w:val="nil"/>
              <w:bottom w:val="single" w:sz="8" w:space="0" w:color="C0504D"/>
              <w:right w:val="nil"/>
            </w:tcBorders>
            <w:shd w:val="clear" w:color="auto" w:fill="auto"/>
            <w:vAlign w:val="center"/>
            <w:hideMark/>
          </w:tcPr>
          <w:p w14:paraId="4DEA365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46</w:t>
            </w:r>
          </w:p>
        </w:tc>
        <w:tc>
          <w:tcPr>
            <w:tcW w:w="451" w:type="pct"/>
            <w:tcBorders>
              <w:top w:val="single" w:sz="8" w:space="0" w:color="C0504D"/>
              <w:left w:val="nil"/>
              <w:bottom w:val="single" w:sz="8" w:space="0" w:color="C0504D"/>
              <w:right w:val="nil"/>
            </w:tcBorders>
            <w:shd w:val="clear" w:color="auto" w:fill="auto"/>
            <w:vAlign w:val="center"/>
            <w:hideMark/>
          </w:tcPr>
          <w:p w14:paraId="2D34C13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65</w:t>
            </w:r>
          </w:p>
        </w:tc>
        <w:tc>
          <w:tcPr>
            <w:tcW w:w="444" w:type="pct"/>
            <w:tcBorders>
              <w:top w:val="single" w:sz="8" w:space="0" w:color="C0504D"/>
              <w:left w:val="nil"/>
              <w:bottom w:val="single" w:sz="8" w:space="0" w:color="C0504D"/>
              <w:right w:val="nil"/>
            </w:tcBorders>
            <w:shd w:val="clear" w:color="auto" w:fill="auto"/>
            <w:vAlign w:val="center"/>
            <w:hideMark/>
          </w:tcPr>
          <w:p w14:paraId="5BE61C1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32</w:t>
            </w:r>
          </w:p>
        </w:tc>
        <w:tc>
          <w:tcPr>
            <w:tcW w:w="448" w:type="pct"/>
            <w:tcBorders>
              <w:top w:val="single" w:sz="8" w:space="0" w:color="C0504D"/>
              <w:left w:val="nil"/>
              <w:bottom w:val="single" w:sz="8" w:space="0" w:color="C0504D"/>
              <w:right w:val="nil"/>
            </w:tcBorders>
            <w:shd w:val="clear" w:color="auto" w:fill="auto"/>
            <w:vAlign w:val="center"/>
            <w:hideMark/>
          </w:tcPr>
          <w:p w14:paraId="25D1BEB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23</w:t>
            </w:r>
          </w:p>
        </w:tc>
        <w:tc>
          <w:tcPr>
            <w:tcW w:w="446" w:type="pct"/>
            <w:tcBorders>
              <w:top w:val="single" w:sz="8" w:space="0" w:color="C0504D"/>
              <w:left w:val="nil"/>
              <w:bottom w:val="single" w:sz="8" w:space="0" w:color="C0504D"/>
              <w:right w:val="nil"/>
            </w:tcBorders>
            <w:shd w:val="clear" w:color="auto" w:fill="auto"/>
            <w:vAlign w:val="center"/>
            <w:hideMark/>
          </w:tcPr>
          <w:p w14:paraId="7A8EF43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196</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593C75A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185</w:t>
            </w:r>
          </w:p>
        </w:tc>
      </w:tr>
      <w:tr w:rsidR="0063781D" w:rsidRPr="002142B8" w14:paraId="05EBB2D4"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0537BF7A"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Marijampolės</w:t>
            </w:r>
          </w:p>
        </w:tc>
        <w:tc>
          <w:tcPr>
            <w:tcW w:w="373" w:type="pct"/>
            <w:tcBorders>
              <w:top w:val="nil"/>
              <w:left w:val="nil"/>
              <w:bottom w:val="nil"/>
              <w:right w:val="nil"/>
            </w:tcBorders>
            <w:shd w:val="clear" w:color="auto" w:fill="auto"/>
            <w:vAlign w:val="center"/>
            <w:hideMark/>
          </w:tcPr>
          <w:p w14:paraId="46B9579A"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62</w:t>
            </w:r>
          </w:p>
        </w:tc>
        <w:tc>
          <w:tcPr>
            <w:tcW w:w="485" w:type="pct"/>
            <w:tcBorders>
              <w:top w:val="nil"/>
              <w:left w:val="nil"/>
              <w:bottom w:val="nil"/>
              <w:right w:val="nil"/>
            </w:tcBorders>
            <w:shd w:val="clear" w:color="auto" w:fill="auto"/>
            <w:vAlign w:val="center"/>
            <w:hideMark/>
          </w:tcPr>
          <w:p w14:paraId="4F62963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61</w:t>
            </w:r>
          </w:p>
        </w:tc>
        <w:tc>
          <w:tcPr>
            <w:tcW w:w="352" w:type="pct"/>
            <w:tcBorders>
              <w:top w:val="nil"/>
              <w:left w:val="nil"/>
              <w:bottom w:val="nil"/>
              <w:right w:val="nil"/>
            </w:tcBorders>
            <w:shd w:val="clear" w:color="auto" w:fill="auto"/>
            <w:vAlign w:val="center"/>
            <w:hideMark/>
          </w:tcPr>
          <w:p w14:paraId="1428E18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31</w:t>
            </w:r>
          </w:p>
        </w:tc>
        <w:tc>
          <w:tcPr>
            <w:tcW w:w="395" w:type="pct"/>
            <w:tcBorders>
              <w:top w:val="nil"/>
              <w:left w:val="nil"/>
              <w:bottom w:val="nil"/>
              <w:right w:val="nil"/>
            </w:tcBorders>
            <w:shd w:val="clear" w:color="auto" w:fill="auto"/>
            <w:vAlign w:val="center"/>
            <w:hideMark/>
          </w:tcPr>
          <w:p w14:paraId="7F61621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311</w:t>
            </w:r>
          </w:p>
        </w:tc>
        <w:tc>
          <w:tcPr>
            <w:tcW w:w="411" w:type="pct"/>
            <w:tcBorders>
              <w:top w:val="nil"/>
              <w:left w:val="nil"/>
              <w:bottom w:val="nil"/>
              <w:right w:val="nil"/>
            </w:tcBorders>
            <w:shd w:val="clear" w:color="auto" w:fill="auto"/>
            <w:vAlign w:val="center"/>
            <w:hideMark/>
          </w:tcPr>
          <w:p w14:paraId="55FE03D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w:t>
            </w:r>
          </w:p>
        </w:tc>
        <w:tc>
          <w:tcPr>
            <w:tcW w:w="451" w:type="pct"/>
            <w:tcBorders>
              <w:top w:val="nil"/>
              <w:left w:val="nil"/>
              <w:bottom w:val="nil"/>
              <w:right w:val="nil"/>
            </w:tcBorders>
            <w:shd w:val="clear" w:color="auto" w:fill="auto"/>
            <w:vAlign w:val="center"/>
            <w:hideMark/>
          </w:tcPr>
          <w:p w14:paraId="0CE570E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42</w:t>
            </w:r>
          </w:p>
        </w:tc>
        <w:tc>
          <w:tcPr>
            <w:tcW w:w="444" w:type="pct"/>
            <w:tcBorders>
              <w:top w:val="nil"/>
              <w:left w:val="nil"/>
              <w:bottom w:val="nil"/>
              <w:right w:val="nil"/>
            </w:tcBorders>
            <w:shd w:val="clear" w:color="auto" w:fill="auto"/>
            <w:vAlign w:val="center"/>
            <w:hideMark/>
          </w:tcPr>
          <w:p w14:paraId="5929DB3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15</w:t>
            </w:r>
          </w:p>
        </w:tc>
        <w:tc>
          <w:tcPr>
            <w:tcW w:w="448" w:type="pct"/>
            <w:tcBorders>
              <w:top w:val="nil"/>
              <w:left w:val="nil"/>
              <w:bottom w:val="nil"/>
              <w:right w:val="nil"/>
            </w:tcBorders>
            <w:shd w:val="clear" w:color="auto" w:fill="auto"/>
            <w:vAlign w:val="center"/>
            <w:hideMark/>
          </w:tcPr>
          <w:p w14:paraId="35CB796A"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12</w:t>
            </w:r>
          </w:p>
        </w:tc>
        <w:tc>
          <w:tcPr>
            <w:tcW w:w="446" w:type="pct"/>
            <w:tcBorders>
              <w:top w:val="nil"/>
              <w:left w:val="nil"/>
              <w:bottom w:val="nil"/>
              <w:right w:val="nil"/>
            </w:tcBorders>
            <w:shd w:val="clear" w:color="auto" w:fill="auto"/>
            <w:vAlign w:val="center"/>
            <w:hideMark/>
          </w:tcPr>
          <w:p w14:paraId="59FDA655"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128</w:t>
            </w:r>
          </w:p>
        </w:tc>
        <w:tc>
          <w:tcPr>
            <w:tcW w:w="434" w:type="pct"/>
            <w:tcBorders>
              <w:top w:val="nil"/>
              <w:left w:val="nil"/>
              <w:bottom w:val="nil"/>
              <w:right w:val="single" w:sz="8" w:space="0" w:color="C0504D"/>
            </w:tcBorders>
            <w:shd w:val="clear" w:color="auto" w:fill="auto"/>
            <w:vAlign w:val="center"/>
            <w:hideMark/>
          </w:tcPr>
          <w:p w14:paraId="72E2E80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202</w:t>
            </w:r>
          </w:p>
        </w:tc>
      </w:tr>
      <w:tr w:rsidR="00486F4A" w:rsidRPr="002142B8" w14:paraId="29D7B52A"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E382CAF"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Panevėžio</w:t>
            </w:r>
          </w:p>
        </w:tc>
        <w:tc>
          <w:tcPr>
            <w:tcW w:w="373" w:type="pct"/>
            <w:tcBorders>
              <w:top w:val="single" w:sz="8" w:space="0" w:color="C0504D"/>
              <w:left w:val="nil"/>
              <w:bottom w:val="single" w:sz="8" w:space="0" w:color="C0504D"/>
              <w:right w:val="nil"/>
            </w:tcBorders>
            <w:shd w:val="clear" w:color="auto" w:fill="auto"/>
            <w:vAlign w:val="center"/>
            <w:hideMark/>
          </w:tcPr>
          <w:p w14:paraId="0C16FBD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110</w:t>
            </w:r>
          </w:p>
        </w:tc>
        <w:tc>
          <w:tcPr>
            <w:tcW w:w="485" w:type="pct"/>
            <w:tcBorders>
              <w:top w:val="single" w:sz="8" w:space="0" w:color="C0504D"/>
              <w:left w:val="nil"/>
              <w:bottom w:val="single" w:sz="8" w:space="0" w:color="C0504D"/>
              <w:right w:val="nil"/>
            </w:tcBorders>
            <w:shd w:val="clear" w:color="auto" w:fill="auto"/>
            <w:vAlign w:val="center"/>
            <w:hideMark/>
          </w:tcPr>
          <w:p w14:paraId="68C8E8EE"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80</w:t>
            </w:r>
          </w:p>
        </w:tc>
        <w:tc>
          <w:tcPr>
            <w:tcW w:w="352" w:type="pct"/>
            <w:tcBorders>
              <w:top w:val="single" w:sz="8" w:space="0" w:color="C0504D"/>
              <w:left w:val="nil"/>
              <w:bottom w:val="single" w:sz="8" w:space="0" w:color="C0504D"/>
              <w:right w:val="nil"/>
            </w:tcBorders>
            <w:shd w:val="clear" w:color="auto" w:fill="auto"/>
            <w:vAlign w:val="center"/>
            <w:hideMark/>
          </w:tcPr>
          <w:p w14:paraId="7E9CF3A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49</w:t>
            </w:r>
          </w:p>
        </w:tc>
        <w:tc>
          <w:tcPr>
            <w:tcW w:w="395" w:type="pct"/>
            <w:tcBorders>
              <w:top w:val="single" w:sz="8" w:space="0" w:color="C0504D"/>
              <w:left w:val="nil"/>
              <w:bottom w:val="single" w:sz="8" w:space="0" w:color="C0504D"/>
              <w:right w:val="nil"/>
            </w:tcBorders>
            <w:shd w:val="clear" w:color="auto" w:fill="auto"/>
            <w:vAlign w:val="center"/>
            <w:hideMark/>
          </w:tcPr>
          <w:p w14:paraId="663B93B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426</w:t>
            </w:r>
          </w:p>
        </w:tc>
        <w:tc>
          <w:tcPr>
            <w:tcW w:w="411" w:type="pct"/>
            <w:tcBorders>
              <w:top w:val="single" w:sz="8" w:space="0" w:color="C0504D"/>
              <w:left w:val="nil"/>
              <w:bottom w:val="single" w:sz="8" w:space="0" w:color="C0504D"/>
              <w:right w:val="nil"/>
            </w:tcBorders>
            <w:shd w:val="clear" w:color="auto" w:fill="auto"/>
            <w:vAlign w:val="center"/>
            <w:hideMark/>
          </w:tcPr>
          <w:p w14:paraId="169FF70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34</w:t>
            </w:r>
          </w:p>
        </w:tc>
        <w:tc>
          <w:tcPr>
            <w:tcW w:w="451" w:type="pct"/>
            <w:tcBorders>
              <w:top w:val="single" w:sz="8" w:space="0" w:color="C0504D"/>
              <w:left w:val="nil"/>
              <w:bottom w:val="single" w:sz="8" w:space="0" w:color="C0504D"/>
              <w:right w:val="nil"/>
            </w:tcBorders>
            <w:shd w:val="clear" w:color="auto" w:fill="auto"/>
            <w:vAlign w:val="center"/>
            <w:hideMark/>
          </w:tcPr>
          <w:p w14:paraId="11D3BB6E"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47</w:t>
            </w:r>
          </w:p>
        </w:tc>
        <w:tc>
          <w:tcPr>
            <w:tcW w:w="444" w:type="pct"/>
            <w:tcBorders>
              <w:top w:val="single" w:sz="8" w:space="0" w:color="C0504D"/>
              <w:left w:val="nil"/>
              <w:bottom w:val="single" w:sz="8" w:space="0" w:color="C0504D"/>
              <w:right w:val="nil"/>
            </w:tcBorders>
            <w:shd w:val="clear" w:color="auto" w:fill="auto"/>
            <w:vAlign w:val="center"/>
            <w:hideMark/>
          </w:tcPr>
          <w:p w14:paraId="02CA2B2E"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32</w:t>
            </w:r>
          </w:p>
        </w:tc>
        <w:tc>
          <w:tcPr>
            <w:tcW w:w="448" w:type="pct"/>
            <w:tcBorders>
              <w:top w:val="single" w:sz="8" w:space="0" w:color="C0504D"/>
              <w:left w:val="nil"/>
              <w:bottom w:val="single" w:sz="8" w:space="0" w:color="C0504D"/>
              <w:right w:val="nil"/>
            </w:tcBorders>
            <w:shd w:val="clear" w:color="auto" w:fill="auto"/>
            <w:vAlign w:val="center"/>
            <w:hideMark/>
          </w:tcPr>
          <w:p w14:paraId="20E72A60"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25</w:t>
            </w:r>
          </w:p>
        </w:tc>
        <w:tc>
          <w:tcPr>
            <w:tcW w:w="446" w:type="pct"/>
            <w:tcBorders>
              <w:top w:val="single" w:sz="8" w:space="0" w:color="C0504D"/>
              <w:left w:val="nil"/>
              <w:bottom w:val="single" w:sz="8" w:space="0" w:color="C0504D"/>
              <w:right w:val="nil"/>
            </w:tcBorders>
            <w:shd w:val="clear" w:color="auto" w:fill="auto"/>
            <w:vAlign w:val="center"/>
            <w:hideMark/>
          </w:tcPr>
          <w:p w14:paraId="5F51743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144</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52E4AD4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138</w:t>
            </w:r>
          </w:p>
        </w:tc>
      </w:tr>
      <w:tr w:rsidR="0063781D" w:rsidRPr="002142B8" w14:paraId="0EAA396A"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534DCD38"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Šiaulių</w:t>
            </w:r>
          </w:p>
        </w:tc>
        <w:tc>
          <w:tcPr>
            <w:tcW w:w="373" w:type="pct"/>
            <w:tcBorders>
              <w:top w:val="nil"/>
              <w:left w:val="nil"/>
              <w:bottom w:val="nil"/>
              <w:right w:val="nil"/>
            </w:tcBorders>
            <w:shd w:val="clear" w:color="auto" w:fill="auto"/>
            <w:vAlign w:val="center"/>
            <w:hideMark/>
          </w:tcPr>
          <w:p w14:paraId="6AC6C9B0"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200</w:t>
            </w:r>
          </w:p>
        </w:tc>
        <w:tc>
          <w:tcPr>
            <w:tcW w:w="485" w:type="pct"/>
            <w:tcBorders>
              <w:top w:val="nil"/>
              <w:left w:val="nil"/>
              <w:bottom w:val="nil"/>
              <w:right w:val="nil"/>
            </w:tcBorders>
            <w:shd w:val="clear" w:color="auto" w:fill="auto"/>
            <w:vAlign w:val="center"/>
            <w:hideMark/>
          </w:tcPr>
          <w:p w14:paraId="673457C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125</w:t>
            </w:r>
          </w:p>
        </w:tc>
        <w:tc>
          <w:tcPr>
            <w:tcW w:w="352" w:type="pct"/>
            <w:tcBorders>
              <w:top w:val="nil"/>
              <w:left w:val="nil"/>
              <w:bottom w:val="nil"/>
              <w:right w:val="nil"/>
            </w:tcBorders>
            <w:shd w:val="clear" w:color="auto" w:fill="auto"/>
            <w:vAlign w:val="center"/>
            <w:hideMark/>
          </w:tcPr>
          <w:p w14:paraId="5E193ED8"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83</w:t>
            </w:r>
          </w:p>
        </w:tc>
        <w:tc>
          <w:tcPr>
            <w:tcW w:w="395" w:type="pct"/>
            <w:tcBorders>
              <w:top w:val="nil"/>
              <w:left w:val="nil"/>
              <w:bottom w:val="nil"/>
              <w:right w:val="nil"/>
            </w:tcBorders>
            <w:shd w:val="clear" w:color="auto" w:fill="auto"/>
            <w:vAlign w:val="center"/>
            <w:hideMark/>
          </w:tcPr>
          <w:p w14:paraId="098CC97A"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534</w:t>
            </w:r>
          </w:p>
        </w:tc>
        <w:tc>
          <w:tcPr>
            <w:tcW w:w="411" w:type="pct"/>
            <w:tcBorders>
              <w:top w:val="nil"/>
              <w:left w:val="nil"/>
              <w:bottom w:val="nil"/>
              <w:right w:val="nil"/>
            </w:tcBorders>
            <w:shd w:val="clear" w:color="auto" w:fill="auto"/>
            <w:vAlign w:val="center"/>
            <w:hideMark/>
          </w:tcPr>
          <w:p w14:paraId="7919FB19"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44</w:t>
            </w:r>
          </w:p>
        </w:tc>
        <w:tc>
          <w:tcPr>
            <w:tcW w:w="451" w:type="pct"/>
            <w:tcBorders>
              <w:top w:val="nil"/>
              <w:left w:val="nil"/>
              <w:bottom w:val="nil"/>
              <w:right w:val="nil"/>
            </w:tcBorders>
            <w:shd w:val="clear" w:color="auto" w:fill="auto"/>
            <w:vAlign w:val="center"/>
            <w:hideMark/>
          </w:tcPr>
          <w:p w14:paraId="74C2ED9B"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54</w:t>
            </w:r>
          </w:p>
        </w:tc>
        <w:tc>
          <w:tcPr>
            <w:tcW w:w="444" w:type="pct"/>
            <w:tcBorders>
              <w:top w:val="nil"/>
              <w:left w:val="nil"/>
              <w:bottom w:val="nil"/>
              <w:right w:val="nil"/>
            </w:tcBorders>
            <w:shd w:val="clear" w:color="auto" w:fill="auto"/>
            <w:vAlign w:val="center"/>
            <w:hideMark/>
          </w:tcPr>
          <w:p w14:paraId="7522598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24</w:t>
            </w:r>
          </w:p>
        </w:tc>
        <w:tc>
          <w:tcPr>
            <w:tcW w:w="448" w:type="pct"/>
            <w:tcBorders>
              <w:top w:val="nil"/>
              <w:left w:val="nil"/>
              <w:bottom w:val="nil"/>
              <w:right w:val="nil"/>
            </w:tcBorders>
            <w:shd w:val="clear" w:color="auto" w:fill="auto"/>
            <w:vAlign w:val="center"/>
            <w:hideMark/>
          </w:tcPr>
          <w:p w14:paraId="41D08FF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54</w:t>
            </w:r>
          </w:p>
        </w:tc>
        <w:tc>
          <w:tcPr>
            <w:tcW w:w="446" w:type="pct"/>
            <w:tcBorders>
              <w:top w:val="nil"/>
              <w:left w:val="nil"/>
              <w:bottom w:val="nil"/>
              <w:right w:val="nil"/>
            </w:tcBorders>
            <w:shd w:val="clear" w:color="auto" w:fill="auto"/>
            <w:vAlign w:val="center"/>
            <w:hideMark/>
          </w:tcPr>
          <w:p w14:paraId="7930CCE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175</w:t>
            </w:r>
          </w:p>
        </w:tc>
        <w:tc>
          <w:tcPr>
            <w:tcW w:w="434" w:type="pct"/>
            <w:tcBorders>
              <w:top w:val="nil"/>
              <w:left w:val="nil"/>
              <w:bottom w:val="nil"/>
              <w:right w:val="single" w:sz="8" w:space="0" w:color="C0504D"/>
            </w:tcBorders>
            <w:shd w:val="clear" w:color="auto" w:fill="auto"/>
            <w:vAlign w:val="center"/>
            <w:hideMark/>
          </w:tcPr>
          <w:p w14:paraId="60328F24"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138</w:t>
            </w:r>
          </w:p>
        </w:tc>
      </w:tr>
      <w:tr w:rsidR="00486F4A" w:rsidRPr="002142B8" w14:paraId="2674BD0C"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3369491D"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Tauragės</w:t>
            </w:r>
          </w:p>
        </w:tc>
        <w:tc>
          <w:tcPr>
            <w:tcW w:w="373" w:type="pct"/>
            <w:tcBorders>
              <w:top w:val="single" w:sz="8" w:space="0" w:color="C0504D"/>
              <w:left w:val="nil"/>
              <w:bottom w:val="single" w:sz="8" w:space="0" w:color="C0504D"/>
              <w:right w:val="nil"/>
            </w:tcBorders>
            <w:shd w:val="clear" w:color="auto" w:fill="auto"/>
            <w:vAlign w:val="center"/>
            <w:hideMark/>
          </w:tcPr>
          <w:p w14:paraId="69269A7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60</w:t>
            </w:r>
          </w:p>
        </w:tc>
        <w:tc>
          <w:tcPr>
            <w:tcW w:w="485" w:type="pct"/>
            <w:tcBorders>
              <w:top w:val="single" w:sz="8" w:space="0" w:color="C0504D"/>
              <w:left w:val="nil"/>
              <w:bottom w:val="single" w:sz="8" w:space="0" w:color="C0504D"/>
              <w:right w:val="nil"/>
            </w:tcBorders>
            <w:shd w:val="clear" w:color="auto" w:fill="auto"/>
            <w:vAlign w:val="center"/>
            <w:hideMark/>
          </w:tcPr>
          <w:p w14:paraId="0900217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30</w:t>
            </w:r>
          </w:p>
        </w:tc>
        <w:tc>
          <w:tcPr>
            <w:tcW w:w="352" w:type="pct"/>
            <w:tcBorders>
              <w:top w:val="single" w:sz="8" w:space="0" w:color="C0504D"/>
              <w:left w:val="nil"/>
              <w:bottom w:val="single" w:sz="8" w:space="0" w:color="C0504D"/>
              <w:right w:val="nil"/>
            </w:tcBorders>
            <w:shd w:val="clear" w:color="auto" w:fill="auto"/>
            <w:vAlign w:val="center"/>
            <w:hideMark/>
          </w:tcPr>
          <w:p w14:paraId="6510BD7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19</w:t>
            </w:r>
          </w:p>
        </w:tc>
        <w:tc>
          <w:tcPr>
            <w:tcW w:w="395" w:type="pct"/>
            <w:tcBorders>
              <w:top w:val="single" w:sz="8" w:space="0" w:color="C0504D"/>
              <w:left w:val="nil"/>
              <w:bottom w:val="single" w:sz="8" w:space="0" w:color="C0504D"/>
              <w:right w:val="nil"/>
            </w:tcBorders>
            <w:shd w:val="clear" w:color="auto" w:fill="auto"/>
            <w:vAlign w:val="center"/>
            <w:hideMark/>
          </w:tcPr>
          <w:p w14:paraId="4E40E23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218</w:t>
            </w:r>
          </w:p>
        </w:tc>
        <w:tc>
          <w:tcPr>
            <w:tcW w:w="411" w:type="pct"/>
            <w:tcBorders>
              <w:top w:val="single" w:sz="8" w:space="0" w:color="C0504D"/>
              <w:left w:val="nil"/>
              <w:bottom w:val="single" w:sz="8" w:space="0" w:color="C0504D"/>
              <w:right w:val="nil"/>
            </w:tcBorders>
            <w:shd w:val="clear" w:color="auto" w:fill="auto"/>
            <w:vAlign w:val="center"/>
            <w:hideMark/>
          </w:tcPr>
          <w:p w14:paraId="2A32E7A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w:t>
            </w:r>
          </w:p>
        </w:tc>
        <w:tc>
          <w:tcPr>
            <w:tcW w:w="451" w:type="pct"/>
            <w:tcBorders>
              <w:top w:val="single" w:sz="8" w:space="0" w:color="C0504D"/>
              <w:left w:val="nil"/>
              <w:bottom w:val="single" w:sz="8" w:space="0" w:color="C0504D"/>
              <w:right w:val="nil"/>
            </w:tcBorders>
            <w:shd w:val="clear" w:color="auto" w:fill="auto"/>
            <w:vAlign w:val="center"/>
            <w:hideMark/>
          </w:tcPr>
          <w:p w14:paraId="7DED56F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26</w:t>
            </w:r>
          </w:p>
        </w:tc>
        <w:tc>
          <w:tcPr>
            <w:tcW w:w="444" w:type="pct"/>
            <w:tcBorders>
              <w:top w:val="single" w:sz="8" w:space="0" w:color="C0504D"/>
              <w:left w:val="nil"/>
              <w:bottom w:val="single" w:sz="8" w:space="0" w:color="C0504D"/>
              <w:right w:val="nil"/>
            </w:tcBorders>
            <w:shd w:val="clear" w:color="auto" w:fill="auto"/>
            <w:vAlign w:val="center"/>
            <w:hideMark/>
          </w:tcPr>
          <w:p w14:paraId="152F350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w:t>
            </w:r>
          </w:p>
        </w:tc>
        <w:tc>
          <w:tcPr>
            <w:tcW w:w="448" w:type="pct"/>
            <w:tcBorders>
              <w:top w:val="single" w:sz="8" w:space="0" w:color="C0504D"/>
              <w:left w:val="nil"/>
              <w:bottom w:val="single" w:sz="8" w:space="0" w:color="C0504D"/>
              <w:right w:val="nil"/>
            </w:tcBorders>
            <w:shd w:val="clear" w:color="auto" w:fill="auto"/>
            <w:vAlign w:val="center"/>
            <w:hideMark/>
          </w:tcPr>
          <w:p w14:paraId="4F111C0A"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26</w:t>
            </w:r>
          </w:p>
        </w:tc>
        <w:tc>
          <w:tcPr>
            <w:tcW w:w="446" w:type="pct"/>
            <w:tcBorders>
              <w:top w:val="single" w:sz="8" w:space="0" w:color="C0504D"/>
              <w:left w:val="nil"/>
              <w:bottom w:val="single" w:sz="8" w:space="0" w:color="C0504D"/>
              <w:right w:val="nil"/>
            </w:tcBorders>
            <w:shd w:val="clear" w:color="auto" w:fill="auto"/>
            <w:vAlign w:val="center"/>
            <w:hideMark/>
          </w:tcPr>
          <w:p w14:paraId="5E6D79B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75</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28E2F8EF"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134</w:t>
            </w:r>
          </w:p>
        </w:tc>
      </w:tr>
      <w:tr w:rsidR="0063781D" w:rsidRPr="002142B8" w14:paraId="077713A4"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nil"/>
              <w:right w:val="nil"/>
            </w:tcBorders>
            <w:hideMark/>
          </w:tcPr>
          <w:p w14:paraId="67852F21"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Telšių</w:t>
            </w:r>
          </w:p>
        </w:tc>
        <w:tc>
          <w:tcPr>
            <w:tcW w:w="373" w:type="pct"/>
            <w:tcBorders>
              <w:top w:val="nil"/>
              <w:left w:val="nil"/>
              <w:bottom w:val="nil"/>
              <w:right w:val="nil"/>
            </w:tcBorders>
            <w:shd w:val="clear" w:color="auto" w:fill="auto"/>
            <w:vAlign w:val="center"/>
            <w:hideMark/>
          </w:tcPr>
          <w:p w14:paraId="7B6DE08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56</w:t>
            </w:r>
          </w:p>
        </w:tc>
        <w:tc>
          <w:tcPr>
            <w:tcW w:w="485" w:type="pct"/>
            <w:tcBorders>
              <w:top w:val="nil"/>
              <w:left w:val="nil"/>
              <w:bottom w:val="nil"/>
              <w:right w:val="nil"/>
            </w:tcBorders>
            <w:shd w:val="clear" w:color="auto" w:fill="auto"/>
            <w:vAlign w:val="center"/>
            <w:hideMark/>
          </w:tcPr>
          <w:p w14:paraId="414C59B7"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56</w:t>
            </w:r>
          </w:p>
        </w:tc>
        <w:tc>
          <w:tcPr>
            <w:tcW w:w="352" w:type="pct"/>
            <w:tcBorders>
              <w:top w:val="nil"/>
              <w:left w:val="nil"/>
              <w:bottom w:val="nil"/>
              <w:right w:val="nil"/>
            </w:tcBorders>
            <w:shd w:val="clear" w:color="auto" w:fill="auto"/>
            <w:vAlign w:val="center"/>
            <w:hideMark/>
          </w:tcPr>
          <w:p w14:paraId="291A88E4"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44</w:t>
            </w:r>
          </w:p>
        </w:tc>
        <w:tc>
          <w:tcPr>
            <w:tcW w:w="395" w:type="pct"/>
            <w:tcBorders>
              <w:top w:val="nil"/>
              <w:left w:val="nil"/>
              <w:bottom w:val="nil"/>
              <w:right w:val="nil"/>
            </w:tcBorders>
            <w:shd w:val="clear" w:color="auto" w:fill="auto"/>
            <w:vAlign w:val="center"/>
            <w:hideMark/>
          </w:tcPr>
          <w:p w14:paraId="7A024A4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217</w:t>
            </w:r>
          </w:p>
        </w:tc>
        <w:tc>
          <w:tcPr>
            <w:tcW w:w="411" w:type="pct"/>
            <w:tcBorders>
              <w:top w:val="nil"/>
              <w:left w:val="nil"/>
              <w:bottom w:val="nil"/>
              <w:right w:val="nil"/>
            </w:tcBorders>
            <w:shd w:val="clear" w:color="auto" w:fill="auto"/>
            <w:vAlign w:val="center"/>
            <w:hideMark/>
          </w:tcPr>
          <w:p w14:paraId="44E84927"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15</w:t>
            </w:r>
          </w:p>
        </w:tc>
        <w:tc>
          <w:tcPr>
            <w:tcW w:w="451" w:type="pct"/>
            <w:tcBorders>
              <w:top w:val="nil"/>
              <w:left w:val="nil"/>
              <w:bottom w:val="nil"/>
              <w:right w:val="nil"/>
            </w:tcBorders>
            <w:shd w:val="clear" w:color="auto" w:fill="auto"/>
            <w:vAlign w:val="center"/>
            <w:hideMark/>
          </w:tcPr>
          <w:p w14:paraId="1E4B426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45</w:t>
            </w:r>
          </w:p>
        </w:tc>
        <w:tc>
          <w:tcPr>
            <w:tcW w:w="444" w:type="pct"/>
            <w:tcBorders>
              <w:top w:val="nil"/>
              <w:left w:val="nil"/>
              <w:bottom w:val="nil"/>
              <w:right w:val="nil"/>
            </w:tcBorders>
            <w:shd w:val="clear" w:color="auto" w:fill="auto"/>
            <w:vAlign w:val="center"/>
            <w:hideMark/>
          </w:tcPr>
          <w:p w14:paraId="483F05B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11</w:t>
            </w:r>
          </w:p>
        </w:tc>
        <w:tc>
          <w:tcPr>
            <w:tcW w:w="448" w:type="pct"/>
            <w:tcBorders>
              <w:top w:val="nil"/>
              <w:left w:val="nil"/>
              <w:bottom w:val="nil"/>
              <w:right w:val="nil"/>
            </w:tcBorders>
            <w:shd w:val="clear" w:color="auto" w:fill="auto"/>
            <w:vAlign w:val="center"/>
            <w:hideMark/>
          </w:tcPr>
          <w:p w14:paraId="34CC16D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w:t>
            </w:r>
          </w:p>
        </w:tc>
        <w:tc>
          <w:tcPr>
            <w:tcW w:w="446" w:type="pct"/>
            <w:tcBorders>
              <w:top w:val="nil"/>
              <w:left w:val="nil"/>
              <w:bottom w:val="nil"/>
              <w:right w:val="nil"/>
            </w:tcBorders>
            <w:shd w:val="clear" w:color="auto" w:fill="auto"/>
            <w:vAlign w:val="center"/>
            <w:hideMark/>
          </w:tcPr>
          <w:p w14:paraId="14947D7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59</w:t>
            </w:r>
          </w:p>
        </w:tc>
        <w:tc>
          <w:tcPr>
            <w:tcW w:w="434" w:type="pct"/>
            <w:tcBorders>
              <w:top w:val="nil"/>
              <w:left w:val="nil"/>
              <w:bottom w:val="nil"/>
              <w:right w:val="single" w:sz="8" w:space="0" w:color="C0504D"/>
            </w:tcBorders>
            <w:shd w:val="clear" w:color="auto" w:fill="auto"/>
            <w:vAlign w:val="center"/>
            <w:hideMark/>
          </w:tcPr>
          <w:p w14:paraId="1F9DE56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115</w:t>
            </w:r>
          </w:p>
        </w:tc>
      </w:tr>
      <w:tr w:rsidR="00486F4A" w:rsidRPr="002142B8" w14:paraId="4E02B198" w14:textId="77777777" w:rsidTr="00AA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Borders>
              <w:right w:val="nil"/>
            </w:tcBorders>
            <w:hideMark/>
          </w:tcPr>
          <w:p w14:paraId="7E391EEA"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 xml:space="preserve">Utenos </w:t>
            </w:r>
          </w:p>
        </w:tc>
        <w:tc>
          <w:tcPr>
            <w:tcW w:w="373" w:type="pct"/>
            <w:tcBorders>
              <w:top w:val="single" w:sz="8" w:space="0" w:color="C0504D"/>
              <w:left w:val="nil"/>
              <w:bottom w:val="single" w:sz="8" w:space="0" w:color="C0504D"/>
              <w:right w:val="nil"/>
            </w:tcBorders>
            <w:shd w:val="clear" w:color="auto" w:fill="auto"/>
            <w:vAlign w:val="center"/>
            <w:hideMark/>
          </w:tcPr>
          <w:p w14:paraId="7063FAE1"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86</w:t>
            </w:r>
          </w:p>
        </w:tc>
        <w:tc>
          <w:tcPr>
            <w:tcW w:w="485" w:type="pct"/>
            <w:tcBorders>
              <w:top w:val="single" w:sz="8" w:space="0" w:color="C0504D"/>
              <w:left w:val="nil"/>
              <w:bottom w:val="single" w:sz="8" w:space="0" w:color="C0504D"/>
              <w:right w:val="nil"/>
            </w:tcBorders>
            <w:shd w:val="clear" w:color="auto" w:fill="auto"/>
            <w:vAlign w:val="center"/>
            <w:hideMark/>
          </w:tcPr>
          <w:p w14:paraId="469C7DF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60</w:t>
            </w:r>
          </w:p>
        </w:tc>
        <w:tc>
          <w:tcPr>
            <w:tcW w:w="352" w:type="pct"/>
            <w:tcBorders>
              <w:top w:val="single" w:sz="8" w:space="0" w:color="C0504D"/>
              <w:left w:val="nil"/>
              <w:bottom w:val="single" w:sz="8" w:space="0" w:color="C0504D"/>
              <w:right w:val="nil"/>
            </w:tcBorders>
            <w:shd w:val="clear" w:color="auto" w:fill="auto"/>
            <w:vAlign w:val="center"/>
            <w:hideMark/>
          </w:tcPr>
          <w:p w14:paraId="7C98C8F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55</w:t>
            </w:r>
          </w:p>
        </w:tc>
        <w:tc>
          <w:tcPr>
            <w:tcW w:w="395" w:type="pct"/>
            <w:tcBorders>
              <w:top w:val="single" w:sz="8" w:space="0" w:color="C0504D"/>
              <w:left w:val="nil"/>
              <w:bottom w:val="single" w:sz="8" w:space="0" w:color="C0504D"/>
              <w:right w:val="nil"/>
            </w:tcBorders>
            <w:shd w:val="clear" w:color="auto" w:fill="auto"/>
            <w:vAlign w:val="center"/>
            <w:hideMark/>
          </w:tcPr>
          <w:p w14:paraId="0C637977"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303</w:t>
            </w:r>
          </w:p>
        </w:tc>
        <w:tc>
          <w:tcPr>
            <w:tcW w:w="411" w:type="pct"/>
            <w:tcBorders>
              <w:top w:val="single" w:sz="8" w:space="0" w:color="C0504D"/>
              <w:left w:val="nil"/>
              <w:bottom w:val="single" w:sz="8" w:space="0" w:color="C0504D"/>
              <w:right w:val="nil"/>
            </w:tcBorders>
            <w:shd w:val="clear" w:color="auto" w:fill="auto"/>
            <w:vAlign w:val="center"/>
            <w:hideMark/>
          </w:tcPr>
          <w:p w14:paraId="5F377EE7"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14</w:t>
            </w:r>
          </w:p>
        </w:tc>
        <w:tc>
          <w:tcPr>
            <w:tcW w:w="451" w:type="pct"/>
            <w:tcBorders>
              <w:top w:val="single" w:sz="8" w:space="0" w:color="C0504D"/>
              <w:left w:val="nil"/>
              <w:bottom w:val="single" w:sz="8" w:space="0" w:color="C0504D"/>
              <w:right w:val="nil"/>
            </w:tcBorders>
            <w:shd w:val="clear" w:color="auto" w:fill="auto"/>
            <w:vAlign w:val="center"/>
            <w:hideMark/>
          </w:tcPr>
          <w:p w14:paraId="6F0C585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38</w:t>
            </w:r>
          </w:p>
        </w:tc>
        <w:tc>
          <w:tcPr>
            <w:tcW w:w="444" w:type="pct"/>
            <w:tcBorders>
              <w:top w:val="single" w:sz="8" w:space="0" w:color="C0504D"/>
              <w:left w:val="nil"/>
              <w:bottom w:val="single" w:sz="8" w:space="0" w:color="C0504D"/>
              <w:right w:val="nil"/>
            </w:tcBorders>
            <w:shd w:val="clear" w:color="auto" w:fill="auto"/>
            <w:vAlign w:val="center"/>
            <w:hideMark/>
          </w:tcPr>
          <w:p w14:paraId="47A67F3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18</w:t>
            </w:r>
          </w:p>
        </w:tc>
        <w:tc>
          <w:tcPr>
            <w:tcW w:w="448" w:type="pct"/>
            <w:tcBorders>
              <w:top w:val="single" w:sz="8" w:space="0" w:color="C0504D"/>
              <w:left w:val="nil"/>
              <w:bottom w:val="single" w:sz="8" w:space="0" w:color="C0504D"/>
              <w:right w:val="nil"/>
            </w:tcBorders>
            <w:shd w:val="clear" w:color="auto" w:fill="auto"/>
            <w:vAlign w:val="center"/>
            <w:hideMark/>
          </w:tcPr>
          <w:p w14:paraId="596C1B7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23</w:t>
            </w:r>
          </w:p>
        </w:tc>
        <w:tc>
          <w:tcPr>
            <w:tcW w:w="446" w:type="pct"/>
            <w:tcBorders>
              <w:top w:val="single" w:sz="8" w:space="0" w:color="C0504D"/>
              <w:left w:val="nil"/>
              <w:bottom w:val="single" w:sz="8" w:space="0" w:color="C0504D"/>
              <w:right w:val="nil"/>
            </w:tcBorders>
            <w:shd w:val="clear" w:color="auto" w:fill="auto"/>
            <w:vAlign w:val="center"/>
            <w:hideMark/>
          </w:tcPr>
          <w:p w14:paraId="2366183E"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178</w:t>
            </w:r>
          </w:p>
        </w:tc>
        <w:tc>
          <w:tcPr>
            <w:tcW w:w="434" w:type="pct"/>
            <w:tcBorders>
              <w:top w:val="single" w:sz="8" w:space="0" w:color="C0504D"/>
              <w:left w:val="nil"/>
              <w:bottom w:val="single" w:sz="8" w:space="0" w:color="C0504D"/>
              <w:right w:val="single" w:sz="8" w:space="0" w:color="C0504D"/>
            </w:tcBorders>
            <w:shd w:val="clear" w:color="auto" w:fill="auto"/>
            <w:vAlign w:val="center"/>
            <w:hideMark/>
          </w:tcPr>
          <w:p w14:paraId="1EBCD9F8"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100</w:t>
            </w:r>
          </w:p>
        </w:tc>
      </w:tr>
      <w:tr w:rsidR="0063781D" w:rsidRPr="002142B8" w14:paraId="0D6AC818" w14:textId="77777777" w:rsidTr="00AA4BFA">
        <w:tc>
          <w:tcPr>
            <w:cnfStyle w:val="001000000000" w:firstRow="0" w:lastRow="0" w:firstColumn="1" w:lastColumn="0" w:oddVBand="0" w:evenVBand="0" w:oddHBand="0" w:evenHBand="0" w:firstRowFirstColumn="0" w:firstRowLastColumn="0" w:lastRowFirstColumn="0" w:lastRowLastColumn="0"/>
            <w:tcW w:w="762" w:type="pct"/>
            <w:tcBorders>
              <w:top w:val="nil"/>
              <w:left w:val="single" w:sz="8" w:space="0" w:color="D62E1C"/>
              <w:bottom w:val="single" w:sz="8" w:space="0" w:color="D62E1C"/>
              <w:right w:val="nil"/>
            </w:tcBorders>
            <w:hideMark/>
          </w:tcPr>
          <w:p w14:paraId="5863FE64" w14:textId="77777777" w:rsidR="005A0219" w:rsidRPr="002142B8" w:rsidRDefault="005A0219" w:rsidP="005A0219">
            <w:pPr>
              <w:rPr>
                <w:rFonts w:ascii="Georgia" w:eastAsia="Times New Roman" w:hAnsi="Georgia" w:cs="Arial Unicode MS"/>
                <w:sz w:val="18"/>
                <w:szCs w:val="18"/>
                <w:lang w:eastAsia="lt-LT"/>
              </w:rPr>
            </w:pPr>
            <w:r w:rsidRPr="002142B8">
              <w:rPr>
                <w:rFonts w:ascii="Georgia" w:eastAsia="Times New Roman" w:hAnsi="Georgia" w:cs="Arial Unicode MS"/>
                <w:sz w:val="18"/>
                <w:szCs w:val="18"/>
                <w:lang w:eastAsia="lt-LT"/>
              </w:rPr>
              <w:t>Vilniaus</w:t>
            </w:r>
          </w:p>
        </w:tc>
        <w:tc>
          <w:tcPr>
            <w:tcW w:w="373" w:type="pct"/>
            <w:tcBorders>
              <w:top w:val="nil"/>
              <w:left w:val="nil"/>
              <w:bottom w:val="single" w:sz="8" w:space="0" w:color="C0504D"/>
              <w:right w:val="nil"/>
            </w:tcBorders>
            <w:shd w:val="clear" w:color="auto" w:fill="auto"/>
            <w:vAlign w:val="center"/>
            <w:hideMark/>
          </w:tcPr>
          <w:p w14:paraId="0F232AEE"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388</w:t>
            </w:r>
          </w:p>
        </w:tc>
        <w:tc>
          <w:tcPr>
            <w:tcW w:w="485" w:type="pct"/>
            <w:tcBorders>
              <w:top w:val="nil"/>
              <w:left w:val="nil"/>
              <w:bottom w:val="single" w:sz="8" w:space="0" w:color="C0504D"/>
              <w:right w:val="nil"/>
            </w:tcBorders>
            <w:shd w:val="clear" w:color="auto" w:fill="auto"/>
            <w:vAlign w:val="center"/>
            <w:hideMark/>
          </w:tcPr>
          <w:p w14:paraId="5332B5D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111</w:t>
            </w:r>
          </w:p>
        </w:tc>
        <w:tc>
          <w:tcPr>
            <w:tcW w:w="352" w:type="pct"/>
            <w:tcBorders>
              <w:top w:val="nil"/>
              <w:left w:val="nil"/>
              <w:bottom w:val="single" w:sz="8" w:space="0" w:color="C0504D"/>
              <w:right w:val="nil"/>
            </w:tcBorders>
            <w:shd w:val="clear" w:color="auto" w:fill="auto"/>
            <w:vAlign w:val="center"/>
            <w:hideMark/>
          </w:tcPr>
          <w:p w14:paraId="5B75E618"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355</w:t>
            </w:r>
          </w:p>
        </w:tc>
        <w:tc>
          <w:tcPr>
            <w:tcW w:w="395" w:type="pct"/>
            <w:tcBorders>
              <w:top w:val="nil"/>
              <w:left w:val="nil"/>
              <w:bottom w:val="single" w:sz="8" w:space="0" w:color="C0504D"/>
              <w:right w:val="nil"/>
            </w:tcBorders>
            <w:shd w:val="clear" w:color="auto" w:fill="auto"/>
            <w:vAlign w:val="center"/>
            <w:hideMark/>
          </w:tcPr>
          <w:p w14:paraId="55091862"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818</w:t>
            </w:r>
          </w:p>
        </w:tc>
        <w:tc>
          <w:tcPr>
            <w:tcW w:w="411" w:type="pct"/>
            <w:tcBorders>
              <w:top w:val="nil"/>
              <w:left w:val="nil"/>
              <w:bottom w:val="single" w:sz="8" w:space="0" w:color="C0504D"/>
              <w:right w:val="nil"/>
            </w:tcBorders>
            <w:shd w:val="clear" w:color="auto" w:fill="auto"/>
            <w:vAlign w:val="center"/>
            <w:hideMark/>
          </w:tcPr>
          <w:p w14:paraId="58F9567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96</w:t>
            </w:r>
          </w:p>
        </w:tc>
        <w:tc>
          <w:tcPr>
            <w:tcW w:w="451" w:type="pct"/>
            <w:tcBorders>
              <w:top w:val="nil"/>
              <w:left w:val="nil"/>
              <w:bottom w:val="single" w:sz="8" w:space="0" w:color="C0504D"/>
              <w:right w:val="nil"/>
            </w:tcBorders>
            <w:shd w:val="clear" w:color="auto" w:fill="auto"/>
            <w:vAlign w:val="center"/>
            <w:hideMark/>
          </w:tcPr>
          <w:p w14:paraId="7078196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130</w:t>
            </w:r>
          </w:p>
        </w:tc>
        <w:tc>
          <w:tcPr>
            <w:tcW w:w="444" w:type="pct"/>
            <w:tcBorders>
              <w:top w:val="nil"/>
              <w:left w:val="nil"/>
              <w:bottom w:val="single" w:sz="8" w:space="0" w:color="C0504D"/>
              <w:right w:val="nil"/>
            </w:tcBorders>
            <w:shd w:val="clear" w:color="auto" w:fill="auto"/>
            <w:vAlign w:val="center"/>
            <w:hideMark/>
          </w:tcPr>
          <w:p w14:paraId="4A7296DF"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91</w:t>
            </w:r>
          </w:p>
        </w:tc>
        <w:tc>
          <w:tcPr>
            <w:tcW w:w="448" w:type="pct"/>
            <w:tcBorders>
              <w:top w:val="nil"/>
              <w:left w:val="nil"/>
              <w:bottom w:val="single" w:sz="8" w:space="0" w:color="C0504D"/>
              <w:right w:val="nil"/>
            </w:tcBorders>
            <w:shd w:val="clear" w:color="auto" w:fill="auto"/>
            <w:vAlign w:val="center"/>
            <w:hideMark/>
          </w:tcPr>
          <w:p w14:paraId="2912D3F0"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60</w:t>
            </w:r>
          </w:p>
        </w:tc>
        <w:tc>
          <w:tcPr>
            <w:tcW w:w="446" w:type="pct"/>
            <w:tcBorders>
              <w:top w:val="nil"/>
              <w:left w:val="nil"/>
              <w:bottom w:val="single" w:sz="8" w:space="0" w:color="C0504D"/>
              <w:right w:val="nil"/>
            </w:tcBorders>
            <w:shd w:val="clear" w:color="auto" w:fill="auto"/>
            <w:vAlign w:val="center"/>
            <w:hideMark/>
          </w:tcPr>
          <w:p w14:paraId="5259596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513</w:t>
            </w:r>
          </w:p>
        </w:tc>
        <w:tc>
          <w:tcPr>
            <w:tcW w:w="434" w:type="pct"/>
            <w:tcBorders>
              <w:top w:val="nil"/>
              <w:left w:val="nil"/>
              <w:bottom w:val="single" w:sz="8" w:space="0" w:color="C0504D"/>
              <w:right w:val="single" w:sz="8" w:space="0" w:color="C0504D"/>
            </w:tcBorders>
            <w:shd w:val="clear" w:color="auto" w:fill="auto"/>
            <w:vAlign w:val="center"/>
            <w:hideMark/>
          </w:tcPr>
          <w:p w14:paraId="48C6CB1C"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228</w:t>
            </w:r>
          </w:p>
        </w:tc>
      </w:tr>
    </w:tbl>
    <w:p w14:paraId="548AE8CE"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VĮ Registrų centras (2017 m. sausio 1 d.) </w:t>
      </w:r>
    </w:p>
    <w:p w14:paraId="7012077E"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7EB652BF" w14:textId="77777777" w:rsidR="005A0219" w:rsidRPr="002142B8" w:rsidRDefault="005A0219" w:rsidP="005A0219">
      <w:pPr>
        <w:keepNext/>
        <w:keepLines/>
        <w:numPr>
          <w:ilvl w:val="2"/>
          <w:numId w:val="2"/>
        </w:numPr>
        <w:spacing w:before="200" w:after="240" w:line="240" w:lineRule="auto"/>
        <w:ind w:left="1077" w:hanging="1077"/>
        <w:outlineLvl w:val="1"/>
        <w:rPr>
          <w:rFonts w:ascii="Georgia" w:eastAsia="Times New Roman" w:hAnsi="Georgia" w:cs="Arial Unicode MS"/>
          <w:b/>
          <w:i/>
          <w:color w:val="821A1A"/>
          <w:sz w:val="32"/>
          <w:szCs w:val="26"/>
          <w:lang w:val="lt-LT"/>
        </w:rPr>
      </w:pPr>
      <w:bookmarkStart w:id="31" w:name="_Toc25589885"/>
      <w:r w:rsidRPr="002142B8">
        <w:rPr>
          <w:rFonts w:ascii="Georgia" w:eastAsia="Times New Roman" w:hAnsi="Georgia" w:cs="Arial Unicode MS"/>
          <w:b/>
          <w:i/>
          <w:color w:val="821A1A"/>
          <w:sz w:val="32"/>
          <w:szCs w:val="26"/>
          <w:lang w:val="lt-LT"/>
        </w:rPr>
        <w:t>Daugiabučiai namai</w:t>
      </w:r>
      <w:bookmarkEnd w:id="31"/>
    </w:p>
    <w:p w14:paraId="339171D5" w14:textId="2B46025B" w:rsidR="005A0219" w:rsidRPr="002142B8" w:rsidRDefault="005A0219" w:rsidP="0063781D">
      <w:pPr>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Daugiabučių namų atnaujinimo (modernizavimo) programoje</w:t>
      </w:r>
      <w:r w:rsidRPr="002142B8">
        <w:rPr>
          <w:rFonts w:ascii="Georgia" w:eastAsia="Georgia" w:hAnsi="Georgia" w:cs="Georgia"/>
          <w:color w:val="000000"/>
          <w:sz w:val="20"/>
          <w:szCs w:val="20"/>
          <w:vertAlign w:val="superscript"/>
          <w:lang w:val="lt-LT"/>
        </w:rPr>
        <w:footnoteReference w:id="8"/>
      </w:r>
      <w:r w:rsidRPr="002142B8">
        <w:rPr>
          <w:rFonts w:ascii="Georgia" w:eastAsia="Georgia" w:hAnsi="Georgia" w:cs="Georgia"/>
          <w:sz w:val="20"/>
          <w:szCs w:val="20"/>
          <w:lang w:val="lt-LT"/>
        </w:rPr>
        <w:t xml:space="preserve"> nurodyta, kad 2009 metų pabaigoje Lietuvoje buvo 37 267 daugiabučiai namai (</w:t>
      </w:r>
      <w:r w:rsidR="00247C5A" w:rsidRPr="002142B8">
        <w:rPr>
          <w:rFonts w:ascii="Georgia" w:eastAsia="Georgia" w:hAnsi="Georgia" w:cs="Georgia"/>
          <w:sz w:val="20"/>
          <w:szCs w:val="20"/>
          <w:lang w:val="lt-LT"/>
        </w:rPr>
        <w:t>trijų</w:t>
      </w:r>
      <w:r w:rsidRPr="002142B8">
        <w:rPr>
          <w:rFonts w:ascii="Georgia" w:eastAsia="Georgia" w:hAnsi="Georgia" w:cs="Georgia"/>
          <w:sz w:val="20"/>
          <w:szCs w:val="20"/>
          <w:lang w:val="lt-LT"/>
        </w:rPr>
        <w:t xml:space="preserve"> ir daugiau butų), iš jų apie 35 000 pastatyti pagal iki </w:t>
      </w:r>
      <w:r w:rsidRPr="002142B8">
        <w:rPr>
          <w:rFonts w:ascii="Georgia" w:eastAsia="Georgia" w:hAnsi="Georgia" w:cs="Georgia"/>
          <w:sz w:val="20"/>
          <w:szCs w:val="20"/>
          <w:lang w:val="lt-LT"/>
        </w:rPr>
        <w:lastRenderedPageBreak/>
        <w:t>1993 metų galiojusius statybos techninius normatyvus. Vidutinio daugiabučio ploto skaičiavimui buvo pasirinkti iki 1992 metų pastatyti daugiabučiai. Vidutinis daugiabučio plotas yra apie 1</w:t>
      </w:r>
      <w:r w:rsidR="00415ADA"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287 m². Žemiau esančioje lentelėje pateikiama daugiabučių namų, suskirstytų pagal statybos metus, statistika.</w:t>
      </w:r>
    </w:p>
    <w:p w14:paraId="6DC8C960" w14:textId="0807D124" w:rsidR="005A0219" w:rsidRPr="002142B8" w:rsidRDefault="005A0219" w:rsidP="005A0219">
      <w:pPr>
        <w:spacing w:after="160" w:line="240" w:lineRule="auto"/>
        <w:jc w:val="both"/>
        <w:rPr>
          <w:rFonts w:ascii="Georgia" w:eastAsia="Georgia" w:hAnsi="Georgia" w:cs="Arial Unicode MS"/>
          <w:i/>
          <w:iCs/>
          <w:color w:val="821A1A"/>
          <w:sz w:val="20"/>
          <w:szCs w:val="18"/>
          <w:lang w:val="lt-LT"/>
        </w:rPr>
      </w:pPr>
      <w:bookmarkStart w:id="32" w:name="_Toc455735503"/>
      <w:bookmarkStart w:id="33" w:name="_Toc507939130"/>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8</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Georgia"/>
          <w:i/>
          <w:iCs/>
          <w:color w:val="821A1A"/>
          <w:sz w:val="20"/>
          <w:szCs w:val="20"/>
          <w:lang w:val="lt-LT"/>
        </w:rPr>
        <w:t>Daugiabučiai namai pagal statybos metus</w:t>
      </w:r>
      <w:bookmarkEnd w:id="32"/>
      <w:bookmarkEnd w:id="33"/>
    </w:p>
    <w:tbl>
      <w:tblPr>
        <w:tblStyle w:val="LightList-Accent21"/>
        <w:tblW w:w="4966" w:type="pct"/>
        <w:tblLook w:val="04A0" w:firstRow="1" w:lastRow="0" w:firstColumn="1" w:lastColumn="0" w:noHBand="0" w:noVBand="1"/>
      </w:tblPr>
      <w:tblGrid>
        <w:gridCol w:w="2608"/>
        <w:gridCol w:w="1841"/>
        <w:gridCol w:w="1560"/>
        <w:gridCol w:w="1698"/>
        <w:gridCol w:w="1472"/>
      </w:tblGrid>
      <w:tr w:rsidR="005A0219" w:rsidRPr="002142B8" w14:paraId="22B930E1" w14:textId="77777777" w:rsidTr="006378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0" w:type="pct"/>
            <w:vMerge w:val="restart"/>
            <w:hideMark/>
          </w:tcPr>
          <w:p w14:paraId="4AE24F47" w14:textId="77777777" w:rsidR="005A0219" w:rsidRPr="002142B8" w:rsidRDefault="005A0219" w:rsidP="005A0219">
            <w:pPr>
              <w:tabs>
                <w:tab w:val="left" w:pos="-3227"/>
                <w:tab w:val="center" w:pos="-3085"/>
              </w:tabs>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Statybos metai</w:t>
            </w:r>
          </w:p>
        </w:tc>
        <w:tc>
          <w:tcPr>
            <w:tcW w:w="1853" w:type="pct"/>
            <w:gridSpan w:val="2"/>
            <w:hideMark/>
          </w:tcPr>
          <w:p w14:paraId="670823BE" w14:textId="77777777" w:rsidR="005A0219" w:rsidRPr="002142B8" w:rsidRDefault="005A0219" w:rsidP="005A0219">
            <w:pPr>
              <w:tabs>
                <w:tab w:val="left" w:pos="-5377"/>
                <w:tab w:val="center"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Namų skaičius</w:t>
            </w:r>
          </w:p>
        </w:tc>
        <w:tc>
          <w:tcPr>
            <w:tcW w:w="1727" w:type="pct"/>
            <w:gridSpan w:val="2"/>
            <w:hideMark/>
          </w:tcPr>
          <w:p w14:paraId="3E501EC5"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 xml:space="preserve">Bendrasis plotas </w:t>
            </w:r>
          </w:p>
        </w:tc>
      </w:tr>
      <w:tr w:rsidR="005A0219" w:rsidRPr="002142B8" w14:paraId="4B21A515" w14:textId="77777777" w:rsidTr="0063781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0" w:type="pct"/>
            <w:vMerge/>
            <w:hideMark/>
          </w:tcPr>
          <w:p w14:paraId="3594DBE4" w14:textId="77777777" w:rsidR="005A0219" w:rsidRPr="002142B8" w:rsidRDefault="005A0219" w:rsidP="005A0219">
            <w:pPr>
              <w:rPr>
                <w:rFonts w:ascii="Georgia" w:eastAsia="Times New Roman" w:hAnsi="Georgia" w:cs="Times New Roman"/>
                <w:sz w:val="20"/>
                <w:szCs w:val="20"/>
                <w:lang w:eastAsia="lt-LT"/>
              </w:rPr>
            </w:pPr>
          </w:p>
        </w:tc>
        <w:tc>
          <w:tcPr>
            <w:tcW w:w="1003" w:type="pct"/>
            <w:hideMark/>
          </w:tcPr>
          <w:p w14:paraId="2AC47D7D" w14:textId="77777777" w:rsidR="005A0219" w:rsidRPr="002142B8" w:rsidRDefault="005A0219" w:rsidP="005A0219">
            <w:pPr>
              <w:tabs>
                <w:tab w:val="left" w:pos="-5235"/>
              </w:tabs>
              <w:ind w:firstLine="10"/>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vienetais</w:t>
            </w:r>
          </w:p>
        </w:tc>
        <w:tc>
          <w:tcPr>
            <w:tcW w:w="850" w:type="pct"/>
            <w:hideMark/>
          </w:tcPr>
          <w:p w14:paraId="4F0EFF13" w14:textId="77777777" w:rsidR="005A0219" w:rsidRPr="002142B8" w:rsidRDefault="005A0219" w:rsidP="005A0219">
            <w:pPr>
              <w:tabs>
                <w:tab w:val="center" w:pos="-7276"/>
                <w:tab w:val="left" w:pos="-7134"/>
              </w:tabs>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procentais</w:t>
            </w:r>
          </w:p>
        </w:tc>
        <w:tc>
          <w:tcPr>
            <w:tcW w:w="925" w:type="pct"/>
            <w:hideMark/>
          </w:tcPr>
          <w:p w14:paraId="0D5C4D81"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kv. metrais</w:t>
            </w:r>
          </w:p>
        </w:tc>
        <w:tc>
          <w:tcPr>
            <w:tcW w:w="802" w:type="pct"/>
            <w:hideMark/>
          </w:tcPr>
          <w:p w14:paraId="2915F9EC" w14:textId="77777777" w:rsidR="005A0219" w:rsidRPr="002142B8" w:rsidRDefault="005A0219" w:rsidP="005A0219">
            <w:pPr>
              <w:tabs>
                <w:tab w:val="left" w:pos="-11074"/>
                <w:tab w:val="center" w:pos="-10932"/>
              </w:tabs>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procentais</w:t>
            </w:r>
          </w:p>
        </w:tc>
      </w:tr>
      <w:tr w:rsidR="00300FF4" w:rsidRPr="002142B8" w14:paraId="169B2307" w14:textId="77777777" w:rsidTr="00776D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64C6E201" w14:textId="77777777" w:rsidR="005A0219" w:rsidRPr="002142B8" w:rsidRDefault="005A0219" w:rsidP="005A0219">
            <w:pPr>
              <w:tabs>
                <w:tab w:val="center" w:pos="567"/>
                <w:tab w:val="left" w:pos="1080"/>
              </w:tabs>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Iki 1940 metų</w:t>
            </w:r>
          </w:p>
        </w:tc>
        <w:tc>
          <w:tcPr>
            <w:tcW w:w="1003" w:type="pct"/>
            <w:tcBorders>
              <w:top w:val="single" w:sz="8" w:space="0" w:color="C0504D"/>
              <w:left w:val="nil"/>
              <w:bottom w:val="single" w:sz="8" w:space="0" w:color="C0504D"/>
              <w:right w:val="nil"/>
            </w:tcBorders>
            <w:shd w:val="clear" w:color="auto" w:fill="auto"/>
            <w:vAlign w:val="center"/>
            <w:hideMark/>
          </w:tcPr>
          <w:p w14:paraId="3CD9363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10 229</w:t>
            </w:r>
          </w:p>
        </w:tc>
        <w:tc>
          <w:tcPr>
            <w:tcW w:w="850" w:type="pct"/>
            <w:tcBorders>
              <w:top w:val="single" w:sz="8" w:space="0" w:color="C0504D"/>
              <w:left w:val="nil"/>
              <w:bottom w:val="single" w:sz="8" w:space="0" w:color="C0504D"/>
              <w:right w:val="nil"/>
            </w:tcBorders>
            <w:shd w:val="clear" w:color="auto" w:fill="auto"/>
            <w:vAlign w:val="center"/>
            <w:hideMark/>
          </w:tcPr>
          <w:p w14:paraId="74021E3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27,0%</w:t>
            </w:r>
          </w:p>
        </w:tc>
        <w:tc>
          <w:tcPr>
            <w:tcW w:w="925" w:type="pct"/>
            <w:tcBorders>
              <w:top w:val="single" w:sz="8" w:space="0" w:color="C0504D"/>
              <w:left w:val="nil"/>
              <w:bottom w:val="single" w:sz="8" w:space="0" w:color="C0504D"/>
              <w:right w:val="nil"/>
            </w:tcBorders>
            <w:shd w:val="clear" w:color="auto" w:fill="auto"/>
            <w:vAlign w:val="center"/>
            <w:hideMark/>
          </w:tcPr>
          <w:p w14:paraId="104D36D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3 885 470</w:t>
            </w:r>
          </w:p>
        </w:tc>
        <w:tc>
          <w:tcPr>
            <w:tcW w:w="802" w:type="pct"/>
            <w:tcBorders>
              <w:top w:val="single" w:sz="8" w:space="0" w:color="C0504D"/>
              <w:left w:val="nil"/>
              <w:bottom w:val="single" w:sz="8" w:space="0" w:color="C0504D"/>
              <w:right w:val="single" w:sz="8" w:space="0" w:color="C0504D"/>
            </w:tcBorders>
            <w:shd w:val="clear" w:color="auto" w:fill="auto"/>
            <w:vAlign w:val="center"/>
            <w:hideMark/>
          </w:tcPr>
          <w:p w14:paraId="7D3C8A86"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7,3%</w:t>
            </w:r>
          </w:p>
        </w:tc>
      </w:tr>
      <w:tr w:rsidR="00A9390E" w:rsidRPr="002142B8" w14:paraId="414EA133" w14:textId="77777777" w:rsidTr="00831E09">
        <w:trPr>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589B9032" w14:textId="77777777" w:rsidR="005A0219" w:rsidRPr="002142B8" w:rsidRDefault="005A0219" w:rsidP="005A0219">
            <w:pPr>
              <w:tabs>
                <w:tab w:val="center" w:pos="-3085"/>
              </w:tabs>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1941−1960 metai</w:t>
            </w:r>
          </w:p>
        </w:tc>
        <w:tc>
          <w:tcPr>
            <w:tcW w:w="1003" w:type="pct"/>
            <w:tcBorders>
              <w:top w:val="nil"/>
              <w:left w:val="nil"/>
              <w:bottom w:val="nil"/>
              <w:right w:val="nil"/>
            </w:tcBorders>
            <w:shd w:val="clear" w:color="auto" w:fill="auto"/>
            <w:vAlign w:val="center"/>
            <w:hideMark/>
          </w:tcPr>
          <w:p w14:paraId="62F7A10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3 747</w:t>
            </w:r>
          </w:p>
        </w:tc>
        <w:tc>
          <w:tcPr>
            <w:tcW w:w="850" w:type="pct"/>
            <w:tcBorders>
              <w:top w:val="nil"/>
              <w:left w:val="nil"/>
              <w:bottom w:val="single" w:sz="8" w:space="0" w:color="C0504D"/>
              <w:right w:val="nil"/>
            </w:tcBorders>
            <w:shd w:val="clear" w:color="auto" w:fill="auto"/>
            <w:vAlign w:val="center"/>
            <w:hideMark/>
          </w:tcPr>
          <w:p w14:paraId="50E9AC10"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9,9%</w:t>
            </w:r>
          </w:p>
        </w:tc>
        <w:tc>
          <w:tcPr>
            <w:tcW w:w="925" w:type="pct"/>
            <w:tcBorders>
              <w:top w:val="nil"/>
              <w:left w:val="nil"/>
              <w:bottom w:val="nil"/>
              <w:right w:val="nil"/>
            </w:tcBorders>
            <w:shd w:val="clear" w:color="auto" w:fill="auto"/>
            <w:vAlign w:val="center"/>
            <w:hideMark/>
          </w:tcPr>
          <w:p w14:paraId="2F7ABAD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2 304 923</w:t>
            </w:r>
          </w:p>
        </w:tc>
        <w:tc>
          <w:tcPr>
            <w:tcW w:w="802" w:type="pct"/>
            <w:tcBorders>
              <w:top w:val="nil"/>
              <w:left w:val="nil"/>
              <w:bottom w:val="single" w:sz="8" w:space="0" w:color="C0504D"/>
              <w:right w:val="single" w:sz="8" w:space="0" w:color="C0504D"/>
            </w:tcBorders>
            <w:shd w:val="clear" w:color="auto" w:fill="auto"/>
            <w:vAlign w:val="center"/>
            <w:hideMark/>
          </w:tcPr>
          <w:p w14:paraId="125E28C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4,3%</w:t>
            </w:r>
          </w:p>
        </w:tc>
      </w:tr>
      <w:tr w:rsidR="00A9390E" w:rsidRPr="002142B8" w14:paraId="0742EDBB" w14:textId="77777777" w:rsidTr="00831E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008AEBA3" w14:textId="77777777" w:rsidR="005A0219" w:rsidRPr="002142B8" w:rsidRDefault="005A0219" w:rsidP="005A0219">
            <w:pPr>
              <w:tabs>
                <w:tab w:val="center" w:pos="-3085"/>
              </w:tabs>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1961−1990 metai</w:t>
            </w:r>
          </w:p>
        </w:tc>
        <w:tc>
          <w:tcPr>
            <w:tcW w:w="1003" w:type="pct"/>
            <w:tcBorders>
              <w:top w:val="single" w:sz="8" w:space="0" w:color="C0504D"/>
              <w:left w:val="nil"/>
              <w:bottom w:val="single" w:sz="8" w:space="0" w:color="C0504D"/>
              <w:right w:val="nil"/>
            </w:tcBorders>
            <w:shd w:val="clear" w:color="auto" w:fill="auto"/>
            <w:vAlign w:val="center"/>
            <w:hideMark/>
          </w:tcPr>
          <w:p w14:paraId="6C7E71F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20 253</w:t>
            </w:r>
          </w:p>
        </w:tc>
        <w:tc>
          <w:tcPr>
            <w:tcW w:w="850" w:type="pct"/>
            <w:tcBorders>
              <w:top w:val="nil"/>
              <w:left w:val="nil"/>
              <w:bottom w:val="single" w:sz="8" w:space="0" w:color="C0504D"/>
              <w:right w:val="nil"/>
            </w:tcBorders>
            <w:shd w:val="clear" w:color="auto" w:fill="auto"/>
            <w:vAlign w:val="center"/>
            <w:hideMark/>
          </w:tcPr>
          <w:p w14:paraId="49E772A4"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53,4%</w:t>
            </w:r>
          </w:p>
        </w:tc>
        <w:tc>
          <w:tcPr>
            <w:tcW w:w="925" w:type="pct"/>
            <w:tcBorders>
              <w:top w:val="single" w:sz="8" w:space="0" w:color="C0504D"/>
              <w:left w:val="nil"/>
              <w:bottom w:val="single" w:sz="8" w:space="0" w:color="C0504D"/>
              <w:right w:val="nil"/>
            </w:tcBorders>
            <w:shd w:val="clear" w:color="auto" w:fill="auto"/>
            <w:vAlign w:val="center"/>
            <w:hideMark/>
          </w:tcPr>
          <w:p w14:paraId="4F25D57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37 520 552</w:t>
            </w:r>
          </w:p>
        </w:tc>
        <w:tc>
          <w:tcPr>
            <w:tcW w:w="802" w:type="pct"/>
            <w:tcBorders>
              <w:top w:val="nil"/>
              <w:left w:val="nil"/>
              <w:bottom w:val="single" w:sz="8" w:space="0" w:color="C0504D"/>
              <w:right w:val="single" w:sz="8" w:space="0" w:color="C0504D"/>
            </w:tcBorders>
            <w:shd w:val="clear" w:color="auto" w:fill="auto"/>
            <w:vAlign w:val="center"/>
            <w:hideMark/>
          </w:tcPr>
          <w:p w14:paraId="797B38E7"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70,1%</w:t>
            </w:r>
          </w:p>
        </w:tc>
      </w:tr>
      <w:tr w:rsidR="00A9390E" w:rsidRPr="002142B8" w14:paraId="3909DCC6" w14:textId="77777777" w:rsidTr="00831E09">
        <w:trPr>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2DA6E37F" w14:textId="77777777" w:rsidR="005A0219" w:rsidRPr="002142B8" w:rsidRDefault="005A0219" w:rsidP="005A0219">
            <w:pPr>
              <w:tabs>
                <w:tab w:val="center" w:pos="-3085"/>
              </w:tabs>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1991 metai ir vėliau</w:t>
            </w:r>
          </w:p>
        </w:tc>
        <w:tc>
          <w:tcPr>
            <w:tcW w:w="1003" w:type="pct"/>
            <w:tcBorders>
              <w:top w:val="nil"/>
              <w:left w:val="nil"/>
              <w:bottom w:val="nil"/>
              <w:right w:val="nil"/>
            </w:tcBorders>
            <w:shd w:val="clear" w:color="auto" w:fill="auto"/>
            <w:vAlign w:val="center"/>
            <w:hideMark/>
          </w:tcPr>
          <w:p w14:paraId="76723A5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3 696</w:t>
            </w:r>
          </w:p>
        </w:tc>
        <w:tc>
          <w:tcPr>
            <w:tcW w:w="850" w:type="pct"/>
            <w:tcBorders>
              <w:top w:val="nil"/>
              <w:left w:val="nil"/>
              <w:bottom w:val="single" w:sz="8" w:space="0" w:color="C0504D"/>
              <w:right w:val="nil"/>
            </w:tcBorders>
            <w:shd w:val="clear" w:color="auto" w:fill="auto"/>
            <w:vAlign w:val="center"/>
            <w:hideMark/>
          </w:tcPr>
          <w:p w14:paraId="1734956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9,7%</w:t>
            </w:r>
          </w:p>
        </w:tc>
        <w:tc>
          <w:tcPr>
            <w:tcW w:w="925" w:type="pct"/>
            <w:tcBorders>
              <w:top w:val="nil"/>
              <w:left w:val="nil"/>
              <w:bottom w:val="nil"/>
              <w:right w:val="nil"/>
            </w:tcBorders>
            <w:shd w:val="clear" w:color="auto" w:fill="auto"/>
            <w:vAlign w:val="center"/>
            <w:hideMark/>
          </w:tcPr>
          <w:p w14:paraId="5753CDF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9 840 582</w:t>
            </w:r>
          </w:p>
        </w:tc>
        <w:tc>
          <w:tcPr>
            <w:tcW w:w="802" w:type="pct"/>
            <w:tcBorders>
              <w:top w:val="nil"/>
              <w:left w:val="nil"/>
              <w:bottom w:val="single" w:sz="8" w:space="0" w:color="C0504D"/>
              <w:right w:val="single" w:sz="8" w:space="0" w:color="C0504D"/>
            </w:tcBorders>
            <w:shd w:val="clear" w:color="auto" w:fill="auto"/>
            <w:vAlign w:val="center"/>
            <w:hideMark/>
          </w:tcPr>
          <w:p w14:paraId="4511056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18,4%</w:t>
            </w:r>
          </w:p>
        </w:tc>
      </w:tr>
      <w:tr w:rsidR="00A9390E" w:rsidRPr="002142B8" w14:paraId="7DC2C9A8" w14:textId="77777777" w:rsidTr="00831E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pct"/>
            <w:hideMark/>
          </w:tcPr>
          <w:p w14:paraId="4A6757EB" w14:textId="77777777" w:rsidR="005A0219" w:rsidRPr="002142B8" w:rsidRDefault="005A0219" w:rsidP="005A0219">
            <w:pPr>
              <w:tabs>
                <w:tab w:val="center" w:pos="567"/>
                <w:tab w:val="left" w:pos="1080"/>
              </w:tabs>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Iš viso</w:t>
            </w:r>
          </w:p>
        </w:tc>
        <w:tc>
          <w:tcPr>
            <w:tcW w:w="1003" w:type="pct"/>
            <w:tcBorders>
              <w:top w:val="single" w:sz="8" w:space="0" w:color="C0504D"/>
              <w:left w:val="nil"/>
              <w:bottom w:val="single" w:sz="8" w:space="0" w:color="C0504D"/>
              <w:right w:val="nil"/>
            </w:tcBorders>
            <w:shd w:val="clear" w:color="auto" w:fill="auto"/>
            <w:vAlign w:val="center"/>
            <w:hideMark/>
          </w:tcPr>
          <w:p w14:paraId="79A4B0D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37 925</w:t>
            </w:r>
          </w:p>
        </w:tc>
        <w:tc>
          <w:tcPr>
            <w:tcW w:w="850" w:type="pct"/>
            <w:tcBorders>
              <w:top w:val="nil"/>
              <w:left w:val="nil"/>
              <w:bottom w:val="single" w:sz="8" w:space="0" w:color="C0504D"/>
              <w:right w:val="nil"/>
            </w:tcBorders>
            <w:shd w:val="clear" w:color="auto" w:fill="auto"/>
            <w:vAlign w:val="center"/>
            <w:hideMark/>
          </w:tcPr>
          <w:p w14:paraId="3E219D4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100,0%</w:t>
            </w:r>
          </w:p>
        </w:tc>
        <w:tc>
          <w:tcPr>
            <w:tcW w:w="925" w:type="pct"/>
            <w:tcBorders>
              <w:top w:val="single" w:sz="8" w:space="0" w:color="C0504D"/>
              <w:left w:val="nil"/>
              <w:bottom w:val="single" w:sz="8" w:space="0" w:color="C0504D"/>
              <w:right w:val="nil"/>
            </w:tcBorders>
            <w:shd w:val="clear" w:color="auto" w:fill="auto"/>
            <w:vAlign w:val="center"/>
            <w:hideMark/>
          </w:tcPr>
          <w:p w14:paraId="2A9B467F"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53 551 527</w:t>
            </w:r>
          </w:p>
        </w:tc>
        <w:tc>
          <w:tcPr>
            <w:tcW w:w="802" w:type="pct"/>
            <w:tcBorders>
              <w:top w:val="nil"/>
              <w:left w:val="nil"/>
              <w:bottom w:val="single" w:sz="8" w:space="0" w:color="C0504D"/>
              <w:right w:val="single" w:sz="8" w:space="0" w:color="C0504D"/>
            </w:tcBorders>
            <w:shd w:val="clear" w:color="auto" w:fill="auto"/>
            <w:vAlign w:val="center"/>
            <w:hideMark/>
          </w:tcPr>
          <w:p w14:paraId="21EC353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 w:val="20"/>
                <w:szCs w:val="20"/>
              </w:rPr>
            </w:pPr>
            <w:r w:rsidRPr="002142B8">
              <w:rPr>
                <w:rFonts w:ascii="Georgia" w:eastAsia="Georgia" w:hAnsi="Georgia" w:cs="Arial Unicode MS"/>
                <w:color w:val="000000"/>
                <w:sz w:val="20"/>
                <w:szCs w:val="20"/>
              </w:rPr>
              <w:t>100,0%</w:t>
            </w:r>
          </w:p>
        </w:tc>
      </w:tr>
    </w:tbl>
    <w:p w14:paraId="34BF3F32"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VĮ Registrų centras (2017 m. sausio 1 d.) </w:t>
      </w:r>
    </w:p>
    <w:p w14:paraId="27E84319" w14:textId="37D528D0" w:rsidR="005A0219" w:rsidRPr="002142B8" w:rsidRDefault="005A0219" w:rsidP="0063781D">
      <w:pPr>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Remiantis šios lentelės duomenimis, apie 60 procentų daugiabučių namų pastatyti per 1961-1993 m. laikotarpį, kai vyravo plytinių ir stambiaplokščių tipinių daugiabučių namų statyba ir buvo taikomi kiti statybos techniniai normatyvai. Šių namų išorinių atitvarų šiluminės varžos charakteristikos prastos, neatitinka esamų normatyvinių reikalavimų. Šiluminės energijos sąnaudos šiuose namuose siekia 160–180 kWh/m² per metus, o naujos statybos namuose, statytuose po 1993 metų, – 80–90 kWh/m² per metus. </w:t>
      </w:r>
      <w:r w:rsidRPr="002142B8">
        <w:rPr>
          <w:rFonts w:ascii="Georgia" w:eastAsia="Georgia" w:hAnsi="Georgia" w:cs="Arial Unicode MS"/>
          <w:sz w:val="20"/>
          <w:szCs w:val="20"/>
          <w:lang w:val="lt-LT"/>
        </w:rPr>
        <w:t>Šiluminės energijos sąnaudos daugiabučiuose namuose, pastatytuose pagal galiojusius iki 1993 metų statybos techninius normatyvus – apie 5 000 GWh per metus.</w:t>
      </w:r>
    </w:p>
    <w:p w14:paraId="1462D912" w14:textId="0DA8B205" w:rsidR="005A0219" w:rsidRPr="002142B8" w:rsidRDefault="005A0219" w:rsidP="0063781D">
      <w:pPr>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Šiluminės energijos kaina, Lietuvos šilumos tiekėjų asociacijos duomenimis, per 2007–2012 metus nuolat didėjo nuo 0,04 eurų  iki  0,077 eurų už kWh (arba 1,9 karto), tačiau nuo 2012 m. kaina pradėjo pastoviai kristi ir 201</w:t>
      </w:r>
      <w:r w:rsidR="00415ADA" w:rsidRPr="002142B8">
        <w:rPr>
          <w:rFonts w:ascii="Georgia" w:eastAsia="Georgia" w:hAnsi="Georgia" w:cs="Georgia"/>
          <w:sz w:val="20"/>
          <w:szCs w:val="20"/>
          <w:lang w:val="lt-LT"/>
        </w:rPr>
        <w:t>7</w:t>
      </w:r>
      <w:r w:rsidRPr="002142B8">
        <w:rPr>
          <w:rFonts w:ascii="Georgia" w:eastAsia="Georgia" w:hAnsi="Georgia" w:cs="Georgia"/>
          <w:sz w:val="20"/>
          <w:szCs w:val="20"/>
          <w:lang w:val="lt-LT"/>
        </w:rPr>
        <w:t xml:space="preserve"> m. </w:t>
      </w:r>
      <w:r w:rsidR="00415ADA" w:rsidRPr="002142B8">
        <w:rPr>
          <w:rFonts w:ascii="Georgia" w:eastAsia="Georgia" w:hAnsi="Georgia" w:cs="Georgia"/>
          <w:sz w:val="20"/>
          <w:szCs w:val="20"/>
          <w:lang w:val="lt-LT"/>
        </w:rPr>
        <w:t xml:space="preserve">lapkričio </w:t>
      </w:r>
      <w:r w:rsidRPr="002142B8">
        <w:rPr>
          <w:rFonts w:ascii="Georgia" w:eastAsia="Georgia" w:hAnsi="Georgia" w:cs="Georgia"/>
          <w:sz w:val="20"/>
          <w:szCs w:val="20"/>
          <w:lang w:val="lt-LT"/>
        </w:rPr>
        <w:t>mėnesį pasiekė 0,05 eurų už kWh</w:t>
      </w:r>
      <w:r w:rsidR="00415ADA"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lygį</w:t>
      </w:r>
      <w:r w:rsidRPr="002142B8">
        <w:rPr>
          <w:rFonts w:ascii="Georgia" w:eastAsia="Georgia" w:hAnsi="Georgia" w:cs="Georgia"/>
          <w:color w:val="000000"/>
          <w:sz w:val="20"/>
          <w:szCs w:val="20"/>
          <w:vertAlign w:val="superscript"/>
          <w:lang w:val="lt-LT"/>
        </w:rPr>
        <w:footnoteReference w:id="9"/>
      </w:r>
      <w:r w:rsidRPr="002142B8">
        <w:rPr>
          <w:rFonts w:ascii="Georgia" w:eastAsia="Georgia" w:hAnsi="Georgia" w:cs="Georgia"/>
          <w:sz w:val="20"/>
          <w:szCs w:val="20"/>
          <w:lang w:val="lt-LT"/>
        </w:rPr>
        <w:t>. Pagal situacijos būsto sektoriuje 2016 metų tyrimą</w:t>
      </w:r>
      <w:r w:rsidRPr="002142B8">
        <w:rPr>
          <w:rFonts w:ascii="Georgia" w:eastAsia="Georgia" w:hAnsi="Georgia" w:cs="Georgia"/>
          <w:color w:val="000000"/>
          <w:sz w:val="20"/>
          <w:szCs w:val="20"/>
          <w:vertAlign w:val="superscript"/>
          <w:lang w:val="lt-LT"/>
        </w:rPr>
        <w:footnoteReference w:id="10"/>
      </w:r>
      <w:r w:rsidRPr="002142B8">
        <w:rPr>
          <w:rFonts w:ascii="Georgia" w:eastAsia="Georgia" w:hAnsi="Georgia" w:cs="Arial Unicode MS"/>
          <w:color w:val="000000"/>
          <w:sz w:val="20"/>
          <w:szCs w:val="20"/>
          <w:vertAlign w:val="superscript"/>
          <w:lang w:val="lt-LT"/>
        </w:rPr>
        <w:t xml:space="preserve"> </w:t>
      </w:r>
      <w:r w:rsidRPr="002142B8">
        <w:rPr>
          <w:rFonts w:ascii="Georgia" w:eastAsia="Georgia" w:hAnsi="Georgia" w:cs="Georgia"/>
          <w:sz w:val="20"/>
          <w:szCs w:val="20"/>
          <w:lang w:val="lt-LT"/>
        </w:rPr>
        <w:t>tik trečdalis gyventojų būstą kuriame gyveno vertino kaip gerą arba labai gerą.</w:t>
      </w:r>
    </w:p>
    <w:p w14:paraId="1DD40085" w14:textId="77777777" w:rsidR="005A0219" w:rsidRPr="002142B8" w:rsidRDefault="005A0219" w:rsidP="005A0219">
      <w:pPr>
        <w:keepNext/>
        <w:keepLines/>
        <w:numPr>
          <w:ilvl w:val="2"/>
          <w:numId w:val="2"/>
        </w:numPr>
        <w:spacing w:before="200" w:after="240" w:line="240" w:lineRule="auto"/>
        <w:ind w:left="1077" w:hanging="1077"/>
        <w:outlineLvl w:val="1"/>
        <w:rPr>
          <w:rFonts w:ascii="Georgia" w:eastAsia="Times New Roman" w:hAnsi="Georgia" w:cs="Arial Unicode MS"/>
          <w:b/>
          <w:i/>
          <w:color w:val="821A1A"/>
          <w:sz w:val="32"/>
          <w:szCs w:val="26"/>
          <w:lang w:val="lt-LT"/>
        </w:rPr>
      </w:pPr>
      <w:bookmarkStart w:id="34" w:name="_Toc393381208"/>
      <w:bookmarkStart w:id="35" w:name="_Toc25589886"/>
      <w:r w:rsidRPr="002142B8">
        <w:rPr>
          <w:rFonts w:ascii="Georgia" w:eastAsia="Times New Roman" w:hAnsi="Georgia" w:cs="Arial Unicode MS"/>
          <w:b/>
          <w:i/>
          <w:color w:val="821A1A"/>
          <w:sz w:val="32"/>
          <w:szCs w:val="26"/>
          <w:lang w:val="lt-LT"/>
        </w:rPr>
        <w:t>Gatvių apšvietimas</w:t>
      </w:r>
      <w:bookmarkEnd w:id="34"/>
      <w:bookmarkEnd w:id="35"/>
    </w:p>
    <w:p w14:paraId="6924BD5D" w14:textId="2D4B8D86"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Lietuvoje nėra centralizuotos gatvių apšvietimo įrangos duomenų bazės, todėl šiam ex-ante vertinimui buvo pasitelkta Energetikos ministerijos pateikta informacija, kuri buvo surinkta iš savivaldybių</w:t>
      </w:r>
      <w:r w:rsidRPr="002142B8">
        <w:rPr>
          <w:rFonts w:ascii="Georgia" w:eastAsia="Georgia" w:hAnsi="Georgia" w:cs="Georgia"/>
          <w:color w:val="000000"/>
          <w:sz w:val="20"/>
          <w:szCs w:val="20"/>
          <w:vertAlign w:val="superscript"/>
          <w:lang w:val="lt-LT"/>
        </w:rPr>
        <w:footnoteReference w:id="11"/>
      </w:r>
      <w:r w:rsidRPr="002142B8">
        <w:rPr>
          <w:rFonts w:ascii="Georgia" w:eastAsia="Georgia" w:hAnsi="Georgia" w:cs="Georgia"/>
          <w:sz w:val="20"/>
          <w:szCs w:val="20"/>
          <w:lang w:val="lt-LT"/>
        </w:rPr>
        <w:t>. Lietuvoje yra apie 186 tūkst. šviestuvų, iš kurių apie 9 tūkst. šviestuvų eksploatuoja Lietuvos geležinkeliai (Lietuvos geležinkelių apšvietimas išskiriamas dėl šių tinklų specifikos, be to, tai nėra gatvių apšvietimas). Apie 50 tūkst. šviestuvų yra Vilniuje</w:t>
      </w:r>
      <w:r w:rsidRPr="002142B8">
        <w:rPr>
          <w:rFonts w:ascii="Georgia" w:eastAsia="Georgia" w:hAnsi="Georgia" w:cs="Georgia"/>
          <w:color w:val="000000"/>
          <w:sz w:val="20"/>
          <w:szCs w:val="20"/>
          <w:vertAlign w:val="superscript"/>
          <w:lang w:val="lt-LT"/>
        </w:rPr>
        <w:footnoteReference w:id="12"/>
      </w:r>
      <w:r w:rsidRPr="002142B8">
        <w:rPr>
          <w:rFonts w:ascii="Georgia" w:eastAsia="Georgia" w:hAnsi="Georgia" w:cs="Georgia"/>
          <w:sz w:val="20"/>
          <w:szCs w:val="20"/>
          <w:lang w:val="lt-LT"/>
        </w:rPr>
        <w:t>, iš kurių 40</w:t>
      </w:r>
      <w:r w:rsidR="00415ADA"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 xml:space="preserve">605 ketinama renovuoti įgyvendinant „Vilniaus miesto gatvių apšvietimo sistemos modernizavimo projektą“. Iki 2017 m. spalio 10 d. buvo renkamos finansavimo paraiškos ir pasiūlymai, o iki gruodžio mėnesio </w:t>
      </w:r>
      <w:r w:rsidR="004A2480" w:rsidRPr="002142B8">
        <w:rPr>
          <w:rFonts w:ascii="Georgia" w:eastAsia="Georgia" w:hAnsi="Georgia" w:cs="Georgia"/>
          <w:sz w:val="20"/>
          <w:szCs w:val="20"/>
          <w:lang w:val="lt-LT"/>
        </w:rPr>
        <w:t xml:space="preserve">pabaigos </w:t>
      </w:r>
      <w:r w:rsidRPr="002142B8">
        <w:rPr>
          <w:rFonts w:ascii="Georgia" w:eastAsia="Georgia" w:hAnsi="Georgia" w:cs="Georgia"/>
          <w:sz w:val="20"/>
          <w:szCs w:val="20"/>
          <w:lang w:val="lt-LT"/>
        </w:rPr>
        <w:t xml:space="preserve">ketinama išsirinkti galimus finansuotojus. Numatoma projekto vertė siekia </w:t>
      </w:r>
      <w:r w:rsidR="00934BBB" w:rsidRPr="002142B8">
        <w:rPr>
          <w:rFonts w:ascii="Georgia" w:eastAsia="Georgia" w:hAnsi="Georgia" w:cs="Georgia"/>
          <w:sz w:val="20"/>
          <w:szCs w:val="20"/>
          <w:lang w:val="lt-LT"/>
        </w:rPr>
        <w:t>21</w:t>
      </w:r>
      <w:r w:rsidRPr="002142B8">
        <w:rPr>
          <w:rFonts w:ascii="Georgia" w:eastAsia="Georgia" w:hAnsi="Georgia" w:cs="Georgia"/>
          <w:sz w:val="20"/>
          <w:szCs w:val="20"/>
          <w:lang w:val="lt-LT"/>
        </w:rPr>
        <w:t>,60 mln. eurų</w:t>
      </w:r>
      <w:r w:rsidR="00934BBB" w:rsidRPr="002142B8">
        <w:rPr>
          <w:rStyle w:val="Puslapioinaosnuoroda"/>
          <w:rFonts w:ascii="Georgia" w:eastAsia="Georgia" w:hAnsi="Georgia" w:cs="Georgia"/>
          <w:sz w:val="20"/>
          <w:szCs w:val="20"/>
          <w:lang w:val="lt-LT"/>
        </w:rPr>
        <w:footnoteReference w:id="13"/>
      </w:r>
      <w:r w:rsidRPr="002142B8">
        <w:rPr>
          <w:rFonts w:ascii="Georgia" w:eastAsia="Georgia" w:hAnsi="Georgia" w:cs="Georgia"/>
          <w:sz w:val="20"/>
          <w:szCs w:val="20"/>
          <w:lang w:val="lt-LT"/>
        </w:rPr>
        <w:t xml:space="preserve">, o trukmė – </w:t>
      </w:r>
      <w:r w:rsidR="004A2480" w:rsidRPr="002142B8">
        <w:rPr>
          <w:rFonts w:ascii="Georgia" w:eastAsia="Georgia" w:hAnsi="Georgia" w:cs="Georgia"/>
          <w:sz w:val="20"/>
          <w:szCs w:val="20"/>
          <w:lang w:val="lt-LT"/>
        </w:rPr>
        <w:t xml:space="preserve">treji </w:t>
      </w:r>
      <w:r w:rsidRPr="002142B8">
        <w:rPr>
          <w:rFonts w:ascii="Georgia" w:eastAsia="Georgia" w:hAnsi="Georgia" w:cs="Georgia"/>
          <w:sz w:val="20"/>
          <w:szCs w:val="20"/>
          <w:lang w:val="lt-LT"/>
        </w:rPr>
        <w:t xml:space="preserve">metai.   </w:t>
      </w:r>
    </w:p>
    <w:p w14:paraId="41818AD4" w14:textId="77777777" w:rsidR="005A0219" w:rsidRPr="002142B8" w:rsidRDefault="005A0219" w:rsidP="005A0219">
      <w:pPr>
        <w:autoSpaceDE w:val="0"/>
        <w:autoSpaceDN w:val="0"/>
        <w:adjustRightInd w:val="0"/>
        <w:spacing w:after="0" w:line="240" w:lineRule="auto"/>
        <w:ind w:left="426"/>
        <w:jc w:val="both"/>
        <w:rPr>
          <w:rFonts w:ascii="Georgia" w:eastAsia="Georgia" w:hAnsi="Georgia" w:cs="Georgia"/>
          <w:sz w:val="20"/>
          <w:szCs w:val="20"/>
          <w:lang w:val="lt-LT"/>
        </w:rPr>
      </w:pPr>
    </w:p>
    <w:p w14:paraId="21B7AC07" w14:textId="7444B352"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Kaip aprašyta KPMG studijoje, gatvių apšvietimo įrangos metinis elektros suvartojimas Lietuvoje, sudaro apie 103,5 GWh, o gatvės (ir geležinkelių) apšvietimo tinklo ilgis visoje Lietuvoje yra 10 500 km (kabelinės linijos sudaro 46 %, o oro linijos - 54 %). 2012 m. buvo pakeista daugiau kaip 39 000 lempų; vien tik Vilniaus m. savivaldybėje buvo pakeista daugiau kaip 8 200 vienetų. Vidutinis lempos naudojimo laikas yra apie 3,6 metai, nors kai kuriose savivaldybėse lempų naudojimo laikotarpis svyruoja nuo 1,3 iki 8 metų. Naujų natrio lempų (kurios Lietuvoje sudaro 83 % visų gatvių apšvietimui naudojamų lempų) gamintojo nurodytas naudojimo laikas yra 3,3–6,6 metų. Tuo tarpu LED lempų gyvavimo laikotarpis yra iki 23 metų (jei lempa veikia 12 valandų per dieną 365 dienas per metus). 2012 m. gatvių apšvietimo įrangos Lietuvoje atnaujinimo sąnaudos sudarė apytiksliai 1,8 mln. eurų ir didžioji išlaidų dalis tenka šviestuvų pirkimui (beveik 26 % visų išlaidų) ir naujiems šviestuvų stulpams (beveik 32 % visų išlaidų). Apskaičiuota, kad 2012 m. elektros sąnaudos gatvių apšvietimui ir techninės priežiūros sąnaudos sudarė 13,6 mln. eurų. Didžiausią išlaidų dalį sudarė išlaidos suvartotai elektros energijai. Duomenys rodo, kad apšvietimo įrangos ir elektros įrangos remonto sąnaudos buvo beveik 2 kartus didesnės už apšvietimo įrangos ir elektros įrangos priežiūros sąnaudas. Tai patvirtina, </w:t>
      </w:r>
      <w:r w:rsidRPr="002142B8">
        <w:rPr>
          <w:rFonts w:ascii="Georgia" w:eastAsia="Georgia" w:hAnsi="Georgia" w:cs="Georgia"/>
          <w:sz w:val="20"/>
          <w:szCs w:val="20"/>
          <w:lang w:val="lt-LT"/>
        </w:rPr>
        <w:lastRenderedPageBreak/>
        <w:t>kad gatvių apšvietimo įranga yra pasenusi ir šioje srityje yra būtinos investicijos. Savivaldybių pateikti duomenys rodo, kad nėra galimybės automatiškai reguliuoti apšvietimo intensyvumo ir (arba) automatiškai aptikti šviestuvų gedimų. Visi apšvietimo intensyvumo reguliavimai yra atliekami mechaniškai, o šviestuvų gedimai yra nustatomi per vizualinę apžiūrą.</w:t>
      </w:r>
    </w:p>
    <w:p w14:paraId="0AA043F5" w14:textId="089CE1CF" w:rsidR="00D67984" w:rsidRPr="002142B8" w:rsidRDefault="00D67984" w:rsidP="005A0219">
      <w:pPr>
        <w:autoSpaceDE w:val="0"/>
        <w:autoSpaceDN w:val="0"/>
        <w:adjustRightInd w:val="0"/>
        <w:spacing w:after="0" w:line="240" w:lineRule="auto"/>
        <w:jc w:val="both"/>
        <w:rPr>
          <w:rFonts w:ascii="Georgia" w:eastAsia="Georgia" w:hAnsi="Georgia" w:cs="Georgia"/>
          <w:sz w:val="20"/>
          <w:szCs w:val="20"/>
          <w:lang w:val="lt-LT"/>
        </w:rPr>
      </w:pPr>
    </w:p>
    <w:p w14:paraId="4C958A8F" w14:textId="468127AC" w:rsidR="006C75FE" w:rsidRPr="002142B8" w:rsidRDefault="00D67984"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Dalis savivaldybių šiuo metu taupo išlaidas elektros energijai dirbtinai sumažindamos veikiančių šviestuvų skaičių</w:t>
      </w:r>
      <w:r w:rsidR="008B57EC" w:rsidRPr="002142B8">
        <w:rPr>
          <w:rFonts w:ascii="Georgia" w:eastAsia="Georgia" w:hAnsi="Georgia" w:cs="Georgia"/>
          <w:sz w:val="20"/>
          <w:szCs w:val="20"/>
          <w:lang w:val="lt-LT"/>
        </w:rPr>
        <w:t xml:space="preserve"> (pvz.</w:t>
      </w:r>
      <w:r w:rsidR="006C75FE" w:rsidRPr="002142B8">
        <w:rPr>
          <w:rFonts w:ascii="Georgia" w:eastAsia="Georgia" w:hAnsi="Georgia" w:cs="Georgia"/>
          <w:sz w:val="20"/>
          <w:szCs w:val="20"/>
          <w:lang w:val="lt-LT"/>
        </w:rPr>
        <w:t>,</w:t>
      </w:r>
      <w:r w:rsidR="008B57EC" w:rsidRPr="002142B8">
        <w:rPr>
          <w:rFonts w:ascii="Georgia" w:eastAsia="Georgia" w:hAnsi="Georgia" w:cs="Georgia"/>
          <w:sz w:val="20"/>
          <w:szCs w:val="20"/>
          <w:lang w:val="lt-LT"/>
        </w:rPr>
        <w:t xml:space="preserve"> dega tik kas antras ar net kas trečias šviestuvas)</w:t>
      </w:r>
      <w:r w:rsidRPr="002142B8">
        <w:rPr>
          <w:rFonts w:ascii="Georgia" w:eastAsia="Georgia" w:hAnsi="Georgia" w:cs="Georgia"/>
          <w:sz w:val="20"/>
          <w:szCs w:val="20"/>
          <w:lang w:val="lt-LT"/>
        </w:rPr>
        <w:t xml:space="preserve"> ar sutrumpindamos švietimo laiką</w:t>
      </w:r>
      <w:r w:rsidR="006C75FE" w:rsidRPr="002142B8">
        <w:rPr>
          <w:rFonts w:ascii="Georgia" w:eastAsia="Georgia" w:hAnsi="Georgia" w:cs="Georgia"/>
          <w:sz w:val="20"/>
          <w:szCs w:val="20"/>
          <w:lang w:val="lt-LT"/>
        </w:rPr>
        <w:t xml:space="preserve"> (pvz., tamsiuoju paros metu neapšviečiamos mažesnės gyvenvientės ar nuošalesnės gatvės)</w:t>
      </w:r>
      <w:r w:rsidRPr="002142B8">
        <w:rPr>
          <w:rFonts w:ascii="Georgia" w:eastAsia="Georgia" w:hAnsi="Georgia" w:cs="Georgia"/>
          <w:sz w:val="20"/>
          <w:szCs w:val="20"/>
          <w:lang w:val="lt-LT"/>
        </w:rPr>
        <w:t>. T</w:t>
      </w:r>
      <w:r w:rsidR="00FC1119" w:rsidRPr="002142B8">
        <w:rPr>
          <w:rFonts w:ascii="Georgia" w:eastAsia="Georgia" w:hAnsi="Georgia" w:cs="Georgia"/>
          <w:sz w:val="20"/>
          <w:szCs w:val="20"/>
          <w:lang w:val="lt-LT"/>
        </w:rPr>
        <w:t>okia pakankamai plačiai paplitusi praktika</w:t>
      </w:r>
      <w:r w:rsidRPr="002142B8">
        <w:rPr>
          <w:rFonts w:ascii="Georgia" w:eastAsia="Georgia" w:hAnsi="Georgia" w:cs="Georgia"/>
          <w:sz w:val="20"/>
          <w:szCs w:val="20"/>
          <w:lang w:val="lt-LT"/>
        </w:rPr>
        <w:t xml:space="preserve"> ne tik neigiamai veikia avaringumą keliuose, didina nusikalstamumą</w:t>
      </w:r>
      <w:r w:rsidR="006C75FE" w:rsidRPr="002142B8">
        <w:rPr>
          <w:rFonts w:ascii="Georgia" w:eastAsia="Georgia" w:hAnsi="Georgia" w:cs="Georgia"/>
          <w:sz w:val="20"/>
          <w:szCs w:val="20"/>
          <w:lang w:val="lt-LT"/>
        </w:rPr>
        <w:t>,</w:t>
      </w:r>
      <w:r w:rsidRPr="002142B8">
        <w:rPr>
          <w:rFonts w:ascii="Georgia" w:eastAsia="Georgia" w:hAnsi="Georgia" w:cs="Georgia"/>
          <w:sz w:val="20"/>
          <w:szCs w:val="20"/>
          <w:lang w:val="lt-LT"/>
        </w:rPr>
        <w:t xml:space="preserve"> bet ir neigiamai veikia gatvių apšvietimo projektų atsiperkamumą. </w:t>
      </w:r>
    </w:p>
    <w:p w14:paraId="56260334" w14:textId="01664A9C" w:rsidR="006C75FE" w:rsidRPr="002142B8" w:rsidRDefault="006C75FE" w:rsidP="005A0219">
      <w:pPr>
        <w:autoSpaceDE w:val="0"/>
        <w:autoSpaceDN w:val="0"/>
        <w:adjustRightInd w:val="0"/>
        <w:spacing w:after="0" w:line="240" w:lineRule="auto"/>
        <w:jc w:val="both"/>
        <w:rPr>
          <w:rFonts w:ascii="Georgia" w:eastAsia="Georgia" w:hAnsi="Georgia" w:cs="Georgia"/>
          <w:sz w:val="20"/>
          <w:szCs w:val="20"/>
          <w:lang w:val="lt-LT"/>
        </w:rPr>
      </w:pPr>
    </w:p>
    <w:p w14:paraId="4C490116" w14:textId="468C6B50" w:rsidR="006C75FE" w:rsidRPr="002142B8" w:rsidRDefault="006C75FE"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Jei gatvių apšvietimo projektas sutaupytų 50 proc. elektros energijos kiekio,</w:t>
      </w:r>
      <w:r w:rsidR="00A93D12" w:rsidRPr="002142B8">
        <w:rPr>
          <w:rFonts w:ascii="Georgia" w:eastAsia="Georgia" w:hAnsi="Georgia" w:cs="Georgia"/>
          <w:sz w:val="20"/>
          <w:szCs w:val="20"/>
          <w:lang w:val="lt-LT"/>
        </w:rPr>
        <w:t xml:space="preserve"> kuris būtų sunaudotas šviečiant visiems įrengtiems šviestuvams,</w:t>
      </w:r>
      <w:r w:rsidRPr="002142B8">
        <w:rPr>
          <w:rFonts w:ascii="Georgia" w:eastAsia="Georgia" w:hAnsi="Georgia" w:cs="Georgia"/>
          <w:sz w:val="20"/>
          <w:szCs w:val="20"/>
          <w:lang w:val="lt-LT"/>
        </w:rPr>
        <w:t xml:space="preserve"> tai tokį pati efektą galima pasiekti </w:t>
      </w:r>
      <w:r w:rsidR="006179E2" w:rsidRPr="002142B8">
        <w:rPr>
          <w:rFonts w:ascii="Georgia" w:eastAsia="Georgia" w:hAnsi="Georgia" w:cs="Georgia"/>
          <w:sz w:val="20"/>
          <w:szCs w:val="20"/>
          <w:lang w:val="lt-LT"/>
        </w:rPr>
        <w:t xml:space="preserve">ir </w:t>
      </w:r>
      <w:r w:rsidRPr="002142B8">
        <w:rPr>
          <w:rFonts w:ascii="Georgia" w:eastAsia="Georgia" w:hAnsi="Georgia" w:cs="Georgia"/>
          <w:sz w:val="20"/>
          <w:szCs w:val="20"/>
          <w:lang w:val="lt-LT"/>
        </w:rPr>
        <w:t>įjungiant tik kas antrą šviestuvą.</w:t>
      </w:r>
    </w:p>
    <w:p w14:paraId="64A54852" w14:textId="77777777" w:rsidR="006C75FE" w:rsidRPr="002142B8" w:rsidRDefault="006C75FE" w:rsidP="005A0219">
      <w:pPr>
        <w:autoSpaceDE w:val="0"/>
        <w:autoSpaceDN w:val="0"/>
        <w:adjustRightInd w:val="0"/>
        <w:spacing w:after="0" w:line="240" w:lineRule="auto"/>
        <w:jc w:val="both"/>
        <w:rPr>
          <w:rFonts w:ascii="Georgia" w:eastAsia="Georgia" w:hAnsi="Georgia" w:cs="Georgia"/>
          <w:sz w:val="20"/>
          <w:szCs w:val="20"/>
          <w:lang w:val="lt-LT"/>
        </w:rPr>
      </w:pPr>
    </w:p>
    <w:p w14:paraId="058F6917" w14:textId="63DBB91D" w:rsidR="00D67984" w:rsidRPr="002142B8" w:rsidRDefault="00D67984"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Savivaldybės yra linkusios lyginti </w:t>
      </w:r>
      <w:r w:rsidR="00A93D12" w:rsidRPr="002142B8">
        <w:rPr>
          <w:rFonts w:ascii="Georgia" w:eastAsia="Georgia" w:hAnsi="Georgia" w:cs="Georgia"/>
          <w:sz w:val="20"/>
          <w:szCs w:val="20"/>
          <w:lang w:val="lt-LT"/>
        </w:rPr>
        <w:t xml:space="preserve"> šiuo metu patiriamas</w:t>
      </w:r>
      <w:r w:rsidR="006C75FE" w:rsidRPr="002142B8">
        <w:rPr>
          <w:rFonts w:ascii="Georgia" w:eastAsia="Georgia" w:hAnsi="Georgia" w:cs="Georgia"/>
          <w:sz w:val="20"/>
          <w:szCs w:val="20"/>
          <w:lang w:val="lt-LT"/>
        </w:rPr>
        <w:t xml:space="preserve"> </w:t>
      </w:r>
      <w:r w:rsidRPr="002142B8">
        <w:rPr>
          <w:rFonts w:ascii="Georgia" w:eastAsia="Georgia" w:hAnsi="Georgia" w:cs="Georgia"/>
          <w:sz w:val="20"/>
          <w:szCs w:val="20"/>
          <w:lang w:val="lt-LT"/>
        </w:rPr>
        <w:t xml:space="preserve"> išlaidas dirbtinai sumažintam elektros energijos kiekiui su elektros energijos kiekiu, kuris būtų suvartotas po gatvių apšvietimo tinklų atnaujinimo</w:t>
      </w:r>
      <w:r w:rsidR="006C75FE" w:rsidRPr="002142B8">
        <w:rPr>
          <w:rFonts w:ascii="Georgia" w:eastAsia="Georgia" w:hAnsi="Georgia" w:cs="Georgia"/>
          <w:sz w:val="20"/>
          <w:szCs w:val="20"/>
          <w:lang w:val="lt-LT"/>
        </w:rPr>
        <w:t xml:space="preserve"> tinkamai apšviečiant gatves</w:t>
      </w:r>
      <w:r w:rsidRPr="002142B8">
        <w:rPr>
          <w:rFonts w:ascii="Georgia" w:eastAsia="Georgia" w:hAnsi="Georgia" w:cs="Georgia"/>
          <w:sz w:val="20"/>
          <w:szCs w:val="20"/>
          <w:lang w:val="lt-LT"/>
        </w:rPr>
        <w:t xml:space="preserve"> ir neįvertina viso sutaupymo potencialo bei dažnai neturi pakankamų finansinių išteklių finansuoti atnaujinimo ir</w:t>
      </w:r>
      <w:r w:rsidR="006C75FE" w:rsidRPr="002142B8">
        <w:rPr>
          <w:rFonts w:ascii="Georgia" w:eastAsia="Georgia" w:hAnsi="Georgia" w:cs="Georgia"/>
          <w:sz w:val="20"/>
          <w:szCs w:val="20"/>
          <w:lang w:val="lt-LT"/>
        </w:rPr>
        <w:t xml:space="preserve"> visuomenei</w:t>
      </w:r>
      <w:r w:rsidRPr="002142B8">
        <w:rPr>
          <w:rFonts w:ascii="Georgia" w:eastAsia="Georgia" w:hAnsi="Georgia" w:cs="Georgia"/>
          <w:sz w:val="20"/>
          <w:szCs w:val="20"/>
          <w:lang w:val="lt-LT"/>
        </w:rPr>
        <w:t xml:space="preserve"> teikiamos paslaugos kokybės pagerėjimo.</w:t>
      </w:r>
    </w:p>
    <w:p w14:paraId="1E4F472F" w14:textId="00E2B248" w:rsidR="005A0219" w:rsidRPr="002142B8" w:rsidRDefault="005A0219" w:rsidP="0063781D">
      <w:pPr>
        <w:spacing w:after="0" w:line="240" w:lineRule="auto"/>
        <w:jc w:val="both"/>
        <w:rPr>
          <w:rFonts w:ascii="Georgia" w:eastAsia="Georgia" w:hAnsi="Georgia" w:cs="Arial Unicode MS"/>
          <w:sz w:val="20"/>
          <w:szCs w:val="20"/>
          <w:lang w:val="lt-LT"/>
        </w:rPr>
      </w:pPr>
    </w:p>
    <w:p w14:paraId="13DE126E" w14:textId="7F59803F" w:rsidR="00144175" w:rsidRPr="002142B8" w:rsidRDefault="00144175"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Iki 2017 m. spalio mėnesio pabaigos buvo išduoti </w:t>
      </w:r>
      <w:r w:rsidR="00415ADA" w:rsidRPr="002142B8">
        <w:rPr>
          <w:rFonts w:ascii="Georgia" w:eastAsia="Georgia" w:hAnsi="Georgia" w:cs="Arial Unicode MS"/>
          <w:sz w:val="20"/>
          <w:szCs w:val="20"/>
          <w:lang w:val="lt-LT"/>
        </w:rPr>
        <w:t xml:space="preserve">keturi </w:t>
      </w:r>
      <w:r w:rsidRPr="002142B8">
        <w:rPr>
          <w:rFonts w:ascii="Georgia" w:eastAsia="Georgia" w:hAnsi="Georgia" w:cs="Arial Unicode MS"/>
          <w:sz w:val="20"/>
          <w:szCs w:val="20"/>
          <w:lang w:val="lt-LT"/>
        </w:rPr>
        <w:t>garantijų raštai už 2,88 mln. eurų modernizuoti gatvių apšvietimo tinklus Jonavos r., Šilutės r., Telšių r. ir Plungės r. savivaldybėse. Daugiau informacijos apie šiuos projektus pateikta 2.2.2.2 dalyje žemiau.</w:t>
      </w:r>
    </w:p>
    <w:p w14:paraId="626AAA38" w14:textId="77777777" w:rsidR="005A0219" w:rsidRPr="007E38FC" w:rsidRDefault="005A0219" w:rsidP="00162BF5">
      <w:pPr>
        <w:pStyle w:val="Antrat2"/>
        <w:numPr>
          <w:ilvl w:val="1"/>
          <w:numId w:val="69"/>
        </w:numPr>
        <w:ind w:left="709"/>
        <w:rPr>
          <w:rFonts w:eastAsia="Times New Roman"/>
          <w:lang w:val="lt-LT"/>
        </w:rPr>
      </w:pPr>
      <w:bookmarkStart w:id="36" w:name="_Toc25589887"/>
      <w:r w:rsidRPr="007E38FC">
        <w:rPr>
          <w:rFonts w:eastAsia="Times New Roman"/>
          <w:lang w:val="lt-LT"/>
        </w:rPr>
        <w:t>Investicijų paklausos ir finansavimo pasiūlos įvertinimas</w:t>
      </w:r>
      <w:bookmarkEnd w:id="36"/>
    </w:p>
    <w:p w14:paraId="3110FF82" w14:textId="77777777" w:rsidR="005A0219" w:rsidRPr="002142B8" w:rsidRDefault="005A0219" w:rsidP="005A0219">
      <w:pPr>
        <w:keepNext/>
        <w:keepLines/>
        <w:numPr>
          <w:ilvl w:val="1"/>
          <w:numId w:val="2"/>
        </w:numPr>
        <w:spacing w:before="200" w:after="0" w:line="240" w:lineRule="auto"/>
        <w:outlineLvl w:val="1"/>
        <w:rPr>
          <w:rFonts w:ascii="Georgia" w:eastAsia="Times New Roman" w:hAnsi="Georgia" w:cs="Arial Unicode MS"/>
          <w:b/>
          <w:i/>
          <w:vanish/>
          <w:color w:val="821A1A"/>
          <w:sz w:val="32"/>
          <w:szCs w:val="26"/>
          <w:lang w:val="lt-LT"/>
        </w:rPr>
      </w:pPr>
      <w:bookmarkStart w:id="37" w:name="_Toc503766069"/>
      <w:bookmarkStart w:id="38" w:name="_Toc503766745"/>
      <w:bookmarkStart w:id="39" w:name="_Toc503766943"/>
      <w:bookmarkStart w:id="40" w:name="_Toc505849696"/>
      <w:bookmarkStart w:id="41" w:name="_Toc505858856"/>
      <w:bookmarkStart w:id="42" w:name="_Toc25589888"/>
      <w:bookmarkEnd w:id="37"/>
      <w:bookmarkEnd w:id="38"/>
      <w:bookmarkEnd w:id="39"/>
      <w:bookmarkEnd w:id="40"/>
      <w:bookmarkEnd w:id="41"/>
      <w:bookmarkEnd w:id="42"/>
    </w:p>
    <w:p w14:paraId="7426FDE8" w14:textId="77777777" w:rsidR="005A0219" w:rsidRPr="002142B8" w:rsidRDefault="005A0219" w:rsidP="005A0219">
      <w:pPr>
        <w:keepNext/>
        <w:keepLines/>
        <w:numPr>
          <w:ilvl w:val="2"/>
          <w:numId w:val="2"/>
        </w:numPr>
        <w:spacing w:before="200" w:after="0" w:line="240" w:lineRule="auto"/>
        <w:ind w:hanging="1080"/>
        <w:outlineLvl w:val="1"/>
        <w:rPr>
          <w:rFonts w:ascii="Georgia" w:eastAsia="Times New Roman" w:hAnsi="Georgia" w:cs="Arial Unicode MS"/>
          <w:b/>
          <w:i/>
          <w:color w:val="821A1A"/>
          <w:sz w:val="32"/>
          <w:szCs w:val="26"/>
          <w:lang w:val="lt-LT"/>
        </w:rPr>
      </w:pPr>
      <w:bookmarkStart w:id="43" w:name="_Toc25589889"/>
      <w:r w:rsidRPr="002142B8">
        <w:rPr>
          <w:rFonts w:ascii="Georgia" w:eastAsia="Times New Roman" w:hAnsi="Georgia" w:cs="Arial Unicode MS"/>
          <w:b/>
          <w:i/>
          <w:color w:val="821A1A"/>
          <w:sz w:val="32"/>
          <w:szCs w:val="26"/>
          <w:lang w:val="lt-LT"/>
        </w:rPr>
        <w:t>Investicijų paklausos analizė</w:t>
      </w:r>
      <w:bookmarkEnd w:id="43"/>
    </w:p>
    <w:p w14:paraId="16E7ABC3" w14:textId="77777777" w:rsidR="005A0219" w:rsidRPr="002142B8" w:rsidRDefault="005A0219" w:rsidP="005A0219">
      <w:pPr>
        <w:keepNext/>
        <w:keepLines/>
        <w:numPr>
          <w:ilvl w:val="3"/>
          <w:numId w:val="2"/>
        </w:numPr>
        <w:spacing w:before="200" w:after="240" w:line="240" w:lineRule="auto"/>
        <w:ind w:left="1134" w:hanging="1134"/>
        <w:outlineLvl w:val="1"/>
        <w:rPr>
          <w:rFonts w:ascii="Georgia" w:eastAsia="Times New Roman" w:hAnsi="Georgia" w:cs="Arial Unicode MS"/>
          <w:b/>
          <w:i/>
          <w:color w:val="821A1A"/>
          <w:sz w:val="32"/>
          <w:szCs w:val="26"/>
          <w:lang w:val="lt-LT"/>
        </w:rPr>
      </w:pPr>
      <w:bookmarkStart w:id="44" w:name="_Toc25589890"/>
      <w:r w:rsidRPr="002142B8">
        <w:rPr>
          <w:rFonts w:ascii="Georgia" w:eastAsia="Times New Roman" w:hAnsi="Georgia" w:cs="Arial Unicode MS"/>
          <w:b/>
          <w:i/>
          <w:color w:val="821A1A"/>
          <w:sz w:val="32"/>
          <w:szCs w:val="26"/>
          <w:lang w:val="lt-LT"/>
        </w:rPr>
        <w:t>Bendri energijos taupymo tikslai</w:t>
      </w:r>
      <w:bookmarkEnd w:id="44"/>
    </w:p>
    <w:p w14:paraId="50B522B1"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Vadovaudamasi Energijos efektyvumo direktyvos nuostatomis, kiekviena valstybė narė turi nustatyti bendrą galutinio energijos suvartojimo taupymo (toliau – BGEST) rodiklį, kurį šalys turi pasiekti iki 2020 metų visuose sektoriuose, įskaitant pramonės, transporto, pastatų ir kituose sektoriuose. Lietuvoje buvo nustatyta, jog bendras sutaupymas iki 2020 m. visuose sektoriuose siektų 11,68 TWh galutinės energijos. </w:t>
      </w:r>
    </w:p>
    <w:p w14:paraId="5000CBBF"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49954A5C" w14:textId="0F876D1F" w:rsidR="005A0219" w:rsidRPr="002142B8"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r w:rsidRPr="002142B8">
        <w:rPr>
          <w:rFonts w:ascii="Georgia" w:eastAsia="Georgia" w:hAnsi="Georgia" w:cs="Arial Unicode MS"/>
          <w:bCs/>
          <w:sz w:val="20"/>
          <w:szCs w:val="24"/>
          <w:lang w:val="lt-LT"/>
        </w:rPr>
        <w:t>Remiantis 2012</w:t>
      </w:r>
      <w:r w:rsidR="00D74674">
        <w:rPr>
          <w:rFonts w:ascii="Georgia" w:eastAsia="Georgia" w:hAnsi="Georgia" w:cs="Arial Unicode MS"/>
          <w:bCs/>
          <w:sz w:val="20"/>
          <w:szCs w:val="24"/>
          <w:lang w:val="lt-LT"/>
        </w:rPr>
        <w:t xml:space="preserve"> </w:t>
      </w:r>
      <w:r w:rsidRPr="002142B8">
        <w:rPr>
          <w:rFonts w:ascii="Georgia" w:eastAsia="Georgia" w:hAnsi="Georgia" w:cs="Arial Unicode MS"/>
          <w:bCs/>
          <w:sz w:val="20"/>
          <w:szCs w:val="24"/>
          <w:lang w:val="lt-LT"/>
        </w:rPr>
        <w:t>m. patvirtinta Nacionaline energijos nepriklausomybės strategija, didžiausias energijos taupymo potencialas slypi gyvenamųjų ir visuomeninių pastatų sektoriuje, kuriame įmanoma sutaupyti nuo 30-40% galutinio šilumos energijos suvartojimo arba nuo 2-3 TWh šilumos energijos (kuri sudaro nuo 17</w:t>
      </w:r>
      <w:r w:rsidR="00415ADA" w:rsidRPr="002142B8">
        <w:rPr>
          <w:rFonts w:ascii="Georgia" w:eastAsia="Georgia" w:hAnsi="Georgia" w:cs="Arial Unicode MS"/>
          <w:bCs/>
          <w:sz w:val="20"/>
          <w:szCs w:val="24"/>
          <w:lang w:val="lt-LT"/>
        </w:rPr>
        <w:t>,</w:t>
      </w:r>
      <w:r w:rsidRPr="002142B8">
        <w:rPr>
          <w:rFonts w:ascii="Georgia" w:eastAsia="Georgia" w:hAnsi="Georgia" w:cs="Arial Unicode MS"/>
          <w:bCs/>
          <w:sz w:val="20"/>
          <w:szCs w:val="24"/>
          <w:lang w:val="lt-LT"/>
        </w:rPr>
        <w:t>1</w:t>
      </w:r>
      <w:r w:rsidR="00415ADA" w:rsidRPr="002142B8">
        <w:rPr>
          <w:rFonts w:ascii="Georgia" w:eastAsia="Georgia" w:hAnsi="Georgia" w:cs="Arial Unicode MS"/>
          <w:bCs/>
          <w:sz w:val="20"/>
          <w:szCs w:val="24"/>
          <w:lang w:val="lt-LT"/>
        </w:rPr>
        <w:t>%</w:t>
      </w:r>
      <w:r w:rsidRPr="002142B8">
        <w:rPr>
          <w:rFonts w:ascii="Georgia" w:eastAsia="Georgia" w:hAnsi="Georgia" w:cs="Arial Unicode MS"/>
          <w:bCs/>
          <w:sz w:val="20"/>
          <w:szCs w:val="24"/>
          <w:lang w:val="lt-LT"/>
        </w:rPr>
        <w:t xml:space="preserve"> iki 25.7% viso planuojamos sutaupyti energijos 2014-2020 metais). Remiantis Energetikos ministerijos duomenimis, daugiabučių ir viešųjų pastatų programa siekiama atitinkamai sutaupyti 2,67 TWh ir 0,4 TWh. </w:t>
      </w:r>
      <w:r w:rsidRPr="002142B8">
        <w:rPr>
          <w:rFonts w:ascii="Georgia" w:eastAsia="Georgia" w:hAnsi="Georgia" w:cs="Arial Unicode MS"/>
          <w:sz w:val="20"/>
          <w:szCs w:val="20"/>
          <w:lang w:val="lt-LT"/>
        </w:rPr>
        <w:t xml:space="preserve">Tai sudarytų apie 26,3 % viso BGEST rodiklio energijos kiekio. </w:t>
      </w:r>
    </w:p>
    <w:p w14:paraId="7F527B71"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p>
    <w:p w14:paraId="1A569DF5" w14:textId="46394841" w:rsidR="005A0219" w:rsidRPr="002142B8" w:rsidRDefault="005A0219" w:rsidP="005A0219">
      <w:pPr>
        <w:autoSpaceDE w:val="0"/>
        <w:autoSpaceDN w:val="0"/>
        <w:adjustRightInd w:val="0"/>
        <w:spacing w:after="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Atsižvelgiant į Energijos Efektyvumo Direktyvos atnaujinimo nuostatas</w:t>
      </w:r>
      <w:r w:rsidRPr="002142B8">
        <w:rPr>
          <w:rFonts w:ascii="Georgia" w:eastAsia="Georgia" w:hAnsi="Georgia" w:cs="Arial Unicode MS"/>
          <w:color w:val="000000"/>
          <w:sz w:val="20"/>
          <w:szCs w:val="20"/>
          <w:vertAlign w:val="superscript"/>
          <w:lang w:val="lt-LT"/>
        </w:rPr>
        <w:footnoteReference w:id="14"/>
      </w:r>
      <w:r w:rsidRPr="002142B8">
        <w:rPr>
          <w:rFonts w:ascii="Georgia" w:eastAsia="Georgia" w:hAnsi="Georgia" w:cs="Arial Unicode MS"/>
          <w:sz w:val="20"/>
          <w:szCs w:val="20"/>
          <w:lang w:val="lt-LT"/>
        </w:rPr>
        <w:t xml:space="preserve"> ir </w:t>
      </w:r>
      <w:r w:rsidR="00144175" w:rsidRPr="002142B8">
        <w:rPr>
          <w:rFonts w:ascii="Georgia" w:eastAsia="Georgia" w:hAnsi="Georgia" w:cs="Arial Unicode MS"/>
          <w:sz w:val="20"/>
          <w:szCs w:val="20"/>
          <w:lang w:val="lt-LT"/>
        </w:rPr>
        <w:t xml:space="preserve">naujos </w:t>
      </w:r>
      <w:r w:rsidRPr="002142B8">
        <w:rPr>
          <w:rFonts w:ascii="Georgia" w:eastAsia="Georgia" w:hAnsi="Georgia" w:cs="Arial Unicode MS"/>
          <w:sz w:val="20"/>
          <w:szCs w:val="20"/>
          <w:lang w:val="lt-LT"/>
        </w:rPr>
        <w:t xml:space="preserve">Nacionalinės Energetikos </w:t>
      </w:r>
      <w:r w:rsidR="00144175" w:rsidRPr="002142B8">
        <w:rPr>
          <w:rFonts w:ascii="Georgia" w:eastAsia="Georgia" w:hAnsi="Georgia" w:cs="Arial Unicode MS"/>
          <w:sz w:val="20"/>
          <w:szCs w:val="20"/>
          <w:lang w:val="lt-LT"/>
        </w:rPr>
        <w:t xml:space="preserve">Nepriklausomybės </w:t>
      </w:r>
      <w:r w:rsidRPr="002142B8">
        <w:rPr>
          <w:rFonts w:ascii="Georgia" w:eastAsia="Georgia" w:hAnsi="Georgia" w:cs="Arial Unicode MS"/>
          <w:sz w:val="20"/>
          <w:szCs w:val="20"/>
          <w:lang w:val="lt-LT"/>
        </w:rPr>
        <w:t>Strategijos projekt</w:t>
      </w:r>
      <w:r w:rsidR="00144175" w:rsidRPr="002142B8">
        <w:rPr>
          <w:rFonts w:ascii="Georgia" w:eastAsia="Georgia" w:hAnsi="Georgia" w:cs="Arial Unicode MS"/>
          <w:sz w:val="20"/>
          <w:szCs w:val="20"/>
          <w:lang w:val="lt-LT"/>
        </w:rPr>
        <w:t>ą</w:t>
      </w:r>
      <w:r w:rsidRPr="002142B8">
        <w:rPr>
          <w:rFonts w:ascii="Georgia" w:eastAsia="Georgia" w:hAnsi="Georgia" w:cs="Arial Unicode MS"/>
          <w:color w:val="000000"/>
          <w:sz w:val="20"/>
          <w:szCs w:val="20"/>
          <w:vertAlign w:val="superscript"/>
          <w:lang w:val="lt-LT"/>
        </w:rPr>
        <w:footnoteReference w:id="15"/>
      </w:r>
      <w:r w:rsidRPr="002142B8">
        <w:rPr>
          <w:rFonts w:ascii="Georgia" w:eastAsia="Georgia" w:hAnsi="Georgia" w:cs="Arial Unicode MS"/>
          <w:sz w:val="20"/>
          <w:szCs w:val="20"/>
          <w:lang w:val="lt-LT"/>
        </w:rPr>
        <w:t xml:space="preserve"> energijos galutinio vartojimo prognozėmis buvo apskaičiuota numatomi energijos sutaupymai 2021-2023 metams naudojant tokius pačius skaičiavimo principus kaip ir nustatant minimalų sutaupytą energijos kiekį 2014-2020 metų </w:t>
      </w:r>
      <w:r w:rsidRPr="002142B8">
        <w:rPr>
          <w:rFonts w:ascii="Georgia" w:eastAsia="Georgia" w:hAnsi="Georgia" w:cs="Arial Unicode MS"/>
          <w:sz w:val="20"/>
          <w:szCs w:val="20"/>
          <w:lang w:val="lt-LT"/>
        </w:rPr>
        <w:lastRenderedPageBreak/>
        <w:t>laikotarpiui</w:t>
      </w:r>
      <w:r w:rsidRPr="002142B8">
        <w:rPr>
          <w:rFonts w:ascii="Georgia" w:eastAsia="Georgia" w:hAnsi="Georgia" w:cs="Georgia"/>
          <w:color w:val="000000"/>
          <w:sz w:val="20"/>
          <w:szCs w:val="20"/>
          <w:vertAlign w:val="superscript"/>
          <w:lang w:val="lt-LT"/>
        </w:rPr>
        <w:footnoteReference w:id="16"/>
      </w:r>
      <w:r w:rsidRPr="002142B8">
        <w:rPr>
          <w:rFonts w:ascii="Georgia" w:eastAsia="Georgia" w:hAnsi="Georgia" w:cs="Arial Unicode MS"/>
          <w:sz w:val="20"/>
          <w:szCs w:val="20"/>
          <w:lang w:val="lt-LT"/>
        </w:rPr>
        <w:t xml:space="preserve"> bei darant prielaidą, jog Energijos efektyvumo direktyvos skaičiavimo metodika nesikeis. </w:t>
      </w:r>
      <w:r w:rsidRPr="002142B8">
        <w:rPr>
          <w:rFonts w:ascii="Georgia" w:eastAsia="Georgia" w:hAnsi="Georgia" w:cs="Georgia"/>
          <w:sz w:val="20"/>
          <w:szCs w:val="20"/>
          <w:lang w:val="lt-LT"/>
        </w:rPr>
        <w:t xml:space="preserve">Išlaikant tokią pačią proporciją tarp gyvenamųjų ir viešųjų pastatų bei bendrų šalies energijos sutaupymų (26,3%) buvo taip pat paskaičiuoti gyvenamųjų ir viešųjų pastatų minimalūs sutaupymai lentelėje apačioje 2021-2023 metams. </w:t>
      </w:r>
    </w:p>
    <w:p w14:paraId="07F675E2"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71B17ADA" w14:textId="4916A07B" w:rsidR="00DD1AE0" w:rsidRPr="002142B8" w:rsidRDefault="005A0219" w:rsidP="005A0219">
      <w:pPr>
        <w:spacing w:after="160" w:line="240" w:lineRule="auto"/>
        <w:jc w:val="both"/>
        <w:rPr>
          <w:rFonts w:ascii="Georgia" w:eastAsia="Georgia" w:hAnsi="Georgia" w:cs="Arial Unicode MS"/>
          <w:i/>
          <w:iCs/>
          <w:color w:val="821A1A"/>
          <w:sz w:val="20"/>
          <w:szCs w:val="18"/>
          <w:lang w:val="lt-LT"/>
        </w:rPr>
      </w:pPr>
      <w:bookmarkStart w:id="45" w:name="_Toc507939131"/>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9</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Georgia"/>
          <w:i/>
          <w:iCs/>
          <w:color w:val="821A1A"/>
          <w:sz w:val="20"/>
          <w:szCs w:val="20"/>
          <w:lang w:val="lt-LT"/>
        </w:rPr>
        <w:t>Numatomi energijos vartojimo sutaupymai 201</w:t>
      </w:r>
      <w:r w:rsidR="00D043C3">
        <w:rPr>
          <w:rFonts w:ascii="Georgia" w:eastAsia="Georgia" w:hAnsi="Georgia" w:cs="Georgia"/>
          <w:i/>
          <w:iCs/>
          <w:color w:val="821A1A"/>
          <w:sz w:val="20"/>
          <w:szCs w:val="20"/>
          <w:lang w:val="lt-LT"/>
        </w:rPr>
        <w:t>5</w:t>
      </w:r>
      <w:r w:rsidRPr="002142B8">
        <w:rPr>
          <w:rFonts w:ascii="Georgia" w:eastAsia="Georgia" w:hAnsi="Georgia" w:cs="Georgia"/>
          <w:i/>
          <w:iCs/>
          <w:color w:val="821A1A"/>
          <w:sz w:val="20"/>
          <w:szCs w:val="20"/>
          <w:lang w:val="lt-LT"/>
        </w:rPr>
        <w:t>-2023 metais</w:t>
      </w:r>
      <w:bookmarkEnd w:id="45"/>
    </w:p>
    <w:tbl>
      <w:tblPr>
        <w:tblStyle w:val="LightList-Accent21"/>
        <w:tblW w:w="5000" w:type="pct"/>
        <w:tblLook w:val="04A0" w:firstRow="1" w:lastRow="0" w:firstColumn="1" w:lastColumn="0" w:noHBand="0" w:noVBand="1"/>
      </w:tblPr>
      <w:tblGrid>
        <w:gridCol w:w="1875"/>
        <w:gridCol w:w="1838"/>
        <w:gridCol w:w="1730"/>
        <w:gridCol w:w="1998"/>
        <w:gridCol w:w="1801"/>
      </w:tblGrid>
      <w:tr w:rsidR="005A0219" w:rsidRPr="002142B8" w14:paraId="7EB58EE1"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8" w:space="0" w:color="D62E1C"/>
            </w:tcBorders>
          </w:tcPr>
          <w:p w14:paraId="622943F3" w14:textId="77777777" w:rsidR="005A0219" w:rsidRPr="002142B8" w:rsidRDefault="005A0219" w:rsidP="005A0219">
            <w:pPr>
              <w:autoSpaceDE w:val="0"/>
              <w:autoSpaceDN w:val="0"/>
              <w:adjustRightInd w:val="0"/>
              <w:jc w:val="center"/>
              <w:rPr>
                <w:rFonts w:ascii="Georgia" w:eastAsia="Georgia" w:hAnsi="Georgia" w:cs="Arial Unicode MS"/>
                <w:szCs w:val="24"/>
              </w:rPr>
            </w:pPr>
          </w:p>
        </w:tc>
        <w:tc>
          <w:tcPr>
            <w:tcW w:w="0" w:type="pct"/>
            <w:gridSpan w:val="2"/>
            <w:tcBorders>
              <w:bottom w:val="single" w:sz="8" w:space="0" w:color="D62E1C"/>
            </w:tcBorders>
          </w:tcPr>
          <w:p w14:paraId="64209B7D"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bCs w:val="0"/>
                <w:szCs w:val="24"/>
              </w:rPr>
            </w:pPr>
            <w:r w:rsidRPr="002142B8">
              <w:rPr>
                <w:rFonts w:ascii="Georgia" w:eastAsia="Georgia" w:hAnsi="Georgia" w:cs="Arial Unicode MS"/>
                <w:szCs w:val="24"/>
              </w:rPr>
              <w:t>Nauji energijos sutaupymai duotaisiais metais</w:t>
            </w:r>
          </w:p>
        </w:tc>
        <w:tc>
          <w:tcPr>
            <w:tcW w:w="0" w:type="pct"/>
            <w:gridSpan w:val="2"/>
            <w:tcBorders>
              <w:bottom w:val="single" w:sz="8" w:space="0" w:color="D62E1C"/>
            </w:tcBorders>
          </w:tcPr>
          <w:p w14:paraId="51F9FEEC"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Cs w:val="24"/>
              </w:rPr>
            </w:pPr>
            <w:r w:rsidRPr="002142B8">
              <w:rPr>
                <w:rFonts w:ascii="Georgia" w:eastAsia="Georgia" w:hAnsi="Georgia" w:cs="Arial Unicode MS"/>
                <w:szCs w:val="24"/>
              </w:rPr>
              <w:t>Nauji gyvenamųjų ir visuomeninių pastatų energijos sutaupymai duotaisiais metais</w:t>
            </w:r>
          </w:p>
        </w:tc>
      </w:tr>
      <w:tr w:rsidR="0063781D" w:rsidRPr="002142B8" w14:paraId="794FD684"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62E1C"/>
            <w:hideMark/>
          </w:tcPr>
          <w:p w14:paraId="16374434" w14:textId="77777777" w:rsidR="005A0219" w:rsidRPr="002142B8" w:rsidRDefault="005A0219" w:rsidP="005A0219">
            <w:pPr>
              <w:autoSpaceDE w:val="0"/>
              <w:autoSpaceDN w:val="0"/>
              <w:adjustRightInd w:val="0"/>
              <w:jc w:val="center"/>
              <w:rPr>
                <w:rFonts w:ascii="Georgia" w:eastAsia="Georgia" w:hAnsi="Georgia" w:cs="Arial Unicode MS"/>
                <w:b w:val="0"/>
                <w:bCs w:val="0"/>
                <w:color w:val="FFFFFF" w:themeColor="background1"/>
                <w:szCs w:val="24"/>
              </w:rPr>
            </w:pPr>
            <w:r w:rsidRPr="002142B8">
              <w:rPr>
                <w:rFonts w:ascii="Georgia" w:eastAsia="Georgia" w:hAnsi="Georgia" w:cs="Arial Unicode MS"/>
                <w:color w:val="FFFFFF" w:themeColor="background1"/>
                <w:szCs w:val="24"/>
              </w:rPr>
              <w:t>Metai</w:t>
            </w:r>
          </w:p>
        </w:tc>
        <w:tc>
          <w:tcPr>
            <w:tcW w:w="0" w:type="pct"/>
            <w:shd w:val="clear" w:color="auto" w:fill="D62E1C"/>
            <w:hideMark/>
          </w:tcPr>
          <w:p w14:paraId="6140391C"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2142B8">
              <w:rPr>
                <w:rFonts w:ascii="Georgia" w:eastAsia="Georgia" w:hAnsi="Georgia" w:cs="Arial Unicode MS"/>
                <w:color w:val="FFFFFF" w:themeColor="background1"/>
                <w:szCs w:val="24"/>
              </w:rPr>
              <w:t>Tūkst. tne</w:t>
            </w:r>
          </w:p>
        </w:tc>
        <w:tc>
          <w:tcPr>
            <w:tcW w:w="0" w:type="pct"/>
            <w:shd w:val="clear" w:color="auto" w:fill="D62E1C"/>
            <w:hideMark/>
          </w:tcPr>
          <w:p w14:paraId="77DBC62E"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2142B8">
              <w:rPr>
                <w:rFonts w:ascii="Georgia" w:eastAsia="Georgia" w:hAnsi="Georgia" w:cs="Arial Unicode MS"/>
                <w:color w:val="FFFFFF" w:themeColor="background1"/>
                <w:szCs w:val="24"/>
              </w:rPr>
              <w:t>GWh</w:t>
            </w:r>
          </w:p>
        </w:tc>
        <w:tc>
          <w:tcPr>
            <w:tcW w:w="0" w:type="pct"/>
            <w:shd w:val="clear" w:color="auto" w:fill="D62E1C"/>
          </w:tcPr>
          <w:p w14:paraId="454EB8D7"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bCs/>
                <w:color w:val="FFFFFF" w:themeColor="background1"/>
                <w:szCs w:val="24"/>
              </w:rPr>
            </w:pPr>
            <w:r w:rsidRPr="002142B8">
              <w:rPr>
                <w:rFonts w:ascii="Georgia" w:eastAsia="Georgia" w:hAnsi="Georgia" w:cs="Arial Unicode MS"/>
                <w:color w:val="FFFFFF" w:themeColor="background1"/>
                <w:szCs w:val="24"/>
              </w:rPr>
              <w:t>Tūkst. tne</w:t>
            </w:r>
          </w:p>
        </w:tc>
        <w:tc>
          <w:tcPr>
            <w:tcW w:w="0" w:type="pct"/>
            <w:shd w:val="clear" w:color="auto" w:fill="D62E1C"/>
          </w:tcPr>
          <w:p w14:paraId="7815D9C2"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themeColor="background1"/>
                <w:szCs w:val="24"/>
              </w:rPr>
            </w:pPr>
            <w:r w:rsidRPr="002142B8">
              <w:rPr>
                <w:rFonts w:ascii="Georgia" w:eastAsia="Georgia" w:hAnsi="Georgia" w:cs="Arial Unicode MS"/>
                <w:color w:val="FFFFFF" w:themeColor="background1"/>
                <w:szCs w:val="24"/>
              </w:rPr>
              <w:t>GWh</w:t>
            </w:r>
          </w:p>
        </w:tc>
      </w:tr>
      <w:tr w:rsidR="005A0219" w:rsidRPr="002142B8" w14:paraId="7421820C"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06E58DA7"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2015</w:t>
            </w:r>
          </w:p>
        </w:tc>
        <w:tc>
          <w:tcPr>
            <w:tcW w:w="0" w:type="pct"/>
            <w:hideMark/>
          </w:tcPr>
          <w:p w14:paraId="2F77F159"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48</w:t>
            </w:r>
          </w:p>
        </w:tc>
        <w:tc>
          <w:tcPr>
            <w:tcW w:w="0" w:type="pct"/>
            <w:hideMark/>
          </w:tcPr>
          <w:p w14:paraId="2772A738"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556</w:t>
            </w:r>
          </w:p>
        </w:tc>
        <w:tc>
          <w:tcPr>
            <w:tcW w:w="0" w:type="pct"/>
          </w:tcPr>
          <w:p w14:paraId="7485D88C"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13</w:t>
            </w:r>
          </w:p>
        </w:tc>
        <w:tc>
          <w:tcPr>
            <w:tcW w:w="0" w:type="pct"/>
          </w:tcPr>
          <w:p w14:paraId="4DD15E75"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146</w:t>
            </w:r>
          </w:p>
        </w:tc>
      </w:tr>
      <w:tr w:rsidR="005A0219" w:rsidRPr="002142B8" w14:paraId="620B7A9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486F481"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2016</w:t>
            </w:r>
          </w:p>
        </w:tc>
        <w:tc>
          <w:tcPr>
            <w:tcW w:w="0" w:type="pct"/>
            <w:hideMark/>
          </w:tcPr>
          <w:p w14:paraId="085ED34E"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96</w:t>
            </w:r>
          </w:p>
        </w:tc>
        <w:tc>
          <w:tcPr>
            <w:tcW w:w="0" w:type="pct"/>
            <w:hideMark/>
          </w:tcPr>
          <w:p w14:paraId="38DD1407"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1 112</w:t>
            </w:r>
          </w:p>
        </w:tc>
        <w:tc>
          <w:tcPr>
            <w:tcW w:w="0" w:type="pct"/>
          </w:tcPr>
          <w:p w14:paraId="14562F55"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25</w:t>
            </w:r>
          </w:p>
        </w:tc>
        <w:tc>
          <w:tcPr>
            <w:tcW w:w="0" w:type="pct"/>
          </w:tcPr>
          <w:p w14:paraId="49627ABD"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292</w:t>
            </w:r>
          </w:p>
        </w:tc>
      </w:tr>
      <w:tr w:rsidR="005A0219" w:rsidRPr="002142B8" w14:paraId="514FAAEB"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6D6B4CE5"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2017</w:t>
            </w:r>
          </w:p>
        </w:tc>
        <w:tc>
          <w:tcPr>
            <w:tcW w:w="0" w:type="pct"/>
            <w:hideMark/>
          </w:tcPr>
          <w:p w14:paraId="4871DD0F"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143</w:t>
            </w:r>
          </w:p>
        </w:tc>
        <w:tc>
          <w:tcPr>
            <w:tcW w:w="0" w:type="pct"/>
            <w:hideMark/>
          </w:tcPr>
          <w:p w14:paraId="533A69A1"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1 668</w:t>
            </w:r>
          </w:p>
        </w:tc>
        <w:tc>
          <w:tcPr>
            <w:tcW w:w="0" w:type="pct"/>
          </w:tcPr>
          <w:p w14:paraId="02F335E3"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38</w:t>
            </w:r>
          </w:p>
        </w:tc>
        <w:tc>
          <w:tcPr>
            <w:tcW w:w="0" w:type="pct"/>
          </w:tcPr>
          <w:p w14:paraId="4766E443"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439</w:t>
            </w:r>
          </w:p>
        </w:tc>
      </w:tr>
      <w:tr w:rsidR="005A0219" w:rsidRPr="002142B8" w14:paraId="76BD15E0"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85CDC46"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2018</w:t>
            </w:r>
          </w:p>
        </w:tc>
        <w:tc>
          <w:tcPr>
            <w:tcW w:w="0" w:type="pct"/>
            <w:hideMark/>
          </w:tcPr>
          <w:p w14:paraId="1D7B60A5"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191</w:t>
            </w:r>
          </w:p>
        </w:tc>
        <w:tc>
          <w:tcPr>
            <w:tcW w:w="0" w:type="pct"/>
            <w:hideMark/>
          </w:tcPr>
          <w:p w14:paraId="21374D1F"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2 224</w:t>
            </w:r>
          </w:p>
        </w:tc>
        <w:tc>
          <w:tcPr>
            <w:tcW w:w="0" w:type="pct"/>
          </w:tcPr>
          <w:p w14:paraId="6196540F"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50</w:t>
            </w:r>
          </w:p>
        </w:tc>
        <w:tc>
          <w:tcPr>
            <w:tcW w:w="0" w:type="pct"/>
          </w:tcPr>
          <w:p w14:paraId="5F23AD52"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585</w:t>
            </w:r>
          </w:p>
        </w:tc>
      </w:tr>
      <w:tr w:rsidR="005A0219" w:rsidRPr="002142B8" w14:paraId="6A214F63" w14:textId="77777777" w:rsidTr="0063781D">
        <w:tc>
          <w:tcPr>
            <w:cnfStyle w:val="001000000000" w:firstRow="0" w:lastRow="0" w:firstColumn="1" w:lastColumn="0" w:oddVBand="0" w:evenVBand="0" w:oddHBand="0" w:evenHBand="0" w:firstRowFirstColumn="0" w:firstRowLastColumn="0" w:lastRowFirstColumn="0" w:lastRowLastColumn="0"/>
            <w:tcW w:w="0" w:type="pct"/>
            <w:hideMark/>
          </w:tcPr>
          <w:p w14:paraId="4EFD3294"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2019</w:t>
            </w:r>
          </w:p>
        </w:tc>
        <w:tc>
          <w:tcPr>
            <w:tcW w:w="0" w:type="pct"/>
            <w:hideMark/>
          </w:tcPr>
          <w:p w14:paraId="628A2983"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239</w:t>
            </w:r>
          </w:p>
        </w:tc>
        <w:tc>
          <w:tcPr>
            <w:tcW w:w="0" w:type="pct"/>
            <w:hideMark/>
          </w:tcPr>
          <w:p w14:paraId="696766F2"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2 780</w:t>
            </w:r>
          </w:p>
        </w:tc>
        <w:tc>
          <w:tcPr>
            <w:tcW w:w="0" w:type="pct"/>
          </w:tcPr>
          <w:p w14:paraId="3EE54262"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63</w:t>
            </w:r>
          </w:p>
        </w:tc>
        <w:tc>
          <w:tcPr>
            <w:tcW w:w="0" w:type="pct"/>
          </w:tcPr>
          <w:p w14:paraId="7C3075BA"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731</w:t>
            </w:r>
          </w:p>
        </w:tc>
      </w:tr>
      <w:tr w:rsidR="005A0219" w:rsidRPr="002142B8" w14:paraId="6275C46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AEF7BAF" w14:textId="77777777" w:rsidR="005A0219" w:rsidRPr="002142B8" w:rsidRDefault="005A0219" w:rsidP="005A0219">
            <w:pPr>
              <w:autoSpaceDE w:val="0"/>
              <w:autoSpaceDN w:val="0"/>
              <w:adjustRightInd w:val="0"/>
              <w:jc w:val="center"/>
              <w:rPr>
                <w:rFonts w:ascii="Georgia" w:eastAsia="Georgia" w:hAnsi="Georgia" w:cs="Arial Unicode MS"/>
                <w:bCs w:val="0"/>
                <w:szCs w:val="24"/>
              </w:rPr>
            </w:pPr>
            <w:r w:rsidRPr="002142B8">
              <w:rPr>
                <w:rFonts w:ascii="Georgia" w:eastAsia="Georgia" w:hAnsi="Georgia" w:cs="Arial Unicode MS"/>
                <w:szCs w:val="24"/>
              </w:rPr>
              <w:t>2020</w:t>
            </w:r>
          </w:p>
        </w:tc>
        <w:tc>
          <w:tcPr>
            <w:tcW w:w="0" w:type="pct"/>
            <w:hideMark/>
          </w:tcPr>
          <w:p w14:paraId="70689F92"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287</w:t>
            </w:r>
          </w:p>
        </w:tc>
        <w:tc>
          <w:tcPr>
            <w:tcW w:w="0" w:type="pct"/>
            <w:hideMark/>
          </w:tcPr>
          <w:p w14:paraId="78BE8A50"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Cs w:val="24"/>
              </w:rPr>
            </w:pPr>
            <w:r w:rsidRPr="002142B8">
              <w:rPr>
                <w:rFonts w:ascii="Georgia" w:eastAsia="Georgia" w:hAnsi="Georgia" w:cs="Arial Unicode MS"/>
                <w:color w:val="000000"/>
              </w:rPr>
              <w:t>3 336</w:t>
            </w:r>
          </w:p>
        </w:tc>
        <w:tc>
          <w:tcPr>
            <w:tcW w:w="0" w:type="pct"/>
          </w:tcPr>
          <w:p w14:paraId="40CD1D04"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75</w:t>
            </w:r>
          </w:p>
        </w:tc>
        <w:tc>
          <w:tcPr>
            <w:tcW w:w="0" w:type="pct"/>
          </w:tcPr>
          <w:p w14:paraId="17DF0955"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877</w:t>
            </w:r>
          </w:p>
        </w:tc>
      </w:tr>
      <w:tr w:rsidR="005A0219" w:rsidRPr="002142B8" w14:paraId="4C3D8D41" w14:textId="77777777" w:rsidTr="0063781D">
        <w:tc>
          <w:tcPr>
            <w:cnfStyle w:val="001000000000" w:firstRow="0" w:lastRow="0" w:firstColumn="1" w:lastColumn="0" w:oddVBand="0" w:evenVBand="0" w:oddHBand="0" w:evenHBand="0" w:firstRowFirstColumn="0" w:firstRowLastColumn="0" w:lastRowFirstColumn="0" w:lastRowLastColumn="0"/>
            <w:tcW w:w="0" w:type="pct"/>
          </w:tcPr>
          <w:p w14:paraId="5AFCFBBC" w14:textId="77777777" w:rsidR="005A0219" w:rsidRPr="002142B8" w:rsidRDefault="005A0219" w:rsidP="005A0219">
            <w:pPr>
              <w:autoSpaceDE w:val="0"/>
              <w:autoSpaceDN w:val="0"/>
              <w:adjustRightInd w:val="0"/>
              <w:jc w:val="center"/>
              <w:rPr>
                <w:rFonts w:ascii="Georgia" w:eastAsia="Georgia" w:hAnsi="Georgia" w:cs="Arial Unicode MS"/>
                <w:szCs w:val="24"/>
              </w:rPr>
            </w:pPr>
            <w:r w:rsidRPr="002142B8">
              <w:rPr>
                <w:rFonts w:ascii="Georgia" w:eastAsia="Georgia" w:hAnsi="Georgia" w:cs="Arial Unicode MS"/>
                <w:szCs w:val="24"/>
              </w:rPr>
              <w:t>2021</w:t>
            </w:r>
          </w:p>
        </w:tc>
        <w:tc>
          <w:tcPr>
            <w:tcW w:w="0" w:type="pct"/>
          </w:tcPr>
          <w:p w14:paraId="36524459"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40</w:t>
            </w:r>
          </w:p>
        </w:tc>
        <w:tc>
          <w:tcPr>
            <w:tcW w:w="0" w:type="pct"/>
          </w:tcPr>
          <w:p w14:paraId="0D14D723"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466</w:t>
            </w:r>
          </w:p>
        </w:tc>
        <w:tc>
          <w:tcPr>
            <w:tcW w:w="0" w:type="pct"/>
          </w:tcPr>
          <w:p w14:paraId="738E1428"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11</w:t>
            </w:r>
          </w:p>
        </w:tc>
        <w:tc>
          <w:tcPr>
            <w:tcW w:w="0" w:type="pct"/>
          </w:tcPr>
          <w:p w14:paraId="2CA83672"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123</w:t>
            </w:r>
          </w:p>
        </w:tc>
      </w:tr>
      <w:tr w:rsidR="005A0219" w:rsidRPr="002142B8" w14:paraId="52ABF3CC"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060C848" w14:textId="77777777" w:rsidR="005A0219" w:rsidRPr="002142B8" w:rsidRDefault="005A0219" w:rsidP="005A0219">
            <w:pPr>
              <w:autoSpaceDE w:val="0"/>
              <w:autoSpaceDN w:val="0"/>
              <w:adjustRightInd w:val="0"/>
              <w:jc w:val="center"/>
              <w:rPr>
                <w:rFonts w:ascii="Georgia" w:eastAsia="Georgia" w:hAnsi="Georgia" w:cs="Arial Unicode MS"/>
                <w:szCs w:val="24"/>
              </w:rPr>
            </w:pPr>
            <w:r w:rsidRPr="002142B8">
              <w:rPr>
                <w:rFonts w:ascii="Georgia" w:eastAsia="Georgia" w:hAnsi="Georgia" w:cs="Arial Unicode MS"/>
                <w:szCs w:val="24"/>
              </w:rPr>
              <w:t>2022</w:t>
            </w:r>
          </w:p>
        </w:tc>
        <w:tc>
          <w:tcPr>
            <w:tcW w:w="0" w:type="pct"/>
          </w:tcPr>
          <w:p w14:paraId="4BF071E9"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80</w:t>
            </w:r>
          </w:p>
        </w:tc>
        <w:tc>
          <w:tcPr>
            <w:tcW w:w="0" w:type="pct"/>
          </w:tcPr>
          <w:p w14:paraId="624EC5F1"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933</w:t>
            </w:r>
          </w:p>
        </w:tc>
        <w:tc>
          <w:tcPr>
            <w:tcW w:w="0" w:type="pct"/>
          </w:tcPr>
          <w:p w14:paraId="030CA7A4"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21</w:t>
            </w:r>
          </w:p>
        </w:tc>
        <w:tc>
          <w:tcPr>
            <w:tcW w:w="0" w:type="pct"/>
          </w:tcPr>
          <w:p w14:paraId="1787E013"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245</w:t>
            </w:r>
          </w:p>
        </w:tc>
      </w:tr>
      <w:tr w:rsidR="005A0219" w:rsidRPr="002142B8" w14:paraId="74B97949" w14:textId="77777777" w:rsidTr="0063781D">
        <w:tc>
          <w:tcPr>
            <w:cnfStyle w:val="001000000000" w:firstRow="0" w:lastRow="0" w:firstColumn="1" w:lastColumn="0" w:oddVBand="0" w:evenVBand="0" w:oddHBand="0" w:evenHBand="0" w:firstRowFirstColumn="0" w:firstRowLastColumn="0" w:lastRowFirstColumn="0" w:lastRowLastColumn="0"/>
            <w:tcW w:w="0" w:type="pct"/>
          </w:tcPr>
          <w:p w14:paraId="29B4C11D" w14:textId="77777777" w:rsidR="005A0219" w:rsidRPr="002142B8" w:rsidRDefault="005A0219" w:rsidP="005A0219">
            <w:pPr>
              <w:autoSpaceDE w:val="0"/>
              <w:autoSpaceDN w:val="0"/>
              <w:adjustRightInd w:val="0"/>
              <w:jc w:val="center"/>
              <w:rPr>
                <w:rFonts w:ascii="Georgia" w:eastAsia="Georgia" w:hAnsi="Georgia" w:cs="Arial Unicode MS"/>
                <w:szCs w:val="24"/>
              </w:rPr>
            </w:pPr>
            <w:r w:rsidRPr="002142B8">
              <w:rPr>
                <w:rFonts w:ascii="Georgia" w:eastAsia="Georgia" w:hAnsi="Georgia" w:cs="Arial Unicode MS"/>
                <w:szCs w:val="24"/>
              </w:rPr>
              <w:t>2023</w:t>
            </w:r>
          </w:p>
        </w:tc>
        <w:tc>
          <w:tcPr>
            <w:tcW w:w="0" w:type="pct"/>
          </w:tcPr>
          <w:p w14:paraId="16612D82"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120</w:t>
            </w:r>
          </w:p>
        </w:tc>
        <w:tc>
          <w:tcPr>
            <w:tcW w:w="0" w:type="pct"/>
          </w:tcPr>
          <w:p w14:paraId="291BA201"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rPr>
            </w:pPr>
            <w:r w:rsidRPr="002142B8">
              <w:rPr>
                <w:rFonts w:ascii="Georgia" w:eastAsia="Georgia" w:hAnsi="Georgia" w:cs="Arial Unicode MS"/>
                <w:color w:val="000000"/>
              </w:rPr>
              <w:t>1 399</w:t>
            </w:r>
          </w:p>
        </w:tc>
        <w:tc>
          <w:tcPr>
            <w:tcW w:w="0" w:type="pct"/>
          </w:tcPr>
          <w:p w14:paraId="2422C8AC"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32</w:t>
            </w:r>
          </w:p>
        </w:tc>
        <w:tc>
          <w:tcPr>
            <w:tcW w:w="0" w:type="pct"/>
          </w:tcPr>
          <w:p w14:paraId="65792CD3"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color w:val="000000"/>
                <w:szCs w:val="18"/>
              </w:rPr>
            </w:pPr>
            <w:r w:rsidRPr="002142B8">
              <w:rPr>
                <w:rFonts w:ascii="Georgia" w:eastAsia="Georgia" w:hAnsi="Georgia" w:cs="Arial Unicode MS"/>
                <w:color w:val="000000"/>
                <w:szCs w:val="18"/>
              </w:rPr>
              <w:t>368</w:t>
            </w:r>
          </w:p>
        </w:tc>
      </w:tr>
      <w:tr w:rsidR="005A0219" w:rsidRPr="002142B8" w14:paraId="007D812D"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A6ECF2C" w14:textId="77777777" w:rsidR="005A0219" w:rsidRPr="002142B8" w:rsidRDefault="005A0219" w:rsidP="005A0219">
            <w:pPr>
              <w:autoSpaceDE w:val="0"/>
              <w:autoSpaceDN w:val="0"/>
              <w:adjustRightInd w:val="0"/>
              <w:jc w:val="center"/>
              <w:rPr>
                <w:rFonts w:ascii="Georgia" w:eastAsia="Georgia" w:hAnsi="Georgia" w:cs="Arial Unicode MS"/>
                <w:szCs w:val="24"/>
              </w:rPr>
            </w:pPr>
            <w:r w:rsidRPr="002142B8">
              <w:rPr>
                <w:rFonts w:ascii="Georgia" w:eastAsia="Georgia" w:hAnsi="Georgia" w:cs="Arial Unicode MS"/>
                <w:szCs w:val="24"/>
              </w:rPr>
              <w:t>2017-2023</w:t>
            </w:r>
          </w:p>
        </w:tc>
        <w:tc>
          <w:tcPr>
            <w:tcW w:w="0" w:type="pct"/>
          </w:tcPr>
          <w:p w14:paraId="580E82F4" w14:textId="6A58C784"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rPr>
            </w:pPr>
            <w:r w:rsidRPr="002142B8">
              <w:rPr>
                <w:rFonts w:ascii="Georgia" w:eastAsia="Georgia" w:hAnsi="Georgia" w:cs="Arial Unicode MS"/>
                <w:b/>
                <w:color w:val="000000"/>
              </w:rPr>
              <w:t>1 10</w:t>
            </w:r>
            <w:r w:rsidR="00D043C3">
              <w:rPr>
                <w:rFonts w:ascii="Georgia" w:eastAsia="Georgia" w:hAnsi="Georgia" w:cs="Arial Unicode MS"/>
                <w:b/>
                <w:color w:val="000000"/>
              </w:rPr>
              <w:t>0</w:t>
            </w:r>
          </w:p>
        </w:tc>
        <w:tc>
          <w:tcPr>
            <w:tcW w:w="0" w:type="pct"/>
          </w:tcPr>
          <w:p w14:paraId="3FC2BEC8"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rPr>
            </w:pPr>
            <w:r w:rsidRPr="002142B8">
              <w:rPr>
                <w:rFonts w:ascii="Georgia" w:eastAsia="Georgia" w:hAnsi="Georgia" w:cs="Arial Unicode MS"/>
                <w:b/>
                <w:color w:val="000000"/>
              </w:rPr>
              <w:t>12 806</w:t>
            </w:r>
          </w:p>
        </w:tc>
        <w:tc>
          <w:tcPr>
            <w:tcW w:w="0" w:type="pct"/>
          </w:tcPr>
          <w:p w14:paraId="2D1DC6F7"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szCs w:val="18"/>
              </w:rPr>
            </w:pPr>
            <w:r w:rsidRPr="002142B8">
              <w:rPr>
                <w:rFonts w:ascii="Georgia" w:eastAsia="Georgia" w:hAnsi="Georgia" w:cs="Arial Unicode MS"/>
                <w:b/>
                <w:color w:val="000000"/>
                <w:szCs w:val="18"/>
              </w:rPr>
              <w:t>290</w:t>
            </w:r>
          </w:p>
        </w:tc>
        <w:tc>
          <w:tcPr>
            <w:tcW w:w="0" w:type="pct"/>
          </w:tcPr>
          <w:p w14:paraId="6A66B012"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color w:val="000000"/>
                <w:szCs w:val="18"/>
              </w:rPr>
            </w:pPr>
            <w:r w:rsidRPr="002142B8">
              <w:rPr>
                <w:rFonts w:ascii="Georgia" w:eastAsia="Georgia" w:hAnsi="Georgia" w:cs="Arial Unicode MS"/>
                <w:b/>
                <w:color w:val="000000"/>
                <w:szCs w:val="18"/>
              </w:rPr>
              <w:t>3 368</w:t>
            </w:r>
          </w:p>
        </w:tc>
      </w:tr>
    </w:tbl>
    <w:p w14:paraId="69D15EA2" w14:textId="77777777" w:rsidR="005A0219" w:rsidRPr="002142B8" w:rsidRDefault="005A0219" w:rsidP="005A0219">
      <w:pPr>
        <w:spacing w:before="120"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20284B0A" w14:textId="5849EAF3" w:rsidR="005A0219" w:rsidRPr="002142B8" w:rsidRDefault="005A0219" w:rsidP="0063781D">
      <w:pPr>
        <w:spacing w:after="160" w:line="240" w:lineRule="auto"/>
        <w:jc w:val="both"/>
        <w:rPr>
          <w:rFonts w:ascii="Georgia" w:eastAsia="Georgia" w:hAnsi="Georgia" w:cs="Arial Unicode MS"/>
          <w:b/>
          <w:sz w:val="20"/>
          <w:szCs w:val="20"/>
          <w:lang w:val="lt-LT"/>
        </w:rPr>
      </w:pPr>
      <w:r w:rsidRPr="002142B8">
        <w:rPr>
          <w:rFonts w:ascii="Georgia" w:eastAsia="Georgia" w:hAnsi="Georgia" w:cs="Arial Unicode MS"/>
          <w:b/>
          <w:sz w:val="20"/>
          <w:szCs w:val="20"/>
          <w:lang w:val="lt-LT"/>
        </w:rPr>
        <w:t>Pagal a</w:t>
      </w:r>
      <w:r w:rsidR="00415ADA" w:rsidRPr="002142B8">
        <w:rPr>
          <w:rFonts w:ascii="Georgia" w:eastAsia="Georgia" w:hAnsi="Georgia" w:cs="Arial Unicode MS"/>
          <w:b/>
          <w:sz w:val="20"/>
          <w:szCs w:val="20"/>
          <w:lang w:val="lt-LT"/>
        </w:rPr>
        <w:t>n</w:t>
      </w:r>
      <w:r w:rsidRPr="002142B8">
        <w:rPr>
          <w:rFonts w:ascii="Georgia" w:eastAsia="Georgia" w:hAnsi="Georgia" w:cs="Arial Unicode MS"/>
          <w:b/>
          <w:sz w:val="20"/>
          <w:szCs w:val="20"/>
          <w:lang w:val="lt-LT"/>
        </w:rPr>
        <w:t>kščiau pateiktus duomenis vidutiniškai kiekvienais metais 2017-2023 m. laikotarpiu iš gyvenamųjų ir viešųjų pastatų būtų papildomai sutaupoma 136,1 GWh energijos.</w:t>
      </w:r>
    </w:p>
    <w:p w14:paraId="44D389F0" w14:textId="77777777" w:rsidR="005A0219" w:rsidRPr="002142B8" w:rsidRDefault="005A0219" w:rsidP="005A0219">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Šie skaičiavimai atspindi energijos vartojimo taupymo tikslus Lietuvoje vadovaujantis atnaujintais tačiau dar nepatvirtintai dokumentais. Labai tikėtina, jog keisis ne tik nuostatos dėl pačio galutinio sutaupymo dydžio nustatant BGEST rodiklį 2021-2030 metais, tačiau ir galutinis energijos suvartojimas 2020 metais bei pasiskirstymas tarp energijos vartojimo gyvenamuose bei visuomeniniuose pastatuose. Todėl toliau analizuodami viešųjų pastatų, daugiabučių ir gatvių apšvietimo paklausą remsimės šiuose sektoriuose nustatytais konkrečiais tikslais įtvirtintais jų reglamentavime.    </w:t>
      </w:r>
    </w:p>
    <w:p w14:paraId="025F84B9" w14:textId="77777777" w:rsidR="005A0219" w:rsidRPr="002142B8" w:rsidRDefault="005A0219" w:rsidP="005A0219">
      <w:pPr>
        <w:keepNext/>
        <w:keepLines/>
        <w:numPr>
          <w:ilvl w:val="3"/>
          <w:numId w:val="2"/>
        </w:numPr>
        <w:spacing w:before="200" w:after="240" w:line="240" w:lineRule="auto"/>
        <w:ind w:hanging="1298"/>
        <w:outlineLvl w:val="1"/>
        <w:rPr>
          <w:rFonts w:ascii="Georgia" w:eastAsia="Times New Roman" w:hAnsi="Georgia" w:cs="Arial Unicode MS"/>
          <w:b/>
          <w:i/>
          <w:color w:val="821A1A"/>
          <w:sz w:val="32"/>
          <w:szCs w:val="26"/>
          <w:lang w:val="lt-LT"/>
        </w:rPr>
      </w:pPr>
      <w:bookmarkStart w:id="46" w:name="_Toc25589891"/>
      <w:r w:rsidRPr="002142B8">
        <w:rPr>
          <w:rFonts w:ascii="Georgia" w:eastAsia="Times New Roman" w:hAnsi="Georgia" w:cs="Arial Unicode MS"/>
          <w:b/>
          <w:i/>
          <w:color w:val="821A1A"/>
          <w:sz w:val="32"/>
          <w:szCs w:val="26"/>
          <w:lang w:val="lt-LT"/>
        </w:rPr>
        <w:t>Viešųjų pastatų modernizavimo paklausos skaičiavimas</w:t>
      </w:r>
      <w:bookmarkEnd w:id="46"/>
    </w:p>
    <w:p w14:paraId="25735A17" w14:textId="26C743CC"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Pagal šiuo metu galiojančius </w:t>
      </w:r>
      <w:r w:rsidR="00FE78A7" w:rsidRPr="002142B8">
        <w:rPr>
          <w:rFonts w:ascii="Georgia" w:eastAsia="Georgia" w:hAnsi="Georgia" w:cs="Arial Unicode MS"/>
          <w:bCs/>
          <w:sz w:val="20"/>
          <w:szCs w:val="20"/>
          <w:lang w:val="lt-LT"/>
        </w:rPr>
        <w:t>teisės aktus</w:t>
      </w:r>
      <w:r w:rsidRPr="002142B8">
        <w:rPr>
          <w:rFonts w:ascii="Georgia" w:eastAsia="Georgia" w:hAnsi="Georgia" w:cs="Arial Unicode MS"/>
          <w:bCs/>
          <w:sz w:val="20"/>
          <w:szCs w:val="20"/>
          <w:lang w:val="lt-LT"/>
        </w:rPr>
        <w:t xml:space="preserve"> yra nustatyti trejopi viešųjų pastatų energijos vartojimo taupymo tikslai:</w:t>
      </w:r>
    </w:p>
    <w:p w14:paraId="5553F6A1" w14:textId="12FD905C" w:rsidR="005A0219" w:rsidRPr="002142B8" w:rsidRDefault="005A0219"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0,4 TWh viešųjų pastatų sektoriuje iki 2020</w:t>
      </w:r>
      <w:r w:rsidR="00FE78A7" w:rsidRPr="002142B8">
        <w:rPr>
          <w:rFonts w:ascii="Georgia" w:eastAsia="Georgia" w:hAnsi="Georgia" w:cs="Arial Unicode MS"/>
          <w:bCs/>
          <w:sz w:val="20"/>
          <w:szCs w:val="20"/>
          <w:lang w:val="lt-LT"/>
        </w:rPr>
        <w:t xml:space="preserve"> </w:t>
      </w:r>
      <w:r w:rsidRPr="002142B8">
        <w:rPr>
          <w:rFonts w:ascii="Georgia" w:eastAsia="Georgia" w:hAnsi="Georgia" w:cs="Arial Unicode MS"/>
          <w:bCs/>
          <w:sz w:val="20"/>
          <w:szCs w:val="20"/>
          <w:lang w:val="lt-LT"/>
        </w:rPr>
        <w:t>m. (pagal Energetikos Ministerijos pateiktus duomenis);</w:t>
      </w:r>
    </w:p>
    <w:p w14:paraId="112959E7" w14:textId="46488419" w:rsidR="005A0219" w:rsidRPr="002142B8" w:rsidRDefault="00415ADA"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Atnaujinti </w:t>
      </w:r>
      <w:r w:rsidR="005A0219" w:rsidRPr="002142B8">
        <w:rPr>
          <w:rFonts w:ascii="Georgia" w:eastAsia="Georgia" w:hAnsi="Georgia" w:cs="Arial Unicode MS"/>
          <w:bCs/>
          <w:sz w:val="20"/>
          <w:szCs w:val="20"/>
          <w:lang w:val="lt-LT"/>
        </w:rPr>
        <w:t>700 tūks. m</w:t>
      </w:r>
      <w:r w:rsidR="005A0219" w:rsidRPr="002142B8">
        <w:rPr>
          <w:rFonts w:ascii="Georgia" w:eastAsia="Georgia" w:hAnsi="Georgia" w:cs="Arial Unicode MS"/>
          <w:bCs/>
          <w:sz w:val="20"/>
          <w:szCs w:val="20"/>
          <w:vertAlign w:val="superscript"/>
          <w:lang w:val="lt-LT"/>
        </w:rPr>
        <w:t>2</w:t>
      </w:r>
      <w:r w:rsidR="005A0219" w:rsidRPr="002142B8">
        <w:rPr>
          <w:rFonts w:ascii="Georgia" w:eastAsia="Georgia" w:hAnsi="Georgia" w:cs="Arial Unicode MS"/>
          <w:bCs/>
          <w:sz w:val="20"/>
          <w:szCs w:val="20"/>
          <w:lang w:val="lt-LT"/>
        </w:rPr>
        <w:t xml:space="preserve"> viešųjų pastatų ploto iki 2020 m.; </w:t>
      </w:r>
    </w:p>
    <w:p w14:paraId="7A6ABD78" w14:textId="77777777" w:rsidR="005A0219" w:rsidRPr="002142B8" w:rsidRDefault="005A0219" w:rsidP="00162BF5">
      <w:pPr>
        <w:numPr>
          <w:ilvl w:val="0"/>
          <w:numId w:val="70"/>
        </w:numPr>
        <w:autoSpaceDE w:val="0"/>
        <w:autoSpaceDN w:val="0"/>
        <w:adjustRightInd w:val="0"/>
        <w:spacing w:after="0" w:line="240" w:lineRule="auto"/>
        <w:contextualSpacing/>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60 GWh metinės pirminės (arba 48 GWh galutinės</w:t>
      </w:r>
      <w:r w:rsidRPr="002142B8">
        <w:rPr>
          <w:rFonts w:ascii="Georgia" w:eastAsia="Georgia" w:hAnsi="Georgia" w:cs="Arial Unicode MS"/>
          <w:bCs/>
          <w:color w:val="000000"/>
          <w:sz w:val="20"/>
          <w:szCs w:val="20"/>
          <w:vertAlign w:val="superscript"/>
          <w:lang w:val="lt-LT"/>
        </w:rPr>
        <w:footnoteReference w:id="17"/>
      </w:r>
      <w:r w:rsidRPr="002142B8">
        <w:rPr>
          <w:rFonts w:ascii="Georgia" w:eastAsia="Georgia" w:hAnsi="Georgia" w:cs="Arial Unicode MS"/>
          <w:bCs/>
          <w:sz w:val="20"/>
          <w:szCs w:val="20"/>
          <w:lang w:val="lt-LT"/>
        </w:rPr>
        <w:t>) energijos atnaujintuose viešuosiuose pastatuose iki 2020 m.</w:t>
      </w:r>
    </w:p>
    <w:p w14:paraId="6BF39A87"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 </w:t>
      </w:r>
    </w:p>
    <w:p w14:paraId="7B7C29A5"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Toliau trumpai analizuojamas kiekvienas ir jų reikšmė galutinei paklausai. Atsižvelgiant į tai, jog daugiabučių ir viešųjų pastatų atnaujinimo programomis siekiama sutaupyti atitinkamai 2,67 TWh ir 0,4 TWh iki 2020 metų, išlaikant tokią pat proporciją apskaičiuojamas vidutinis metinis naujos energijos sutaupymų dydis iš viešųjų pastatų iki pat 2023 metų, kuris lygus 18 GWh (138,3 x 13%) pagal bendrus energijos taupymo tikslus. </w:t>
      </w:r>
    </w:p>
    <w:p w14:paraId="6556A1D7"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78B9B88"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lastRenderedPageBreak/>
        <w:t>Svarbu prisiminti, jog siekiant antro ir trečio tikslo, būtina atimti 2014-2016 metais jau renovuotų viešųjų pastatų plotą ir sutaupomos pirminės energijos kiekį. Taip pat turi būti pridėtas ir 2021-2023 metų viešųjų pastatų modernizavimo poreikis. Darant prielaidą, jog ir 2021-2023 metais bus keliami proporcingi tikslai kaip ir praėjusiam laikotarpiui, antram tikslui reikėtų pridėti 348 tūkst.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xml:space="preserve">, o trečiam – 30 GWh pirminės (24 GWh galutinės) suvartojamos energijos kiekio. </w:t>
      </w:r>
    </w:p>
    <w:p w14:paraId="51DA95DC"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9B3F083" w14:textId="57DB19EB"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2014 m. lapkričio 26 d.</w:t>
      </w:r>
      <w:r w:rsidR="005C0239">
        <w:rPr>
          <w:rFonts w:ascii="Georgia" w:eastAsia="Georgia" w:hAnsi="Georgia" w:cs="Arial Unicode MS"/>
          <w:bCs/>
          <w:sz w:val="20"/>
          <w:szCs w:val="20"/>
          <w:lang w:val="lt-LT"/>
        </w:rPr>
        <w:t xml:space="preserve"> </w:t>
      </w:r>
      <w:r w:rsidR="005C0239" w:rsidRPr="002142B8">
        <w:rPr>
          <w:rFonts w:ascii="Georgia" w:eastAsia="Georgia" w:hAnsi="Georgia" w:cs="Arial Unicode MS"/>
          <w:bCs/>
          <w:sz w:val="20"/>
          <w:szCs w:val="20"/>
          <w:lang w:val="lt-LT"/>
        </w:rPr>
        <w:t>Lietuvos Respublikos Vyriausybės</w:t>
      </w:r>
      <w:r w:rsidRPr="002142B8">
        <w:rPr>
          <w:rFonts w:ascii="Georgia" w:eastAsia="Georgia" w:hAnsi="Georgia" w:cs="Arial Unicode MS"/>
          <w:bCs/>
          <w:sz w:val="20"/>
          <w:szCs w:val="20"/>
          <w:lang w:val="lt-LT"/>
        </w:rPr>
        <w:t xml:space="preserve"> nutarimu Nr. 1328 „Dėl Viešųjų pastatų energinio efektyvumo didinimo programos patvirtinimo“ nustatyta iki 2020 metų atnaujinti 700 tūkst.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xml:space="preserve"> viešųjų pastatų ploto – 470 tūkst.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xml:space="preserve"> (arba 67%) valstybei nuosavybės teise priklausančio pastatų ploto ir 230 tūkst.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xml:space="preserve"> (arba 33%) savivaldybėms nuosavybės teise priklausančio pastatų ploto. Remiantis 2014 m. sausio 23 d. Nr.1-7 LR Energetikos ministro įsakymu dėl valstybės nuosavybės teise priklausančių šildomų ir (arba) vėsinamų valstybės institucijų ir įstaigų – valstybinio administravimo subjektų naudojamų pastatų sąrašu, atimamas metinis numatytas renovuoti viešųjų pastatų plotas (133,406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Taip pat 2021-2023m. periodui pridedama 348 tūkst.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tokiu būdu perskaičiuotas paklausa lygi 914,594 m</w:t>
      </w:r>
      <w:r w:rsidRPr="002142B8">
        <w:rPr>
          <w:rFonts w:ascii="Georgia" w:eastAsia="Georgia" w:hAnsi="Georgia" w:cs="Arial Unicode MS"/>
          <w:bCs/>
          <w:sz w:val="20"/>
          <w:szCs w:val="20"/>
          <w:vertAlign w:val="superscript"/>
          <w:lang w:val="lt-LT"/>
        </w:rPr>
        <w:t>2</w:t>
      </w:r>
      <w:r w:rsidRPr="002142B8">
        <w:rPr>
          <w:rFonts w:ascii="Georgia" w:eastAsia="Georgia" w:hAnsi="Georgia" w:cs="Arial Unicode MS"/>
          <w:bCs/>
          <w:sz w:val="20"/>
          <w:szCs w:val="20"/>
          <w:lang w:val="lt-LT"/>
        </w:rPr>
        <w:t xml:space="preserve">. Darant prielaidą, jog vienam </w:t>
      </w:r>
      <w:r w:rsidR="00415ADA" w:rsidRPr="002142B8">
        <w:rPr>
          <w:rFonts w:ascii="Georgia" w:eastAsia="Georgia" w:hAnsi="Georgia" w:cs="Arial Unicode MS"/>
          <w:bCs/>
          <w:sz w:val="20"/>
          <w:szCs w:val="20"/>
          <w:lang w:val="lt-LT"/>
        </w:rPr>
        <w:t xml:space="preserve">kvadratiniam metrui </w:t>
      </w:r>
      <w:r w:rsidRPr="002142B8">
        <w:rPr>
          <w:rFonts w:ascii="Georgia" w:eastAsia="Georgia" w:hAnsi="Georgia" w:cs="Arial Unicode MS"/>
          <w:bCs/>
          <w:sz w:val="20"/>
          <w:szCs w:val="20"/>
          <w:lang w:val="lt-LT"/>
        </w:rPr>
        <w:t>galima sutaupyti 110 kWh (prielaida taikyta ankstesnėje ex-ante ataskaitoje), tai bendras energijos sutaupymų dydis siektų apie 100,6 GWh.</w:t>
      </w:r>
    </w:p>
    <w:p w14:paraId="171EB865"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1094B643" w14:textId="6B1854F3" w:rsidR="005A0219" w:rsidRPr="002142B8" w:rsidRDefault="00144175"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Remiantis trečiuoju viešųjų pastatų energijos vartojimo taupymo</w:t>
      </w:r>
      <w:r w:rsidR="005A0219" w:rsidRPr="002142B8">
        <w:rPr>
          <w:rFonts w:ascii="Georgia" w:eastAsia="Georgia" w:hAnsi="Georgia" w:cs="Arial Unicode MS"/>
          <w:bCs/>
          <w:sz w:val="20"/>
          <w:szCs w:val="20"/>
          <w:lang w:val="lt-LT"/>
        </w:rPr>
        <w:t xml:space="preserve"> </w:t>
      </w:r>
      <w:r w:rsidRPr="002142B8">
        <w:rPr>
          <w:rFonts w:ascii="Georgia" w:eastAsia="Georgia" w:hAnsi="Georgia" w:cs="Arial Unicode MS"/>
          <w:bCs/>
          <w:sz w:val="20"/>
          <w:szCs w:val="20"/>
          <w:lang w:val="lt-LT"/>
        </w:rPr>
        <w:t xml:space="preserve">tikslu </w:t>
      </w:r>
      <w:r w:rsidR="005A0219" w:rsidRPr="002142B8">
        <w:rPr>
          <w:rFonts w:ascii="Georgia" w:eastAsia="Georgia" w:hAnsi="Georgia" w:cs="Arial Unicode MS"/>
          <w:bCs/>
          <w:sz w:val="20"/>
          <w:szCs w:val="20"/>
          <w:lang w:val="lt-LT"/>
        </w:rPr>
        <w:t xml:space="preserve">pirminės ir galutinės energijos metinis sutaupymų lygis </w:t>
      </w:r>
      <w:r w:rsidRPr="002142B8">
        <w:rPr>
          <w:rFonts w:ascii="Georgia" w:eastAsia="Georgia" w:hAnsi="Georgia" w:cs="Arial Unicode MS"/>
          <w:bCs/>
          <w:sz w:val="20"/>
          <w:szCs w:val="20"/>
          <w:lang w:val="lt-LT"/>
        </w:rPr>
        <w:t xml:space="preserve">turėtų siekti atitinkamai </w:t>
      </w:r>
      <w:r w:rsidR="005A0219" w:rsidRPr="002142B8">
        <w:rPr>
          <w:rFonts w:ascii="Georgia" w:eastAsia="Georgia" w:hAnsi="Georgia" w:cs="Arial Unicode MS"/>
          <w:bCs/>
          <w:sz w:val="20"/>
          <w:szCs w:val="20"/>
          <w:lang w:val="lt-LT"/>
        </w:rPr>
        <w:t>60 GWh ir 48</w:t>
      </w:r>
      <w:r w:rsidR="00415ADA" w:rsidRPr="002142B8">
        <w:rPr>
          <w:rFonts w:ascii="Georgia" w:eastAsia="Georgia" w:hAnsi="Georgia" w:cs="Arial Unicode MS"/>
          <w:bCs/>
          <w:sz w:val="20"/>
          <w:szCs w:val="20"/>
          <w:lang w:val="lt-LT"/>
        </w:rPr>
        <w:t xml:space="preserve"> </w:t>
      </w:r>
      <w:r w:rsidR="005A0219" w:rsidRPr="002142B8">
        <w:rPr>
          <w:rFonts w:ascii="Georgia" w:eastAsia="Georgia" w:hAnsi="Georgia" w:cs="Arial Unicode MS"/>
          <w:bCs/>
          <w:sz w:val="20"/>
          <w:szCs w:val="20"/>
          <w:lang w:val="lt-LT"/>
        </w:rPr>
        <w:t>GWh per metus. Paklausa atitinkamai sumažinama pagal faktinį sutaupytą galutinį energijos kiekį 2014-2016 metais (22 GWh</w:t>
      </w:r>
      <w:r w:rsidR="005A0219" w:rsidRPr="002142B8">
        <w:rPr>
          <w:rFonts w:ascii="Georgia" w:eastAsia="Georgia" w:hAnsi="Georgia" w:cs="Arial Unicode MS"/>
          <w:bCs/>
          <w:color w:val="000000"/>
          <w:sz w:val="20"/>
          <w:szCs w:val="20"/>
          <w:vertAlign w:val="superscript"/>
          <w:lang w:val="lt-LT"/>
        </w:rPr>
        <w:footnoteReference w:id="18"/>
      </w:r>
      <w:r w:rsidR="005A0219" w:rsidRPr="002142B8">
        <w:rPr>
          <w:rFonts w:ascii="Georgia" w:eastAsia="Georgia" w:hAnsi="Georgia" w:cs="Arial Unicode MS"/>
          <w:bCs/>
          <w:sz w:val="20"/>
          <w:szCs w:val="20"/>
          <w:lang w:val="lt-LT"/>
        </w:rPr>
        <w:t>) ir padidinama proporcingu metiniu taupymo dydžiu kaip aprašyta aukščiau. Taip gaunamas pakoreguotas galutinės energijos vartojimo taupymo siekis lygus 56</w:t>
      </w:r>
      <w:r w:rsidR="00916BAF">
        <w:rPr>
          <w:rFonts w:ascii="Georgia" w:eastAsia="Georgia" w:hAnsi="Georgia" w:cs="Arial Unicode MS"/>
          <w:bCs/>
          <w:sz w:val="20"/>
          <w:szCs w:val="20"/>
          <w:lang w:val="lt-LT"/>
        </w:rPr>
        <w:t xml:space="preserve"> </w:t>
      </w:r>
      <w:r w:rsidR="005A0219" w:rsidRPr="002142B8">
        <w:rPr>
          <w:rFonts w:ascii="Georgia" w:eastAsia="Georgia" w:hAnsi="Georgia" w:cs="Arial Unicode MS"/>
          <w:bCs/>
          <w:sz w:val="20"/>
          <w:szCs w:val="20"/>
          <w:lang w:val="lt-LT"/>
        </w:rPr>
        <w:t>GWh.</w:t>
      </w:r>
    </w:p>
    <w:p w14:paraId="3420EB54"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6DF0B7D3" w14:textId="0AD08396" w:rsidR="005A0219" w:rsidRPr="002142B8" w:rsidRDefault="00A9729F"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Siekiant kiek įmanoma tikslesnių skaičiavimų yra svarbu </w:t>
      </w:r>
      <w:r w:rsidR="005170BD" w:rsidRPr="002142B8">
        <w:rPr>
          <w:rFonts w:ascii="Georgia" w:eastAsia="Georgia" w:hAnsi="Georgia" w:cs="Arial Unicode MS"/>
          <w:bCs/>
          <w:sz w:val="20"/>
          <w:szCs w:val="20"/>
          <w:lang w:val="lt-LT"/>
        </w:rPr>
        <w:t>minimizuoti</w:t>
      </w:r>
      <w:r w:rsidRPr="002142B8">
        <w:rPr>
          <w:rFonts w:ascii="Georgia" w:eastAsia="Georgia" w:hAnsi="Georgia" w:cs="Arial Unicode MS"/>
          <w:bCs/>
          <w:sz w:val="20"/>
          <w:szCs w:val="20"/>
          <w:lang w:val="lt-LT"/>
        </w:rPr>
        <w:t xml:space="preserve"> prielaidų </w:t>
      </w:r>
      <w:r w:rsidR="005170BD" w:rsidRPr="002142B8">
        <w:rPr>
          <w:rFonts w:ascii="Georgia" w:eastAsia="Georgia" w:hAnsi="Georgia" w:cs="Arial Unicode MS"/>
          <w:bCs/>
          <w:sz w:val="20"/>
          <w:szCs w:val="20"/>
          <w:lang w:val="lt-LT"/>
        </w:rPr>
        <w:t xml:space="preserve">skaičių </w:t>
      </w:r>
      <w:r w:rsidR="005A0219" w:rsidRPr="002142B8">
        <w:rPr>
          <w:rFonts w:ascii="Georgia" w:eastAsia="Georgia" w:hAnsi="Georgia" w:cs="Arial Unicode MS"/>
          <w:bCs/>
          <w:sz w:val="20"/>
          <w:szCs w:val="20"/>
          <w:lang w:val="lt-LT"/>
        </w:rPr>
        <w:t>(</w:t>
      </w:r>
      <w:r w:rsidR="005170BD" w:rsidRPr="002142B8">
        <w:rPr>
          <w:rFonts w:ascii="Georgia" w:eastAsia="Georgia" w:hAnsi="Georgia" w:cs="Arial Unicode MS"/>
          <w:bCs/>
          <w:sz w:val="20"/>
          <w:szCs w:val="20"/>
          <w:lang w:val="lt-LT"/>
        </w:rPr>
        <w:t xml:space="preserve">pvz. </w:t>
      </w:r>
      <w:r w:rsidR="005A0219" w:rsidRPr="002142B8">
        <w:rPr>
          <w:rFonts w:ascii="Georgia" w:eastAsia="Georgia" w:hAnsi="Georgia" w:cs="Arial Unicode MS"/>
          <w:bCs/>
          <w:sz w:val="20"/>
          <w:szCs w:val="20"/>
          <w:lang w:val="lt-LT"/>
        </w:rPr>
        <w:t>energijos suvartojimas šalyje 2018-2020 metais, viešųjų pastatų energijos sutaupymų dalis bendrame balanse,</w:t>
      </w:r>
      <w:r w:rsidR="00276EEF" w:rsidRPr="002142B8">
        <w:rPr>
          <w:rFonts w:ascii="Georgia" w:eastAsia="Georgia" w:hAnsi="Georgia" w:cs="Arial Unicode MS"/>
          <w:bCs/>
          <w:sz w:val="20"/>
          <w:szCs w:val="20"/>
          <w:lang w:val="lt-LT"/>
        </w:rPr>
        <w:t xml:space="preserve"> sutaupymų dydis vienam m</w:t>
      </w:r>
      <w:r w:rsidR="00276EEF" w:rsidRPr="002142B8">
        <w:rPr>
          <w:rFonts w:ascii="Georgia" w:eastAsia="Georgia" w:hAnsi="Georgia" w:cs="Arial Unicode MS"/>
          <w:bCs/>
          <w:sz w:val="20"/>
          <w:szCs w:val="20"/>
          <w:vertAlign w:val="superscript"/>
          <w:lang w:val="lt-LT"/>
        </w:rPr>
        <w:t>2</w:t>
      </w:r>
      <w:r w:rsidR="00276EEF" w:rsidRPr="002142B8">
        <w:rPr>
          <w:rFonts w:ascii="Georgia" w:eastAsia="Georgia" w:hAnsi="Georgia" w:cs="Arial Unicode MS"/>
          <w:bCs/>
          <w:sz w:val="20"/>
          <w:szCs w:val="20"/>
          <w:lang w:val="lt-LT"/>
        </w:rPr>
        <w:t xml:space="preserve"> </w:t>
      </w:r>
      <w:r w:rsidR="005A0219" w:rsidRPr="002142B8">
        <w:rPr>
          <w:rFonts w:ascii="Georgia" w:eastAsia="Georgia" w:hAnsi="Georgia" w:cs="Arial Unicode MS"/>
          <w:bCs/>
          <w:sz w:val="20"/>
          <w:szCs w:val="20"/>
          <w:lang w:val="lt-LT"/>
        </w:rPr>
        <w:t>ir pan.)</w:t>
      </w:r>
      <w:r w:rsidR="005170BD" w:rsidRPr="002142B8">
        <w:rPr>
          <w:rFonts w:ascii="Georgia" w:eastAsia="Georgia" w:hAnsi="Georgia" w:cs="Arial Unicode MS"/>
          <w:bCs/>
          <w:sz w:val="20"/>
          <w:szCs w:val="20"/>
          <w:lang w:val="lt-LT"/>
        </w:rPr>
        <w:t>, kurios naudojamos aukščiau aprašytiems pirmojo ir antrojo metodų įvertinimui</w:t>
      </w:r>
      <w:r w:rsidR="00362FA8" w:rsidRPr="002142B8">
        <w:rPr>
          <w:rFonts w:ascii="Georgia" w:eastAsia="Georgia" w:hAnsi="Georgia" w:cs="Arial Unicode MS"/>
          <w:bCs/>
          <w:sz w:val="20"/>
          <w:szCs w:val="20"/>
          <w:lang w:val="lt-LT"/>
        </w:rPr>
        <w:t xml:space="preserve">, </w:t>
      </w:r>
      <w:r w:rsidR="005A0219" w:rsidRPr="002142B8">
        <w:rPr>
          <w:rFonts w:ascii="Georgia" w:eastAsia="Georgia" w:hAnsi="Georgia" w:cs="Arial Unicode MS"/>
          <w:bCs/>
          <w:sz w:val="20"/>
          <w:szCs w:val="20"/>
          <w:lang w:val="lt-LT"/>
        </w:rPr>
        <w:t>siūlomas naudoti trečiasis būdas, numatantis 56 GWh metinius galutinės energijos sutaupymus 2017-2023 metų periodu.</w:t>
      </w:r>
    </w:p>
    <w:p w14:paraId="46C91057"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2A84A8A8"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4"/>
          <w:lang w:val="lt-LT"/>
        </w:rPr>
      </w:pPr>
      <w:r w:rsidRPr="002142B8">
        <w:rPr>
          <w:rFonts w:ascii="Georgia" w:eastAsia="Georgia" w:hAnsi="Georgia" w:cs="Arial Unicode MS"/>
          <w:bCs/>
          <w:sz w:val="20"/>
          <w:szCs w:val="20"/>
          <w:lang w:val="lt-LT"/>
        </w:rPr>
        <w:t xml:space="preserve">Žemiau esančioje lentelėje </w:t>
      </w:r>
      <w:r w:rsidRPr="002142B8">
        <w:rPr>
          <w:rFonts w:ascii="Georgia" w:eastAsia="Georgia" w:hAnsi="Georgia" w:cs="Arial Unicode MS"/>
          <w:bCs/>
          <w:sz w:val="20"/>
          <w:szCs w:val="24"/>
          <w:lang w:val="lt-LT"/>
        </w:rPr>
        <w:t xml:space="preserve">pateikiamos  prielaidos ir skaičiavimai bei jų pagrindimas skaičiuojant viešųjų pastatų paklausą investicijoms </w:t>
      </w:r>
    </w:p>
    <w:p w14:paraId="3E4700B6" w14:textId="77777777" w:rsidR="005A0219" w:rsidRPr="002142B8" w:rsidRDefault="005A0219" w:rsidP="005A0219">
      <w:pPr>
        <w:autoSpaceDE w:val="0"/>
        <w:autoSpaceDN w:val="0"/>
        <w:adjustRightInd w:val="0"/>
        <w:spacing w:after="0" w:line="240" w:lineRule="auto"/>
        <w:ind w:left="360"/>
        <w:jc w:val="both"/>
        <w:rPr>
          <w:rFonts w:ascii="Georgia" w:eastAsia="Georgia" w:hAnsi="Georgia" w:cs="Arial Unicode MS"/>
          <w:bCs/>
          <w:sz w:val="20"/>
          <w:szCs w:val="24"/>
          <w:lang w:val="lt-LT"/>
        </w:rPr>
      </w:pPr>
    </w:p>
    <w:p w14:paraId="44F30B20" w14:textId="09C61D14" w:rsidR="005A0219" w:rsidRPr="005A1A99" w:rsidRDefault="005A0219" w:rsidP="005A0219">
      <w:pPr>
        <w:spacing w:after="120" w:line="240" w:lineRule="auto"/>
        <w:jc w:val="both"/>
        <w:rPr>
          <w:rFonts w:ascii="Georgia" w:eastAsia="Georgia" w:hAnsi="Georgia" w:cs="Arial Unicode MS"/>
          <w:bCs/>
          <w:i/>
          <w:iCs/>
          <w:color w:val="821A1A"/>
          <w:sz w:val="20"/>
          <w:szCs w:val="18"/>
          <w:lang w:val="lt-LT"/>
        </w:rPr>
      </w:pPr>
      <w:bookmarkStart w:id="47" w:name="_Ref399516082"/>
      <w:bookmarkStart w:id="48" w:name="_Ref399515274"/>
      <w:bookmarkStart w:id="49" w:name="_Toc455735505"/>
      <w:bookmarkStart w:id="50" w:name="_Toc507939132"/>
      <w:r w:rsidRPr="005A1A99">
        <w:rPr>
          <w:rFonts w:ascii="Georgia" w:eastAsia="Georgia" w:hAnsi="Georgia" w:cs="Arial Unicode MS"/>
          <w:i/>
          <w:iCs/>
          <w:color w:val="821A1A"/>
          <w:sz w:val="20"/>
          <w:szCs w:val="18"/>
          <w:lang w:val="lt-LT"/>
        </w:rPr>
        <w:t xml:space="preserve">Lentelė </w:t>
      </w:r>
      <w:r w:rsidRPr="005A1A99">
        <w:rPr>
          <w:rFonts w:ascii="Georgia" w:eastAsia="Georgia" w:hAnsi="Georgia" w:cs="Arial Unicode MS"/>
          <w:i/>
          <w:iCs/>
          <w:color w:val="821A1A"/>
          <w:sz w:val="20"/>
          <w:szCs w:val="18"/>
          <w:lang w:val="lt-LT"/>
        </w:rPr>
        <w:fldChar w:fldCharType="begin"/>
      </w:r>
      <w:r w:rsidRPr="005A1A99">
        <w:rPr>
          <w:rFonts w:ascii="Georgia" w:eastAsia="Georgia" w:hAnsi="Georgia" w:cs="Arial Unicode MS"/>
          <w:i/>
          <w:iCs/>
          <w:color w:val="821A1A"/>
          <w:sz w:val="20"/>
          <w:szCs w:val="18"/>
          <w:lang w:val="lt-LT"/>
        </w:rPr>
        <w:instrText xml:space="preserve"> SEQ Lentelė \* ARABIC </w:instrText>
      </w:r>
      <w:r w:rsidRPr="005A1A99">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10</w:t>
      </w:r>
      <w:r w:rsidRPr="005A1A99">
        <w:rPr>
          <w:rFonts w:ascii="Georgia" w:eastAsia="Georgia" w:hAnsi="Georgia" w:cs="Arial Unicode MS"/>
          <w:i/>
          <w:iCs/>
          <w:color w:val="821A1A"/>
          <w:sz w:val="20"/>
          <w:szCs w:val="18"/>
          <w:lang w:val="lt-LT"/>
        </w:rPr>
        <w:fldChar w:fldCharType="end"/>
      </w:r>
      <w:bookmarkEnd w:id="47"/>
      <w:r w:rsidRPr="005A1A99">
        <w:rPr>
          <w:rFonts w:ascii="Georgia" w:eastAsia="Georgia" w:hAnsi="Georgia" w:cs="Arial Unicode MS"/>
          <w:i/>
          <w:iCs/>
          <w:color w:val="821A1A"/>
          <w:sz w:val="20"/>
          <w:szCs w:val="18"/>
          <w:lang w:val="lt-LT"/>
        </w:rPr>
        <w:t xml:space="preserve">. </w:t>
      </w:r>
      <w:bookmarkEnd w:id="48"/>
      <w:r w:rsidRPr="005A1A99">
        <w:rPr>
          <w:rFonts w:ascii="Georgia" w:eastAsia="Georgia" w:hAnsi="Georgia" w:cs="Arial Unicode MS"/>
          <w:i/>
          <w:iCs/>
          <w:color w:val="821A1A"/>
          <w:sz w:val="20"/>
          <w:szCs w:val="18"/>
          <w:lang w:val="lt-LT"/>
        </w:rPr>
        <w:t>Viešųjų pastatų p</w:t>
      </w:r>
      <w:r w:rsidRPr="005A1A99">
        <w:rPr>
          <w:rFonts w:ascii="Georgia" w:eastAsia="Georgia" w:hAnsi="Georgia" w:cs="Georgia"/>
          <w:i/>
          <w:iCs/>
          <w:color w:val="821A1A"/>
          <w:sz w:val="20"/>
          <w:szCs w:val="20"/>
          <w:lang w:val="lt-LT"/>
        </w:rPr>
        <w:t>aklausos skaičiavimo prielaidos ir paklausos rodiklių skaičiavimas</w:t>
      </w:r>
      <w:bookmarkEnd w:id="49"/>
      <w:bookmarkEnd w:id="50"/>
    </w:p>
    <w:tbl>
      <w:tblPr>
        <w:tblStyle w:val="LightList-Accent21"/>
        <w:tblW w:w="9180" w:type="dxa"/>
        <w:tblLook w:val="04A0" w:firstRow="1" w:lastRow="0" w:firstColumn="1" w:lastColumn="0" w:noHBand="0" w:noVBand="1"/>
      </w:tblPr>
      <w:tblGrid>
        <w:gridCol w:w="981"/>
        <w:gridCol w:w="2086"/>
        <w:gridCol w:w="1599"/>
        <w:gridCol w:w="4514"/>
      </w:tblGrid>
      <w:tr w:rsidR="005A0219" w:rsidRPr="002142B8" w14:paraId="1F488C3C"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75" w:type="dxa"/>
            <w:hideMark/>
          </w:tcPr>
          <w:p w14:paraId="3AFEAFA1" w14:textId="77777777" w:rsidR="005A0219" w:rsidRPr="002142B8" w:rsidRDefault="005A0219" w:rsidP="005A0219">
            <w:pPr>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Eil.</w:t>
            </w:r>
          </w:p>
          <w:p w14:paraId="57A487A2" w14:textId="77777777" w:rsidR="005A0219" w:rsidRPr="002142B8" w:rsidRDefault="005A0219" w:rsidP="005A0219">
            <w:pPr>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Nr.</w:t>
            </w:r>
          </w:p>
        </w:tc>
        <w:tc>
          <w:tcPr>
            <w:tcW w:w="0" w:type="dxa"/>
            <w:hideMark/>
          </w:tcPr>
          <w:p w14:paraId="5DF42B04"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Rodiklis</w:t>
            </w:r>
          </w:p>
        </w:tc>
        <w:tc>
          <w:tcPr>
            <w:tcW w:w="0" w:type="dxa"/>
            <w:hideMark/>
          </w:tcPr>
          <w:p w14:paraId="7B231822"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Rodiklio dydis</w:t>
            </w:r>
          </w:p>
        </w:tc>
        <w:tc>
          <w:tcPr>
            <w:tcW w:w="3105" w:type="dxa"/>
            <w:hideMark/>
          </w:tcPr>
          <w:p w14:paraId="0C61CED6"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Informacijos šaltinis, pagrindimas</w:t>
            </w:r>
          </w:p>
        </w:tc>
      </w:tr>
      <w:tr w:rsidR="005A0219" w:rsidRPr="002142B8" w14:paraId="4DBC828F" w14:textId="77777777" w:rsidTr="006378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5" w:type="dxa"/>
            <w:hideMark/>
          </w:tcPr>
          <w:p w14:paraId="3D389EE2"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w:t>
            </w:r>
          </w:p>
        </w:tc>
        <w:tc>
          <w:tcPr>
            <w:tcW w:w="0" w:type="dxa"/>
            <w:hideMark/>
          </w:tcPr>
          <w:p w14:paraId="403409B6"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Po renovacijos pastatų energijos sutaupymas kWh/m2</w:t>
            </w:r>
          </w:p>
        </w:tc>
        <w:tc>
          <w:tcPr>
            <w:tcW w:w="0" w:type="dxa"/>
            <w:hideMark/>
          </w:tcPr>
          <w:p w14:paraId="27655B24"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110</w:t>
            </w:r>
          </w:p>
        </w:tc>
        <w:tc>
          <w:tcPr>
            <w:tcW w:w="3105" w:type="dxa"/>
            <w:hideMark/>
          </w:tcPr>
          <w:p w14:paraId="76664D9D"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Remiantis ENEF fondo valdytojui pateiktų paraiškų duomenimis</w:t>
            </w:r>
          </w:p>
        </w:tc>
      </w:tr>
      <w:tr w:rsidR="005A0219" w:rsidRPr="002142B8" w14:paraId="3B254251" w14:textId="77777777" w:rsidTr="0063781D">
        <w:trPr>
          <w:trHeight w:val="315"/>
        </w:trPr>
        <w:tc>
          <w:tcPr>
            <w:cnfStyle w:val="001000000000" w:firstRow="0" w:lastRow="0" w:firstColumn="1" w:lastColumn="0" w:oddVBand="0" w:evenVBand="0" w:oddHBand="0" w:evenHBand="0" w:firstRowFirstColumn="0" w:firstRowLastColumn="0" w:lastRowFirstColumn="0" w:lastRowLastColumn="0"/>
            <w:tcW w:w="675" w:type="dxa"/>
            <w:hideMark/>
          </w:tcPr>
          <w:p w14:paraId="53E991F9"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w:t>
            </w:r>
          </w:p>
        </w:tc>
        <w:tc>
          <w:tcPr>
            <w:tcW w:w="0" w:type="dxa"/>
            <w:hideMark/>
          </w:tcPr>
          <w:p w14:paraId="4291D81F"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Vidutis viešojo pastato plotas, m</w:t>
            </w:r>
            <w:r w:rsidRPr="002142B8">
              <w:rPr>
                <w:rFonts w:ascii="Georgia" w:eastAsia="Times New Roman" w:hAnsi="Georgia" w:cs="Times New Roman"/>
                <w:color w:val="000000"/>
                <w:sz w:val="20"/>
                <w:szCs w:val="20"/>
                <w:vertAlign w:val="superscript"/>
                <w:lang w:eastAsia="lt-LT"/>
              </w:rPr>
              <w:t>2</w:t>
            </w:r>
          </w:p>
        </w:tc>
        <w:tc>
          <w:tcPr>
            <w:tcW w:w="0" w:type="dxa"/>
            <w:hideMark/>
          </w:tcPr>
          <w:p w14:paraId="701CEEDB" w14:textId="73669FD1"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209</w:t>
            </w:r>
          </w:p>
        </w:tc>
        <w:tc>
          <w:tcPr>
            <w:tcW w:w="3105" w:type="dxa"/>
            <w:hideMark/>
          </w:tcPr>
          <w:p w14:paraId="21044058"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2.1.1. dalyje</w:t>
            </w:r>
          </w:p>
        </w:tc>
      </w:tr>
      <w:tr w:rsidR="005A0219" w:rsidRPr="002142B8" w14:paraId="72D52AFF"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1F6DE8CE"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w:t>
            </w:r>
          </w:p>
        </w:tc>
        <w:tc>
          <w:tcPr>
            <w:tcW w:w="0" w:type="dxa"/>
            <w:hideMark/>
          </w:tcPr>
          <w:p w14:paraId="5688F655"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viešųjų pastatų metinis sutaupymas, GWh</w:t>
            </w:r>
          </w:p>
        </w:tc>
        <w:tc>
          <w:tcPr>
            <w:tcW w:w="0" w:type="dxa"/>
            <w:hideMark/>
          </w:tcPr>
          <w:p w14:paraId="5F5F105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56</w:t>
            </w:r>
          </w:p>
        </w:tc>
        <w:tc>
          <w:tcPr>
            <w:tcW w:w="3105" w:type="dxa"/>
            <w:hideMark/>
          </w:tcPr>
          <w:p w14:paraId="5D03B8CB"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xml:space="preserve">Paskaičiuota 2.2.1. dalyje </w:t>
            </w:r>
          </w:p>
        </w:tc>
      </w:tr>
      <w:tr w:rsidR="005A0219" w:rsidRPr="002142B8" w14:paraId="716CE316"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76DF5E03"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w:t>
            </w:r>
          </w:p>
        </w:tc>
        <w:tc>
          <w:tcPr>
            <w:tcW w:w="0" w:type="dxa"/>
            <w:hideMark/>
          </w:tcPr>
          <w:p w14:paraId="72269026"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Tipinio viešojo renovuoto pastato sutaupymai, GWh per metus</w:t>
            </w:r>
          </w:p>
        </w:tc>
        <w:tc>
          <w:tcPr>
            <w:tcW w:w="0" w:type="dxa"/>
            <w:hideMark/>
          </w:tcPr>
          <w:p w14:paraId="4C74F3C5" w14:textId="6AEB08AA"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0</w:t>
            </w:r>
            <w:r w:rsidR="009C49B0">
              <w:rPr>
                <w:rFonts w:ascii="Georgia" w:eastAsia="Times New Roman" w:hAnsi="Georgia" w:cs="Times New Roman"/>
                <w:color w:val="000000"/>
                <w:sz w:val="20"/>
                <w:szCs w:val="20"/>
                <w:lang w:eastAsia="lt-LT"/>
              </w:rPr>
              <w:t>,</w:t>
            </w:r>
            <w:r w:rsidRPr="002142B8">
              <w:rPr>
                <w:rFonts w:ascii="Georgia" w:eastAsia="Times New Roman" w:hAnsi="Georgia" w:cs="Times New Roman"/>
                <w:color w:val="000000"/>
                <w:sz w:val="20"/>
                <w:szCs w:val="20"/>
                <w:lang w:eastAsia="lt-LT"/>
              </w:rPr>
              <w:t>133</w:t>
            </w:r>
          </w:p>
        </w:tc>
        <w:tc>
          <w:tcPr>
            <w:tcW w:w="3105" w:type="dxa"/>
            <w:hideMark/>
          </w:tcPr>
          <w:p w14:paraId="3DB8B10C"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w:t>
            </w:r>
          </w:p>
        </w:tc>
      </w:tr>
      <w:tr w:rsidR="005A0219" w:rsidRPr="002142B8" w14:paraId="452D186E"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7950B900"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5</w:t>
            </w:r>
          </w:p>
        </w:tc>
        <w:tc>
          <w:tcPr>
            <w:tcW w:w="0" w:type="dxa"/>
            <w:hideMark/>
          </w:tcPr>
          <w:p w14:paraId="28D63880"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renovuotinų viešųjų pastatų kiekis per metus, vnt.</w:t>
            </w:r>
          </w:p>
        </w:tc>
        <w:tc>
          <w:tcPr>
            <w:tcW w:w="0" w:type="dxa"/>
            <w:hideMark/>
          </w:tcPr>
          <w:p w14:paraId="3D4257F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421</w:t>
            </w:r>
          </w:p>
        </w:tc>
        <w:tc>
          <w:tcPr>
            <w:tcW w:w="3105" w:type="dxa"/>
            <w:hideMark/>
          </w:tcPr>
          <w:p w14:paraId="3534C9C3" w14:textId="34946260"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2017-2023</w:t>
            </w:r>
            <w:r w:rsidR="009E3962" w:rsidRPr="002142B8">
              <w:rPr>
                <w:rFonts w:ascii="Georgia" w:eastAsia="Times New Roman" w:hAnsi="Georgia" w:cs="Times New Roman"/>
                <w:color w:val="000000"/>
                <w:sz w:val="20"/>
                <w:szCs w:val="20"/>
                <w:lang w:eastAsia="lt-LT"/>
              </w:rPr>
              <w:t xml:space="preserve"> m.</w:t>
            </w:r>
            <w:r w:rsidRPr="002142B8">
              <w:rPr>
                <w:rFonts w:ascii="Georgia" w:eastAsia="Times New Roman" w:hAnsi="Georgia" w:cs="Times New Roman"/>
                <w:color w:val="000000"/>
                <w:sz w:val="20"/>
                <w:szCs w:val="20"/>
                <w:lang w:eastAsia="lt-LT"/>
              </w:rPr>
              <w:t xml:space="preserve"> periodas</w:t>
            </w:r>
          </w:p>
        </w:tc>
      </w:tr>
      <w:tr w:rsidR="005A0219" w:rsidRPr="002142B8" w14:paraId="0E07B00D" w14:textId="77777777" w:rsidTr="0063781D">
        <w:trPr>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6E0EFE96"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lastRenderedPageBreak/>
              <w:t>6</w:t>
            </w:r>
          </w:p>
        </w:tc>
        <w:tc>
          <w:tcPr>
            <w:tcW w:w="0" w:type="dxa"/>
            <w:hideMark/>
          </w:tcPr>
          <w:p w14:paraId="5049BD66"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renovuotinų viešųjų pastatų plotas per 2017-2023 m. periodą, tūkst. m</w:t>
            </w:r>
            <w:r w:rsidRPr="002142B8">
              <w:rPr>
                <w:rFonts w:ascii="Georgia" w:eastAsia="Times New Roman" w:hAnsi="Georgia" w:cs="Times New Roman"/>
                <w:color w:val="000000"/>
                <w:sz w:val="20"/>
                <w:szCs w:val="20"/>
                <w:vertAlign w:val="superscript"/>
                <w:lang w:eastAsia="lt-LT"/>
              </w:rPr>
              <w:t>2</w:t>
            </w:r>
          </w:p>
        </w:tc>
        <w:tc>
          <w:tcPr>
            <w:tcW w:w="0" w:type="dxa"/>
            <w:hideMark/>
          </w:tcPr>
          <w:p w14:paraId="37F3C41A" w14:textId="276071F2"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w:t>
            </w:r>
            <w:r w:rsidR="001D0C6A">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564</w:t>
            </w:r>
          </w:p>
        </w:tc>
        <w:tc>
          <w:tcPr>
            <w:tcW w:w="3105" w:type="dxa"/>
            <w:hideMark/>
          </w:tcPr>
          <w:p w14:paraId="1DB6EF51"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Pagal planuojamą sutaupyti metinį energijos kiekį</w:t>
            </w:r>
          </w:p>
        </w:tc>
      </w:tr>
      <w:tr w:rsidR="005A0219" w:rsidRPr="002142B8" w14:paraId="4DFD5230" w14:textId="77777777" w:rsidTr="0063781D">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75" w:type="dxa"/>
            <w:hideMark/>
          </w:tcPr>
          <w:p w14:paraId="57F989FC"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7</w:t>
            </w:r>
          </w:p>
        </w:tc>
        <w:tc>
          <w:tcPr>
            <w:tcW w:w="0" w:type="dxa"/>
            <w:hideMark/>
          </w:tcPr>
          <w:p w14:paraId="1B2F6948"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Savivaldybių viešųjų pastatų plotas, bendroje viešųjų pastatų apimtyje, proc.</w:t>
            </w:r>
          </w:p>
        </w:tc>
        <w:tc>
          <w:tcPr>
            <w:tcW w:w="0" w:type="dxa"/>
            <w:hideMark/>
          </w:tcPr>
          <w:p w14:paraId="04E6B5BE" w14:textId="55B8494F" w:rsidR="005A0219" w:rsidRPr="002142B8" w:rsidRDefault="005A0219" w:rsidP="009861F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w:t>
            </w:r>
            <w:r w:rsidR="009861FA">
              <w:rPr>
                <w:rFonts w:ascii="Georgia" w:eastAsia="Times New Roman" w:hAnsi="Georgia" w:cs="Times New Roman"/>
                <w:color w:val="000000"/>
                <w:sz w:val="20"/>
                <w:szCs w:val="20"/>
                <w:lang w:eastAsia="lt-LT"/>
              </w:rPr>
              <w:t>2,86</w:t>
            </w:r>
            <w:r w:rsidRPr="002142B8">
              <w:rPr>
                <w:rFonts w:ascii="Georgia" w:eastAsia="Times New Roman" w:hAnsi="Georgia" w:cs="Times New Roman"/>
                <w:color w:val="000000"/>
                <w:sz w:val="20"/>
                <w:szCs w:val="20"/>
                <w:lang w:eastAsia="lt-LT"/>
              </w:rPr>
              <w:t>%</w:t>
            </w:r>
          </w:p>
        </w:tc>
        <w:tc>
          <w:tcPr>
            <w:tcW w:w="3105" w:type="dxa"/>
            <w:hideMark/>
          </w:tcPr>
          <w:p w14:paraId="21D6F18C"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2.1.1. dalyje. Arba pagal reikalavimą viešųjų pastatų atnaujinimo reikalaujamą proporciją tarp centrinės valdžios ir savivaldybių (470/700)</w:t>
            </w:r>
          </w:p>
        </w:tc>
      </w:tr>
      <w:tr w:rsidR="005A0219" w:rsidRPr="002142B8" w14:paraId="74A8C215"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0A46DC79"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w:t>
            </w:r>
          </w:p>
        </w:tc>
        <w:tc>
          <w:tcPr>
            <w:tcW w:w="0" w:type="dxa"/>
            <w:hideMark/>
          </w:tcPr>
          <w:p w14:paraId="5B84CA0C"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Centrinės valdžios pastatų plotas, bendroje viešųjų pastatų apimtyje, proc.</w:t>
            </w:r>
          </w:p>
        </w:tc>
        <w:tc>
          <w:tcPr>
            <w:tcW w:w="0" w:type="dxa"/>
            <w:hideMark/>
          </w:tcPr>
          <w:p w14:paraId="10482220" w14:textId="09A5D70D"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67</w:t>
            </w:r>
            <w:r w:rsidR="006F7230">
              <w:rPr>
                <w:rFonts w:ascii="Georgia" w:eastAsia="Times New Roman" w:hAnsi="Georgia" w:cs="Times New Roman"/>
                <w:color w:val="000000"/>
                <w:sz w:val="20"/>
                <w:szCs w:val="20"/>
                <w:lang w:eastAsia="lt-LT"/>
              </w:rPr>
              <w:t>,14</w:t>
            </w:r>
            <w:r w:rsidRPr="002142B8">
              <w:rPr>
                <w:rFonts w:ascii="Georgia" w:eastAsia="Times New Roman" w:hAnsi="Georgia" w:cs="Times New Roman"/>
                <w:color w:val="000000"/>
                <w:sz w:val="20"/>
                <w:szCs w:val="20"/>
                <w:lang w:eastAsia="lt-LT"/>
              </w:rPr>
              <w:t>%</w:t>
            </w:r>
          </w:p>
        </w:tc>
        <w:tc>
          <w:tcPr>
            <w:tcW w:w="3105" w:type="dxa"/>
            <w:hideMark/>
          </w:tcPr>
          <w:p w14:paraId="3A51F174"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2.1.1. dalyje arba pagal aukščiau nurodytą punktą.</w:t>
            </w:r>
          </w:p>
        </w:tc>
      </w:tr>
      <w:tr w:rsidR="005A0219" w:rsidRPr="002142B8" w14:paraId="28A8EE64" w14:textId="77777777" w:rsidTr="0063781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092AA2C2"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9</w:t>
            </w:r>
          </w:p>
        </w:tc>
        <w:tc>
          <w:tcPr>
            <w:tcW w:w="0" w:type="dxa"/>
            <w:hideMark/>
          </w:tcPr>
          <w:p w14:paraId="43B29B28" w14:textId="59494475" w:rsidR="005A0219" w:rsidRPr="002142B8" w:rsidRDefault="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xml:space="preserve">Renovuotinas savivaldybių viešųjų pastatų plotas per </w:t>
            </w:r>
            <w:r w:rsidR="00B545A2" w:rsidRPr="002142B8">
              <w:rPr>
                <w:rFonts w:ascii="Georgia" w:eastAsia="Times New Roman" w:hAnsi="Georgia" w:cs="Times New Roman"/>
                <w:color w:val="000000"/>
                <w:sz w:val="20"/>
                <w:szCs w:val="20"/>
                <w:lang w:eastAsia="lt-LT"/>
              </w:rPr>
              <w:t>2017</w:t>
            </w:r>
            <w:r w:rsidRPr="002142B8">
              <w:rPr>
                <w:rFonts w:ascii="Georgia" w:eastAsia="Times New Roman" w:hAnsi="Georgia" w:cs="Times New Roman"/>
                <w:color w:val="000000"/>
                <w:sz w:val="20"/>
                <w:szCs w:val="20"/>
                <w:lang w:eastAsia="lt-LT"/>
              </w:rPr>
              <w:t>-</w:t>
            </w:r>
            <w:r w:rsidR="00B545A2" w:rsidRPr="002142B8">
              <w:rPr>
                <w:rFonts w:ascii="Georgia" w:eastAsia="Times New Roman" w:hAnsi="Georgia" w:cs="Times New Roman"/>
                <w:color w:val="000000"/>
                <w:sz w:val="20"/>
                <w:szCs w:val="20"/>
                <w:lang w:eastAsia="lt-LT"/>
              </w:rPr>
              <w:t xml:space="preserve">2023 </w:t>
            </w:r>
            <w:r w:rsidRPr="002142B8">
              <w:rPr>
                <w:rFonts w:ascii="Georgia" w:eastAsia="Times New Roman" w:hAnsi="Georgia" w:cs="Times New Roman"/>
                <w:color w:val="000000"/>
                <w:sz w:val="20"/>
                <w:szCs w:val="20"/>
                <w:lang w:eastAsia="lt-LT"/>
              </w:rPr>
              <w:t>m. periodą, tūkst. m</w:t>
            </w:r>
            <w:r w:rsidRPr="002142B8">
              <w:rPr>
                <w:rFonts w:ascii="Georgia" w:eastAsia="Times New Roman" w:hAnsi="Georgia" w:cs="Times New Roman"/>
                <w:color w:val="000000"/>
                <w:sz w:val="20"/>
                <w:szCs w:val="20"/>
                <w:vertAlign w:val="superscript"/>
                <w:lang w:eastAsia="lt-LT"/>
              </w:rPr>
              <w:t>2</w:t>
            </w:r>
          </w:p>
        </w:tc>
        <w:tc>
          <w:tcPr>
            <w:tcW w:w="0" w:type="dxa"/>
            <w:hideMark/>
          </w:tcPr>
          <w:p w14:paraId="35F72D97" w14:textId="5E291FE8"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w:t>
            </w:r>
            <w:r w:rsidR="006F723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171</w:t>
            </w:r>
          </w:p>
        </w:tc>
        <w:tc>
          <w:tcPr>
            <w:tcW w:w="3105" w:type="dxa"/>
            <w:hideMark/>
          </w:tcPr>
          <w:p w14:paraId="669CCE73" w14:textId="6FFDBEBC" w:rsidR="005A0219" w:rsidRPr="00F91954" w:rsidRDefault="0099041E"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US" w:eastAsia="lt-LT"/>
              </w:rPr>
            </w:pPr>
            <w:r>
              <w:rPr>
                <w:rFonts w:ascii="Georgia" w:eastAsia="Times New Roman" w:hAnsi="Georgia" w:cs="Times New Roman"/>
                <w:color w:val="000000"/>
                <w:sz w:val="20"/>
                <w:szCs w:val="20"/>
                <w:lang w:eastAsia="lt-LT"/>
              </w:rPr>
              <w:t>Apskaičiuota (</w:t>
            </w:r>
            <w:r w:rsidR="006F7230">
              <w:rPr>
                <w:rFonts w:ascii="Georgia" w:eastAsia="Times New Roman" w:hAnsi="Georgia" w:cs="Times New Roman"/>
                <w:color w:val="000000"/>
                <w:sz w:val="20"/>
                <w:szCs w:val="20"/>
                <w:lang w:eastAsia="lt-LT"/>
              </w:rPr>
              <w:t>6</w:t>
            </w:r>
            <w:r w:rsidR="001D0C6A">
              <w:rPr>
                <w:rFonts w:ascii="Georgia" w:eastAsia="Times New Roman" w:hAnsi="Georgia" w:cs="Times New Roman"/>
                <w:color w:val="000000"/>
                <w:sz w:val="20"/>
                <w:szCs w:val="20"/>
                <w:lang w:val="en-US" w:eastAsia="lt-LT"/>
              </w:rPr>
              <w:t>x</w:t>
            </w:r>
            <w:r w:rsidR="006F7230">
              <w:rPr>
                <w:rFonts w:ascii="Georgia" w:eastAsia="Times New Roman" w:hAnsi="Georgia" w:cs="Times New Roman"/>
                <w:color w:val="000000"/>
                <w:sz w:val="20"/>
                <w:szCs w:val="20"/>
                <w:lang w:val="en-US" w:eastAsia="lt-LT"/>
              </w:rPr>
              <w:t>7</w:t>
            </w:r>
            <w:r>
              <w:rPr>
                <w:rFonts w:ascii="Georgia" w:eastAsia="Times New Roman" w:hAnsi="Georgia" w:cs="Times New Roman"/>
                <w:color w:val="000000"/>
                <w:sz w:val="20"/>
                <w:szCs w:val="20"/>
                <w:lang w:val="en-US" w:eastAsia="lt-LT"/>
              </w:rPr>
              <w:t xml:space="preserve"> eilutės)</w:t>
            </w:r>
          </w:p>
        </w:tc>
      </w:tr>
      <w:tr w:rsidR="005A0219" w:rsidRPr="002142B8" w14:paraId="257E9D9A" w14:textId="77777777" w:rsidTr="0063781D">
        <w:trPr>
          <w:trHeight w:val="555"/>
        </w:trPr>
        <w:tc>
          <w:tcPr>
            <w:cnfStyle w:val="001000000000" w:firstRow="0" w:lastRow="0" w:firstColumn="1" w:lastColumn="0" w:oddVBand="0" w:evenVBand="0" w:oddHBand="0" w:evenHBand="0" w:firstRowFirstColumn="0" w:firstRowLastColumn="0" w:lastRowFirstColumn="0" w:lastRowLastColumn="0"/>
            <w:tcW w:w="675" w:type="dxa"/>
            <w:hideMark/>
          </w:tcPr>
          <w:p w14:paraId="73CE3948"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10</w:t>
            </w:r>
          </w:p>
        </w:tc>
        <w:tc>
          <w:tcPr>
            <w:tcW w:w="0" w:type="dxa"/>
            <w:hideMark/>
          </w:tcPr>
          <w:p w14:paraId="49787FE2" w14:textId="666CB400" w:rsidR="005A0219" w:rsidRPr="002142B8" w:rsidRDefault="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xml:space="preserve">Renovuotinas centrinės valdžios pastatų plotas per </w:t>
            </w:r>
            <w:r w:rsidR="00B545A2" w:rsidRPr="002142B8">
              <w:rPr>
                <w:rFonts w:ascii="Georgia" w:eastAsia="Times New Roman" w:hAnsi="Georgia" w:cs="Times New Roman"/>
                <w:color w:val="000000"/>
                <w:sz w:val="20"/>
                <w:szCs w:val="20"/>
                <w:lang w:eastAsia="lt-LT"/>
              </w:rPr>
              <w:t>2017</w:t>
            </w:r>
            <w:r w:rsidRPr="002142B8">
              <w:rPr>
                <w:rFonts w:ascii="Georgia" w:eastAsia="Times New Roman" w:hAnsi="Georgia" w:cs="Times New Roman"/>
                <w:color w:val="000000"/>
                <w:sz w:val="20"/>
                <w:szCs w:val="20"/>
                <w:lang w:eastAsia="lt-LT"/>
              </w:rPr>
              <w:t>-</w:t>
            </w:r>
            <w:r w:rsidR="00B545A2" w:rsidRPr="002142B8">
              <w:rPr>
                <w:rFonts w:ascii="Georgia" w:eastAsia="Times New Roman" w:hAnsi="Georgia" w:cs="Times New Roman"/>
                <w:color w:val="000000"/>
                <w:sz w:val="20"/>
                <w:szCs w:val="20"/>
                <w:lang w:eastAsia="lt-LT"/>
              </w:rPr>
              <w:t xml:space="preserve">2023 </w:t>
            </w:r>
            <w:r w:rsidRPr="002142B8">
              <w:rPr>
                <w:rFonts w:ascii="Georgia" w:eastAsia="Times New Roman" w:hAnsi="Georgia" w:cs="Times New Roman"/>
                <w:color w:val="000000"/>
                <w:sz w:val="20"/>
                <w:szCs w:val="20"/>
                <w:lang w:eastAsia="lt-LT"/>
              </w:rPr>
              <w:t>m. periodą, tūkst. m</w:t>
            </w:r>
            <w:r w:rsidRPr="002142B8">
              <w:rPr>
                <w:rFonts w:ascii="Georgia" w:eastAsia="Times New Roman" w:hAnsi="Georgia" w:cs="Times New Roman"/>
                <w:color w:val="000000"/>
                <w:sz w:val="20"/>
                <w:szCs w:val="20"/>
                <w:vertAlign w:val="superscript"/>
                <w:lang w:eastAsia="lt-LT"/>
              </w:rPr>
              <w:t>2</w:t>
            </w:r>
          </w:p>
        </w:tc>
        <w:tc>
          <w:tcPr>
            <w:tcW w:w="0" w:type="dxa"/>
            <w:hideMark/>
          </w:tcPr>
          <w:p w14:paraId="2ECEDD57" w14:textId="1F000FC3"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w:t>
            </w:r>
            <w:r w:rsidR="006F723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393</w:t>
            </w:r>
          </w:p>
        </w:tc>
        <w:tc>
          <w:tcPr>
            <w:tcW w:w="3105" w:type="dxa"/>
            <w:hideMark/>
          </w:tcPr>
          <w:p w14:paraId="510E1D15" w14:textId="16EA1A9E" w:rsidR="005A0219" w:rsidRPr="002142B8" w:rsidRDefault="0099041E" w:rsidP="0099041E">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Pr>
                <w:rFonts w:ascii="Georgia" w:eastAsia="Times New Roman" w:hAnsi="Georgia" w:cs="Times New Roman"/>
                <w:color w:val="000000"/>
                <w:sz w:val="20"/>
                <w:szCs w:val="20"/>
                <w:lang w:eastAsia="lt-LT"/>
              </w:rPr>
              <w:t>Apskaičiuota</w:t>
            </w:r>
            <w:r w:rsidDel="0099041E">
              <w:rPr>
                <w:rStyle w:val="Komentaronuoroda"/>
              </w:rPr>
              <w:t xml:space="preserve"> </w:t>
            </w:r>
            <w:r>
              <w:rPr>
                <w:rStyle w:val="Komentaronuoroda"/>
              </w:rPr>
              <w:t>(</w:t>
            </w:r>
            <w:r w:rsidR="006F7230">
              <w:rPr>
                <w:rFonts w:ascii="Georgia" w:eastAsia="Times New Roman" w:hAnsi="Georgia" w:cs="Times New Roman"/>
                <w:color w:val="000000"/>
                <w:sz w:val="20"/>
                <w:szCs w:val="20"/>
                <w:lang w:eastAsia="lt-LT"/>
              </w:rPr>
              <w:t>6</w:t>
            </w:r>
            <w:r w:rsidR="001D0C6A">
              <w:rPr>
                <w:rFonts w:ascii="Georgia" w:eastAsia="Times New Roman" w:hAnsi="Georgia" w:cs="Times New Roman"/>
                <w:color w:val="000000"/>
                <w:sz w:val="20"/>
                <w:szCs w:val="20"/>
                <w:lang w:eastAsia="lt-LT"/>
              </w:rPr>
              <w:t>x</w:t>
            </w:r>
            <w:r w:rsidR="006F7230">
              <w:rPr>
                <w:rFonts w:ascii="Georgia" w:eastAsia="Times New Roman" w:hAnsi="Georgia" w:cs="Times New Roman"/>
                <w:color w:val="000000"/>
                <w:sz w:val="20"/>
                <w:szCs w:val="20"/>
                <w:lang w:eastAsia="lt-LT"/>
              </w:rPr>
              <w:t>8</w:t>
            </w:r>
            <w:r>
              <w:rPr>
                <w:rFonts w:ascii="Georgia" w:eastAsia="Times New Roman" w:hAnsi="Georgia" w:cs="Times New Roman"/>
                <w:color w:val="000000"/>
                <w:sz w:val="20"/>
                <w:szCs w:val="20"/>
                <w:lang w:eastAsia="lt-LT"/>
              </w:rPr>
              <w:t xml:space="preserve"> eilutės)</w:t>
            </w:r>
          </w:p>
        </w:tc>
      </w:tr>
      <w:tr w:rsidR="005A0219" w:rsidRPr="002142B8" w14:paraId="79EE1FB6"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0570D0CD" w14:textId="77777777" w:rsidR="005A0219" w:rsidRPr="002142B8" w:rsidRDefault="005A0219" w:rsidP="0099041E">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11</w:t>
            </w:r>
          </w:p>
        </w:tc>
        <w:tc>
          <w:tcPr>
            <w:tcW w:w="0" w:type="dxa"/>
            <w:hideMark/>
          </w:tcPr>
          <w:p w14:paraId="5406F042" w14:textId="7AA44BA9" w:rsidR="005A0219" w:rsidRPr="002142B8" w:rsidRDefault="005A0219" w:rsidP="0099041E">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Viešo</w:t>
            </w:r>
            <w:r w:rsidR="0099041E">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jo pastato renovacijos kaštai, EUR/m</w:t>
            </w:r>
            <w:r w:rsidRPr="002142B8">
              <w:rPr>
                <w:rFonts w:ascii="Georgia" w:eastAsia="Times New Roman" w:hAnsi="Georgia" w:cs="Times New Roman"/>
                <w:color w:val="000000"/>
                <w:sz w:val="20"/>
                <w:szCs w:val="20"/>
                <w:vertAlign w:val="superscript"/>
                <w:lang w:eastAsia="lt-LT"/>
              </w:rPr>
              <w:t>2</w:t>
            </w:r>
          </w:p>
        </w:tc>
        <w:tc>
          <w:tcPr>
            <w:tcW w:w="0" w:type="dxa"/>
            <w:hideMark/>
          </w:tcPr>
          <w:p w14:paraId="293BFF20" w14:textId="3699D35F"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trike/>
                <w:color w:val="000000"/>
                <w:sz w:val="20"/>
                <w:szCs w:val="20"/>
                <w:lang w:eastAsia="lt-LT"/>
              </w:rPr>
            </w:pPr>
            <w:r w:rsidRPr="002142B8">
              <w:rPr>
                <w:rFonts w:ascii="Georgia" w:eastAsia="Georgia" w:hAnsi="Georgia" w:cs="Arial Unicode MS"/>
                <w:sz w:val="20"/>
                <w:szCs w:val="20"/>
              </w:rPr>
              <w:t>255</w:t>
            </w:r>
          </w:p>
        </w:tc>
        <w:tc>
          <w:tcPr>
            <w:tcW w:w="3105" w:type="dxa"/>
            <w:vAlign w:val="center"/>
            <w:hideMark/>
          </w:tcPr>
          <w:p w14:paraId="7DB73EB8"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Remiantis ENEF valdytojo duomenimis teiktais EM svertinis investicijų vidurkis 1 m</w:t>
            </w:r>
            <w:r w:rsidRPr="002142B8">
              <w:rPr>
                <w:rFonts w:ascii="Georgia" w:eastAsia="Times New Roman" w:hAnsi="Georgia" w:cs="Times New Roman"/>
                <w:color w:val="000000"/>
                <w:vertAlign w:val="superscript"/>
                <w:lang w:eastAsia="lt-LT"/>
              </w:rPr>
              <w:t>2</w:t>
            </w:r>
            <w:r w:rsidRPr="002142B8">
              <w:rPr>
                <w:rFonts w:ascii="Georgia" w:eastAsia="Times New Roman" w:hAnsi="Georgia" w:cs="Times New Roman"/>
                <w:color w:val="000000"/>
                <w:sz w:val="20"/>
                <w:szCs w:val="20"/>
                <w:vertAlign w:val="superscript"/>
                <w:lang w:eastAsia="lt-LT"/>
              </w:rPr>
              <w:t xml:space="preserve"> </w:t>
            </w:r>
            <w:r w:rsidRPr="002142B8">
              <w:rPr>
                <w:rFonts w:ascii="Georgia" w:eastAsia="Times New Roman" w:hAnsi="Georgia" w:cs="Times New Roman"/>
                <w:color w:val="000000"/>
                <w:sz w:val="20"/>
                <w:szCs w:val="20"/>
                <w:lang w:eastAsia="lt-LT"/>
              </w:rPr>
              <w:t>yra 255 eurai.</w:t>
            </w:r>
          </w:p>
        </w:tc>
      </w:tr>
      <w:tr w:rsidR="005A0219" w:rsidRPr="002142B8" w14:paraId="5A2F87FD"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3F438786"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12</w:t>
            </w:r>
          </w:p>
        </w:tc>
        <w:tc>
          <w:tcPr>
            <w:tcW w:w="0" w:type="dxa"/>
            <w:hideMark/>
          </w:tcPr>
          <w:p w14:paraId="1CB2E3A4"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xml:space="preserve">Savivaldybių viešųjų pastatų renovacijos paklausa, mln. EUR </w:t>
            </w:r>
          </w:p>
        </w:tc>
        <w:tc>
          <w:tcPr>
            <w:tcW w:w="0" w:type="dxa"/>
            <w:hideMark/>
          </w:tcPr>
          <w:p w14:paraId="15D3DAC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298,6</w:t>
            </w:r>
          </w:p>
        </w:tc>
        <w:tc>
          <w:tcPr>
            <w:tcW w:w="3105" w:type="dxa"/>
            <w:hideMark/>
          </w:tcPr>
          <w:p w14:paraId="7B7BDF39" w14:textId="18A55608" w:rsidR="005A0219" w:rsidRPr="002142B8" w:rsidRDefault="0099041E" w:rsidP="001D0C6A">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Pr>
                <w:rFonts w:ascii="Georgia" w:eastAsia="Times New Roman" w:hAnsi="Georgia" w:cs="Times New Roman"/>
                <w:color w:val="000000"/>
                <w:sz w:val="20"/>
                <w:szCs w:val="20"/>
                <w:lang w:eastAsia="lt-LT"/>
              </w:rPr>
              <w:t xml:space="preserve"> Apskaičiuota (</w:t>
            </w:r>
            <w:r w:rsidR="001D0C6A">
              <w:rPr>
                <w:rFonts w:ascii="Georgia" w:eastAsia="Times New Roman" w:hAnsi="Georgia" w:cs="Times New Roman"/>
                <w:color w:val="000000"/>
                <w:sz w:val="20"/>
                <w:szCs w:val="20"/>
                <w:lang w:eastAsia="lt-LT"/>
              </w:rPr>
              <w:t>9x11</w:t>
            </w:r>
            <w:r>
              <w:rPr>
                <w:rFonts w:ascii="Georgia" w:eastAsia="Times New Roman" w:hAnsi="Georgia" w:cs="Times New Roman"/>
                <w:color w:val="000000"/>
                <w:sz w:val="20"/>
                <w:szCs w:val="20"/>
                <w:lang w:eastAsia="lt-LT"/>
              </w:rPr>
              <w:t xml:space="preserve"> eilutės)</w:t>
            </w:r>
          </w:p>
        </w:tc>
      </w:tr>
      <w:tr w:rsidR="005A0219" w:rsidRPr="002142B8" w14:paraId="69F59FE2"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hideMark/>
          </w:tcPr>
          <w:p w14:paraId="6C80DF88"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13</w:t>
            </w:r>
          </w:p>
        </w:tc>
        <w:tc>
          <w:tcPr>
            <w:tcW w:w="0" w:type="dxa"/>
            <w:hideMark/>
          </w:tcPr>
          <w:p w14:paraId="270C5074"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xml:space="preserve">Centrinės valdžios pastatų renovacijos paklausa, mln. EUR </w:t>
            </w:r>
          </w:p>
        </w:tc>
        <w:tc>
          <w:tcPr>
            <w:tcW w:w="0" w:type="dxa"/>
            <w:hideMark/>
          </w:tcPr>
          <w:p w14:paraId="1E774949"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610,3</w:t>
            </w:r>
          </w:p>
        </w:tc>
        <w:tc>
          <w:tcPr>
            <w:tcW w:w="3105" w:type="dxa"/>
            <w:hideMark/>
          </w:tcPr>
          <w:p w14:paraId="61433282" w14:textId="12D71E12" w:rsidR="005A0219" w:rsidRPr="002142B8" w:rsidRDefault="0099041E" w:rsidP="001D0C6A">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Pr>
                <w:rFonts w:ascii="Georgia" w:eastAsia="Times New Roman" w:hAnsi="Georgia" w:cs="Times New Roman"/>
                <w:color w:val="000000"/>
                <w:sz w:val="20"/>
                <w:szCs w:val="20"/>
                <w:lang w:eastAsia="lt-LT"/>
              </w:rPr>
              <w:t>Apskaičiuota (</w:t>
            </w:r>
            <w:r w:rsidR="001D0C6A">
              <w:rPr>
                <w:rFonts w:ascii="Georgia" w:eastAsia="Times New Roman" w:hAnsi="Georgia" w:cs="Times New Roman"/>
                <w:color w:val="000000"/>
                <w:sz w:val="20"/>
                <w:szCs w:val="20"/>
                <w:lang w:eastAsia="lt-LT"/>
              </w:rPr>
              <w:t>10x11</w:t>
            </w:r>
            <w:r>
              <w:rPr>
                <w:rFonts w:ascii="Georgia" w:eastAsia="Times New Roman" w:hAnsi="Georgia" w:cs="Times New Roman"/>
                <w:color w:val="000000"/>
                <w:sz w:val="20"/>
                <w:szCs w:val="20"/>
                <w:lang w:eastAsia="lt-LT"/>
              </w:rPr>
              <w:t xml:space="preserve"> eilutės)</w:t>
            </w:r>
          </w:p>
        </w:tc>
      </w:tr>
    </w:tbl>
    <w:p w14:paraId="0F038835"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158D0A56" w14:textId="77777777" w:rsidR="005A0219" w:rsidRPr="002142B8" w:rsidRDefault="005A0219" w:rsidP="005A0219">
      <w:pPr>
        <w:keepNext/>
        <w:keepLines/>
        <w:numPr>
          <w:ilvl w:val="3"/>
          <w:numId w:val="2"/>
        </w:numPr>
        <w:spacing w:before="200" w:after="0" w:line="240" w:lineRule="auto"/>
        <w:ind w:hanging="1298"/>
        <w:outlineLvl w:val="1"/>
        <w:rPr>
          <w:rFonts w:ascii="Georgia" w:eastAsia="Times New Roman" w:hAnsi="Georgia" w:cs="Arial Unicode MS"/>
          <w:b/>
          <w:i/>
          <w:color w:val="821A1A"/>
          <w:sz w:val="32"/>
          <w:szCs w:val="26"/>
          <w:lang w:val="lt-LT"/>
        </w:rPr>
      </w:pPr>
      <w:bookmarkStart w:id="51" w:name="_Toc25589892"/>
      <w:r w:rsidRPr="002142B8">
        <w:rPr>
          <w:rFonts w:ascii="Georgia" w:eastAsia="Times New Roman" w:hAnsi="Georgia" w:cs="Arial Unicode MS"/>
          <w:b/>
          <w:i/>
          <w:color w:val="821A1A"/>
          <w:sz w:val="32"/>
          <w:szCs w:val="26"/>
          <w:lang w:val="lt-LT"/>
        </w:rPr>
        <w:t>Daugiabučių modernizavimo paklausos skaičiavimas</w:t>
      </w:r>
      <w:bookmarkEnd w:id="51"/>
    </w:p>
    <w:p w14:paraId="5ED237BE"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41B15E32" w14:textId="7EDB4CED"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 xml:space="preserve">Daugiabučių modernizavimo paklausa skaičiuojama trimis būdais: pirmiausiai </w:t>
      </w:r>
      <w:r w:rsidR="0063781D" w:rsidRPr="002142B8">
        <w:rPr>
          <w:rFonts w:ascii="Georgia" w:eastAsia="Georgia" w:hAnsi="Georgia" w:cs="Arial Unicode MS"/>
          <w:bCs/>
          <w:sz w:val="20"/>
          <w:szCs w:val="20"/>
          <w:lang w:val="lt-LT"/>
        </w:rPr>
        <w:t xml:space="preserve">– </w:t>
      </w:r>
      <w:r w:rsidRPr="002142B8">
        <w:rPr>
          <w:rFonts w:ascii="Georgia" w:eastAsia="Georgia" w:hAnsi="Georgia" w:cs="Arial Unicode MS"/>
          <w:bCs/>
          <w:sz w:val="20"/>
          <w:szCs w:val="20"/>
          <w:lang w:val="lt-LT"/>
        </w:rPr>
        <w:t xml:space="preserve">remiantis bendruoju energijos taupymo tikslu siekiant vidutinių metinių 82,3 GWh sutaupymų, antra - </w:t>
      </w:r>
      <w:r w:rsidR="0063781D" w:rsidRPr="002142B8">
        <w:rPr>
          <w:rFonts w:ascii="Georgia" w:eastAsia="Georgia" w:hAnsi="Georgia" w:cs="Arial Unicode MS"/>
          <w:bCs/>
          <w:sz w:val="20"/>
          <w:szCs w:val="20"/>
          <w:lang w:val="lt-LT"/>
        </w:rPr>
        <w:t>remiantis</w:t>
      </w:r>
      <w:r w:rsidRPr="002142B8">
        <w:rPr>
          <w:rFonts w:ascii="Georgia" w:eastAsia="Georgia" w:hAnsi="Georgia" w:cs="Arial Unicode MS"/>
          <w:bCs/>
          <w:sz w:val="20"/>
          <w:szCs w:val="20"/>
          <w:lang w:val="lt-LT"/>
        </w:rPr>
        <w:t xml:space="preserve"> </w:t>
      </w:r>
      <w:r w:rsidR="0063781D" w:rsidRPr="002142B8">
        <w:rPr>
          <w:rFonts w:ascii="Georgia" w:eastAsia="Georgia" w:hAnsi="Georgia" w:cs="Arial Unicode MS"/>
          <w:bCs/>
          <w:sz w:val="20"/>
          <w:szCs w:val="20"/>
          <w:lang w:val="lt-LT"/>
        </w:rPr>
        <w:t xml:space="preserve">Daugiabučių namų atnaujinimo (modernizavimo) programos tikslu </w:t>
      </w:r>
      <w:r w:rsidRPr="002142B8">
        <w:rPr>
          <w:rFonts w:ascii="Georgia" w:eastAsia="Georgia" w:hAnsi="Georgia" w:cs="Arial Unicode MS"/>
          <w:bCs/>
          <w:sz w:val="20"/>
          <w:szCs w:val="20"/>
          <w:lang w:val="lt-LT"/>
        </w:rPr>
        <w:t xml:space="preserve">renovuoti </w:t>
      </w:r>
      <w:r w:rsidR="00967F3B" w:rsidRPr="002142B8">
        <w:rPr>
          <w:rFonts w:ascii="Georgia" w:eastAsia="Georgia" w:hAnsi="Georgia" w:cs="Arial Unicode MS"/>
          <w:bCs/>
          <w:sz w:val="20"/>
          <w:szCs w:val="20"/>
          <w:lang w:val="lt-LT"/>
        </w:rPr>
        <w:br/>
      </w:r>
      <w:r w:rsidRPr="002142B8">
        <w:rPr>
          <w:rFonts w:ascii="Georgia" w:eastAsia="Georgia" w:hAnsi="Georgia" w:cs="Arial Unicode MS"/>
          <w:bCs/>
          <w:sz w:val="20"/>
          <w:szCs w:val="20"/>
          <w:lang w:val="lt-LT"/>
        </w:rPr>
        <w:t>4 000 daugiabuč</w:t>
      </w:r>
      <w:r w:rsidR="0063781D" w:rsidRPr="002142B8">
        <w:rPr>
          <w:rFonts w:ascii="Georgia" w:eastAsia="Georgia" w:hAnsi="Georgia" w:cs="Arial Unicode MS"/>
          <w:bCs/>
          <w:sz w:val="20"/>
          <w:szCs w:val="20"/>
          <w:lang w:val="lt-LT"/>
        </w:rPr>
        <w:t>ių namų iki 2020 m.</w:t>
      </w:r>
      <w:r w:rsidRPr="002142B8">
        <w:rPr>
          <w:rFonts w:ascii="Georgia" w:eastAsia="Georgia" w:hAnsi="Georgia" w:cs="Arial Unicode MS"/>
          <w:bCs/>
          <w:color w:val="000000"/>
          <w:sz w:val="20"/>
          <w:szCs w:val="20"/>
          <w:vertAlign w:val="superscript"/>
          <w:lang w:val="lt-LT"/>
        </w:rPr>
        <w:footnoteReference w:id="19"/>
      </w:r>
      <w:r w:rsidRPr="002142B8">
        <w:rPr>
          <w:rFonts w:ascii="Georgia" w:eastAsia="Georgia" w:hAnsi="Georgia" w:cs="Arial Unicode MS"/>
          <w:bCs/>
          <w:sz w:val="20"/>
          <w:szCs w:val="20"/>
          <w:lang w:val="lt-LT"/>
        </w:rPr>
        <w:t>, trečia –</w:t>
      </w:r>
      <w:r w:rsidR="0063781D" w:rsidRPr="002142B8">
        <w:rPr>
          <w:rFonts w:ascii="Georgia" w:eastAsia="Georgia" w:hAnsi="Georgia" w:cs="Arial Unicode MS"/>
          <w:bCs/>
          <w:sz w:val="20"/>
          <w:szCs w:val="20"/>
          <w:lang w:val="lt-LT"/>
        </w:rPr>
        <w:t xml:space="preserve"> remiantis </w:t>
      </w:r>
      <w:r w:rsidRPr="002142B8">
        <w:rPr>
          <w:rFonts w:ascii="Georgia" w:eastAsia="Georgia" w:hAnsi="Georgia" w:cs="Arial Unicode MS"/>
          <w:bCs/>
          <w:sz w:val="20"/>
          <w:szCs w:val="20"/>
          <w:lang w:val="lt-LT"/>
        </w:rPr>
        <w:t>Naci</w:t>
      </w:r>
      <w:r w:rsidR="0063781D" w:rsidRPr="002142B8">
        <w:rPr>
          <w:rFonts w:ascii="Georgia" w:eastAsia="Georgia" w:hAnsi="Georgia" w:cs="Arial Unicode MS"/>
          <w:bCs/>
          <w:sz w:val="20"/>
          <w:szCs w:val="20"/>
          <w:lang w:val="lt-LT"/>
        </w:rPr>
        <w:t>onaline energetikos strategija</w:t>
      </w:r>
      <w:r w:rsidRPr="002142B8">
        <w:rPr>
          <w:rFonts w:ascii="Georgia" w:eastAsia="Georgia" w:hAnsi="Georgia" w:cs="Arial Unicode MS"/>
          <w:bCs/>
          <w:sz w:val="20"/>
          <w:szCs w:val="20"/>
          <w:lang w:val="lt-LT"/>
        </w:rPr>
        <w:t xml:space="preserve">. </w:t>
      </w:r>
    </w:p>
    <w:p w14:paraId="4C778CC3"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2160048F"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
          <w:bCs/>
          <w:sz w:val="20"/>
          <w:szCs w:val="20"/>
          <w:lang w:val="lt-LT"/>
        </w:rPr>
      </w:pPr>
      <w:r w:rsidRPr="002142B8">
        <w:rPr>
          <w:rFonts w:ascii="Georgia" w:eastAsia="Georgia" w:hAnsi="Georgia" w:cs="Arial Unicode MS"/>
          <w:b/>
          <w:bCs/>
          <w:sz w:val="20"/>
          <w:szCs w:val="20"/>
          <w:lang w:val="lt-LT"/>
        </w:rPr>
        <w:t>Remiantis bendruoju energijos taupymo tikslu</w:t>
      </w:r>
    </w:p>
    <w:p w14:paraId="7B9BB51E"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1F803191" w14:textId="4C4B7B51"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Kaip jau buvo apskaičiuotu 2.2.1.1 dalyje, vidutinis metinis galutinės energijos sutaupymų dydis atnaujinant gyvenamuosius ir visuomeninius pastatus siekė 136,1 GWh. Tuo tarpu pagal skaičiavimus 2.2.1.1 dalyje siekiama 56 GWh sutaupymų atnaujinant visuomeninius pastatus. Tokiu atveju daugiabučių namų renovacijai reikia padengti likusius 82,3</w:t>
      </w:r>
      <w:r w:rsidR="006A63A1" w:rsidRPr="002142B8">
        <w:rPr>
          <w:rFonts w:ascii="Georgia" w:eastAsia="Georgia" w:hAnsi="Georgia" w:cs="Arial Unicode MS"/>
          <w:bCs/>
          <w:sz w:val="20"/>
          <w:szCs w:val="20"/>
          <w:lang w:val="lt-LT"/>
        </w:rPr>
        <w:t xml:space="preserve"> </w:t>
      </w:r>
      <w:r w:rsidRPr="002142B8">
        <w:rPr>
          <w:rFonts w:ascii="Georgia" w:eastAsia="Georgia" w:hAnsi="Georgia" w:cs="Arial Unicode MS"/>
          <w:bCs/>
          <w:sz w:val="20"/>
          <w:szCs w:val="20"/>
          <w:lang w:val="lt-LT"/>
        </w:rPr>
        <w:t>GWh sutaupymų. Atsižvelgiant</w:t>
      </w:r>
      <w:r w:rsidR="003333A4" w:rsidRPr="002142B8">
        <w:rPr>
          <w:rFonts w:ascii="Georgia" w:eastAsia="Georgia" w:hAnsi="Georgia" w:cs="Arial Unicode MS"/>
          <w:bCs/>
          <w:sz w:val="20"/>
          <w:szCs w:val="20"/>
          <w:lang w:val="lt-LT"/>
        </w:rPr>
        <w:t xml:space="preserve"> į tai</w:t>
      </w:r>
      <w:r w:rsidRPr="002142B8">
        <w:rPr>
          <w:rFonts w:ascii="Georgia" w:eastAsia="Georgia" w:hAnsi="Georgia" w:cs="Arial Unicode MS"/>
          <w:bCs/>
          <w:sz w:val="20"/>
          <w:szCs w:val="20"/>
          <w:lang w:val="lt-LT"/>
        </w:rPr>
        <w:t>, jog skaičiuojant metinį sutaupymų dydį 2.2.1.1 dalyje buvo nustatytas 2017 – 2023 m. laikotarpis, papildomų koregavimų skaičiuojant paklausą šiuo metodu nereikia.</w:t>
      </w:r>
    </w:p>
    <w:p w14:paraId="13FA5049"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04E6B460" w14:textId="4B808AD3" w:rsidR="005A0219" w:rsidRPr="002142B8" w:rsidRDefault="005A0219" w:rsidP="0063781D">
      <w:pPr>
        <w:spacing w:after="160" w:line="240" w:lineRule="auto"/>
        <w:jc w:val="both"/>
        <w:rPr>
          <w:rFonts w:ascii="Georgia" w:eastAsia="Georgia" w:hAnsi="Georgia" w:cs="Arial Unicode MS"/>
          <w:bCs/>
          <w:sz w:val="20"/>
          <w:szCs w:val="24"/>
          <w:lang w:val="lt-LT"/>
        </w:rPr>
      </w:pPr>
      <w:r w:rsidRPr="002142B8">
        <w:rPr>
          <w:rFonts w:ascii="Georgia" w:eastAsia="Georgia" w:hAnsi="Georgia" w:cs="Arial Unicode MS"/>
          <w:bCs/>
          <w:sz w:val="20"/>
          <w:szCs w:val="20"/>
          <w:lang w:val="lt-LT"/>
        </w:rPr>
        <w:lastRenderedPageBreak/>
        <w:t>Žemiau esančioje lentelėje pateikiamos</w:t>
      </w:r>
      <w:r w:rsidRPr="002142B8">
        <w:rPr>
          <w:rFonts w:ascii="Georgia" w:eastAsia="Georgia" w:hAnsi="Georgia" w:cs="Arial Unicode MS"/>
          <w:bCs/>
          <w:sz w:val="20"/>
          <w:szCs w:val="24"/>
          <w:lang w:val="lt-LT"/>
        </w:rPr>
        <w:t xml:space="preserve"> prielaidos ir skaičiavimai bei jų pagrindimas skaičiuojant daugiabučių </w:t>
      </w:r>
      <w:r w:rsidR="003333A4" w:rsidRPr="002142B8">
        <w:rPr>
          <w:rFonts w:ascii="Georgia" w:eastAsia="Georgia" w:hAnsi="Georgia" w:cs="Arial Unicode MS"/>
          <w:bCs/>
          <w:sz w:val="20"/>
          <w:szCs w:val="24"/>
          <w:lang w:val="lt-LT"/>
        </w:rPr>
        <w:t xml:space="preserve">namų </w:t>
      </w:r>
      <w:r w:rsidRPr="002142B8">
        <w:rPr>
          <w:rFonts w:ascii="Georgia" w:eastAsia="Georgia" w:hAnsi="Georgia" w:cs="Arial Unicode MS"/>
          <w:bCs/>
          <w:sz w:val="20"/>
          <w:szCs w:val="24"/>
          <w:lang w:val="lt-LT"/>
        </w:rPr>
        <w:t>paklausą faktinių dydžių metodu. Lentelės skiltyje „Informacijos šaltinis, pagrindimas“ esantys skaičiai formulėse nurodo, iš kokių lentelės eilučių imami skaičiai apskaičiuojant siektiną rodiklį.</w:t>
      </w:r>
    </w:p>
    <w:p w14:paraId="21A26EAA" w14:textId="468557EF" w:rsidR="005A0219" w:rsidRPr="002142B8" w:rsidRDefault="005A0219" w:rsidP="005A0219">
      <w:pPr>
        <w:spacing w:after="160" w:line="240" w:lineRule="auto"/>
        <w:jc w:val="both"/>
        <w:rPr>
          <w:rFonts w:ascii="Georgia" w:eastAsia="Georgia" w:hAnsi="Georgia" w:cs="Arial Unicode MS"/>
          <w:bCs/>
          <w:i/>
          <w:iCs/>
          <w:color w:val="821A1A"/>
          <w:sz w:val="20"/>
          <w:szCs w:val="18"/>
          <w:lang w:val="lt-LT"/>
        </w:rPr>
      </w:pPr>
      <w:bookmarkStart w:id="52" w:name="_Ref399583322"/>
      <w:bookmarkStart w:id="53" w:name="_Toc507939133"/>
      <w:bookmarkStart w:id="54" w:name="_Toc455735509"/>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11</w:t>
      </w:r>
      <w:r w:rsidRPr="002142B8">
        <w:rPr>
          <w:rFonts w:ascii="Georgia" w:eastAsia="Georgia" w:hAnsi="Georgia" w:cs="Arial Unicode MS"/>
          <w:i/>
          <w:iCs/>
          <w:color w:val="821A1A"/>
          <w:sz w:val="20"/>
          <w:szCs w:val="18"/>
          <w:lang w:val="lt-LT"/>
        </w:rPr>
        <w:fldChar w:fldCharType="end"/>
      </w:r>
      <w:bookmarkEnd w:id="52"/>
      <w:r w:rsidRPr="002142B8">
        <w:rPr>
          <w:rFonts w:ascii="Georgia" w:eastAsia="Georgia" w:hAnsi="Georgia" w:cs="Arial Unicode MS"/>
          <w:i/>
          <w:iCs/>
          <w:color w:val="821A1A"/>
          <w:sz w:val="20"/>
          <w:szCs w:val="18"/>
          <w:lang w:val="lt-LT"/>
        </w:rPr>
        <w:t>. Daugiabučių pastatų p</w:t>
      </w:r>
      <w:r w:rsidRPr="002142B8">
        <w:rPr>
          <w:rFonts w:ascii="Georgia" w:eastAsia="Georgia" w:hAnsi="Georgia" w:cs="Georgia"/>
          <w:i/>
          <w:iCs/>
          <w:color w:val="821A1A"/>
          <w:sz w:val="20"/>
          <w:szCs w:val="20"/>
          <w:lang w:val="lt-LT"/>
        </w:rPr>
        <w:t>aklausos skaičiavimo prielaidos</w:t>
      </w:r>
      <w:bookmarkEnd w:id="53"/>
      <w:r w:rsidRPr="002142B8">
        <w:rPr>
          <w:rFonts w:ascii="Georgia" w:eastAsia="Georgia" w:hAnsi="Georgia" w:cs="Georgia"/>
          <w:i/>
          <w:iCs/>
          <w:color w:val="821A1A"/>
          <w:sz w:val="20"/>
          <w:szCs w:val="20"/>
          <w:lang w:val="lt-LT"/>
        </w:rPr>
        <w:t xml:space="preserve"> </w:t>
      </w:r>
      <w:bookmarkEnd w:id="54"/>
    </w:p>
    <w:tbl>
      <w:tblPr>
        <w:tblStyle w:val="LightList-Accent21"/>
        <w:tblW w:w="9180" w:type="dxa"/>
        <w:tblLook w:val="04A0" w:firstRow="1" w:lastRow="0" w:firstColumn="1" w:lastColumn="0" w:noHBand="0" w:noVBand="1"/>
      </w:tblPr>
      <w:tblGrid>
        <w:gridCol w:w="566"/>
        <w:gridCol w:w="2905"/>
        <w:gridCol w:w="1882"/>
        <w:gridCol w:w="3827"/>
      </w:tblGrid>
      <w:tr w:rsidR="005A0219" w:rsidRPr="002142B8" w14:paraId="43835324"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6" w:type="dxa"/>
            <w:hideMark/>
          </w:tcPr>
          <w:p w14:paraId="6F7C348A" w14:textId="77777777" w:rsidR="005A0219" w:rsidRPr="002142B8" w:rsidRDefault="005A0219" w:rsidP="005A0219">
            <w:pPr>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Eil.</w:t>
            </w:r>
          </w:p>
          <w:p w14:paraId="0AF88899" w14:textId="77777777" w:rsidR="005A0219" w:rsidRPr="002142B8" w:rsidRDefault="005A0219" w:rsidP="005A0219">
            <w:pPr>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Nr.</w:t>
            </w:r>
          </w:p>
        </w:tc>
        <w:tc>
          <w:tcPr>
            <w:tcW w:w="2905" w:type="dxa"/>
            <w:hideMark/>
          </w:tcPr>
          <w:p w14:paraId="7B9D0FCC"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Rodiklis</w:t>
            </w:r>
          </w:p>
        </w:tc>
        <w:tc>
          <w:tcPr>
            <w:tcW w:w="1882" w:type="dxa"/>
            <w:hideMark/>
          </w:tcPr>
          <w:p w14:paraId="53740A7B"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Rodiklio dydis</w:t>
            </w:r>
          </w:p>
        </w:tc>
        <w:tc>
          <w:tcPr>
            <w:tcW w:w="3827" w:type="dxa"/>
            <w:hideMark/>
          </w:tcPr>
          <w:p w14:paraId="25C2F6D0" w14:textId="77777777" w:rsidR="005A0219" w:rsidRPr="002142B8" w:rsidRDefault="005A0219" w:rsidP="005A0219">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Informacijos šaltinis, pagrindimas</w:t>
            </w:r>
          </w:p>
        </w:tc>
      </w:tr>
      <w:tr w:rsidR="005A0219" w:rsidRPr="002142B8" w14:paraId="3351E8AA"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20197428"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w:t>
            </w:r>
          </w:p>
        </w:tc>
        <w:tc>
          <w:tcPr>
            <w:tcW w:w="2905" w:type="dxa"/>
            <w:hideMark/>
          </w:tcPr>
          <w:p w14:paraId="0B89E179"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Metinio šilumos suvartojimo kiekio vidurkis, kWh/m</w:t>
            </w:r>
            <w:r w:rsidRPr="002142B8">
              <w:rPr>
                <w:rFonts w:ascii="Georgia" w:eastAsia="Times New Roman" w:hAnsi="Georgia" w:cs="Times New Roman"/>
                <w:color w:val="000000"/>
                <w:sz w:val="20"/>
                <w:szCs w:val="20"/>
                <w:vertAlign w:val="superscript"/>
                <w:lang w:eastAsia="lt-LT"/>
              </w:rPr>
              <w:t>2</w:t>
            </w:r>
          </w:p>
        </w:tc>
        <w:tc>
          <w:tcPr>
            <w:tcW w:w="1882" w:type="dxa"/>
            <w:hideMark/>
          </w:tcPr>
          <w:p w14:paraId="439BA89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175,2</w:t>
            </w:r>
          </w:p>
        </w:tc>
        <w:tc>
          <w:tcPr>
            <w:tcW w:w="3827" w:type="dxa"/>
            <w:hideMark/>
          </w:tcPr>
          <w:p w14:paraId="45A057B7"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Pagal Lietuvos šilumos tiekėjų asociacijos naujausius duomenis (2016/2017 m.), 77% visų daugiabučių Lietuvoje prijungtų prie centralizuotos šilumos sistemos suvartoja vidutiniškai 24kWh/m</w:t>
            </w:r>
            <w:r w:rsidRPr="002142B8">
              <w:rPr>
                <w:rFonts w:ascii="Georgia" w:eastAsia="Times New Roman" w:hAnsi="Georgia" w:cs="Times New Roman"/>
                <w:color w:val="000000"/>
                <w:sz w:val="20"/>
                <w:szCs w:val="20"/>
                <w:vertAlign w:val="superscript"/>
                <w:lang w:eastAsia="lt-LT"/>
              </w:rPr>
              <w:t xml:space="preserve">2 </w:t>
            </w:r>
            <w:r w:rsidRPr="002142B8">
              <w:rPr>
                <w:rFonts w:ascii="Georgia" w:eastAsia="Times New Roman" w:hAnsi="Georgia" w:cs="Times New Roman"/>
                <w:color w:val="000000"/>
                <w:sz w:val="20"/>
                <w:szCs w:val="20"/>
                <w:lang w:eastAsia="lt-LT"/>
              </w:rPr>
              <w:t>per mėnesį. Šildymo sezonas Lietuvoje vidutiniškai tęsiasi 219 dienų per metus</w:t>
            </w:r>
            <w:r w:rsidRPr="002142B8">
              <w:rPr>
                <w:rFonts w:ascii="Georgia" w:eastAsia="Times New Roman" w:hAnsi="Georgia" w:cs="Times New Roman"/>
                <w:color w:val="000000"/>
                <w:sz w:val="20"/>
                <w:szCs w:val="20"/>
                <w:vertAlign w:val="superscript"/>
                <w:lang w:eastAsia="lt-LT"/>
              </w:rPr>
              <w:footnoteReference w:id="20"/>
            </w:r>
            <w:r w:rsidRPr="002142B8">
              <w:rPr>
                <w:rFonts w:ascii="Georgia" w:eastAsia="Times New Roman" w:hAnsi="Georgia" w:cs="Times New Roman"/>
                <w:color w:val="000000"/>
                <w:sz w:val="20"/>
                <w:szCs w:val="20"/>
                <w:lang w:eastAsia="lt-LT"/>
              </w:rPr>
              <w:t>. Per šį laikotarpį daugiabučiai vidutiniškai suvartoja 175,2 kWh energijos.</w:t>
            </w:r>
          </w:p>
        </w:tc>
      </w:tr>
      <w:tr w:rsidR="005A0219" w:rsidRPr="002142B8" w14:paraId="30836E41" w14:textId="77777777" w:rsidTr="0063781D">
        <w:trPr>
          <w:trHeight w:val="1545"/>
        </w:trPr>
        <w:tc>
          <w:tcPr>
            <w:cnfStyle w:val="001000000000" w:firstRow="0" w:lastRow="0" w:firstColumn="1" w:lastColumn="0" w:oddVBand="0" w:evenVBand="0" w:oddHBand="0" w:evenHBand="0" w:firstRowFirstColumn="0" w:firstRowLastColumn="0" w:lastRowFirstColumn="0" w:lastRowLastColumn="0"/>
            <w:tcW w:w="566" w:type="dxa"/>
            <w:hideMark/>
          </w:tcPr>
          <w:p w14:paraId="68578BC9"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w:t>
            </w:r>
          </w:p>
        </w:tc>
        <w:tc>
          <w:tcPr>
            <w:tcW w:w="2905" w:type="dxa"/>
            <w:hideMark/>
          </w:tcPr>
          <w:p w14:paraId="019A898C"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Po renovacijos pastatų energijos suvartojimo sutaupymas</w:t>
            </w:r>
          </w:p>
        </w:tc>
        <w:tc>
          <w:tcPr>
            <w:tcW w:w="1882" w:type="dxa"/>
            <w:hideMark/>
          </w:tcPr>
          <w:p w14:paraId="209B6613"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60%</w:t>
            </w:r>
          </w:p>
        </w:tc>
        <w:tc>
          <w:tcPr>
            <w:tcW w:w="3827" w:type="dxa"/>
            <w:hideMark/>
          </w:tcPr>
          <w:p w14:paraId="04A7B2CF" w14:textId="3D2FE349"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remiantis pateiktais istorinia</w:t>
            </w:r>
            <w:r w:rsidR="00D9139B" w:rsidRPr="002142B8">
              <w:rPr>
                <w:rFonts w:ascii="Georgia" w:eastAsia="Times New Roman" w:hAnsi="Georgia" w:cs="Times New Roman"/>
                <w:color w:val="000000"/>
                <w:sz w:val="20"/>
                <w:szCs w:val="20"/>
                <w:lang w:eastAsia="lt-LT"/>
              </w:rPr>
              <w:t>i</w:t>
            </w:r>
            <w:r w:rsidRPr="002142B8">
              <w:rPr>
                <w:rFonts w:ascii="Georgia" w:eastAsia="Times New Roman" w:hAnsi="Georgia" w:cs="Times New Roman"/>
                <w:color w:val="000000"/>
                <w:sz w:val="20"/>
                <w:szCs w:val="20"/>
                <w:lang w:eastAsia="lt-LT"/>
              </w:rPr>
              <w:t>s duomenimis iš 187 įgyvendintų projektų. Šis rodiklis atspindi daugiausiai energijos suvartojimą taupančius projektus, kurie buvo prioretizuojami atnaujinimo programoje tačiau tikėtina, jog ilgesniu laikotarpiu artės prie 40% ribos, kai didžiausią energijos kiekį taupančių projektų skaičius mažės sparčiausiai.</w:t>
            </w:r>
          </w:p>
        </w:tc>
      </w:tr>
      <w:tr w:rsidR="005A0219" w:rsidRPr="002142B8" w14:paraId="3C9F8744" w14:textId="77777777" w:rsidTr="0063781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66" w:type="dxa"/>
          </w:tcPr>
          <w:p w14:paraId="3D29748A"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w:t>
            </w:r>
          </w:p>
        </w:tc>
        <w:tc>
          <w:tcPr>
            <w:tcW w:w="2905" w:type="dxa"/>
          </w:tcPr>
          <w:p w14:paraId="7A68A7CF"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Vidutis daugiabučio pastato plotas, m</w:t>
            </w:r>
            <w:r w:rsidRPr="002142B8">
              <w:rPr>
                <w:rFonts w:ascii="Georgia" w:eastAsia="Times New Roman" w:hAnsi="Georgia" w:cs="Times New Roman"/>
                <w:color w:val="000000"/>
                <w:sz w:val="20"/>
                <w:szCs w:val="20"/>
                <w:vertAlign w:val="superscript"/>
                <w:lang w:eastAsia="lt-LT"/>
              </w:rPr>
              <w:t>2</w:t>
            </w:r>
          </w:p>
        </w:tc>
        <w:tc>
          <w:tcPr>
            <w:tcW w:w="1882" w:type="dxa"/>
          </w:tcPr>
          <w:p w14:paraId="1BFAB846"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1 272</w:t>
            </w:r>
          </w:p>
        </w:tc>
        <w:tc>
          <w:tcPr>
            <w:tcW w:w="3827" w:type="dxa"/>
          </w:tcPr>
          <w:p w14:paraId="7C7C0382"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2.1.2. dalyje</w:t>
            </w:r>
          </w:p>
        </w:tc>
      </w:tr>
      <w:tr w:rsidR="005A0219" w:rsidRPr="002142B8" w14:paraId="0B22EA78" w14:textId="77777777" w:rsidTr="0063781D">
        <w:trPr>
          <w:trHeight w:val="605"/>
        </w:trPr>
        <w:tc>
          <w:tcPr>
            <w:cnfStyle w:val="001000000000" w:firstRow="0" w:lastRow="0" w:firstColumn="1" w:lastColumn="0" w:oddVBand="0" w:evenVBand="0" w:oddHBand="0" w:evenHBand="0" w:firstRowFirstColumn="0" w:firstRowLastColumn="0" w:lastRowFirstColumn="0" w:lastRowLastColumn="0"/>
            <w:tcW w:w="566" w:type="dxa"/>
          </w:tcPr>
          <w:p w14:paraId="4F150B0D"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w:t>
            </w:r>
          </w:p>
        </w:tc>
        <w:tc>
          <w:tcPr>
            <w:tcW w:w="2905" w:type="dxa"/>
          </w:tcPr>
          <w:p w14:paraId="7555D945"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daugiabučių pastatų metinis sutaupymas, GWh</w:t>
            </w:r>
          </w:p>
        </w:tc>
        <w:tc>
          <w:tcPr>
            <w:tcW w:w="1882" w:type="dxa"/>
          </w:tcPr>
          <w:p w14:paraId="797D2D5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80,1</w:t>
            </w:r>
          </w:p>
        </w:tc>
        <w:tc>
          <w:tcPr>
            <w:tcW w:w="3827" w:type="dxa"/>
          </w:tcPr>
          <w:p w14:paraId="52406300"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aukščiau</w:t>
            </w:r>
          </w:p>
        </w:tc>
      </w:tr>
      <w:tr w:rsidR="005A0219" w:rsidRPr="002142B8" w14:paraId="7FB4920C" w14:textId="77777777" w:rsidTr="0063781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66" w:type="dxa"/>
          </w:tcPr>
          <w:p w14:paraId="5589AD8C"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5</w:t>
            </w:r>
          </w:p>
        </w:tc>
        <w:tc>
          <w:tcPr>
            <w:tcW w:w="2905" w:type="dxa"/>
          </w:tcPr>
          <w:p w14:paraId="1DD3B74B"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Tipinio daugiabučio renovuoto pastato sutaupymai, GWh per metus</w:t>
            </w:r>
          </w:p>
        </w:tc>
        <w:tc>
          <w:tcPr>
            <w:tcW w:w="1882" w:type="dxa"/>
          </w:tcPr>
          <w:p w14:paraId="5E2B6D25"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0,134</w:t>
            </w:r>
          </w:p>
        </w:tc>
        <w:tc>
          <w:tcPr>
            <w:tcW w:w="3827" w:type="dxa"/>
          </w:tcPr>
          <w:p w14:paraId="4307076C"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 x 2) x 3</w:t>
            </w:r>
          </w:p>
        </w:tc>
      </w:tr>
      <w:tr w:rsidR="005A0219" w:rsidRPr="002142B8" w14:paraId="0CB44067" w14:textId="77777777" w:rsidTr="0063781D">
        <w:trPr>
          <w:trHeight w:val="833"/>
        </w:trPr>
        <w:tc>
          <w:tcPr>
            <w:cnfStyle w:val="001000000000" w:firstRow="0" w:lastRow="0" w:firstColumn="1" w:lastColumn="0" w:oddVBand="0" w:evenVBand="0" w:oddHBand="0" w:evenHBand="0" w:firstRowFirstColumn="0" w:firstRowLastColumn="0" w:lastRowFirstColumn="0" w:lastRowLastColumn="0"/>
            <w:tcW w:w="566" w:type="dxa"/>
          </w:tcPr>
          <w:p w14:paraId="4D53D211"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w:t>
            </w:r>
          </w:p>
        </w:tc>
        <w:tc>
          <w:tcPr>
            <w:tcW w:w="2905" w:type="dxa"/>
          </w:tcPr>
          <w:p w14:paraId="23AEABD2"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renovuotinų daugiabučių pastatų kiekis per 2017-2023 m. periodą, vnt.</w:t>
            </w:r>
          </w:p>
        </w:tc>
        <w:tc>
          <w:tcPr>
            <w:tcW w:w="1882" w:type="dxa"/>
          </w:tcPr>
          <w:p w14:paraId="7F02625D"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4 195</w:t>
            </w:r>
          </w:p>
        </w:tc>
        <w:tc>
          <w:tcPr>
            <w:tcW w:w="3827" w:type="dxa"/>
          </w:tcPr>
          <w:p w14:paraId="19848A24"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4/5 x 7 metai</w:t>
            </w:r>
          </w:p>
        </w:tc>
      </w:tr>
      <w:tr w:rsidR="005A0219" w:rsidRPr="002142B8" w14:paraId="532C1EEE"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7A17612B"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7</w:t>
            </w:r>
          </w:p>
        </w:tc>
        <w:tc>
          <w:tcPr>
            <w:tcW w:w="2905" w:type="dxa"/>
          </w:tcPr>
          <w:p w14:paraId="6DF79FD6"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renovuotinų daugiabučių pastatų plotas per 2017-2023 m. periodą, tūkst. m</w:t>
            </w:r>
            <w:r w:rsidRPr="002142B8">
              <w:rPr>
                <w:rFonts w:ascii="Georgia" w:eastAsia="Times New Roman" w:hAnsi="Georgia" w:cs="Times New Roman"/>
                <w:color w:val="000000"/>
                <w:sz w:val="20"/>
                <w:szCs w:val="20"/>
                <w:vertAlign w:val="superscript"/>
                <w:lang w:eastAsia="lt-LT"/>
              </w:rPr>
              <w:t>2</w:t>
            </w:r>
          </w:p>
        </w:tc>
        <w:tc>
          <w:tcPr>
            <w:tcW w:w="1882" w:type="dxa"/>
          </w:tcPr>
          <w:p w14:paraId="4FBBC043"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5 334</w:t>
            </w:r>
          </w:p>
        </w:tc>
        <w:tc>
          <w:tcPr>
            <w:tcW w:w="3827" w:type="dxa"/>
          </w:tcPr>
          <w:p w14:paraId="70CBBD5A"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 x 6</w:t>
            </w:r>
          </w:p>
        </w:tc>
      </w:tr>
      <w:tr w:rsidR="005A0219" w:rsidRPr="002142B8" w14:paraId="3182333F"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5EAB6667"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w:t>
            </w:r>
          </w:p>
        </w:tc>
        <w:tc>
          <w:tcPr>
            <w:tcW w:w="2905" w:type="dxa"/>
            <w:hideMark/>
          </w:tcPr>
          <w:p w14:paraId="7084645E"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Daugiabučio pastato renovacijos kaštai, EUR/m</w:t>
            </w:r>
            <w:r w:rsidRPr="002142B8">
              <w:rPr>
                <w:rFonts w:ascii="Georgia" w:eastAsia="Times New Roman" w:hAnsi="Georgia" w:cs="Times New Roman"/>
                <w:color w:val="000000"/>
                <w:sz w:val="20"/>
                <w:szCs w:val="20"/>
                <w:vertAlign w:val="superscript"/>
                <w:lang w:eastAsia="lt-LT"/>
              </w:rPr>
              <w:t>2</w:t>
            </w:r>
            <w:r w:rsidRPr="002142B8">
              <w:rPr>
                <w:rFonts w:ascii="Georgia" w:eastAsia="Times New Roman" w:hAnsi="Georgia" w:cs="Times New Roman"/>
                <w:color w:val="000000"/>
                <w:sz w:val="20"/>
                <w:szCs w:val="20"/>
                <w:lang w:eastAsia="lt-LT"/>
              </w:rPr>
              <w:t xml:space="preserve"> </w:t>
            </w:r>
          </w:p>
        </w:tc>
        <w:tc>
          <w:tcPr>
            <w:tcW w:w="1882" w:type="dxa"/>
            <w:hideMark/>
          </w:tcPr>
          <w:p w14:paraId="220B5A05"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195</w:t>
            </w:r>
          </w:p>
        </w:tc>
        <w:tc>
          <w:tcPr>
            <w:tcW w:w="3827" w:type="dxa"/>
            <w:hideMark/>
          </w:tcPr>
          <w:p w14:paraId="28892CA3"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BETA 2017 m. duomenys. Lyginant su 2016 m. ši kaina nežymiai išaugo nuo 191 EUR/m2.</w:t>
            </w:r>
          </w:p>
        </w:tc>
      </w:tr>
      <w:tr w:rsidR="005A0219" w:rsidRPr="002142B8" w14:paraId="2DF9FF7D" w14:textId="77777777" w:rsidTr="0063781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6" w:type="dxa"/>
            <w:hideMark/>
          </w:tcPr>
          <w:p w14:paraId="6AF4BD0B"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9</w:t>
            </w:r>
          </w:p>
        </w:tc>
        <w:tc>
          <w:tcPr>
            <w:tcW w:w="2905" w:type="dxa"/>
            <w:hideMark/>
          </w:tcPr>
          <w:p w14:paraId="4A0541F0"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Daugiabučių pastatų renovacijos paklausa, mln. EUR</w:t>
            </w:r>
          </w:p>
        </w:tc>
        <w:tc>
          <w:tcPr>
            <w:tcW w:w="1882" w:type="dxa"/>
            <w:hideMark/>
          </w:tcPr>
          <w:p w14:paraId="46BF603D"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1 040</w:t>
            </w:r>
          </w:p>
        </w:tc>
        <w:tc>
          <w:tcPr>
            <w:tcW w:w="3827" w:type="dxa"/>
            <w:hideMark/>
          </w:tcPr>
          <w:p w14:paraId="36DBEC03"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Investicijų poreikis siekiant sutaupyti 82 GWh metinio energijos suvartojimo</w:t>
            </w:r>
          </w:p>
        </w:tc>
      </w:tr>
    </w:tbl>
    <w:p w14:paraId="6ACB346D"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4AFCBA73" w14:textId="77777777" w:rsidR="00BB79B7" w:rsidRDefault="00BB79B7">
      <w:pPr>
        <w:rPr>
          <w:rFonts w:ascii="Georgia" w:eastAsia="Georgia" w:hAnsi="Georgia" w:cs="Arial Unicode MS"/>
          <w:b/>
          <w:bCs/>
          <w:sz w:val="20"/>
          <w:szCs w:val="20"/>
          <w:lang w:val="lt-LT"/>
        </w:rPr>
      </w:pPr>
      <w:r>
        <w:rPr>
          <w:rFonts w:ascii="Georgia" w:eastAsia="Georgia" w:hAnsi="Georgia" w:cs="Arial Unicode MS"/>
          <w:b/>
          <w:bCs/>
          <w:sz w:val="20"/>
          <w:szCs w:val="20"/>
          <w:lang w:val="lt-LT"/>
        </w:rPr>
        <w:br w:type="page"/>
      </w:r>
    </w:p>
    <w:p w14:paraId="10A72785" w14:textId="5D3EBD9B" w:rsidR="005A0219" w:rsidRPr="002142B8" w:rsidRDefault="005A0219" w:rsidP="005A0219">
      <w:pPr>
        <w:autoSpaceDE w:val="0"/>
        <w:autoSpaceDN w:val="0"/>
        <w:adjustRightInd w:val="0"/>
        <w:spacing w:after="0" w:line="240" w:lineRule="auto"/>
        <w:jc w:val="both"/>
        <w:rPr>
          <w:rFonts w:ascii="Georgia" w:eastAsia="Georgia" w:hAnsi="Georgia" w:cs="Arial Unicode MS"/>
          <w:b/>
          <w:bCs/>
          <w:sz w:val="20"/>
          <w:szCs w:val="20"/>
          <w:lang w:val="lt-LT"/>
        </w:rPr>
      </w:pPr>
      <w:r w:rsidRPr="002142B8">
        <w:rPr>
          <w:rFonts w:ascii="Georgia" w:eastAsia="Georgia" w:hAnsi="Georgia" w:cs="Arial Unicode MS"/>
          <w:b/>
          <w:bCs/>
          <w:sz w:val="20"/>
          <w:szCs w:val="20"/>
          <w:lang w:val="lt-LT"/>
        </w:rPr>
        <w:lastRenderedPageBreak/>
        <w:t>Remiantis daugiabučių atnaujinimo programos tikslu</w:t>
      </w:r>
    </w:p>
    <w:p w14:paraId="77A3DEC6" w14:textId="77777777" w:rsidR="005A0219" w:rsidRPr="002142B8" w:rsidRDefault="005A0219" w:rsidP="005A0219">
      <w:pPr>
        <w:autoSpaceDE w:val="0"/>
        <w:autoSpaceDN w:val="0"/>
        <w:adjustRightInd w:val="0"/>
        <w:spacing w:after="0" w:line="240" w:lineRule="auto"/>
        <w:jc w:val="both"/>
        <w:rPr>
          <w:rFonts w:ascii="Georgia" w:eastAsia="Georgia" w:hAnsi="Georgia" w:cs="Arial Unicode MS"/>
          <w:bCs/>
          <w:sz w:val="20"/>
          <w:szCs w:val="20"/>
          <w:lang w:val="lt-LT"/>
        </w:rPr>
      </w:pPr>
    </w:p>
    <w:p w14:paraId="64A63A61" w14:textId="4C828FC1" w:rsidR="005A0219" w:rsidRPr="002142B8" w:rsidRDefault="00695A12" w:rsidP="0077117B">
      <w:pPr>
        <w:autoSpaceDE w:val="0"/>
        <w:autoSpaceDN w:val="0"/>
        <w:adjustRightInd w:val="0"/>
        <w:spacing w:after="0" w:line="240" w:lineRule="auto"/>
        <w:jc w:val="both"/>
        <w:rPr>
          <w:rFonts w:ascii="Georgia" w:eastAsia="Georgia" w:hAnsi="Georgia" w:cs="Arial Unicode MS"/>
          <w:bCs/>
          <w:sz w:val="20"/>
          <w:szCs w:val="20"/>
          <w:lang w:val="lt-LT"/>
        </w:rPr>
      </w:pPr>
      <w:r w:rsidRPr="002142B8">
        <w:rPr>
          <w:rFonts w:ascii="Georgia" w:eastAsia="Georgia" w:hAnsi="Georgia" w:cs="Arial Unicode MS"/>
          <w:bCs/>
          <w:sz w:val="20"/>
          <w:szCs w:val="20"/>
          <w:lang w:val="lt-LT"/>
        </w:rPr>
        <w:t>D</w:t>
      </w:r>
      <w:r w:rsidR="005A0219" w:rsidRPr="002142B8">
        <w:rPr>
          <w:rFonts w:ascii="Georgia" w:eastAsia="Georgia" w:hAnsi="Georgia" w:cs="Arial Unicode MS"/>
          <w:bCs/>
          <w:sz w:val="20"/>
          <w:szCs w:val="20"/>
          <w:lang w:val="lt-LT"/>
        </w:rPr>
        <w:t>augiabučių atna</w:t>
      </w:r>
      <w:r w:rsidRPr="002142B8">
        <w:rPr>
          <w:rFonts w:ascii="Georgia" w:eastAsia="Georgia" w:hAnsi="Georgia" w:cs="Arial Unicode MS"/>
          <w:bCs/>
          <w:sz w:val="20"/>
          <w:szCs w:val="20"/>
          <w:lang w:val="lt-LT"/>
        </w:rPr>
        <w:t>ujinimo (modernizavimo) programoje</w:t>
      </w:r>
      <w:r w:rsidR="005A0219" w:rsidRPr="002142B8">
        <w:rPr>
          <w:rFonts w:ascii="Georgia" w:eastAsia="Georgia" w:hAnsi="Georgia" w:cs="Arial Unicode MS"/>
          <w:bCs/>
          <w:sz w:val="20"/>
          <w:szCs w:val="20"/>
          <w:lang w:val="lt-LT"/>
        </w:rPr>
        <w:t xml:space="preserve"> nustatyta nuo 2005 m. iki 2020 m. modernizuoti 4 000 daugiabučių</w:t>
      </w:r>
      <w:r w:rsidRPr="002142B8">
        <w:rPr>
          <w:rFonts w:ascii="Georgia" w:eastAsia="Georgia" w:hAnsi="Georgia" w:cs="Arial Unicode MS"/>
          <w:bCs/>
          <w:sz w:val="20"/>
          <w:szCs w:val="20"/>
          <w:lang w:val="lt-LT"/>
        </w:rPr>
        <w:t xml:space="preserve"> namų</w:t>
      </w:r>
      <w:r w:rsidR="005A0219" w:rsidRPr="002142B8">
        <w:rPr>
          <w:rFonts w:ascii="Georgia" w:eastAsia="Georgia" w:hAnsi="Georgia" w:cs="Arial Unicode MS"/>
          <w:bCs/>
          <w:sz w:val="20"/>
          <w:szCs w:val="20"/>
          <w:lang w:val="lt-LT"/>
        </w:rPr>
        <w:t>. Skaičiuodami investicijų paklausą turime atsižvelgti į faktinį jau įgyvendintų projektų skaičių. Remiantis BET</w:t>
      </w:r>
      <w:r w:rsidR="00DF347A" w:rsidRPr="002142B8">
        <w:rPr>
          <w:rFonts w:ascii="Georgia" w:eastAsia="Georgia" w:hAnsi="Georgia" w:cs="Arial Unicode MS"/>
          <w:bCs/>
          <w:sz w:val="20"/>
          <w:szCs w:val="20"/>
          <w:lang w:val="lt-LT"/>
        </w:rPr>
        <w:t>A duomenimis, iki 2016 metų pabaigos</w:t>
      </w:r>
      <w:r w:rsidR="005A0219" w:rsidRPr="002142B8">
        <w:rPr>
          <w:rFonts w:ascii="Georgia" w:eastAsia="Georgia" w:hAnsi="Georgia" w:cs="Arial Unicode MS"/>
          <w:bCs/>
          <w:sz w:val="20"/>
          <w:szCs w:val="20"/>
          <w:lang w:val="lt-LT"/>
        </w:rPr>
        <w:t xml:space="preserve"> buvo atnaujinti 1 986 daugiabučiai. Atsižvelgiant</w:t>
      </w:r>
      <w:r w:rsidR="00DF347A" w:rsidRPr="002142B8">
        <w:rPr>
          <w:rFonts w:ascii="Georgia" w:eastAsia="Georgia" w:hAnsi="Georgia" w:cs="Arial Unicode MS"/>
          <w:bCs/>
          <w:sz w:val="20"/>
          <w:szCs w:val="20"/>
          <w:lang w:val="lt-LT"/>
        </w:rPr>
        <w:t xml:space="preserve"> į tai</w:t>
      </w:r>
      <w:r w:rsidR="005A0219" w:rsidRPr="002142B8">
        <w:rPr>
          <w:rFonts w:ascii="Georgia" w:eastAsia="Georgia" w:hAnsi="Georgia" w:cs="Arial Unicode MS"/>
          <w:bCs/>
          <w:sz w:val="20"/>
          <w:szCs w:val="20"/>
          <w:lang w:val="lt-LT"/>
        </w:rPr>
        <w:t>, jog nuo 2015 iki 2020 metų p</w:t>
      </w:r>
      <w:r w:rsidR="00DF347A" w:rsidRPr="002142B8">
        <w:rPr>
          <w:rFonts w:ascii="Georgia" w:eastAsia="Georgia" w:hAnsi="Georgia" w:cs="Arial Unicode MS"/>
          <w:bCs/>
          <w:sz w:val="20"/>
          <w:szCs w:val="20"/>
          <w:lang w:val="lt-LT"/>
        </w:rPr>
        <w:t xml:space="preserve">agal tą pačią programą siekiama </w:t>
      </w:r>
      <w:r w:rsidR="005A0219" w:rsidRPr="002142B8">
        <w:rPr>
          <w:rFonts w:ascii="Georgia" w:eastAsia="Georgia" w:hAnsi="Georgia" w:cs="Arial Unicode MS"/>
          <w:bCs/>
          <w:sz w:val="20"/>
          <w:szCs w:val="20"/>
          <w:lang w:val="lt-LT"/>
        </w:rPr>
        <w:t>atnaujinti 2 500 past</w:t>
      </w:r>
      <w:r w:rsidR="00703216" w:rsidRPr="002142B8">
        <w:rPr>
          <w:rFonts w:ascii="Georgia" w:eastAsia="Georgia" w:hAnsi="Georgia" w:cs="Arial Unicode MS"/>
          <w:bCs/>
          <w:sz w:val="20"/>
          <w:szCs w:val="20"/>
          <w:lang w:val="lt-LT"/>
        </w:rPr>
        <w:t>at</w:t>
      </w:r>
      <w:r w:rsidR="005A0219" w:rsidRPr="002142B8">
        <w:rPr>
          <w:rFonts w:ascii="Georgia" w:eastAsia="Georgia" w:hAnsi="Georgia" w:cs="Arial Unicode MS"/>
          <w:bCs/>
          <w:sz w:val="20"/>
          <w:szCs w:val="20"/>
          <w:lang w:val="lt-LT"/>
        </w:rPr>
        <w:t>ų ir darant prielaidą, jog po 2020 metų bus siekiama palaikyti tokius pačius modernizavimo tempus, prognozuojama, jog per 2021-2023 metų laikotarpį paklausa sieks 1 250 renovuotinų daugiabučių</w:t>
      </w:r>
      <w:r w:rsidR="00DF347A" w:rsidRPr="002142B8">
        <w:rPr>
          <w:rFonts w:ascii="Georgia" w:eastAsia="Georgia" w:hAnsi="Georgia" w:cs="Arial Unicode MS"/>
          <w:bCs/>
          <w:sz w:val="20"/>
          <w:szCs w:val="20"/>
          <w:lang w:val="lt-LT"/>
        </w:rPr>
        <w:t xml:space="preserve"> namų</w:t>
      </w:r>
      <w:r w:rsidR="005A0219" w:rsidRPr="002142B8">
        <w:rPr>
          <w:rFonts w:ascii="Georgia" w:eastAsia="Georgia" w:hAnsi="Georgia" w:cs="Arial Unicode MS"/>
          <w:bCs/>
          <w:sz w:val="20"/>
          <w:szCs w:val="20"/>
          <w:lang w:val="lt-LT"/>
        </w:rPr>
        <w:t>.</w:t>
      </w:r>
    </w:p>
    <w:p w14:paraId="581A7D2B" w14:textId="77777777" w:rsidR="005A0219" w:rsidRPr="002142B8" w:rsidRDefault="005A0219" w:rsidP="00000D8F">
      <w:pPr>
        <w:autoSpaceDE w:val="0"/>
        <w:autoSpaceDN w:val="0"/>
        <w:adjustRightInd w:val="0"/>
        <w:spacing w:after="0" w:line="240" w:lineRule="auto"/>
        <w:jc w:val="both"/>
        <w:rPr>
          <w:rFonts w:ascii="Georgia" w:eastAsia="Georgia" w:hAnsi="Georgia" w:cs="Arial Unicode MS"/>
          <w:bCs/>
          <w:sz w:val="20"/>
          <w:szCs w:val="20"/>
          <w:lang w:val="lt-LT"/>
        </w:rPr>
      </w:pPr>
    </w:p>
    <w:p w14:paraId="0B40C3F9" w14:textId="675235EE" w:rsidR="005A0219" w:rsidRPr="002142B8" w:rsidRDefault="005A0219" w:rsidP="0063781D">
      <w:pPr>
        <w:spacing w:after="160" w:line="240" w:lineRule="auto"/>
        <w:jc w:val="both"/>
        <w:rPr>
          <w:rFonts w:ascii="Georgia" w:eastAsia="Georgia" w:hAnsi="Georgia" w:cs="Arial Unicode MS"/>
          <w:bCs/>
          <w:sz w:val="20"/>
          <w:szCs w:val="24"/>
          <w:lang w:val="lt-LT"/>
        </w:rPr>
      </w:pPr>
      <w:r w:rsidRPr="002142B8">
        <w:rPr>
          <w:rFonts w:ascii="Georgia" w:eastAsia="Georgia" w:hAnsi="Georgia" w:cs="Arial Unicode MS"/>
          <w:bCs/>
          <w:sz w:val="20"/>
          <w:szCs w:val="20"/>
          <w:lang w:val="lt-LT"/>
        </w:rPr>
        <w:t>Žemiau esančioje lentelėje pateikiamos</w:t>
      </w:r>
      <w:r w:rsidRPr="002142B8">
        <w:rPr>
          <w:rFonts w:ascii="Georgia" w:eastAsia="Georgia" w:hAnsi="Georgia" w:cs="Arial Unicode MS"/>
          <w:bCs/>
          <w:sz w:val="20"/>
          <w:szCs w:val="24"/>
          <w:lang w:val="lt-LT"/>
        </w:rPr>
        <w:t xml:space="preserve"> prielaidos ir skaičiavimai bei jų pagrind</w:t>
      </w:r>
      <w:r w:rsidR="00DF347A" w:rsidRPr="002142B8">
        <w:rPr>
          <w:rFonts w:ascii="Georgia" w:eastAsia="Georgia" w:hAnsi="Georgia" w:cs="Arial Unicode MS"/>
          <w:bCs/>
          <w:sz w:val="20"/>
          <w:szCs w:val="24"/>
          <w:lang w:val="lt-LT"/>
        </w:rPr>
        <w:t>imas skaičiuojant daugiabučių namų</w:t>
      </w:r>
      <w:r w:rsidRPr="002142B8">
        <w:rPr>
          <w:rFonts w:ascii="Georgia" w:eastAsia="Georgia" w:hAnsi="Georgia" w:cs="Arial Unicode MS"/>
          <w:bCs/>
          <w:sz w:val="20"/>
          <w:szCs w:val="24"/>
          <w:lang w:val="lt-LT"/>
        </w:rPr>
        <w:t xml:space="preserve"> paklausą faktinių dydžių metodu. Lentelės skiltyje „Informacijos šaltinis, pagrindimas“ esantys skaičiai formulėse nurodo, iš kokių lentelės eilučių imami skaičiai apskaičiuojant siektiną rodiklį.</w:t>
      </w:r>
    </w:p>
    <w:p w14:paraId="4EAAE9C5" w14:textId="72F01D73" w:rsidR="005A0219" w:rsidRPr="002142B8" w:rsidRDefault="005A0219" w:rsidP="005A0219">
      <w:pPr>
        <w:spacing w:after="120" w:line="240" w:lineRule="auto"/>
        <w:jc w:val="both"/>
        <w:rPr>
          <w:rFonts w:ascii="Georgia" w:eastAsia="Georgia" w:hAnsi="Georgia" w:cs="Arial Unicode MS"/>
          <w:bCs/>
          <w:i/>
          <w:iCs/>
          <w:color w:val="821A1A"/>
          <w:sz w:val="20"/>
          <w:szCs w:val="18"/>
          <w:lang w:val="lt-LT"/>
        </w:rPr>
      </w:pPr>
      <w:bookmarkStart w:id="55" w:name="_Toc507939134"/>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12</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Daugiabučių pastatų p</w:t>
      </w:r>
      <w:r w:rsidRPr="002142B8">
        <w:rPr>
          <w:rFonts w:ascii="Georgia" w:eastAsia="Georgia" w:hAnsi="Georgia" w:cs="Georgia"/>
          <w:i/>
          <w:iCs/>
          <w:color w:val="821A1A"/>
          <w:sz w:val="20"/>
          <w:szCs w:val="20"/>
          <w:lang w:val="lt-LT"/>
        </w:rPr>
        <w:t>aklausos skaičiavimo prielaidos</w:t>
      </w:r>
      <w:bookmarkEnd w:id="55"/>
      <w:r w:rsidRPr="002142B8">
        <w:rPr>
          <w:rFonts w:ascii="Georgia" w:eastAsia="Georgia" w:hAnsi="Georgia" w:cs="Georgia"/>
          <w:i/>
          <w:iCs/>
          <w:color w:val="821A1A"/>
          <w:sz w:val="20"/>
          <w:szCs w:val="20"/>
          <w:lang w:val="lt-LT"/>
        </w:rPr>
        <w:t xml:space="preserve"> </w:t>
      </w:r>
    </w:p>
    <w:tbl>
      <w:tblPr>
        <w:tblStyle w:val="LightList-Accent21"/>
        <w:tblW w:w="9327" w:type="dxa"/>
        <w:tblLook w:val="04A0" w:firstRow="1" w:lastRow="0" w:firstColumn="1" w:lastColumn="0" w:noHBand="0" w:noVBand="1"/>
      </w:tblPr>
      <w:tblGrid>
        <w:gridCol w:w="566"/>
        <w:gridCol w:w="2905"/>
        <w:gridCol w:w="1457"/>
        <w:gridCol w:w="4399"/>
      </w:tblGrid>
      <w:tr w:rsidR="005A0219" w:rsidRPr="002142B8" w14:paraId="109C382C" w14:textId="77777777" w:rsidTr="0063781D">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6" w:type="dxa"/>
            <w:hideMark/>
          </w:tcPr>
          <w:p w14:paraId="0DD6FAE5" w14:textId="77777777" w:rsidR="005A0219" w:rsidRPr="002142B8" w:rsidRDefault="005A0219" w:rsidP="005A0219">
            <w:pPr>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Eil.</w:t>
            </w:r>
          </w:p>
          <w:p w14:paraId="0B63CBE2" w14:textId="77777777" w:rsidR="005A0219" w:rsidRPr="002142B8" w:rsidRDefault="005A0219" w:rsidP="005A0219">
            <w:pPr>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Nr.</w:t>
            </w:r>
          </w:p>
        </w:tc>
        <w:tc>
          <w:tcPr>
            <w:tcW w:w="2905" w:type="dxa"/>
            <w:hideMark/>
          </w:tcPr>
          <w:p w14:paraId="0E91426B"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Rodiklis</w:t>
            </w:r>
          </w:p>
        </w:tc>
        <w:tc>
          <w:tcPr>
            <w:tcW w:w="1457" w:type="dxa"/>
            <w:hideMark/>
          </w:tcPr>
          <w:p w14:paraId="75ADC7E1"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Rodiklio dydis</w:t>
            </w:r>
          </w:p>
        </w:tc>
        <w:tc>
          <w:tcPr>
            <w:tcW w:w="4399" w:type="dxa"/>
            <w:hideMark/>
          </w:tcPr>
          <w:p w14:paraId="26D9E7BE" w14:textId="77777777" w:rsidR="005A0219" w:rsidRPr="002142B8" w:rsidRDefault="005A0219" w:rsidP="005A021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Informacijos šaltinis, pagrindimas</w:t>
            </w:r>
          </w:p>
        </w:tc>
      </w:tr>
      <w:tr w:rsidR="005A0219" w:rsidRPr="002142B8" w14:paraId="2649A9B7" w14:textId="77777777" w:rsidTr="0063781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5423A2C9"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w:t>
            </w:r>
          </w:p>
        </w:tc>
        <w:tc>
          <w:tcPr>
            <w:tcW w:w="2905" w:type="dxa"/>
            <w:hideMark/>
          </w:tcPr>
          <w:p w14:paraId="7628D8B3"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Metinio šilumos suvartojimo kiekio vidurkis, kWh/m2</w:t>
            </w:r>
          </w:p>
        </w:tc>
        <w:tc>
          <w:tcPr>
            <w:tcW w:w="1457" w:type="dxa"/>
            <w:hideMark/>
          </w:tcPr>
          <w:p w14:paraId="180E4982"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175,2</w:t>
            </w:r>
          </w:p>
        </w:tc>
        <w:tc>
          <w:tcPr>
            <w:tcW w:w="4399" w:type="dxa"/>
            <w:hideMark/>
          </w:tcPr>
          <w:p w14:paraId="7726CB14"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Pagal Lietuvos šilumos tiekėjų asociacijos naujausius duomenis (2016/2017 m.), 77% visų daugiabučių Lietuvoje prijungtų prie centralizuotos šilumos sistemos suvartoja vidutiniškai 24kWh/m</w:t>
            </w:r>
            <w:r w:rsidRPr="002142B8">
              <w:rPr>
                <w:rFonts w:ascii="Georgia" w:eastAsia="Times New Roman" w:hAnsi="Georgia" w:cs="Times New Roman"/>
                <w:color w:val="000000"/>
                <w:sz w:val="20"/>
                <w:szCs w:val="20"/>
                <w:vertAlign w:val="superscript"/>
                <w:lang w:eastAsia="lt-LT"/>
              </w:rPr>
              <w:t xml:space="preserve">2 </w:t>
            </w:r>
            <w:r w:rsidRPr="002142B8">
              <w:rPr>
                <w:rFonts w:ascii="Georgia" w:eastAsia="Times New Roman" w:hAnsi="Georgia" w:cs="Times New Roman"/>
                <w:color w:val="000000"/>
                <w:sz w:val="20"/>
                <w:szCs w:val="20"/>
                <w:lang w:eastAsia="lt-LT"/>
              </w:rPr>
              <w:t>per mėnesį. Šildymo sezonas Lietuvoje vidutiniškai tęsiasi 219 dienų per metus</w:t>
            </w:r>
            <w:r w:rsidRPr="002142B8">
              <w:rPr>
                <w:rFonts w:ascii="Georgia" w:eastAsia="Times New Roman" w:hAnsi="Georgia" w:cs="Times New Roman"/>
                <w:color w:val="000000"/>
                <w:sz w:val="20"/>
                <w:szCs w:val="20"/>
                <w:vertAlign w:val="superscript"/>
                <w:lang w:eastAsia="lt-LT"/>
              </w:rPr>
              <w:footnoteReference w:id="21"/>
            </w:r>
            <w:r w:rsidRPr="002142B8">
              <w:rPr>
                <w:rFonts w:ascii="Georgia" w:eastAsia="Times New Roman" w:hAnsi="Georgia" w:cs="Times New Roman"/>
                <w:color w:val="000000"/>
                <w:sz w:val="20"/>
                <w:szCs w:val="20"/>
                <w:lang w:eastAsia="lt-LT"/>
              </w:rPr>
              <w:t>. Per šį laikotarpį daugiabučiai vidutiniškai suvartoja 175,2 kWh energijos.</w:t>
            </w:r>
          </w:p>
        </w:tc>
      </w:tr>
      <w:tr w:rsidR="005A0219" w:rsidRPr="002142B8" w14:paraId="783C6767" w14:textId="77777777" w:rsidTr="0063781D">
        <w:trPr>
          <w:trHeight w:val="1545"/>
        </w:trPr>
        <w:tc>
          <w:tcPr>
            <w:cnfStyle w:val="001000000000" w:firstRow="0" w:lastRow="0" w:firstColumn="1" w:lastColumn="0" w:oddVBand="0" w:evenVBand="0" w:oddHBand="0" w:evenHBand="0" w:firstRowFirstColumn="0" w:firstRowLastColumn="0" w:lastRowFirstColumn="0" w:lastRowLastColumn="0"/>
            <w:tcW w:w="566" w:type="dxa"/>
            <w:hideMark/>
          </w:tcPr>
          <w:p w14:paraId="7300973C"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w:t>
            </w:r>
          </w:p>
        </w:tc>
        <w:tc>
          <w:tcPr>
            <w:tcW w:w="2905" w:type="dxa"/>
            <w:hideMark/>
          </w:tcPr>
          <w:p w14:paraId="78B6DD1E"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Po renovacijos pastatų energijos suvartojimo sutaupymas</w:t>
            </w:r>
          </w:p>
        </w:tc>
        <w:tc>
          <w:tcPr>
            <w:tcW w:w="1457" w:type="dxa"/>
            <w:hideMark/>
          </w:tcPr>
          <w:p w14:paraId="1A4DBFB6"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60%</w:t>
            </w:r>
          </w:p>
        </w:tc>
        <w:tc>
          <w:tcPr>
            <w:tcW w:w="4399" w:type="dxa"/>
            <w:hideMark/>
          </w:tcPr>
          <w:p w14:paraId="33C06DAD"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VIPA istoriniai duomenys iš 187 įgyvendintų projektų. Šis rodiklis atspindi daugiausiai energijos suvartojimą taupančius projektus, kurie buvo prioretizuojami atnaujinimo programoje tačiau tikėtina, jog ilgesniu laikotarpiu artės prie 40% ribos, kai didžiausią energijos kiekį taupančių projektų skaičius mažės sparčiausiai.</w:t>
            </w:r>
          </w:p>
        </w:tc>
      </w:tr>
      <w:tr w:rsidR="005A0219" w:rsidRPr="002142B8" w14:paraId="61971D82" w14:textId="77777777" w:rsidTr="0063781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66" w:type="dxa"/>
          </w:tcPr>
          <w:p w14:paraId="4057C74A"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w:t>
            </w:r>
          </w:p>
        </w:tc>
        <w:tc>
          <w:tcPr>
            <w:tcW w:w="2905" w:type="dxa"/>
          </w:tcPr>
          <w:p w14:paraId="028538E1"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Vidutis daugiabučio pastato plotas, m</w:t>
            </w:r>
            <w:r w:rsidRPr="002142B8">
              <w:rPr>
                <w:rFonts w:ascii="Georgia" w:eastAsia="Times New Roman" w:hAnsi="Georgia" w:cs="Times New Roman"/>
                <w:color w:val="000000"/>
                <w:sz w:val="20"/>
                <w:szCs w:val="20"/>
                <w:vertAlign w:val="superscript"/>
                <w:lang w:eastAsia="lt-LT"/>
              </w:rPr>
              <w:t>2</w:t>
            </w:r>
          </w:p>
        </w:tc>
        <w:tc>
          <w:tcPr>
            <w:tcW w:w="1457" w:type="dxa"/>
          </w:tcPr>
          <w:p w14:paraId="4BE3BECB"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1 272</w:t>
            </w:r>
          </w:p>
        </w:tc>
        <w:tc>
          <w:tcPr>
            <w:tcW w:w="4399" w:type="dxa"/>
          </w:tcPr>
          <w:p w14:paraId="7B1B4E48"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Paskaičiuota 2.1.2. dalyje</w:t>
            </w:r>
          </w:p>
        </w:tc>
      </w:tr>
      <w:tr w:rsidR="005A0219" w:rsidRPr="002142B8" w14:paraId="5403631A" w14:textId="77777777" w:rsidTr="0063781D">
        <w:trPr>
          <w:trHeight w:val="691"/>
        </w:trPr>
        <w:tc>
          <w:tcPr>
            <w:cnfStyle w:val="001000000000" w:firstRow="0" w:lastRow="0" w:firstColumn="1" w:lastColumn="0" w:oddVBand="0" w:evenVBand="0" w:oddHBand="0" w:evenHBand="0" w:firstRowFirstColumn="0" w:firstRowLastColumn="0" w:lastRowFirstColumn="0" w:lastRowLastColumn="0"/>
            <w:tcW w:w="566" w:type="dxa"/>
            <w:hideMark/>
          </w:tcPr>
          <w:p w14:paraId="7D540014"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w:t>
            </w:r>
          </w:p>
        </w:tc>
        <w:tc>
          <w:tcPr>
            <w:tcW w:w="2905" w:type="dxa"/>
            <w:hideMark/>
          </w:tcPr>
          <w:p w14:paraId="1A940923"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Bendras renovuotinų daugiabučių pastatų skaičius 2017-2023 metais</w:t>
            </w:r>
          </w:p>
        </w:tc>
        <w:tc>
          <w:tcPr>
            <w:tcW w:w="1457" w:type="dxa"/>
            <w:hideMark/>
          </w:tcPr>
          <w:p w14:paraId="3C2F3F95"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3 264</w:t>
            </w:r>
          </w:p>
        </w:tc>
        <w:tc>
          <w:tcPr>
            <w:tcW w:w="4399" w:type="dxa"/>
            <w:hideMark/>
          </w:tcPr>
          <w:p w14:paraId="7BA715FC" w14:textId="388533BA" w:rsidR="005A0219" w:rsidRPr="002142B8" w:rsidRDefault="005A0219" w:rsidP="009C49B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Skaičiavimo metodika aprašyta a</w:t>
            </w:r>
            <w:r w:rsidR="009C49B0">
              <w:rPr>
                <w:rFonts w:ascii="Georgia" w:eastAsia="Times New Roman" w:hAnsi="Georgia" w:cs="Times New Roman"/>
                <w:color w:val="000000"/>
                <w:sz w:val="20"/>
                <w:szCs w:val="20"/>
                <w:lang w:eastAsia="lt-LT"/>
              </w:rPr>
              <w:t>n</w:t>
            </w:r>
            <w:r w:rsidRPr="002142B8">
              <w:rPr>
                <w:rFonts w:ascii="Georgia" w:eastAsia="Times New Roman" w:hAnsi="Georgia" w:cs="Times New Roman"/>
                <w:color w:val="000000"/>
                <w:sz w:val="20"/>
                <w:szCs w:val="20"/>
                <w:lang w:eastAsia="lt-LT"/>
              </w:rPr>
              <w:t>k</w:t>
            </w:r>
            <w:r w:rsidR="009C49B0">
              <w:rPr>
                <w:rFonts w:ascii="Georgia" w:eastAsia="Times New Roman" w:hAnsi="Georgia" w:cs="Times New Roman"/>
                <w:color w:val="000000"/>
                <w:sz w:val="20"/>
                <w:szCs w:val="20"/>
                <w:lang w:eastAsia="lt-LT"/>
              </w:rPr>
              <w:t>s</w:t>
            </w:r>
            <w:r w:rsidRPr="002142B8">
              <w:rPr>
                <w:rFonts w:ascii="Georgia" w:eastAsia="Times New Roman" w:hAnsi="Georgia" w:cs="Times New Roman"/>
                <w:color w:val="000000"/>
                <w:sz w:val="20"/>
                <w:szCs w:val="20"/>
                <w:lang w:eastAsia="lt-LT"/>
              </w:rPr>
              <w:t>čiau</w:t>
            </w:r>
            <w:r w:rsidR="009C49B0">
              <w:rPr>
                <w:rFonts w:ascii="Georgia" w:eastAsia="Times New Roman" w:hAnsi="Georgia" w:cs="Times New Roman"/>
                <w:color w:val="000000"/>
                <w:sz w:val="20"/>
                <w:szCs w:val="20"/>
                <w:lang w:eastAsia="lt-LT"/>
              </w:rPr>
              <w:br/>
            </w:r>
            <w:r w:rsidRPr="002142B8">
              <w:rPr>
                <w:rFonts w:ascii="Georgia" w:eastAsia="Times New Roman" w:hAnsi="Georgia" w:cs="Times New Roman"/>
                <w:color w:val="000000"/>
                <w:sz w:val="20"/>
                <w:szCs w:val="20"/>
                <w:lang w:eastAsia="lt-LT"/>
              </w:rPr>
              <w:t xml:space="preserve"> (4</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000 – 1</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986 + 1</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250)</w:t>
            </w:r>
          </w:p>
        </w:tc>
      </w:tr>
      <w:tr w:rsidR="005A0219" w:rsidRPr="002142B8" w14:paraId="2AD4522F" w14:textId="77777777" w:rsidTr="006378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 w:type="dxa"/>
            <w:hideMark/>
          </w:tcPr>
          <w:p w14:paraId="20FDAE58"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6</w:t>
            </w:r>
          </w:p>
        </w:tc>
        <w:tc>
          <w:tcPr>
            <w:tcW w:w="2905" w:type="dxa"/>
            <w:hideMark/>
          </w:tcPr>
          <w:p w14:paraId="3F162DE6"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Sutaupymai (GWh)</w:t>
            </w:r>
          </w:p>
        </w:tc>
        <w:tc>
          <w:tcPr>
            <w:tcW w:w="1457" w:type="dxa"/>
            <w:hideMark/>
          </w:tcPr>
          <w:p w14:paraId="50EBB8C7"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436</w:t>
            </w:r>
          </w:p>
        </w:tc>
        <w:tc>
          <w:tcPr>
            <w:tcW w:w="4399" w:type="dxa"/>
            <w:hideMark/>
          </w:tcPr>
          <w:p w14:paraId="7E1C9D87" w14:textId="77777777"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p>
        </w:tc>
      </w:tr>
      <w:tr w:rsidR="005A0219" w:rsidRPr="002142B8" w14:paraId="68BFBB2A" w14:textId="77777777" w:rsidTr="0063781D">
        <w:trPr>
          <w:trHeight w:val="525"/>
        </w:trPr>
        <w:tc>
          <w:tcPr>
            <w:cnfStyle w:val="001000000000" w:firstRow="0" w:lastRow="0" w:firstColumn="1" w:lastColumn="0" w:oddVBand="0" w:evenVBand="0" w:oddHBand="0" w:evenHBand="0" w:firstRowFirstColumn="0" w:firstRowLastColumn="0" w:lastRowFirstColumn="0" w:lastRowLastColumn="0"/>
            <w:tcW w:w="566" w:type="dxa"/>
            <w:hideMark/>
          </w:tcPr>
          <w:p w14:paraId="2E619E95"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7</w:t>
            </w:r>
          </w:p>
        </w:tc>
        <w:tc>
          <w:tcPr>
            <w:tcW w:w="2905" w:type="dxa"/>
            <w:hideMark/>
          </w:tcPr>
          <w:p w14:paraId="720D74DF" w14:textId="77777777" w:rsidR="005A0219" w:rsidRPr="002142B8" w:rsidRDefault="005A0219" w:rsidP="005A0219">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Daugiabučio pastato renovacijos kaštai, EUR/m</w:t>
            </w:r>
            <w:r w:rsidRPr="002142B8">
              <w:rPr>
                <w:rFonts w:ascii="Georgia" w:eastAsia="Times New Roman" w:hAnsi="Georgia" w:cs="Times New Roman"/>
                <w:color w:val="000000"/>
                <w:sz w:val="20"/>
                <w:szCs w:val="20"/>
                <w:vertAlign w:val="superscript"/>
                <w:lang w:eastAsia="lt-LT"/>
              </w:rPr>
              <w:t xml:space="preserve">2 </w:t>
            </w:r>
          </w:p>
        </w:tc>
        <w:tc>
          <w:tcPr>
            <w:tcW w:w="1457" w:type="dxa"/>
            <w:hideMark/>
          </w:tcPr>
          <w:p w14:paraId="09497871" w14:textId="77777777" w:rsidR="005A0219" w:rsidRPr="002142B8" w:rsidRDefault="005A0219" w:rsidP="005A021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195</w:t>
            </w:r>
          </w:p>
        </w:tc>
        <w:tc>
          <w:tcPr>
            <w:tcW w:w="4399" w:type="dxa"/>
            <w:hideMark/>
          </w:tcPr>
          <w:p w14:paraId="629E2A0A" w14:textId="77777777" w:rsidR="005A0219" w:rsidRPr="002142B8" w:rsidRDefault="005A0219" w:rsidP="005A0219">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BETA duomenys 2017 metams</w:t>
            </w:r>
          </w:p>
        </w:tc>
      </w:tr>
      <w:tr w:rsidR="005A0219" w:rsidRPr="002142B8" w14:paraId="13224D74" w14:textId="77777777" w:rsidTr="0063781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6" w:type="dxa"/>
            <w:hideMark/>
          </w:tcPr>
          <w:p w14:paraId="1E7C2BED" w14:textId="77777777" w:rsidR="005A0219" w:rsidRPr="002142B8" w:rsidRDefault="005A0219" w:rsidP="005A0219">
            <w:pPr>
              <w:jc w:val="both"/>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 8</w:t>
            </w:r>
          </w:p>
        </w:tc>
        <w:tc>
          <w:tcPr>
            <w:tcW w:w="2905" w:type="dxa"/>
            <w:hideMark/>
          </w:tcPr>
          <w:p w14:paraId="1CADEBA1" w14:textId="77777777" w:rsidR="005A0219" w:rsidRPr="002142B8" w:rsidRDefault="005A0219" w:rsidP="005A0219">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Daugiabučių pastatų renovacijos paklausa, mln. EUR</w:t>
            </w:r>
          </w:p>
        </w:tc>
        <w:tc>
          <w:tcPr>
            <w:tcW w:w="1457" w:type="dxa"/>
            <w:hideMark/>
          </w:tcPr>
          <w:p w14:paraId="573552BC" w14:textId="77777777" w:rsidR="005A0219" w:rsidRPr="002142B8" w:rsidRDefault="005A0219" w:rsidP="005A021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809</w:t>
            </w:r>
          </w:p>
        </w:tc>
        <w:tc>
          <w:tcPr>
            <w:tcW w:w="4399" w:type="dxa"/>
            <w:hideMark/>
          </w:tcPr>
          <w:p w14:paraId="33B3C892" w14:textId="4BCEB2D3" w:rsidR="005A0219" w:rsidRPr="002142B8" w:rsidRDefault="005A0219" w:rsidP="005A0219">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Investicijų poreikis siekiant atnaujinti 3</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264 daugiabučių. Tai leistų sutaupyti 1</w:t>
            </w:r>
            <w:r w:rsidR="009C49B0">
              <w:rPr>
                <w:rFonts w:ascii="Georgia" w:eastAsia="Times New Roman" w:hAnsi="Georgia" w:cs="Times New Roman"/>
                <w:color w:val="000000"/>
                <w:sz w:val="20"/>
                <w:szCs w:val="20"/>
                <w:lang w:eastAsia="lt-LT"/>
              </w:rPr>
              <w:t xml:space="preserve"> </w:t>
            </w:r>
            <w:r w:rsidRPr="002142B8">
              <w:rPr>
                <w:rFonts w:ascii="Georgia" w:eastAsia="Times New Roman" w:hAnsi="Georgia" w:cs="Times New Roman"/>
                <w:color w:val="000000"/>
                <w:sz w:val="20"/>
                <w:szCs w:val="20"/>
                <w:lang w:eastAsia="lt-LT"/>
              </w:rPr>
              <w:t>000 GWh suvartojamos galutinės energijos.</w:t>
            </w:r>
          </w:p>
        </w:tc>
      </w:tr>
    </w:tbl>
    <w:p w14:paraId="26020866"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1ABCE851" w14:textId="77777777" w:rsidR="00BB79B7" w:rsidRDefault="00BB79B7">
      <w:pPr>
        <w:rPr>
          <w:rFonts w:ascii="Georgia" w:eastAsia="Georgia" w:hAnsi="Georgia" w:cs="Arial Unicode MS"/>
          <w:b/>
          <w:sz w:val="20"/>
          <w:szCs w:val="20"/>
          <w:lang w:val="lt-LT"/>
        </w:rPr>
      </w:pPr>
      <w:r>
        <w:rPr>
          <w:rFonts w:ascii="Georgia" w:eastAsia="Georgia" w:hAnsi="Georgia" w:cs="Arial Unicode MS"/>
          <w:b/>
          <w:sz w:val="20"/>
          <w:szCs w:val="20"/>
          <w:lang w:val="lt-LT"/>
        </w:rPr>
        <w:br w:type="page"/>
      </w:r>
    </w:p>
    <w:p w14:paraId="3708FFCE" w14:textId="2A33A7E6" w:rsidR="005A0219" w:rsidRPr="002142B8" w:rsidRDefault="005A0219" w:rsidP="005A0219">
      <w:pPr>
        <w:spacing w:after="160" w:line="240" w:lineRule="auto"/>
        <w:rPr>
          <w:rFonts w:ascii="Georgia" w:eastAsia="Georgia" w:hAnsi="Georgia" w:cs="Arial Unicode MS"/>
          <w:b/>
          <w:sz w:val="20"/>
          <w:szCs w:val="20"/>
          <w:lang w:val="lt-LT"/>
        </w:rPr>
      </w:pPr>
      <w:r w:rsidRPr="002142B8">
        <w:rPr>
          <w:rFonts w:ascii="Georgia" w:eastAsia="Georgia" w:hAnsi="Georgia" w:cs="Arial Unicode MS"/>
          <w:b/>
          <w:sz w:val="20"/>
          <w:szCs w:val="20"/>
          <w:lang w:val="lt-LT"/>
        </w:rPr>
        <w:lastRenderedPageBreak/>
        <w:t>Remiantis Nacionalinės energijos strategijos tikslais</w:t>
      </w:r>
    </w:p>
    <w:p w14:paraId="3E051CBB" w14:textId="691E3B9D" w:rsidR="00BB79B7" w:rsidRPr="002142B8" w:rsidRDefault="00DF347A"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Lentelėje žemiau yra apibendrinami </w:t>
      </w:r>
      <w:r w:rsidR="005A0219" w:rsidRPr="002142B8">
        <w:rPr>
          <w:rFonts w:ascii="Georgia" w:eastAsia="Georgia" w:hAnsi="Georgia" w:cs="Arial Unicode MS"/>
          <w:sz w:val="20"/>
          <w:szCs w:val="20"/>
          <w:lang w:val="lt-LT"/>
        </w:rPr>
        <w:t>Nac</w:t>
      </w:r>
      <w:r w:rsidRPr="002142B8">
        <w:rPr>
          <w:rFonts w:ascii="Georgia" w:eastAsia="Georgia" w:hAnsi="Georgia" w:cs="Arial Unicode MS"/>
          <w:sz w:val="20"/>
          <w:szCs w:val="20"/>
          <w:lang w:val="lt-LT"/>
        </w:rPr>
        <w:t xml:space="preserve">ionalinėje energijos strategijoje </w:t>
      </w:r>
      <w:r w:rsidR="005A0219" w:rsidRPr="002142B8">
        <w:rPr>
          <w:rFonts w:ascii="Georgia" w:eastAsia="Georgia" w:hAnsi="Georgia" w:cs="Arial Unicode MS"/>
          <w:sz w:val="20"/>
          <w:szCs w:val="20"/>
          <w:lang w:val="lt-LT"/>
        </w:rPr>
        <w:t>išdėstyti energijos taupymo tikslai</w:t>
      </w:r>
      <w:r w:rsidRPr="002142B8">
        <w:rPr>
          <w:rFonts w:ascii="Georgia" w:eastAsia="Georgia" w:hAnsi="Georgia" w:cs="Arial Unicode MS"/>
          <w:sz w:val="20"/>
          <w:szCs w:val="20"/>
          <w:lang w:val="lt-LT"/>
        </w:rPr>
        <w:t>,</w:t>
      </w:r>
      <w:r w:rsidR="005A0219" w:rsidRPr="002142B8">
        <w:rPr>
          <w:rFonts w:ascii="Georgia" w:eastAsia="Georgia" w:hAnsi="Georgia" w:cs="Arial Unicode MS"/>
          <w:sz w:val="20"/>
          <w:szCs w:val="20"/>
          <w:lang w:val="lt-LT"/>
        </w:rPr>
        <w:t xml:space="preserve"> susiję su daugiabučių </w:t>
      </w:r>
      <w:r w:rsidRPr="002142B8">
        <w:rPr>
          <w:rFonts w:ascii="Georgia" w:eastAsia="Georgia" w:hAnsi="Georgia" w:cs="Arial Unicode MS"/>
          <w:sz w:val="20"/>
          <w:szCs w:val="20"/>
          <w:lang w:val="lt-LT"/>
        </w:rPr>
        <w:t xml:space="preserve">namų </w:t>
      </w:r>
      <w:r w:rsidR="005A0219" w:rsidRPr="002142B8">
        <w:rPr>
          <w:rFonts w:ascii="Georgia" w:eastAsia="Georgia" w:hAnsi="Georgia" w:cs="Arial Unicode MS"/>
          <w:sz w:val="20"/>
          <w:szCs w:val="20"/>
          <w:lang w:val="lt-LT"/>
        </w:rPr>
        <w:t>atnaujinimu</w:t>
      </w:r>
      <w:r w:rsidRPr="002142B8">
        <w:rPr>
          <w:rFonts w:ascii="Georgia" w:eastAsia="Georgia" w:hAnsi="Georgia" w:cs="Arial Unicode MS"/>
          <w:sz w:val="20"/>
          <w:szCs w:val="20"/>
          <w:lang w:val="lt-LT"/>
        </w:rPr>
        <w:t>.</w:t>
      </w:r>
      <w:r w:rsidR="00BB79B7">
        <w:rPr>
          <w:rFonts w:ascii="Georgia" w:eastAsia="Georgia" w:hAnsi="Georgia" w:cs="Arial Unicode MS"/>
          <w:sz w:val="20"/>
          <w:szCs w:val="20"/>
          <w:lang w:val="lt-LT"/>
        </w:rPr>
        <w:t xml:space="preserve"> </w:t>
      </w:r>
    </w:p>
    <w:p w14:paraId="121EF3DC" w14:textId="0A4E1D39" w:rsidR="005A0219" w:rsidRPr="002142B8" w:rsidRDefault="005A0219" w:rsidP="00FD137F">
      <w:pPr>
        <w:rPr>
          <w:rFonts w:ascii="Georgia" w:eastAsia="Georgia" w:hAnsi="Georgia" w:cs="Arial Unicode MS"/>
          <w:bCs/>
          <w:i/>
          <w:iCs/>
          <w:color w:val="821A1A"/>
          <w:sz w:val="20"/>
          <w:szCs w:val="18"/>
          <w:lang w:val="lt-LT"/>
        </w:rPr>
      </w:pPr>
      <w:bookmarkStart w:id="56" w:name="_Toc507939135"/>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13</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Daugiabučių namų, prijungtų prie centralizuotos šilumos sistemos, modernizavimo tikslai Nacionalinėje energetikos strategijoje</w:t>
      </w:r>
      <w:bookmarkEnd w:id="56"/>
    </w:p>
    <w:tbl>
      <w:tblPr>
        <w:tblStyle w:val="LightList-Accent21"/>
        <w:tblW w:w="9320" w:type="dxa"/>
        <w:tblLayout w:type="fixed"/>
        <w:tblLook w:val="04A0" w:firstRow="1" w:lastRow="0" w:firstColumn="1" w:lastColumn="0" w:noHBand="0" w:noVBand="1"/>
      </w:tblPr>
      <w:tblGrid>
        <w:gridCol w:w="237"/>
        <w:gridCol w:w="1798"/>
        <w:gridCol w:w="1050"/>
        <w:gridCol w:w="964"/>
        <w:gridCol w:w="6"/>
        <w:gridCol w:w="1108"/>
        <w:gridCol w:w="760"/>
        <w:gridCol w:w="6"/>
        <w:gridCol w:w="1169"/>
        <w:gridCol w:w="6"/>
        <w:gridCol w:w="970"/>
        <w:gridCol w:w="1240"/>
        <w:gridCol w:w="6"/>
      </w:tblGrid>
      <w:tr w:rsidR="005A0219" w:rsidRPr="002142B8" w14:paraId="691B9BF0" w14:textId="77777777" w:rsidTr="0063781D">
        <w:trPr>
          <w:gridAfter w:val="1"/>
          <w:cnfStyle w:val="100000000000" w:firstRow="1" w:lastRow="0" w:firstColumn="0" w:lastColumn="0" w:oddVBand="0" w:evenVBand="0" w:oddHBand="0"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37" w:type="dxa"/>
            <w:vMerge w:val="restart"/>
            <w:hideMark/>
          </w:tcPr>
          <w:p w14:paraId="487DFC23" w14:textId="77777777" w:rsidR="005A0219" w:rsidRPr="002142B8" w:rsidRDefault="005A0219" w:rsidP="005A0219">
            <w:pPr>
              <w:rPr>
                <w:rFonts w:ascii="Georgia" w:eastAsia="Georgia" w:hAnsi="Georgia" w:cs="Arial Unicode MS"/>
                <w:sz w:val="20"/>
                <w:szCs w:val="20"/>
              </w:rPr>
            </w:pPr>
          </w:p>
        </w:tc>
        <w:tc>
          <w:tcPr>
            <w:tcW w:w="1798" w:type="dxa"/>
            <w:noWrap/>
            <w:hideMark/>
          </w:tcPr>
          <w:p w14:paraId="243EB3EB"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2015</w:t>
            </w:r>
          </w:p>
        </w:tc>
        <w:tc>
          <w:tcPr>
            <w:tcW w:w="3888" w:type="dxa"/>
            <w:gridSpan w:val="5"/>
            <w:noWrap/>
            <w:hideMark/>
          </w:tcPr>
          <w:p w14:paraId="1488F2C0"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2025</w:t>
            </w:r>
          </w:p>
        </w:tc>
        <w:tc>
          <w:tcPr>
            <w:tcW w:w="3391" w:type="dxa"/>
            <w:gridSpan w:val="5"/>
            <w:noWrap/>
            <w:hideMark/>
          </w:tcPr>
          <w:p w14:paraId="64D561F3"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2035</w:t>
            </w:r>
          </w:p>
        </w:tc>
      </w:tr>
      <w:tr w:rsidR="0063781D" w:rsidRPr="002142B8" w14:paraId="4AF5D96A" w14:textId="77777777" w:rsidTr="0063781D">
        <w:trPr>
          <w:gridAfter w:val="1"/>
          <w:cnfStyle w:val="000000100000" w:firstRow="0" w:lastRow="0" w:firstColumn="0" w:lastColumn="0" w:oddVBand="0" w:evenVBand="0" w:oddHBand="1" w:evenHBand="0" w:firstRowFirstColumn="0" w:firstRowLastColumn="0" w:lastRowFirstColumn="0" w:lastRowLastColumn="0"/>
          <w:wAfter w:w="6" w:type="dxa"/>
          <w:trHeight w:val="600"/>
        </w:trPr>
        <w:tc>
          <w:tcPr>
            <w:cnfStyle w:val="001000000000" w:firstRow="0" w:lastRow="0" w:firstColumn="1" w:lastColumn="0" w:oddVBand="0" w:evenVBand="0" w:oddHBand="0" w:evenHBand="0" w:firstRowFirstColumn="0" w:firstRowLastColumn="0" w:lastRowFirstColumn="0" w:lastRowLastColumn="0"/>
            <w:tcW w:w="237" w:type="dxa"/>
            <w:vMerge/>
            <w:hideMark/>
          </w:tcPr>
          <w:p w14:paraId="633A3F45" w14:textId="77777777" w:rsidR="005A0219" w:rsidRPr="002142B8" w:rsidRDefault="005A0219" w:rsidP="005A0219">
            <w:pPr>
              <w:rPr>
                <w:rFonts w:ascii="Georgia" w:eastAsia="Georgia" w:hAnsi="Georgia" w:cs="Arial Unicode MS"/>
                <w:sz w:val="20"/>
                <w:szCs w:val="20"/>
              </w:rPr>
            </w:pPr>
          </w:p>
        </w:tc>
        <w:tc>
          <w:tcPr>
            <w:tcW w:w="1798" w:type="dxa"/>
            <w:shd w:val="clear" w:color="auto" w:fill="D62E1C"/>
            <w:noWrap/>
            <w:hideMark/>
          </w:tcPr>
          <w:p w14:paraId="4C9A284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2142B8">
              <w:rPr>
                <w:rFonts w:ascii="Georgia" w:eastAsia="Georgia" w:hAnsi="Georgia" w:cs="Arial Unicode MS"/>
                <w:color w:val="FFFFFF"/>
                <w:sz w:val="20"/>
                <w:szCs w:val="20"/>
              </w:rPr>
              <w:t>Daugiabučiai pastatai</w:t>
            </w:r>
          </w:p>
        </w:tc>
        <w:tc>
          <w:tcPr>
            <w:tcW w:w="2014" w:type="dxa"/>
            <w:gridSpan w:val="2"/>
            <w:shd w:val="clear" w:color="auto" w:fill="D62E1C"/>
            <w:noWrap/>
            <w:hideMark/>
          </w:tcPr>
          <w:p w14:paraId="510859C7"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2142B8">
              <w:rPr>
                <w:rFonts w:ascii="Georgia" w:eastAsia="Georgia" w:hAnsi="Georgia" w:cs="Arial Unicode MS"/>
                <w:color w:val="FFFFFF"/>
                <w:sz w:val="20"/>
                <w:szCs w:val="20"/>
              </w:rPr>
              <w:t>Tikslas</w:t>
            </w:r>
          </w:p>
        </w:tc>
        <w:tc>
          <w:tcPr>
            <w:tcW w:w="1874" w:type="dxa"/>
            <w:gridSpan w:val="3"/>
            <w:shd w:val="clear" w:color="auto" w:fill="D62E1C"/>
            <w:hideMark/>
          </w:tcPr>
          <w:p w14:paraId="4868F84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2142B8">
              <w:rPr>
                <w:rFonts w:ascii="Georgia" w:eastAsia="Georgia" w:hAnsi="Georgia" w:cs="Arial Unicode MS"/>
                <w:color w:val="FFFFFF"/>
                <w:sz w:val="20"/>
                <w:szCs w:val="20"/>
              </w:rPr>
              <w:t>Atnaujintų pastatų</w:t>
            </w:r>
          </w:p>
        </w:tc>
        <w:tc>
          <w:tcPr>
            <w:tcW w:w="1175" w:type="dxa"/>
            <w:gridSpan w:val="2"/>
            <w:shd w:val="clear" w:color="auto" w:fill="D62E1C"/>
            <w:noWrap/>
            <w:hideMark/>
          </w:tcPr>
          <w:p w14:paraId="7E0A164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2142B8">
              <w:rPr>
                <w:rFonts w:ascii="Georgia" w:eastAsia="Georgia" w:hAnsi="Georgia" w:cs="Arial Unicode MS"/>
                <w:color w:val="FFFFFF"/>
                <w:sz w:val="20"/>
                <w:szCs w:val="20"/>
              </w:rPr>
              <w:t>Tikslas</w:t>
            </w:r>
          </w:p>
        </w:tc>
        <w:tc>
          <w:tcPr>
            <w:tcW w:w="2216" w:type="dxa"/>
            <w:gridSpan w:val="3"/>
            <w:shd w:val="clear" w:color="auto" w:fill="D62E1C"/>
            <w:hideMark/>
          </w:tcPr>
          <w:p w14:paraId="6405BB7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color w:val="FFFFFF"/>
                <w:sz w:val="20"/>
                <w:szCs w:val="20"/>
              </w:rPr>
            </w:pPr>
            <w:r w:rsidRPr="002142B8">
              <w:rPr>
                <w:rFonts w:ascii="Georgia" w:eastAsia="Georgia" w:hAnsi="Georgia" w:cs="Arial Unicode MS"/>
                <w:color w:val="FFFFFF"/>
                <w:sz w:val="20"/>
                <w:szCs w:val="20"/>
              </w:rPr>
              <w:t>Atnaujintų pastatų</w:t>
            </w:r>
          </w:p>
        </w:tc>
      </w:tr>
      <w:tr w:rsidR="005A0219" w:rsidRPr="002142B8" w14:paraId="518B4DA0" w14:textId="77777777" w:rsidTr="0063781D">
        <w:trPr>
          <w:trHeight w:val="6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54A283C9"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Senos statybos labai prastos šiluminės izoliacijos daugiabučiai</w:t>
            </w:r>
          </w:p>
        </w:tc>
        <w:tc>
          <w:tcPr>
            <w:tcW w:w="970" w:type="dxa"/>
            <w:gridSpan w:val="2"/>
            <w:noWrap/>
            <w:hideMark/>
          </w:tcPr>
          <w:p w14:paraId="79A68C69"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w:t>
            </w:r>
          </w:p>
        </w:tc>
        <w:tc>
          <w:tcPr>
            <w:tcW w:w="1108" w:type="dxa"/>
            <w:noWrap/>
            <w:hideMark/>
          </w:tcPr>
          <w:p w14:paraId="0565828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3 400</w:t>
            </w:r>
          </w:p>
        </w:tc>
        <w:tc>
          <w:tcPr>
            <w:tcW w:w="766" w:type="dxa"/>
            <w:gridSpan w:val="2"/>
            <w:noWrap/>
            <w:hideMark/>
          </w:tcPr>
          <w:p w14:paraId="224DE5A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70%</w:t>
            </w:r>
          </w:p>
        </w:tc>
        <w:tc>
          <w:tcPr>
            <w:tcW w:w="1175" w:type="dxa"/>
            <w:gridSpan w:val="2"/>
            <w:noWrap/>
            <w:hideMark/>
          </w:tcPr>
          <w:p w14:paraId="216F8192"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2 380</w:t>
            </w:r>
          </w:p>
        </w:tc>
        <w:tc>
          <w:tcPr>
            <w:tcW w:w="970" w:type="dxa"/>
            <w:noWrap/>
            <w:hideMark/>
          </w:tcPr>
          <w:p w14:paraId="4DCA925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100%</w:t>
            </w:r>
          </w:p>
        </w:tc>
        <w:tc>
          <w:tcPr>
            <w:tcW w:w="1246" w:type="dxa"/>
            <w:gridSpan w:val="2"/>
            <w:noWrap/>
            <w:hideMark/>
          </w:tcPr>
          <w:p w14:paraId="6F5CADFA"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3 400</w:t>
            </w:r>
          </w:p>
        </w:tc>
      </w:tr>
      <w:tr w:rsidR="005A0219" w:rsidRPr="002142B8" w14:paraId="112893E4" w14:textId="77777777" w:rsidTr="0063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682DCC10"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 xml:space="preserve">Senos statybos nerenovuoti daugiabučiai </w:t>
            </w:r>
          </w:p>
        </w:tc>
        <w:tc>
          <w:tcPr>
            <w:tcW w:w="970" w:type="dxa"/>
            <w:gridSpan w:val="2"/>
            <w:noWrap/>
            <w:hideMark/>
          </w:tcPr>
          <w:p w14:paraId="3FFA72F4"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60%</w:t>
            </w:r>
          </w:p>
        </w:tc>
        <w:tc>
          <w:tcPr>
            <w:tcW w:w="1108" w:type="dxa"/>
            <w:noWrap/>
            <w:hideMark/>
          </w:tcPr>
          <w:p w14:paraId="0618DF2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10 200</w:t>
            </w:r>
          </w:p>
        </w:tc>
        <w:tc>
          <w:tcPr>
            <w:tcW w:w="766" w:type="dxa"/>
            <w:gridSpan w:val="2"/>
            <w:noWrap/>
            <w:hideMark/>
          </w:tcPr>
          <w:p w14:paraId="033471FF"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34%</w:t>
            </w:r>
          </w:p>
        </w:tc>
        <w:tc>
          <w:tcPr>
            <w:tcW w:w="1175" w:type="dxa"/>
            <w:gridSpan w:val="2"/>
            <w:noWrap/>
            <w:hideMark/>
          </w:tcPr>
          <w:p w14:paraId="0E05ECE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3 468</w:t>
            </w:r>
          </w:p>
        </w:tc>
        <w:tc>
          <w:tcPr>
            <w:tcW w:w="970" w:type="dxa"/>
            <w:noWrap/>
            <w:hideMark/>
          </w:tcPr>
          <w:p w14:paraId="145EF6C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100%</w:t>
            </w:r>
          </w:p>
        </w:tc>
        <w:tc>
          <w:tcPr>
            <w:tcW w:w="1246" w:type="dxa"/>
            <w:gridSpan w:val="2"/>
            <w:noWrap/>
            <w:hideMark/>
          </w:tcPr>
          <w:p w14:paraId="1A2ED18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10 200</w:t>
            </w:r>
          </w:p>
        </w:tc>
      </w:tr>
      <w:tr w:rsidR="005A0219" w:rsidRPr="002142B8" w14:paraId="14DA9E97" w14:textId="77777777" w:rsidTr="0063781D">
        <w:trPr>
          <w:trHeight w:val="6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5CBE4A9F"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Naujos statybos ir iš dalies atnaujinti daugiabučiai</w:t>
            </w:r>
          </w:p>
        </w:tc>
        <w:tc>
          <w:tcPr>
            <w:tcW w:w="970" w:type="dxa"/>
            <w:gridSpan w:val="2"/>
            <w:noWrap/>
            <w:hideMark/>
          </w:tcPr>
          <w:p w14:paraId="0B41A9D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16%</w:t>
            </w:r>
          </w:p>
        </w:tc>
        <w:tc>
          <w:tcPr>
            <w:tcW w:w="1108" w:type="dxa"/>
            <w:noWrap/>
            <w:hideMark/>
          </w:tcPr>
          <w:p w14:paraId="711CEB5A"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2 720</w:t>
            </w:r>
          </w:p>
        </w:tc>
        <w:tc>
          <w:tcPr>
            <w:tcW w:w="766" w:type="dxa"/>
            <w:gridSpan w:val="2"/>
            <w:noWrap/>
            <w:hideMark/>
          </w:tcPr>
          <w:p w14:paraId="7D7DC48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16%</w:t>
            </w:r>
          </w:p>
        </w:tc>
        <w:tc>
          <w:tcPr>
            <w:tcW w:w="1175" w:type="dxa"/>
            <w:gridSpan w:val="2"/>
            <w:noWrap/>
            <w:hideMark/>
          </w:tcPr>
          <w:p w14:paraId="5CE900A6"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435</w:t>
            </w:r>
          </w:p>
        </w:tc>
        <w:tc>
          <w:tcPr>
            <w:tcW w:w="970" w:type="dxa"/>
            <w:noWrap/>
            <w:hideMark/>
          </w:tcPr>
          <w:p w14:paraId="71CAD48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75%</w:t>
            </w:r>
          </w:p>
        </w:tc>
        <w:tc>
          <w:tcPr>
            <w:tcW w:w="1246" w:type="dxa"/>
            <w:gridSpan w:val="2"/>
            <w:noWrap/>
            <w:hideMark/>
          </w:tcPr>
          <w:p w14:paraId="0D47C19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2 040</w:t>
            </w:r>
          </w:p>
        </w:tc>
      </w:tr>
      <w:tr w:rsidR="005A0219" w:rsidRPr="002142B8" w14:paraId="6453C48D" w14:textId="77777777" w:rsidTr="006378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gridSpan w:val="3"/>
            <w:hideMark/>
          </w:tcPr>
          <w:p w14:paraId="2202CD71"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Kokybiški naujos statybos daugiabučiai</w:t>
            </w:r>
          </w:p>
        </w:tc>
        <w:tc>
          <w:tcPr>
            <w:tcW w:w="970" w:type="dxa"/>
            <w:gridSpan w:val="2"/>
            <w:noWrap/>
            <w:hideMark/>
          </w:tcPr>
          <w:p w14:paraId="60901F92"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w:t>
            </w:r>
          </w:p>
        </w:tc>
        <w:tc>
          <w:tcPr>
            <w:tcW w:w="1108" w:type="dxa"/>
            <w:noWrap/>
            <w:hideMark/>
          </w:tcPr>
          <w:p w14:paraId="141814BC"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680</w:t>
            </w:r>
          </w:p>
        </w:tc>
        <w:tc>
          <w:tcPr>
            <w:tcW w:w="766" w:type="dxa"/>
            <w:gridSpan w:val="2"/>
            <w:noWrap/>
            <w:hideMark/>
          </w:tcPr>
          <w:p w14:paraId="7AE02AF6"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0%</w:t>
            </w:r>
          </w:p>
        </w:tc>
        <w:tc>
          <w:tcPr>
            <w:tcW w:w="1175" w:type="dxa"/>
            <w:gridSpan w:val="2"/>
            <w:noWrap/>
            <w:hideMark/>
          </w:tcPr>
          <w:p w14:paraId="04DD283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0</w:t>
            </w:r>
          </w:p>
        </w:tc>
        <w:tc>
          <w:tcPr>
            <w:tcW w:w="970" w:type="dxa"/>
            <w:noWrap/>
            <w:hideMark/>
          </w:tcPr>
          <w:p w14:paraId="335B86F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0%</w:t>
            </w:r>
          </w:p>
        </w:tc>
        <w:tc>
          <w:tcPr>
            <w:tcW w:w="1246" w:type="dxa"/>
            <w:gridSpan w:val="2"/>
            <w:noWrap/>
            <w:hideMark/>
          </w:tcPr>
          <w:p w14:paraId="595671AC"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0</w:t>
            </w:r>
          </w:p>
        </w:tc>
      </w:tr>
      <w:tr w:rsidR="005A0219" w:rsidRPr="002142B8" w14:paraId="38A855DC" w14:textId="77777777" w:rsidTr="0063781D">
        <w:trPr>
          <w:trHeight w:val="300"/>
        </w:trPr>
        <w:tc>
          <w:tcPr>
            <w:cnfStyle w:val="001000000000" w:firstRow="0" w:lastRow="0" w:firstColumn="1" w:lastColumn="0" w:oddVBand="0" w:evenVBand="0" w:oddHBand="0" w:evenHBand="0" w:firstRowFirstColumn="0" w:firstRowLastColumn="0" w:lastRowFirstColumn="0" w:lastRowLastColumn="0"/>
            <w:tcW w:w="3085" w:type="dxa"/>
            <w:gridSpan w:val="3"/>
            <w:noWrap/>
            <w:hideMark/>
          </w:tcPr>
          <w:p w14:paraId="7CA832BB" w14:textId="77777777" w:rsidR="005A0219" w:rsidRPr="002142B8" w:rsidRDefault="005A0219" w:rsidP="005A0219">
            <w:pPr>
              <w:rPr>
                <w:rFonts w:ascii="Georgia" w:eastAsia="Georgia" w:hAnsi="Georgia" w:cs="Arial Unicode MS"/>
                <w:sz w:val="20"/>
                <w:szCs w:val="20"/>
              </w:rPr>
            </w:pPr>
            <w:r w:rsidRPr="002142B8">
              <w:rPr>
                <w:rFonts w:ascii="Georgia" w:eastAsia="Georgia" w:hAnsi="Georgia" w:cs="Arial Unicode MS"/>
                <w:sz w:val="20"/>
                <w:szCs w:val="20"/>
              </w:rPr>
              <w:t>Iš viso</w:t>
            </w:r>
          </w:p>
        </w:tc>
        <w:tc>
          <w:tcPr>
            <w:tcW w:w="970" w:type="dxa"/>
            <w:gridSpan w:val="2"/>
            <w:noWrap/>
            <w:hideMark/>
          </w:tcPr>
          <w:p w14:paraId="5BAF242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100%</w:t>
            </w:r>
          </w:p>
        </w:tc>
        <w:tc>
          <w:tcPr>
            <w:tcW w:w="1108" w:type="dxa"/>
            <w:noWrap/>
            <w:hideMark/>
          </w:tcPr>
          <w:p w14:paraId="690A9527"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17 000</w:t>
            </w:r>
          </w:p>
        </w:tc>
        <w:tc>
          <w:tcPr>
            <w:tcW w:w="766" w:type="dxa"/>
            <w:gridSpan w:val="2"/>
            <w:noWrap/>
            <w:hideMark/>
          </w:tcPr>
          <w:p w14:paraId="5608E0B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175" w:type="dxa"/>
            <w:gridSpan w:val="2"/>
            <w:noWrap/>
            <w:hideMark/>
          </w:tcPr>
          <w:p w14:paraId="2DA1CDBC" w14:textId="6580D990"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6</w:t>
            </w:r>
            <w:r w:rsidR="00C4364F" w:rsidRPr="002142B8">
              <w:rPr>
                <w:rFonts w:ascii="Georgia" w:eastAsia="Georgia" w:hAnsi="Georgia" w:cs="Arial Unicode MS"/>
                <w:b/>
                <w:bCs/>
                <w:sz w:val="20"/>
                <w:szCs w:val="20"/>
              </w:rPr>
              <w:t xml:space="preserve"> </w:t>
            </w:r>
            <w:r w:rsidRPr="002142B8">
              <w:rPr>
                <w:rFonts w:ascii="Georgia" w:eastAsia="Georgia" w:hAnsi="Georgia" w:cs="Arial Unicode MS"/>
                <w:b/>
                <w:bCs/>
                <w:sz w:val="20"/>
                <w:szCs w:val="20"/>
              </w:rPr>
              <w:t>283</w:t>
            </w:r>
          </w:p>
        </w:tc>
        <w:tc>
          <w:tcPr>
            <w:tcW w:w="970" w:type="dxa"/>
            <w:noWrap/>
            <w:hideMark/>
          </w:tcPr>
          <w:p w14:paraId="335E6570"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246" w:type="dxa"/>
            <w:gridSpan w:val="2"/>
            <w:noWrap/>
            <w:hideMark/>
          </w:tcPr>
          <w:p w14:paraId="47663FBF"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15 640</w:t>
            </w:r>
          </w:p>
        </w:tc>
      </w:tr>
    </w:tbl>
    <w:p w14:paraId="2CF299BD" w14:textId="77777777" w:rsidR="005A0219" w:rsidRPr="002142B8" w:rsidRDefault="005A0219" w:rsidP="005A0219">
      <w:pPr>
        <w:spacing w:after="160" w:line="240" w:lineRule="auto"/>
        <w:jc w:val="both"/>
        <w:rPr>
          <w:rFonts w:ascii="Georgia" w:eastAsia="Georgia" w:hAnsi="Georgia" w:cs="Georgia"/>
          <w:i/>
          <w:iCs/>
          <w:color w:val="821A1A"/>
          <w:sz w:val="20"/>
          <w:szCs w:val="20"/>
          <w:lang w:val="lt-LT"/>
        </w:rPr>
      </w:pPr>
      <w:r w:rsidRPr="002142B8">
        <w:rPr>
          <w:rFonts w:ascii="Georgia" w:eastAsia="Georgia" w:hAnsi="Georgia" w:cs="Georgia"/>
          <w:i/>
          <w:iCs/>
          <w:color w:val="821A1A"/>
          <w:sz w:val="20"/>
          <w:szCs w:val="20"/>
          <w:lang w:val="lt-LT"/>
        </w:rPr>
        <w:t>Šaltinis: sudaryta autorių</w:t>
      </w:r>
    </w:p>
    <w:p w14:paraId="72009FB4" w14:textId="7AA8E59D" w:rsidR="005A0219" w:rsidRPr="002142B8" w:rsidRDefault="005A0219"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Atsižvelgiant į tai, jog 2016 metais BETA duomenimis buvo renovuoti 769 daugiabučiai, visus juos padalinsime tarp senos statybos labai prastos šiluminės izoliacijos ir senos statybos nerenovuot</w:t>
      </w:r>
      <w:r w:rsidR="003333A4" w:rsidRPr="002142B8">
        <w:rPr>
          <w:rFonts w:ascii="Georgia" w:eastAsia="Georgia" w:hAnsi="Georgia" w:cs="Arial Unicode MS"/>
          <w:sz w:val="20"/>
          <w:szCs w:val="20"/>
          <w:lang w:val="lt-LT"/>
        </w:rPr>
        <w:t>ų</w:t>
      </w:r>
      <w:r w:rsidR="003B1015" w:rsidRPr="002142B8">
        <w:rPr>
          <w:rFonts w:ascii="Georgia" w:eastAsia="Georgia" w:hAnsi="Georgia" w:cs="Arial Unicode MS"/>
          <w:sz w:val="20"/>
          <w:szCs w:val="20"/>
          <w:lang w:val="lt-LT"/>
        </w:rPr>
        <w:t xml:space="preserve"> </w:t>
      </w:r>
      <w:r w:rsidRPr="002142B8">
        <w:rPr>
          <w:rFonts w:ascii="Georgia" w:eastAsia="Georgia" w:hAnsi="Georgia" w:cs="Arial Unicode MS"/>
          <w:sz w:val="20"/>
          <w:szCs w:val="20"/>
          <w:lang w:val="lt-LT"/>
        </w:rPr>
        <w:t>daugiabuči</w:t>
      </w:r>
      <w:r w:rsidR="003333A4" w:rsidRPr="002142B8">
        <w:rPr>
          <w:rFonts w:ascii="Georgia" w:eastAsia="Georgia" w:hAnsi="Georgia" w:cs="Arial Unicode MS"/>
          <w:sz w:val="20"/>
          <w:szCs w:val="20"/>
          <w:lang w:val="lt-LT"/>
        </w:rPr>
        <w:t>ų,</w:t>
      </w:r>
      <w:r w:rsidRPr="002142B8">
        <w:rPr>
          <w:rFonts w:ascii="Georgia" w:eastAsia="Georgia" w:hAnsi="Georgia" w:cs="Arial Unicode MS"/>
          <w:sz w:val="20"/>
          <w:szCs w:val="20"/>
          <w:lang w:val="lt-LT"/>
        </w:rPr>
        <w:t xml:space="preserve"> atitinkamai naudodami jų kiekį kaip svorį. </w:t>
      </w:r>
    </w:p>
    <w:p w14:paraId="1CFBB780" w14:textId="6F5FDFAA" w:rsidR="005A0219" w:rsidRPr="002142B8" w:rsidRDefault="005A0219" w:rsidP="005A0219">
      <w:pPr>
        <w:spacing w:after="160" w:line="240" w:lineRule="auto"/>
        <w:jc w:val="both"/>
        <w:rPr>
          <w:rFonts w:ascii="Georgia" w:eastAsia="Georgia" w:hAnsi="Georgia" w:cs="Arial Unicode MS"/>
          <w:bCs/>
          <w:i/>
          <w:iCs/>
          <w:color w:val="821A1A"/>
          <w:sz w:val="20"/>
          <w:szCs w:val="18"/>
          <w:lang w:val="lt-LT"/>
        </w:rPr>
      </w:pPr>
      <w:bookmarkStart w:id="57" w:name="_Toc507939136"/>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14</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Daugiabučių namų renovacijos tvarkaraštis</w:t>
      </w:r>
      <w:bookmarkEnd w:id="57"/>
      <w:r w:rsidRPr="002142B8">
        <w:rPr>
          <w:rFonts w:ascii="Georgia" w:eastAsia="Georgia" w:hAnsi="Georgia" w:cs="Arial Unicode MS"/>
          <w:i/>
          <w:iCs/>
          <w:color w:val="821A1A"/>
          <w:sz w:val="20"/>
          <w:szCs w:val="18"/>
          <w:lang w:val="lt-LT"/>
        </w:rPr>
        <w:t xml:space="preserve"> </w:t>
      </w:r>
    </w:p>
    <w:tbl>
      <w:tblPr>
        <w:tblStyle w:val="LightList-Accent21"/>
        <w:tblW w:w="9273" w:type="dxa"/>
        <w:tblLayout w:type="fixed"/>
        <w:tblLook w:val="04A0" w:firstRow="1" w:lastRow="0" w:firstColumn="1" w:lastColumn="0" w:noHBand="0" w:noVBand="1"/>
      </w:tblPr>
      <w:tblGrid>
        <w:gridCol w:w="2376"/>
        <w:gridCol w:w="766"/>
        <w:gridCol w:w="766"/>
        <w:gridCol w:w="767"/>
        <w:gridCol w:w="766"/>
        <w:gridCol w:w="766"/>
        <w:gridCol w:w="767"/>
        <w:gridCol w:w="766"/>
        <w:gridCol w:w="766"/>
        <w:gridCol w:w="767"/>
      </w:tblGrid>
      <w:tr w:rsidR="0063781D" w:rsidRPr="002142B8" w14:paraId="4377D22F" w14:textId="77777777" w:rsidTr="0063781D">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FBB6DC2" w14:textId="77777777" w:rsidR="005A0219" w:rsidRPr="002142B8" w:rsidRDefault="005A0219" w:rsidP="005A0219">
            <w:pPr>
              <w:rPr>
                <w:rFonts w:ascii="Georgia" w:eastAsia="Georgia" w:hAnsi="Georgia" w:cs="Arial Unicode MS"/>
                <w:sz w:val="20"/>
                <w:szCs w:val="20"/>
              </w:rPr>
            </w:pPr>
            <w:r w:rsidRPr="002142B8">
              <w:rPr>
                <w:rFonts w:ascii="Georgia" w:eastAsia="Georgia" w:hAnsi="Georgia" w:cs="Arial Unicode MS"/>
                <w:sz w:val="20"/>
                <w:szCs w:val="20"/>
              </w:rPr>
              <w:t>Renovacijos grafikas</w:t>
            </w:r>
          </w:p>
        </w:tc>
        <w:tc>
          <w:tcPr>
            <w:tcW w:w="766" w:type="dxa"/>
            <w:noWrap/>
            <w:hideMark/>
          </w:tcPr>
          <w:p w14:paraId="546E9786"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2017</w:t>
            </w:r>
          </w:p>
        </w:tc>
        <w:tc>
          <w:tcPr>
            <w:tcW w:w="766" w:type="dxa"/>
            <w:noWrap/>
            <w:hideMark/>
          </w:tcPr>
          <w:p w14:paraId="31B7C6D3"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2018</w:t>
            </w:r>
          </w:p>
        </w:tc>
        <w:tc>
          <w:tcPr>
            <w:tcW w:w="767" w:type="dxa"/>
            <w:noWrap/>
            <w:hideMark/>
          </w:tcPr>
          <w:p w14:paraId="725349A4"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2019</w:t>
            </w:r>
          </w:p>
        </w:tc>
        <w:tc>
          <w:tcPr>
            <w:tcW w:w="766" w:type="dxa"/>
            <w:noWrap/>
            <w:hideMark/>
          </w:tcPr>
          <w:p w14:paraId="003D133D"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2020</w:t>
            </w:r>
          </w:p>
        </w:tc>
        <w:tc>
          <w:tcPr>
            <w:tcW w:w="766" w:type="dxa"/>
            <w:noWrap/>
            <w:hideMark/>
          </w:tcPr>
          <w:p w14:paraId="4217CBF9"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2021</w:t>
            </w:r>
          </w:p>
        </w:tc>
        <w:tc>
          <w:tcPr>
            <w:tcW w:w="767" w:type="dxa"/>
            <w:noWrap/>
            <w:hideMark/>
          </w:tcPr>
          <w:p w14:paraId="25F8EDDF"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2022</w:t>
            </w:r>
          </w:p>
        </w:tc>
        <w:tc>
          <w:tcPr>
            <w:tcW w:w="766" w:type="dxa"/>
            <w:noWrap/>
            <w:hideMark/>
          </w:tcPr>
          <w:p w14:paraId="59CA40C7"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2023</w:t>
            </w:r>
          </w:p>
        </w:tc>
        <w:tc>
          <w:tcPr>
            <w:tcW w:w="766" w:type="dxa"/>
            <w:noWrap/>
            <w:hideMark/>
          </w:tcPr>
          <w:p w14:paraId="3F23F80C"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2024</w:t>
            </w:r>
          </w:p>
        </w:tc>
        <w:tc>
          <w:tcPr>
            <w:tcW w:w="767" w:type="dxa"/>
            <w:noWrap/>
            <w:hideMark/>
          </w:tcPr>
          <w:p w14:paraId="61EFB175"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2025</w:t>
            </w:r>
          </w:p>
        </w:tc>
      </w:tr>
      <w:tr w:rsidR="005A0219" w:rsidRPr="002142B8" w14:paraId="507A27C0" w14:textId="77777777" w:rsidTr="0063781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14:paraId="66C73881"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Senos statybos labai prastos šiluminės izoliacijos daugiabučiai</w:t>
            </w:r>
          </w:p>
        </w:tc>
        <w:tc>
          <w:tcPr>
            <w:tcW w:w="766" w:type="dxa"/>
            <w:noWrap/>
            <w:hideMark/>
          </w:tcPr>
          <w:p w14:paraId="03CF8821" w14:textId="77777777" w:rsidR="005A0219" w:rsidRPr="002142B8" w:rsidRDefault="005A0219" w:rsidP="00F53A76">
            <w:pPr>
              <w:ind w:left="-107" w:firstLine="107"/>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6" w:type="dxa"/>
            <w:noWrap/>
            <w:hideMark/>
          </w:tcPr>
          <w:p w14:paraId="4BA6169B"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7" w:type="dxa"/>
            <w:noWrap/>
            <w:hideMark/>
          </w:tcPr>
          <w:p w14:paraId="3DBE102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6" w:type="dxa"/>
            <w:noWrap/>
            <w:hideMark/>
          </w:tcPr>
          <w:p w14:paraId="3F7D70F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6" w:type="dxa"/>
            <w:noWrap/>
            <w:hideMark/>
          </w:tcPr>
          <w:p w14:paraId="4A63AFA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7" w:type="dxa"/>
            <w:noWrap/>
            <w:hideMark/>
          </w:tcPr>
          <w:p w14:paraId="6D56D0D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6" w:type="dxa"/>
            <w:noWrap/>
            <w:hideMark/>
          </w:tcPr>
          <w:p w14:paraId="3697B2C2"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6" w:type="dxa"/>
            <w:noWrap/>
            <w:hideMark/>
          </w:tcPr>
          <w:p w14:paraId="74B19BB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c>
          <w:tcPr>
            <w:tcW w:w="767" w:type="dxa"/>
            <w:noWrap/>
            <w:hideMark/>
          </w:tcPr>
          <w:p w14:paraId="5CAF69C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243</w:t>
            </w:r>
          </w:p>
        </w:tc>
      </w:tr>
      <w:tr w:rsidR="005A0219" w:rsidRPr="002142B8" w14:paraId="02531A83" w14:textId="77777777" w:rsidTr="0063781D">
        <w:trPr>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14:paraId="7953C185"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 xml:space="preserve">Senos statybos nerenovuoti daugiabučiai </w:t>
            </w:r>
          </w:p>
        </w:tc>
        <w:tc>
          <w:tcPr>
            <w:tcW w:w="766" w:type="dxa"/>
            <w:noWrap/>
            <w:hideMark/>
          </w:tcPr>
          <w:p w14:paraId="1D34042E"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6" w:type="dxa"/>
            <w:noWrap/>
            <w:hideMark/>
          </w:tcPr>
          <w:p w14:paraId="6F910BB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7" w:type="dxa"/>
            <w:noWrap/>
            <w:hideMark/>
          </w:tcPr>
          <w:p w14:paraId="2A7C1FE3"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6" w:type="dxa"/>
            <w:noWrap/>
            <w:hideMark/>
          </w:tcPr>
          <w:p w14:paraId="76E01337"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6" w:type="dxa"/>
            <w:noWrap/>
            <w:hideMark/>
          </w:tcPr>
          <w:p w14:paraId="0D4E1753"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7" w:type="dxa"/>
            <w:noWrap/>
            <w:hideMark/>
          </w:tcPr>
          <w:p w14:paraId="07E185D3"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6" w:type="dxa"/>
            <w:noWrap/>
            <w:hideMark/>
          </w:tcPr>
          <w:p w14:paraId="71D7ABBE"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6" w:type="dxa"/>
            <w:noWrap/>
            <w:hideMark/>
          </w:tcPr>
          <w:p w14:paraId="79E48BC9"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c>
          <w:tcPr>
            <w:tcW w:w="767" w:type="dxa"/>
            <w:noWrap/>
            <w:hideMark/>
          </w:tcPr>
          <w:p w14:paraId="4FD39049"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321</w:t>
            </w:r>
          </w:p>
        </w:tc>
      </w:tr>
      <w:tr w:rsidR="005A0219" w:rsidRPr="002142B8" w14:paraId="3BE76D5E" w14:textId="77777777" w:rsidTr="0063781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14:paraId="492CCCD6"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Naujos statybos ir iš dalies atnaujinti daugiabučiai</w:t>
            </w:r>
          </w:p>
        </w:tc>
        <w:tc>
          <w:tcPr>
            <w:tcW w:w="766" w:type="dxa"/>
            <w:noWrap/>
            <w:hideMark/>
          </w:tcPr>
          <w:p w14:paraId="56BAFEE4"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6" w:type="dxa"/>
            <w:noWrap/>
            <w:hideMark/>
          </w:tcPr>
          <w:p w14:paraId="5ED156CE"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7" w:type="dxa"/>
            <w:noWrap/>
            <w:hideMark/>
          </w:tcPr>
          <w:p w14:paraId="1FFBFED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6" w:type="dxa"/>
            <w:noWrap/>
            <w:hideMark/>
          </w:tcPr>
          <w:p w14:paraId="216C6E6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6" w:type="dxa"/>
            <w:noWrap/>
            <w:hideMark/>
          </w:tcPr>
          <w:p w14:paraId="57D509C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7" w:type="dxa"/>
            <w:noWrap/>
            <w:hideMark/>
          </w:tcPr>
          <w:p w14:paraId="22E55B1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6" w:type="dxa"/>
            <w:noWrap/>
            <w:hideMark/>
          </w:tcPr>
          <w:p w14:paraId="53E4002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6" w:type="dxa"/>
            <w:noWrap/>
            <w:hideMark/>
          </w:tcPr>
          <w:p w14:paraId="6CE6DBF7"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c>
          <w:tcPr>
            <w:tcW w:w="767" w:type="dxa"/>
            <w:noWrap/>
            <w:hideMark/>
          </w:tcPr>
          <w:p w14:paraId="6F917FF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48</w:t>
            </w:r>
          </w:p>
        </w:tc>
      </w:tr>
      <w:tr w:rsidR="005A0219" w:rsidRPr="002142B8" w14:paraId="4E4B3022" w14:textId="77777777" w:rsidTr="0063781D">
        <w:trPr>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14:paraId="385B7701" w14:textId="77777777" w:rsidR="005A0219" w:rsidRPr="002142B8" w:rsidRDefault="005A0219" w:rsidP="005A0219">
            <w:pPr>
              <w:rPr>
                <w:rFonts w:ascii="Georgia" w:eastAsia="Georgia" w:hAnsi="Georgia" w:cs="Arial Unicode MS"/>
                <w:sz w:val="20"/>
                <w:szCs w:val="20"/>
              </w:rPr>
            </w:pPr>
            <w:r w:rsidRPr="002142B8">
              <w:rPr>
                <w:rFonts w:ascii="Georgia" w:eastAsia="Georgia" w:hAnsi="Georgia" w:cs="Arial Unicode MS"/>
                <w:sz w:val="20"/>
                <w:szCs w:val="20"/>
              </w:rPr>
              <w:t>Iš viso atnaujintų daugiabučių</w:t>
            </w:r>
          </w:p>
        </w:tc>
        <w:tc>
          <w:tcPr>
            <w:tcW w:w="766" w:type="dxa"/>
            <w:noWrap/>
            <w:hideMark/>
          </w:tcPr>
          <w:p w14:paraId="27F1429F"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613</w:t>
            </w:r>
          </w:p>
        </w:tc>
        <w:tc>
          <w:tcPr>
            <w:tcW w:w="766" w:type="dxa"/>
            <w:noWrap/>
            <w:hideMark/>
          </w:tcPr>
          <w:p w14:paraId="6D959EC2"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1 225</w:t>
            </w:r>
          </w:p>
        </w:tc>
        <w:tc>
          <w:tcPr>
            <w:tcW w:w="767" w:type="dxa"/>
            <w:noWrap/>
            <w:hideMark/>
          </w:tcPr>
          <w:p w14:paraId="1FF85FE1"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1 838</w:t>
            </w:r>
          </w:p>
        </w:tc>
        <w:tc>
          <w:tcPr>
            <w:tcW w:w="766" w:type="dxa"/>
            <w:noWrap/>
            <w:hideMark/>
          </w:tcPr>
          <w:p w14:paraId="168307B1"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2 451</w:t>
            </w:r>
          </w:p>
        </w:tc>
        <w:tc>
          <w:tcPr>
            <w:tcW w:w="766" w:type="dxa"/>
            <w:noWrap/>
            <w:hideMark/>
          </w:tcPr>
          <w:p w14:paraId="3BCAD9AF"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3 063</w:t>
            </w:r>
          </w:p>
        </w:tc>
        <w:tc>
          <w:tcPr>
            <w:tcW w:w="767" w:type="dxa"/>
            <w:noWrap/>
            <w:hideMark/>
          </w:tcPr>
          <w:p w14:paraId="700DD3E1"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3 676</w:t>
            </w:r>
          </w:p>
        </w:tc>
        <w:tc>
          <w:tcPr>
            <w:tcW w:w="766" w:type="dxa"/>
            <w:noWrap/>
            <w:hideMark/>
          </w:tcPr>
          <w:p w14:paraId="5D865F9D"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4 289</w:t>
            </w:r>
          </w:p>
        </w:tc>
        <w:tc>
          <w:tcPr>
            <w:tcW w:w="766" w:type="dxa"/>
            <w:noWrap/>
            <w:hideMark/>
          </w:tcPr>
          <w:p w14:paraId="070EF410"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4 902</w:t>
            </w:r>
          </w:p>
        </w:tc>
        <w:tc>
          <w:tcPr>
            <w:tcW w:w="767" w:type="dxa"/>
            <w:noWrap/>
            <w:hideMark/>
          </w:tcPr>
          <w:p w14:paraId="63B5BE1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5 514</w:t>
            </w:r>
          </w:p>
        </w:tc>
      </w:tr>
    </w:tbl>
    <w:p w14:paraId="35825AC6" w14:textId="77777777" w:rsidR="005A0219" w:rsidRPr="002142B8" w:rsidRDefault="005A0219" w:rsidP="005A0219">
      <w:pPr>
        <w:spacing w:after="160" w:line="240" w:lineRule="auto"/>
        <w:jc w:val="both"/>
        <w:rPr>
          <w:rFonts w:ascii="Georgia" w:eastAsia="Georgia" w:hAnsi="Georgia" w:cs="Georgia"/>
          <w:i/>
          <w:iCs/>
          <w:color w:val="821A1A"/>
          <w:sz w:val="20"/>
          <w:szCs w:val="20"/>
          <w:lang w:val="lt-LT"/>
        </w:rPr>
      </w:pPr>
      <w:r w:rsidRPr="002142B8">
        <w:rPr>
          <w:rFonts w:ascii="Georgia" w:eastAsia="Georgia" w:hAnsi="Georgia" w:cs="Georgia"/>
          <w:i/>
          <w:iCs/>
          <w:color w:val="821A1A"/>
          <w:sz w:val="20"/>
          <w:szCs w:val="20"/>
          <w:lang w:val="lt-LT"/>
        </w:rPr>
        <w:t xml:space="preserve"> Šaltinis: sudaryta autorių</w:t>
      </w:r>
    </w:p>
    <w:p w14:paraId="64E13046" w14:textId="50528F74" w:rsidR="005A0219" w:rsidRPr="002142B8" w:rsidRDefault="005A0219" w:rsidP="005A0219">
      <w:pPr>
        <w:spacing w:after="160" w:line="240" w:lineRule="auto"/>
        <w:rPr>
          <w:rFonts w:ascii="Georgia" w:eastAsia="Georgia" w:hAnsi="Georgia" w:cs="Arial Unicode MS"/>
          <w:sz w:val="20"/>
          <w:szCs w:val="20"/>
          <w:lang w:val="lt-LT"/>
        </w:rPr>
      </w:pPr>
      <w:r w:rsidRPr="002142B8">
        <w:rPr>
          <w:rFonts w:ascii="Georgia" w:eastAsia="Georgia" w:hAnsi="Georgia" w:cs="Arial Unicode MS"/>
          <w:sz w:val="20"/>
          <w:szCs w:val="20"/>
          <w:lang w:val="lt-LT"/>
        </w:rPr>
        <w:t>Per 2017 – 2023 metų periodą bus atnaujint</w:t>
      </w:r>
      <w:r w:rsidR="0077117B" w:rsidRPr="002142B8">
        <w:rPr>
          <w:rFonts w:ascii="Georgia" w:eastAsia="Georgia" w:hAnsi="Georgia" w:cs="Arial Unicode MS"/>
          <w:sz w:val="20"/>
          <w:szCs w:val="20"/>
          <w:lang w:val="lt-LT"/>
        </w:rPr>
        <w:t>i</w:t>
      </w:r>
      <w:r w:rsidRPr="002142B8">
        <w:rPr>
          <w:rFonts w:ascii="Georgia" w:eastAsia="Georgia" w:hAnsi="Georgia" w:cs="Arial Unicode MS"/>
          <w:sz w:val="20"/>
          <w:szCs w:val="20"/>
          <w:lang w:val="lt-LT"/>
        </w:rPr>
        <w:t xml:space="preserve"> 4 289 daugiabučiai.  </w:t>
      </w:r>
    </w:p>
    <w:p w14:paraId="324F6A7C" w14:textId="77777777" w:rsidR="005A0219" w:rsidRPr="002142B8" w:rsidRDefault="005A0219" w:rsidP="005A0219">
      <w:pPr>
        <w:spacing w:after="160" w:line="240" w:lineRule="auto"/>
        <w:rPr>
          <w:rFonts w:ascii="Georgia" w:eastAsia="Georgia" w:hAnsi="Georgia" w:cs="Arial Unicode MS"/>
          <w:sz w:val="20"/>
          <w:szCs w:val="20"/>
          <w:lang w:val="lt-LT"/>
        </w:rPr>
      </w:pPr>
    </w:p>
    <w:p w14:paraId="2BB4E62C" w14:textId="28E08122" w:rsidR="005A0219" w:rsidRPr="002142B8" w:rsidRDefault="005A0219" w:rsidP="005A0219">
      <w:pPr>
        <w:spacing w:after="160" w:line="240" w:lineRule="auto"/>
        <w:jc w:val="both"/>
        <w:rPr>
          <w:rFonts w:ascii="Georgia" w:eastAsia="Georgia" w:hAnsi="Georgia" w:cs="Arial Unicode MS"/>
          <w:bCs/>
          <w:i/>
          <w:iCs/>
          <w:color w:val="821A1A"/>
          <w:sz w:val="20"/>
          <w:szCs w:val="18"/>
          <w:lang w:val="lt-LT"/>
        </w:rPr>
      </w:pPr>
      <w:bookmarkStart w:id="58" w:name="_Toc507939137"/>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15</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Daugiabučių namų paklausos skaičiavimas remiantis Nacionalinės energetikos strategijos tikslais</w:t>
      </w:r>
      <w:bookmarkEnd w:id="58"/>
      <w:r w:rsidRPr="002142B8">
        <w:rPr>
          <w:rFonts w:ascii="Georgia" w:eastAsia="Georgia" w:hAnsi="Georgia" w:cs="Arial Unicode MS"/>
          <w:i/>
          <w:iCs/>
          <w:color w:val="821A1A"/>
          <w:sz w:val="20"/>
          <w:szCs w:val="18"/>
          <w:lang w:val="lt-LT"/>
        </w:rPr>
        <w:t xml:space="preserve"> </w:t>
      </w:r>
    </w:p>
    <w:tbl>
      <w:tblPr>
        <w:tblStyle w:val="LightList-Accent21"/>
        <w:tblW w:w="9292" w:type="dxa"/>
        <w:tblLayout w:type="fixed"/>
        <w:tblLook w:val="04A0" w:firstRow="1" w:lastRow="0" w:firstColumn="1" w:lastColumn="0" w:noHBand="0" w:noVBand="1"/>
      </w:tblPr>
      <w:tblGrid>
        <w:gridCol w:w="2093"/>
        <w:gridCol w:w="1276"/>
        <w:gridCol w:w="992"/>
        <w:gridCol w:w="962"/>
        <w:gridCol w:w="993"/>
        <w:gridCol w:w="992"/>
        <w:gridCol w:w="1104"/>
        <w:gridCol w:w="880"/>
      </w:tblGrid>
      <w:tr w:rsidR="0077117B" w:rsidRPr="002142B8" w14:paraId="7BB88387" w14:textId="77777777" w:rsidTr="00F91954">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5EEF8A1" w14:textId="77777777" w:rsidR="005A0219" w:rsidRPr="002142B8" w:rsidRDefault="005A0219" w:rsidP="005A0219">
            <w:pPr>
              <w:rPr>
                <w:rFonts w:ascii="Georgia" w:eastAsia="Georgia" w:hAnsi="Georgia" w:cs="Arial Unicode MS"/>
                <w:sz w:val="16"/>
                <w:szCs w:val="16"/>
              </w:rPr>
            </w:pPr>
            <w:r w:rsidRPr="002142B8">
              <w:rPr>
                <w:rFonts w:ascii="Georgia" w:eastAsia="Georgia" w:hAnsi="Georgia" w:cs="Arial Unicode MS"/>
                <w:sz w:val="16"/>
                <w:szCs w:val="16"/>
              </w:rPr>
              <w:t> </w:t>
            </w:r>
          </w:p>
        </w:tc>
        <w:tc>
          <w:tcPr>
            <w:tcW w:w="1276" w:type="dxa"/>
            <w:hideMark/>
          </w:tcPr>
          <w:p w14:paraId="4BC51FBD" w14:textId="0A5630EE" w:rsidR="005A0219" w:rsidRPr="002142B8" w:rsidRDefault="005A0219" w:rsidP="00830281">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Iš viso renovuota daugiabučių 2017-2023</w:t>
            </w:r>
          </w:p>
        </w:tc>
        <w:tc>
          <w:tcPr>
            <w:tcW w:w="992" w:type="dxa"/>
            <w:hideMark/>
          </w:tcPr>
          <w:p w14:paraId="645F7B09"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Vidutinis pastato plotas, m2</w:t>
            </w:r>
          </w:p>
        </w:tc>
        <w:tc>
          <w:tcPr>
            <w:tcW w:w="962" w:type="dxa"/>
            <w:hideMark/>
          </w:tcPr>
          <w:p w14:paraId="3DFFFF42"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 xml:space="preserve">Daugiabučio renovacijos kaštai, EUR/m2 </w:t>
            </w:r>
          </w:p>
        </w:tc>
        <w:tc>
          <w:tcPr>
            <w:tcW w:w="993" w:type="dxa"/>
            <w:hideMark/>
          </w:tcPr>
          <w:p w14:paraId="20F04B8A" w14:textId="7F578078"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Daugia</w:t>
            </w:r>
            <w:r w:rsidR="005A1A99">
              <w:rPr>
                <w:rFonts w:ascii="Georgia" w:eastAsia="Georgia" w:hAnsi="Georgia" w:cs="Arial Unicode MS"/>
                <w:sz w:val="16"/>
                <w:szCs w:val="16"/>
              </w:rPr>
              <w:t>-</w:t>
            </w:r>
            <w:r w:rsidRPr="002142B8">
              <w:rPr>
                <w:rFonts w:ascii="Georgia" w:eastAsia="Georgia" w:hAnsi="Georgia" w:cs="Arial Unicode MS"/>
                <w:sz w:val="16"/>
                <w:szCs w:val="16"/>
              </w:rPr>
              <w:t>bučių pastatų renovaci</w:t>
            </w:r>
            <w:r w:rsidR="005A1A99">
              <w:rPr>
                <w:rFonts w:ascii="Georgia" w:eastAsia="Georgia" w:hAnsi="Georgia" w:cs="Arial Unicode MS"/>
                <w:sz w:val="16"/>
                <w:szCs w:val="16"/>
              </w:rPr>
              <w:t>-</w:t>
            </w:r>
            <w:r w:rsidRPr="002142B8">
              <w:rPr>
                <w:rFonts w:ascii="Georgia" w:eastAsia="Georgia" w:hAnsi="Georgia" w:cs="Arial Unicode MS"/>
                <w:sz w:val="16"/>
                <w:szCs w:val="16"/>
              </w:rPr>
              <w:t>jos paklausa, mln. EUR</w:t>
            </w:r>
          </w:p>
        </w:tc>
        <w:tc>
          <w:tcPr>
            <w:tcW w:w="992" w:type="dxa"/>
            <w:hideMark/>
          </w:tcPr>
          <w:p w14:paraId="3D8EA854"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Metinio šilumos suvartojimo kiekio vidurkis, kWh/m</w:t>
            </w:r>
            <w:r w:rsidRPr="005A1A99">
              <w:rPr>
                <w:rFonts w:ascii="Georgia" w:eastAsia="Georgia" w:hAnsi="Georgia" w:cs="Arial Unicode MS"/>
                <w:sz w:val="16"/>
                <w:szCs w:val="16"/>
                <w:vertAlign w:val="superscript"/>
              </w:rPr>
              <w:t>2</w:t>
            </w:r>
          </w:p>
        </w:tc>
        <w:tc>
          <w:tcPr>
            <w:tcW w:w="1104" w:type="dxa"/>
            <w:hideMark/>
          </w:tcPr>
          <w:p w14:paraId="24DC6506" w14:textId="43EBDE45" w:rsidR="005A0219" w:rsidRPr="002142B8" w:rsidRDefault="005A0219" w:rsidP="005A1A99">
            <w:pPr>
              <w:ind w:left="5" w:hanging="5"/>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Po renovaci</w:t>
            </w:r>
            <w:r w:rsidR="009E09B2" w:rsidRPr="002142B8">
              <w:rPr>
                <w:rFonts w:ascii="Georgia" w:eastAsia="Georgia" w:hAnsi="Georgia" w:cs="Arial Unicode MS"/>
                <w:sz w:val="16"/>
                <w:szCs w:val="16"/>
              </w:rPr>
              <w:t>-</w:t>
            </w:r>
            <w:r w:rsidRPr="002142B8">
              <w:rPr>
                <w:rFonts w:ascii="Georgia" w:eastAsia="Georgia" w:hAnsi="Georgia" w:cs="Arial Unicode MS"/>
                <w:sz w:val="16"/>
                <w:szCs w:val="16"/>
              </w:rPr>
              <w:t>jos energijos sutaupy</w:t>
            </w:r>
            <w:r w:rsidR="009C49B0">
              <w:rPr>
                <w:rFonts w:ascii="Georgia" w:eastAsia="Georgia" w:hAnsi="Georgia" w:cs="Arial Unicode MS"/>
                <w:sz w:val="16"/>
                <w:szCs w:val="16"/>
              </w:rPr>
              <w:t>-</w:t>
            </w:r>
            <w:r w:rsidRPr="002142B8">
              <w:rPr>
                <w:rFonts w:ascii="Georgia" w:eastAsia="Georgia" w:hAnsi="Georgia" w:cs="Arial Unicode MS"/>
                <w:sz w:val="16"/>
                <w:szCs w:val="16"/>
              </w:rPr>
              <w:t>mas</w:t>
            </w:r>
          </w:p>
        </w:tc>
        <w:tc>
          <w:tcPr>
            <w:tcW w:w="880" w:type="dxa"/>
            <w:hideMark/>
          </w:tcPr>
          <w:p w14:paraId="361C6E19"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16"/>
                <w:szCs w:val="16"/>
              </w:rPr>
            </w:pPr>
            <w:r w:rsidRPr="002142B8">
              <w:rPr>
                <w:rFonts w:ascii="Georgia" w:eastAsia="Georgia" w:hAnsi="Georgia" w:cs="Arial Unicode MS"/>
                <w:sz w:val="16"/>
                <w:szCs w:val="16"/>
              </w:rPr>
              <w:t>Sutaupymai per 2017-2023 (GWh)</w:t>
            </w:r>
          </w:p>
        </w:tc>
      </w:tr>
      <w:tr w:rsidR="0077117B" w:rsidRPr="002142B8" w14:paraId="0A9E7C52" w14:textId="77777777" w:rsidTr="00F9195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93" w:type="dxa"/>
            <w:hideMark/>
          </w:tcPr>
          <w:p w14:paraId="709AD910"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 xml:space="preserve">Senos statybos labai prastos šiluminės izoliacijos </w:t>
            </w:r>
            <w:r w:rsidRPr="002142B8">
              <w:rPr>
                <w:rFonts w:ascii="Georgia" w:eastAsia="Georgia" w:hAnsi="Georgia" w:cs="Arial Unicode MS"/>
                <w:b w:val="0"/>
                <w:sz w:val="20"/>
                <w:szCs w:val="20"/>
              </w:rPr>
              <w:lastRenderedPageBreak/>
              <w:t>daugiabučiai</w:t>
            </w:r>
          </w:p>
        </w:tc>
        <w:tc>
          <w:tcPr>
            <w:tcW w:w="1276" w:type="dxa"/>
            <w:noWrap/>
            <w:hideMark/>
          </w:tcPr>
          <w:p w14:paraId="7F8620F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lastRenderedPageBreak/>
              <w:t>1 702</w:t>
            </w:r>
          </w:p>
        </w:tc>
        <w:tc>
          <w:tcPr>
            <w:tcW w:w="992" w:type="dxa"/>
            <w:noWrap/>
            <w:hideMark/>
          </w:tcPr>
          <w:p w14:paraId="57AA8734"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1 272</w:t>
            </w:r>
          </w:p>
        </w:tc>
        <w:tc>
          <w:tcPr>
            <w:tcW w:w="962" w:type="dxa"/>
            <w:noWrap/>
            <w:hideMark/>
          </w:tcPr>
          <w:p w14:paraId="4411C502"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204</w:t>
            </w:r>
          </w:p>
        </w:tc>
        <w:tc>
          <w:tcPr>
            <w:tcW w:w="993" w:type="dxa"/>
            <w:noWrap/>
            <w:hideMark/>
          </w:tcPr>
          <w:p w14:paraId="78BFC5E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422</w:t>
            </w:r>
          </w:p>
        </w:tc>
        <w:tc>
          <w:tcPr>
            <w:tcW w:w="992" w:type="dxa"/>
            <w:noWrap/>
            <w:hideMark/>
          </w:tcPr>
          <w:p w14:paraId="70170EA5" w14:textId="2B2D189F" w:rsidR="005A0219" w:rsidRPr="002142B8" w:rsidRDefault="0065566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255,</w:t>
            </w:r>
            <w:r w:rsidR="005A0219" w:rsidRPr="002142B8">
              <w:rPr>
                <w:rFonts w:ascii="Georgia" w:eastAsia="Georgia" w:hAnsi="Georgia" w:cs="Arial Unicode MS"/>
                <w:sz w:val="20"/>
                <w:szCs w:val="20"/>
              </w:rPr>
              <w:t>5</w:t>
            </w:r>
          </w:p>
        </w:tc>
        <w:tc>
          <w:tcPr>
            <w:tcW w:w="1104" w:type="dxa"/>
            <w:noWrap/>
            <w:hideMark/>
          </w:tcPr>
          <w:p w14:paraId="3F99BBE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60%</w:t>
            </w:r>
          </w:p>
        </w:tc>
        <w:tc>
          <w:tcPr>
            <w:tcW w:w="880" w:type="dxa"/>
            <w:noWrap/>
            <w:hideMark/>
          </w:tcPr>
          <w:p w14:paraId="07CAD01C"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332</w:t>
            </w:r>
          </w:p>
        </w:tc>
      </w:tr>
      <w:tr w:rsidR="0077117B" w:rsidRPr="002142B8" w14:paraId="24DA3D8E" w14:textId="77777777" w:rsidTr="00F91954">
        <w:trPr>
          <w:trHeight w:val="600"/>
        </w:trPr>
        <w:tc>
          <w:tcPr>
            <w:cnfStyle w:val="001000000000" w:firstRow="0" w:lastRow="0" w:firstColumn="1" w:lastColumn="0" w:oddVBand="0" w:evenVBand="0" w:oddHBand="0" w:evenHBand="0" w:firstRowFirstColumn="0" w:firstRowLastColumn="0" w:lastRowFirstColumn="0" w:lastRowLastColumn="0"/>
            <w:tcW w:w="2093" w:type="dxa"/>
            <w:hideMark/>
          </w:tcPr>
          <w:p w14:paraId="7D140777"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lastRenderedPageBreak/>
              <w:t xml:space="preserve">Senos statybos nerenovuoti daugiabučiai </w:t>
            </w:r>
          </w:p>
        </w:tc>
        <w:tc>
          <w:tcPr>
            <w:tcW w:w="1276" w:type="dxa"/>
            <w:noWrap/>
            <w:hideMark/>
          </w:tcPr>
          <w:p w14:paraId="046F4A7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2 249</w:t>
            </w:r>
          </w:p>
        </w:tc>
        <w:tc>
          <w:tcPr>
            <w:tcW w:w="992" w:type="dxa"/>
            <w:noWrap/>
            <w:hideMark/>
          </w:tcPr>
          <w:p w14:paraId="3C891A0A" w14:textId="6D7FD07E"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w:t>
            </w:r>
            <w:r w:rsidR="00655668" w:rsidRPr="002142B8">
              <w:rPr>
                <w:rFonts w:ascii="Georgia" w:eastAsia="Georgia" w:hAnsi="Georgia" w:cs="Arial Unicode MS"/>
                <w:sz w:val="20"/>
                <w:szCs w:val="20"/>
              </w:rPr>
              <w:t xml:space="preserve"> </w:t>
            </w:r>
            <w:r w:rsidRPr="002142B8">
              <w:rPr>
                <w:rFonts w:ascii="Georgia" w:eastAsia="Georgia" w:hAnsi="Georgia" w:cs="Arial Unicode MS"/>
                <w:sz w:val="20"/>
                <w:szCs w:val="20"/>
              </w:rPr>
              <w:t>272</w:t>
            </w:r>
          </w:p>
        </w:tc>
        <w:tc>
          <w:tcPr>
            <w:tcW w:w="962" w:type="dxa"/>
            <w:noWrap/>
            <w:hideMark/>
          </w:tcPr>
          <w:p w14:paraId="72B8C4CD"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204</w:t>
            </w:r>
          </w:p>
        </w:tc>
        <w:tc>
          <w:tcPr>
            <w:tcW w:w="993" w:type="dxa"/>
            <w:noWrap/>
            <w:hideMark/>
          </w:tcPr>
          <w:p w14:paraId="3562DE2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558</w:t>
            </w:r>
          </w:p>
        </w:tc>
        <w:tc>
          <w:tcPr>
            <w:tcW w:w="992" w:type="dxa"/>
            <w:noWrap/>
            <w:hideMark/>
          </w:tcPr>
          <w:p w14:paraId="2CF0D3AF" w14:textId="08C6FB5D" w:rsidR="005A0219" w:rsidRPr="002142B8" w:rsidRDefault="00655668"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153,</w:t>
            </w:r>
            <w:r w:rsidR="005A0219" w:rsidRPr="002142B8">
              <w:rPr>
                <w:rFonts w:ascii="Georgia" w:eastAsia="Georgia" w:hAnsi="Georgia" w:cs="Arial Unicode MS"/>
                <w:sz w:val="20"/>
                <w:szCs w:val="20"/>
              </w:rPr>
              <w:t>3</w:t>
            </w:r>
          </w:p>
        </w:tc>
        <w:tc>
          <w:tcPr>
            <w:tcW w:w="1104" w:type="dxa"/>
            <w:noWrap/>
            <w:hideMark/>
          </w:tcPr>
          <w:p w14:paraId="2DF5BACA"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50%</w:t>
            </w:r>
          </w:p>
        </w:tc>
        <w:tc>
          <w:tcPr>
            <w:tcW w:w="880" w:type="dxa"/>
            <w:noWrap/>
            <w:hideMark/>
          </w:tcPr>
          <w:p w14:paraId="470BA58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219</w:t>
            </w:r>
          </w:p>
        </w:tc>
      </w:tr>
      <w:tr w:rsidR="0077117B" w:rsidRPr="002142B8" w14:paraId="2F35D942" w14:textId="77777777" w:rsidTr="00F9195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93" w:type="dxa"/>
            <w:hideMark/>
          </w:tcPr>
          <w:p w14:paraId="637840AF"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Naujos statybos ir iš dalies atnaujinti daugiabučiai</w:t>
            </w:r>
          </w:p>
        </w:tc>
        <w:tc>
          <w:tcPr>
            <w:tcW w:w="1276" w:type="dxa"/>
            <w:noWrap/>
            <w:hideMark/>
          </w:tcPr>
          <w:p w14:paraId="17565A16"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338</w:t>
            </w:r>
          </w:p>
        </w:tc>
        <w:tc>
          <w:tcPr>
            <w:tcW w:w="992" w:type="dxa"/>
            <w:noWrap/>
            <w:hideMark/>
          </w:tcPr>
          <w:p w14:paraId="66CAAFAB" w14:textId="09340685"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w:t>
            </w:r>
            <w:r w:rsidR="00655668" w:rsidRPr="002142B8">
              <w:rPr>
                <w:rFonts w:ascii="Georgia" w:eastAsia="Georgia" w:hAnsi="Georgia" w:cs="Arial Unicode MS"/>
                <w:sz w:val="20"/>
                <w:szCs w:val="20"/>
              </w:rPr>
              <w:t xml:space="preserve"> </w:t>
            </w:r>
            <w:r w:rsidRPr="002142B8">
              <w:rPr>
                <w:rFonts w:ascii="Georgia" w:eastAsia="Georgia" w:hAnsi="Georgia" w:cs="Arial Unicode MS"/>
                <w:sz w:val="20"/>
                <w:szCs w:val="20"/>
              </w:rPr>
              <w:t>272</w:t>
            </w:r>
          </w:p>
        </w:tc>
        <w:tc>
          <w:tcPr>
            <w:tcW w:w="962" w:type="dxa"/>
            <w:noWrap/>
            <w:hideMark/>
          </w:tcPr>
          <w:p w14:paraId="08C21D6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204</w:t>
            </w:r>
          </w:p>
        </w:tc>
        <w:tc>
          <w:tcPr>
            <w:tcW w:w="993" w:type="dxa"/>
            <w:noWrap/>
            <w:hideMark/>
          </w:tcPr>
          <w:p w14:paraId="19ED8EB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84</w:t>
            </w:r>
          </w:p>
        </w:tc>
        <w:tc>
          <w:tcPr>
            <w:tcW w:w="992" w:type="dxa"/>
            <w:noWrap/>
            <w:hideMark/>
          </w:tcPr>
          <w:p w14:paraId="4988EE14" w14:textId="1721D08B" w:rsidR="005A0219" w:rsidRPr="002142B8" w:rsidRDefault="00655668"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109,</w:t>
            </w:r>
            <w:r w:rsidR="005A0219" w:rsidRPr="002142B8">
              <w:rPr>
                <w:rFonts w:ascii="Georgia" w:eastAsia="Georgia" w:hAnsi="Georgia" w:cs="Arial Unicode MS"/>
                <w:sz w:val="20"/>
                <w:szCs w:val="20"/>
              </w:rPr>
              <w:t>5</w:t>
            </w:r>
          </w:p>
        </w:tc>
        <w:tc>
          <w:tcPr>
            <w:tcW w:w="1104" w:type="dxa"/>
            <w:noWrap/>
            <w:hideMark/>
          </w:tcPr>
          <w:p w14:paraId="252248D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40%</w:t>
            </w:r>
          </w:p>
        </w:tc>
        <w:tc>
          <w:tcPr>
            <w:tcW w:w="880" w:type="dxa"/>
            <w:noWrap/>
            <w:hideMark/>
          </w:tcPr>
          <w:p w14:paraId="2F501B5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19</w:t>
            </w:r>
          </w:p>
        </w:tc>
      </w:tr>
      <w:tr w:rsidR="0077117B" w:rsidRPr="002142B8" w14:paraId="0E6FFB9C" w14:textId="77777777" w:rsidTr="00F91954">
        <w:trPr>
          <w:trHeight w:val="300"/>
        </w:trPr>
        <w:tc>
          <w:tcPr>
            <w:cnfStyle w:val="001000000000" w:firstRow="0" w:lastRow="0" w:firstColumn="1" w:lastColumn="0" w:oddVBand="0" w:evenVBand="0" w:oddHBand="0" w:evenHBand="0" w:firstRowFirstColumn="0" w:firstRowLastColumn="0" w:lastRowFirstColumn="0" w:lastRowLastColumn="0"/>
            <w:tcW w:w="2093" w:type="dxa"/>
            <w:hideMark/>
          </w:tcPr>
          <w:p w14:paraId="3FDC8E18" w14:textId="77777777" w:rsidR="005A0219" w:rsidRPr="002142B8" w:rsidRDefault="005A0219" w:rsidP="005A0219">
            <w:pPr>
              <w:rPr>
                <w:rFonts w:ascii="Georgia" w:eastAsia="Georgia" w:hAnsi="Georgia" w:cs="Arial Unicode MS"/>
                <w:sz w:val="20"/>
                <w:szCs w:val="20"/>
              </w:rPr>
            </w:pPr>
            <w:r w:rsidRPr="002142B8">
              <w:rPr>
                <w:rFonts w:ascii="Georgia" w:eastAsia="Georgia" w:hAnsi="Georgia" w:cs="Arial Unicode MS"/>
                <w:sz w:val="20"/>
                <w:szCs w:val="20"/>
              </w:rPr>
              <w:t>Iš viso</w:t>
            </w:r>
          </w:p>
        </w:tc>
        <w:tc>
          <w:tcPr>
            <w:tcW w:w="1276" w:type="dxa"/>
            <w:noWrap/>
            <w:hideMark/>
          </w:tcPr>
          <w:p w14:paraId="0B4415C0"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4 289</w:t>
            </w:r>
          </w:p>
        </w:tc>
        <w:tc>
          <w:tcPr>
            <w:tcW w:w="992" w:type="dxa"/>
            <w:noWrap/>
            <w:hideMark/>
          </w:tcPr>
          <w:p w14:paraId="4E0310D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962" w:type="dxa"/>
            <w:noWrap/>
            <w:hideMark/>
          </w:tcPr>
          <w:p w14:paraId="66AAA4E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c>
          <w:tcPr>
            <w:tcW w:w="993" w:type="dxa"/>
            <w:noWrap/>
            <w:hideMark/>
          </w:tcPr>
          <w:p w14:paraId="3B85421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1 063</w:t>
            </w:r>
          </w:p>
        </w:tc>
        <w:tc>
          <w:tcPr>
            <w:tcW w:w="992" w:type="dxa"/>
            <w:noWrap/>
            <w:hideMark/>
          </w:tcPr>
          <w:p w14:paraId="0244E564"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p>
        </w:tc>
        <w:tc>
          <w:tcPr>
            <w:tcW w:w="1104" w:type="dxa"/>
            <w:noWrap/>
            <w:hideMark/>
          </w:tcPr>
          <w:p w14:paraId="2820E4ED"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c>
          <w:tcPr>
            <w:tcW w:w="880" w:type="dxa"/>
            <w:noWrap/>
            <w:hideMark/>
          </w:tcPr>
          <w:p w14:paraId="10FB2967"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
                <w:bCs/>
                <w:sz w:val="20"/>
                <w:szCs w:val="20"/>
              </w:rPr>
            </w:pPr>
            <w:r w:rsidRPr="002142B8">
              <w:rPr>
                <w:rFonts w:ascii="Georgia" w:eastAsia="Georgia" w:hAnsi="Georgia" w:cs="Arial Unicode MS"/>
                <w:b/>
                <w:bCs/>
                <w:sz w:val="20"/>
                <w:szCs w:val="20"/>
              </w:rPr>
              <w:t>570</w:t>
            </w:r>
          </w:p>
        </w:tc>
      </w:tr>
    </w:tbl>
    <w:p w14:paraId="79144312" w14:textId="77777777" w:rsidR="005A0219" w:rsidRPr="002142B8" w:rsidRDefault="005A0219" w:rsidP="005A0219">
      <w:pPr>
        <w:spacing w:after="160" w:line="240" w:lineRule="auto"/>
        <w:jc w:val="both"/>
        <w:rPr>
          <w:rFonts w:ascii="Georgia" w:eastAsia="Georgia" w:hAnsi="Georgia" w:cs="Georgia"/>
          <w:i/>
          <w:iCs/>
          <w:color w:val="821A1A"/>
          <w:sz w:val="20"/>
          <w:szCs w:val="20"/>
          <w:lang w:val="lt-LT"/>
        </w:rPr>
      </w:pPr>
      <w:r w:rsidRPr="002142B8">
        <w:rPr>
          <w:rFonts w:ascii="Georgia" w:eastAsia="Georgia" w:hAnsi="Georgia" w:cs="Georgia"/>
          <w:i/>
          <w:iCs/>
          <w:color w:val="821A1A"/>
          <w:sz w:val="20"/>
          <w:szCs w:val="20"/>
          <w:lang w:val="lt-LT"/>
        </w:rPr>
        <w:t>Šaltinis: sudaryta autorių</w:t>
      </w:r>
    </w:p>
    <w:p w14:paraId="195DFA9C" w14:textId="279FE17F" w:rsidR="005A0219" w:rsidRPr="002142B8" w:rsidRDefault="005A0219"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Paskutinėje lentelėje pateikti energijos sutaupymų rezultatai darant prielaidą, jog daugiabučiai bus renovuoti vienodu tempu per visą 2017-2025 metų laikotarpį. Skaičiuojant energijos suvartojimo sutaupymus, daroma prielaida</w:t>
      </w:r>
      <w:r w:rsidR="003333A4" w:rsidRPr="002142B8">
        <w:rPr>
          <w:rFonts w:ascii="Georgia" w:eastAsia="Georgia" w:hAnsi="Georgia" w:cs="Arial Unicode MS"/>
          <w:sz w:val="20"/>
          <w:szCs w:val="20"/>
          <w:lang w:val="lt-LT"/>
        </w:rPr>
        <w:t>,</w:t>
      </w:r>
      <w:r w:rsidRPr="002142B8">
        <w:rPr>
          <w:rFonts w:ascii="Georgia" w:eastAsia="Georgia" w:hAnsi="Georgia" w:cs="Arial Unicode MS"/>
          <w:sz w:val="20"/>
          <w:szCs w:val="20"/>
          <w:lang w:val="lt-LT"/>
        </w:rPr>
        <w:t xml:space="preserve"> jog senesnių ir labai prastos šiluminės izoliacijos daugiabučių renovacija vidutiniškai sutaupo 60% energijos kiekio, tuo tarpu naujos statybos namai – bent 40%.</w:t>
      </w:r>
    </w:p>
    <w:p w14:paraId="4563E9E5" w14:textId="77777777" w:rsidR="005A0219" w:rsidRPr="002142B8" w:rsidRDefault="005A0219" w:rsidP="005A0219">
      <w:pPr>
        <w:spacing w:after="160" w:line="240" w:lineRule="auto"/>
        <w:rPr>
          <w:rFonts w:ascii="Georgia" w:eastAsia="Georgia" w:hAnsi="Georgia" w:cs="Arial Unicode MS"/>
          <w:b/>
          <w:sz w:val="20"/>
          <w:szCs w:val="20"/>
          <w:lang w:val="lt-LT"/>
        </w:rPr>
      </w:pPr>
      <w:r w:rsidRPr="002142B8">
        <w:rPr>
          <w:rFonts w:ascii="Georgia" w:eastAsia="Georgia" w:hAnsi="Georgia" w:cs="Arial Unicode MS"/>
          <w:b/>
          <w:sz w:val="20"/>
          <w:szCs w:val="20"/>
          <w:lang w:val="lt-LT"/>
        </w:rPr>
        <w:t>Išvada</w:t>
      </w:r>
    </w:p>
    <w:p w14:paraId="2510CB03" w14:textId="77777777" w:rsidR="005A0219" w:rsidRPr="002142B8" w:rsidRDefault="005A0219" w:rsidP="005A0219">
      <w:pPr>
        <w:spacing w:after="160" w:line="240" w:lineRule="auto"/>
        <w:rPr>
          <w:rFonts w:ascii="Georgia" w:eastAsia="Georgia" w:hAnsi="Georgia" w:cs="Arial Unicode MS"/>
          <w:sz w:val="20"/>
          <w:szCs w:val="20"/>
          <w:lang w:val="lt-LT"/>
        </w:rPr>
      </w:pPr>
      <w:r w:rsidRPr="002142B8">
        <w:rPr>
          <w:rFonts w:ascii="Georgia" w:eastAsia="Georgia" w:hAnsi="Georgia" w:cs="Arial Unicode MS"/>
          <w:sz w:val="20"/>
          <w:szCs w:val="20"/>
          <w:lang w:val="lt-LT"/>
        </w:rPr>
        <w:t>Skaičiavimo rezultatai naudojant skirtingus skaičiavimo metodus apibendrinami lentelėje žemiau.</w:t>
      </w:r>
    </w:p>
    <w:p w14:paraId="1048FD3F" w14:textId="0EE9000F" w:rsidR="005A0219" w:rsidRPr="002142B8" w:rsidRDefault="005A0219" w:rsidP="005A0219">
      <w:pPr>
        <w:spacing w:after="160" w:line="240" w:lineRule="auto"/>
        <w:jc w:val="both"/>
        <w:rPr>
          <w:rFonts w:ascii="Georgia" w:eastAsia="Georgia" w:hAnsi="Georgia" w:cs="Arial Unicode MS"/>
          <w:i/>
          <w:iCs/>
          <w:color w:val="821A1A"/>
          <w:sz w:val="20"/>
          <w:szCs w:val="18"/>
          <w:lang w:val="lt-LT"/>
        </w:rPr>
      </w:pPr>
      <w:bookmarkStart w:id="59" w:name="_Toc507939138"/>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16</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Daugiabučių paklausos skaičiavimo metodų ir jų rezultatų  apibendrinimas</w:t>
      </w:r>
      <w:bookmarkEnd w:id="59"/>
    </w:p>
    <w:tbl>
      <w:tblPr>
        <w:tblStyle w:val="LightList-Accent21"/>
        <w:tblW w:w="0" w:type="auto"/>
        <w:tblInd w:w="-10" w:type="dxa"/>
        <w:tblLook w:val="04A0" w:firstRow="1" w:lastRow="0" w:firstColumn="1" w:lastColumn="0" w:noHBand="0" w:noVBand="1"/>
      </w:tblPr>
      <w:tblGrid>
        <w:gridCol w:w="6096"/>
        <w:gridCol w:w="2953"/>
      </w:tblGrid>
      <w:tr w:rsidR="005A0219" w:rsidRPr="002142B8" w14:paraId="2FA8FF82" w14:textId="77777777" w:rsidTr="005A1A9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096" w:type="dxa"/>
            <w:noWrap/>
            <w:vAlign w:val="center"/>
            <w:hideMark/>
          </w:tcPr>
          <w:p w14:paraId="5B28147B" w14:textId="77777777" w:rsidR="005A0219" w:rsidRPr="002142B8" w:rsidRDefault="005A0219" w:rsidP="005A0219">
            <w:pPr>
              <w:rPr>
                <w:rFonts w:ascii="Georgia" w:eastAsia="Georgia" w:hAnsi="Georgia" w:cs="Arial Unicode MS"/>
                <w:sz w:val="20"/>
                <w:szCs w:val="20"/>
              </w:rPr>
            </w:pPr>
            <w:r w:rsidRPr="002142B8">
              <w:rPr>
                <w:rFonts w:ascii="Georgia" w:eastAsia="Georgia" w:hAnsi="Georgia" w:cs="Arial Unicode MS"/>
                <w:sz w:val="20"/>
                <w:szCs w:val="20"/>
              </w:rPr>
              <w:t> Skaičiavimo metodas</w:t>
            </w:r>
          </w:p>
        </w:tc>
        <w:tc>
          <w:tcPr>
            <w:tcW w:w="2953" w:type="dxa"/>
            <w:noWrap/>
            <w:vAlign w:val="center"/>
            <w:hideMark/>
          </w:tcPr>
          <w:p w14:paraId="2BA68E2C" w14:textId="1FB795C0" w:rsidR="005A0219" w:rsidRPr="002142B8" w:rsidRDefault="005A0219" w:rsidP="00BB79B7">
            <w:pPr>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Paklausa, </w:t>
            </w:r>
            <w:r w:rsidR="0077117B" w:rsidRPr="002142B8">
              <w:rPr>
                <w:rFonts w:ascii="Georgia" w:eastAsia="Georgia" w:hAnsi="Georgia" w:cs="Arial Unicode MS"/>
                <w:sz w:val="20"/>
                <w:szCs w:val="20"/>
              </w:rPr>
              <w:br/>
            </w:r>
            <w:r w:rsidRPr="002142B8">
              <w:rPr>
                <w:rFonts w:ascii="Georgia" w:eastAsia="Georgia" w:hAnsi="Georgia" w:cs="Arial Unicode MS"/>
                <w:sz w:val="20"/>
                <w:szCs w:val="20"/>
              </w:rPr>
              <w:t xml:space="preserve">mln. </w:t>
            </w:r>
            <w:r w:rsidR="00BB79B7">
              <w:rPr>
                <w:rFonts w:ascii="Georgia" w:eastAsia="Georgia" w:hAnsi="Georgia" w:cs="Arial Unicode MS"/>
                <w:sz w:val="20"/>
                <w:szCs w:val="20"/>
              </w:rPr>
              <w:t>eurų</w:t>
            </w:r>
          </w:p>
        </w:tc>
      </w:tr>
      <w:tr w:rsidR="005A0219" w:rsidRPr="002142B8" w14:paraId="3B697437" w14:textId="77777777" w:rsidTr="005A1A9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015EE9AF"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 xml:space="preserve">Remiantis bendruoju energijos taupymo tikslu </w:t>
            </w:r>
          </w:p>
        </w:tc>
        <w:tc>
          <w:tcPr>
            <w:tcW w:w="2953" w:type="dxa"/>
            <w:noWrap/>
            <w:vAlign w:val="center"/>
            <w:hideMark/>
          </w:tcPr>
          <w:p w14:paraId="31378EAE"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1 040</w:t>
            </w:r>
          </w:p>
        </w:tc>
      </w:tr>
      <w:tr w:rsidR="005A0219" w:rsidRPr="002142B8" w14:paraId="1F86F8FD" w14:textId="77777777" w:rsidTr="005A1A99">
        <w:trPr>
          <w:trHeight w:val="397"/>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579C4080"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Remiantis daugiabučių atnaujinimo programos tikslu</w:t>
            </w:r>
          </w:p>
        </w:tc>
        <w:tc>
          <w:tcPr>
            <w:tcW w:w="2953" w:type="dxa"/>
            <w:noWrap/>
            <w:vAlign w:val="center"/>
            <w:hideMark/>
          </w:tcPr>
          <w:p w14:paraId="206360D8"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809</w:t>
            </w:r>
          </w:p>
        </w:tc>
      </w:tr>
      <w:tr w:rsidR="005A0219" w:rsidRPr="002142B8" w14:paraId="59507863" w14:textId="77777777" w:rsidTr="005A1A9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180AD66F" w14:textId="77777777" w:rsidR="005A0219" w:rsidRPr="002142B8" w:rsidRDefault="005A0219" w:rsidP="005A0219">
            <w:pPr>
              <w:rPr>
                <w:rFonts w:ascii="Georgia" w:eastAsia="Georgia" w:hAnsi="Georgia" w:cs="Arial Unicode MS"/>
                <w:b w:val="0"/>
                <w:sz w:val="20"/>
                <w:szCs w:val="20"/>
              </w:rPr>
            </w:pPr>
            <w:r w:rsidRPr="002142B8">
              <w:rPr>
                <w:rFonts w:ascii="Georgia" w:eastAsia="Georgia" w:hAnsi="Georgia" w:cs="Arial Unicode MS"/>
                <w:b w:val="0"/>
                <w:sz w:val="20"/>
                <w:szCs w:val="20"/>
              </w:rPr>
              <w:t>Remiantis Nacionalinės energijos strategijos pirminio projekto tikslu</w:t>
            </w:r>
          </w:p>
        </w:tc>
        <w:tc>
          <w:tcPr>
            <w:tcW w:w="2953" w:type="dxa"/>
            <w:noWrap/>
            <w:vAlign w:val="center"/>
            <w:hideMark/>
          </w:tcPr>
          <w:p w14:paraId="72D10F9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1 063</w:t>
            </w:r>
          </w:p>
        </w:tc>
      </w:tr>
    </w:tbl>
    <w:p w14:paraId="7F27481A" w14:textId="77777777" w:rsidR="005A0219" w:rsidRPr="002142B8" w:rsidRDefault="005A0219" w:rsidP="005A0219">
      <w:pPr>
        <w:spacing w:after="160" w:line="240" w:lineRule="auto"/>
        <w:jc w:val="both"/>
        <w:rPr>
          <w:rFonts w:ascii="Georgia" w:eastAsia="Georgia" w:hAnsi="Georgia" w:cs="Georgia"/>
          <w:i/>
          <w:iCs/>
          <w:color w:val="821A1A"/>
          <w:sz w:val="20"/>
          <w:szCs w:val="20"/>
          <w:lang w:val="lt-LT"/>
        </w:rPr>
      </w:pPr>
      <w:r w:rsidRPr="002142B8">
        <w:rPr>
          <w:rFonts w:ascii="Georgia" w:eastAsia="Georgia" w:hAnsi="Georgia" w:cs="Georgia"/>
          <w:i/>
          <w:iCs/>
          <w:color w:val="821A1A"/>
          <w:sz w:val="20"/>
          <w:szCs w:val="20"/>
          <w:lang w:val="lt-LT"/>
        </w:rPr>
        <w:t>Šaltinis: parengta autorių</w:t>
      </w:r>
    </w:p>
    <w:p w14:paraId="2105FAFE" w14:textId="1E38F488" w:rsidR="005A0219" w:rsidRPr="002142B8" w:rsidRDefault="005A0219"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Kaip matome</w:t>
      </w:r>
      <w:r w:rsidR="003333A4" w:rsidRPr="002142B8">
        <w:rPr>
          <w:rFonts w:ascii="Georgia" w:eastAsia="Georgia" w:hAnsi="Georgia" w:cs="Arial Unicode MS"/>
          <w:sz w:val="20"/>
          <w:szCs w:val="20"/>
          <w:lang w:val="lt-LT"/>
        </w:rPr>
        <w:t>,</w:t>
      </w:r>
      <w:r w:rsidRPr="002142B8">
        <w:rPr>
          <w:rFonts w:ascii="Georgia" w:eastAsia="Georgia" w:hAnsi="Georgia" w:cs="Arial Unicode MS"/>
          <w:sz w:val="20"/>
          <w:szCs w:val="20"/>
          <w:lang w:val="lt-LT"/>
        </w:rPr>
        <w:t xml:space="preserve"> rezultatai skaičiuojant daugiabučių atnaujinimo paklausą remiantis bendruoju energijos taupymo tikslu ir nacionalinės energijos strategijos pirminio projekto tikslu yra beveik vienodi. Tai ne </w:t>
      </w:r>
      <w:r w:rsidR="00703216" w:rsidRPr="002142B8">
        <w:rPr>
          <w:rFonts w:ascii="Georgia" w:eastAsia="Georgia" w:hAnsi="Georgia" w:cs="Arial Unicode MS"/>
          <w:sz w:val="20"/>
          <w:szCs w:val="20"/>
          <w:lang w:val="lt-LT"/>
        </w:rPr>
        <w:t xml:space="preserve">tik </w:t>
      </w:r>
      <w:r w:rsidRPr="002142B8">
        <w:rPr>
          <w:rFonts w:ascii="Georgia" w:eastAsia="Georgia" w:hAnsi="Georgia" w:cs="Arial Unicode MS"/>
          <w:sz w:val="20"/>
          <w:szCs w:val="20"/>
          <w:lang w:val="lt-LT"/>
        </w:rPr>
        <w:t xml:space="preserve">parodo, jog nacionaliniuose strategijos dokumentuose energijos taupymo rodikliai yra suderinti, tačiau ir leidžia daryti išvadą jog skaičiavimo rezultatai yra tikslūs. </w:t>
      </w:r>
    </w:p>
    <w:p w14:paraId="7D7AAB53" w14:textId="313163C7" w:rsidR="005A0219" w:rsidRPr="002142B8" w:rsidRDefault="005A0219"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Apskaičiuota paklausa remiantis daugiabučių atnaujinimo programos tikslu yra smarkiai mažesnė nei paklausa skaičiuojant kitais metodais dėl to, jog šioje programoje atnaujinamų daugiabučių namų tikslas nėra toks ambicingas kaip skaičiuojant kitais dviem metodas. Stebint faktinius 2015 ir 2016 metų duomenis (atnaujinama po vidutiniškai 670 daugiabučius), yra labai tikėtina kad 2020 metais bus iš tikrųjų atnaujinta daug daugiau pastatų. </w:t>
      </w:r>
    </w:p>
    <w:p w14:paraId="660B932D" w14:textId="77777777" w:rsidR="005A0219" w:rsidRPr="002142B8" w:rsidRDefault="005A0219" w:rsidP="0063781D">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Atsižvelgiant į tai, jog Nacionalinės energetikos strategija yra svarbiausias nacionalinis strateginis dokumentas energetikos sektoriuje Lietuvoje, siūlome rinktis šį metodą.</w:t>
      </w:r>
    </w:p>
    <w:p w14:paraId="651A0148" w14:textId="77777777" w:rsidR="005A0219" w:rsidRPr="002142B8" w:rsidRDefault="005A0219" w:rsidP="00162BF5">
      <w:pPr>
        <w:keepNext/>
        <w:keepLines/>
        <w:numPr>
          <w:ilvl w:val="0"/>
          <w:numId w:val="37"/>
        </w:numPr>
        <w:spacing w:before="200" w:after="0" w:line="240" w:lineRule="auto"/>
        <w:outlineLvl w:val="1"/>
        <w:rPr>
          <w:rFonts w:ascii="Georgia" w:eastAsia="Times New Roman" w:hAnsi="Georgia" w:cs="Arial Unicode MS"/>
          <w:b/>
          <w:i/>
          <w:vanish/>
          <w:color w:val="821A1A"/>
          <w:sz w:val="32"/>
          <w:szCs w:val="26"/>
          <w:lang w:val="lt-LT"/>
        </w:rPr>
      </w:pPr>
      <w:bookmarkStart w:id="60" w:name="_Toc503766074"/>
      <w:bookmarkStart w:id="61" w:name="_Toc503766750"/>
      <w:bookmarkStart w:id="62" w:name="_Toc503766948"/>
      <w:bookmarkStart w:id="63" w:name="_Toc505849701"/>
      <w:bookmarkStart w:id="64" w:name="_Toc505858861"/>
      <w:bookmarkStart w:id="65" w:name="_Toc25589893"/>
      <w:bookmarkEnd w:id="60"/>
      <w:bookmarkEnd w:id="61"/>
      <w:bookmarkEnd w:id="62"/>
      <w:bookmarkEnd w:id="63"/>
      <w:bookmarkEnd w:id="64"/>
      <w:bookmarkEnd w:id="65"/>
    </w:p>
    <w:p w14:paraId="31B0227D" w14:textId="77777777" w:rsidR="005A0219" w:rsidRPr="002142B8" w:rsidRDefault="005A0219" w:rsidP="00162BF5">
      <w:pPr>
        <w:keepNext/>
        <w:keepLines/>
        <w:numPr>
          <w:ilvl w:val="0"/>
          <w:numId w:val="37"/>
        </w:numPr>
        <w:spacing w:before="200" w:after="0" w:line="240" w:lineRule="auto"/>
        <w:outlineLvl w:val="1"/>
        <w:rPr>
          <w:rFonts w:ascii="Georgia" w:eastAsia="Times New Roman" w:hAnsi="Georgia" w:cs="Arial Unicode MS"/>
          <w:b/>
          <w:i/>
          <w:vanish/>
          <w:color w:val="821A1A"/>
          <w:sz w:val="32"/>
          <w:szCs w:val="26"/>
          <w:lang w:val="lt-LT"/>
        </w:rPr>
      </w:pPr>
      <w:bookmarkStart w:id="66" w:name="_Toc503766075"/>
      <w:bookmarkStart w:id="67" w:name="_Toc503766751"/>
      <w:bookmarkStart w:id="68" w:name="_Toc503766949"/>
      <w:bookmarkStart w:id="69" w:name="_Toc505849702"/>
      <w:bookmarkStart w:id="70" w:name="_Toc505858862"/>
      <w:bookmarkStart w:id="71" w:name="_Toc25589894"/>
      <w:bookmarkEnd w:id="66"/>
      <w:bookmarkEnd w:id="67"/>
      <w:bookmarkEnd w:id="68"/>
      <w:bookmarkEnd w:id="69"/>
      <w:bookmarkEnd w:id="70"/>
      <w:bookmarkEnd w:id="71"/>
    </w:p>
    <w:p w14:paraId="4D27EE80" w14:textId="77777777" w:rsidR="005A0219" w:rsidRPr="002142B8" w:rsidRDefault="005A0219" w:rsidP="00162BF5">
      <w:pPr>
        <w:keepNext/>
        <w:keepLines/>
        <w:numPr>
          <w:ilvl w:val="1"/>
          <w:numId w:val="37"/>
        </w:numPr>
        <w:spacing w:before="200" w:after="0" w:line="240" w:lineRule="auto"/>
        <w:outlineLvl w:val="1"/>
        <w:rPr>
          <w:rFonts w:ascii="Georgia" w:eastAsia="Times New Roman" w:hAnsi="Georgia" w:cs="Arial Unicode MS"/>
          <w:b/>
          <w:i/>
          <w:vanish/>
          <w:color w:val="821A1A"/>
          <w:sz w:val="32"/>
          <w:szCs w:val="26"/>
          <w:lang w:val="lt-LT"/>
        </w:rPr>
      </w:pPr>
      <w:bookmarkStart w:id="72" w:name="_Toc503766076"/>
      <w:bookmarkStart w:id="73" w:name="_Toc503766752"/>
      <w:bookmarkStart w:id="74" w:name="_Toc503766950"/>
      <w:bookmarkStart w:id="75" w:name="_Toc505849703"/>
      <w:bookmarkStart w:id="76" w:name="_Toc505858863"/>
      <w:bookmarkStart w:id="77" w:name="_Toc25589895"/>
      <w:bookmarkEnd w:id="72"/>
      <w:bookmarkEnd w:id="73"/>
      <w:bookmarkEnd w:id="74"/>
      <w:bookmarkEnd w:id="75"/>
      <w:bookmarkEnd w:id="76"/>
      <w:bookmarkEnd w:id="77"/>
    </w:p>
    <w:p w14:paraId="0FF57D38" w14:textId="77777777" w:rsidR="005A0219" w:rsidRPr="002142B8" w:rsidRDefault="005A0219" w:rsidP="00162BF5">
      <w:pPr>
        <w:keepNext/>
        <w:keepLines/>
        <w:numPr>
          <w:ilvl w:val="2"/>
          <w:numId w:val="37"/>
        </w:numPr>
        <w:spacing w:before="200" w:after="0" w:line="240" w:lineRule="auto"/>
        <w:outlineLvl w:val="1"/>
        <w:rPr>
          <w:rFonts w:ascii="Georgia" w:eastAsia="Times New Roman" w:hAnsi="Georgia" w:cs="Arial Unicode MS"/>
          <w:b/>
          <w:i/>
          <w:vanish/>
          <w:color w:val="821A1A"/>
          <w:sz w:val="32"/>
          <w:szCs w:val="26"/>
          <w:lang w:val="lt-LT"/>
        </w:rPr>
      </w:pPr>
      <w:bookmarkStart w:id="78" w:name="_Toc503766077"/>
      <w:bookmarkStart w:id="79" w:name="_Toc503766753"/>
      <w:bookmarkStart w:id="80" w:name="_Toc503766951"/>
      <w:bookmarkStart w:id="81" w:name="_Toc505849704"/>
      <w:bookmarkStart w:id="82" w:name="_Toc505858864"/>
      <w:bookmarkStart w:id="83" w:name="_Toc25589896"/>
      <w:bookmarkEnd w:id="78"/>
      <w:bookmarkEnd w:id="79"/>
      <w:bookmarkEnd w:id="80"/>
      <w:bookmarkEnd w:id="81"/>
      <w:bookmarkEnd w:id="82"/>
      <w:bookmarkEnd w:id="83"/>
    </w:p>
    <w:p w14:paraId="57D18337" w14:textId="1EDCE4C4" w:rsidR="005A0219" w:rsidRPr="002142B8" w:rsidRDefault="005A0219" w:rsidP="00162BF5">
      <w:pPr>
        <w:keepNext/>
        <w:keepLines/>
        <w:numPr>
          <w:ilvl w:val="3"/>
          <w:numId w:val="37"/>
        </w:numPr>
        <w:spacing w:before="200" w:after="0" w:line="240" w:lineRule="auto"/>
        <w:ind w:hanging="1440"/>
        <w:outlineLvl w:val="1"/>
        <w:rPr>
          <w:rFonts w:ascii="Georgia" w:eastAsia="Times New Roman" w:hAnsi="Georgia" w:cs="Arial Unicode MS"/>
          <w:b/>
          <w:i/>
          <w:color w:val="821A1A"/>
          <w:sz w:val="32"/>
          <w:szCs w:val="26"/>
          <w:lang w:val="lt-LT"/>
        </w:rPr>
      </w:pPr>
      <w:bookmarkStart w:id="84" w:name="_Toc25589897"/>
      <w:r w:rsidRPr="002142B8">
        <w:rPr>
          <w:rFonts w:ascii="Georgia" w:eastAsia="Times New Roman" w:hAnsi="Georgia" w:cs="Arial Unicode MS"/>
          <w:b/>
          <w:i/>
          <w:color w:val="821A1A"/>
          <w:sz w:val="32"/>
          <w:szCs w:val="26"/>
          <w:lang w:val="lt-LT"/>
        </w:rPr>
        <w:t>Gatvių apšvietimo tinklo modernizavimo paklausos skaičiavimas</w:t>
      </w:r>
      <w:bookmarkEnd w:id="84"/>
    </w:p>
    <w:p w14:paraId="1BA3C5D3"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74E8F841" w14:textId="4ECD8636"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Žemiau esančioje lentelėje pateikiamos prielaidos ir skaičiavimai, bei jų pagrindimas skaičiuojant gatvių apšvietimo tinklo modernizavimo paklausą.</w:t>
      </w:r>
    </w:p>
    <w:p w14:paraId="2888D631"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248DE3F4" w14:textId="6ED824A4" w:rsidR="005A0219" w:rsidRPr="002142B8" w:rsidRDefault="005A0219" w:rsidP="005A0219">
      <w:pPr>
        <w:spacing w:after="120" w:line="240" w:lineRule="auto"/>
        <w:jc w:val="both"/>
        <w:rPr>
          <w:rFonts w:ascii="Georgia" w:eastAsia="Georgia" w:hAnsi="Georgia" w:cs="Times New Roman"/>
          <w:i/>
          <w:iCs/>
          <w:color w:val="821A1A"/>
          <w:sz w:val="20"/>
          <w:szCs w:val="18"/>
          <w:lang w:val="lt-LT"/>
        </w:rPr>
      </w:pPr>
      <w:bookmarkStart w:id="85" w:name="_Ref399585209"/>
      <w:bookmarkStart w:id="86" w:name="_Toc507939139"/>
      <w:bookmarkStart w:id="87" w:name="_Toc455735511"/>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17</w:t>
      </w:r>
      <w:r w:rsidRPr="002142B8">
        <w:rPr>
          <w:rFonts w:ascii="Georgia" w:eastAsia="Georgia" w:hAnsi="Georgia" w:cs="Arial Unicode MS"/>
          <w:i/>
          <w:iCs/>
          <w:color w:val="821A1A"/>
          <w:sz w:val="20"/>
          <w:szCs w:val="18"/>
          <w:lang w:val="lt-LT"/>
        </w:rPr>
        <w:fldChar w:fldCharType="end"/>
      </w:r>
      <w:bookmarkEnd w:id="85"/>
      <w:r w:rsidRPr="002142B8">
        <w:rPr>
          <w:rFonts w:ascii="Georgia" w:eastAsia="Georgia" w:hAnsi="Georgia" w:cs="Arial Unicode MS"/>
          <w:i/>
          <w:iCs/>
          <w:color w:val="821A1A"/>
          <w:sz w:val="20"/>
          <w:szCs w:val="18"/>
          <w:lang w:val="lt-LT"/>
        </w:rPr>
        <w:t>. Gatvių apšvietimo tinklo modernizavimo p</w:t>
      </w:r>
      <w:r w:rsidRPr="002142B8">
        <w:rPr>
          <w:rFonts w:ascii="Georgia" w:eastAsia="Georgia" w:hAnsi="Georgia" w:cs="Georgia"/>
          <w:i/>
          <w:iCs/>
          <w:color w:val="821A1A"/>
          <w:sz w:val="20"/>
          <w:szCs w:val="20"/>
          <w:lang w:val="lt-LT"/>
        </w:rPr>
        <w:t>aklausos skaičiavimo prielaidos ir paklausos rodiklių skaičiavimas</w:t>
      </w:r>
      <w:bookmarkEnd w:id="86"/>
      <w:r w:rsidRPr="002142B8">
        <w:rPr>
          <w:rFonts w:ascii="Georgia" w:eastAsia="Georgia" w:hAnsi="Georgia" w:cs="Georgia"/>
          <w:i/>
          <w:iCs/>
          <w:color w:val="821A1A"/>
          <w:sz w:val="20"/>
          <w:szCs w:val="20"/>
          <w:lang w:val="lt-LT"/>
        </w:rPr>
        <w:t xml:space="preserve"> </w:t>
      </w:r>
      <w:bookmarkEnd w:id="87"/>
    </w:p>
    <w:tbl>
      <w:tblPr>
        <w:tblStyle w:val="LightList-Accent21"/>
        <w:tblW w:w="5000" w:type="pct"/>
        <w:tblLook w:val="04A0" w:firstRow="1" w:lastRow="0" w:firstColumn="1" w:lastColumn="0" w:noHBand="0" w:noVBand="1"/>
      </w:tblPr>
      <w:tblGrid>
        <w:gridCol w:w="667"/>
        <w:gridCol w:w="3050"/>
        <w:gridCol w:w="1407"/>
        <w:gridCol w:w="4118"/>
      </w:tblGrid>
      <w:tr w:rsidR="00CB4D9D" w:rsidRPr="002142B8" w14:paraId="433FE75E" w14:textId="77777777" w:rsidTr="00F935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Borders>
              <w:top w:val="single" w:sz="8" w:space="0" w:color="D62E1C"/>
              <w:left w:val="single" w:sz="8" w:space="0" w:color="D62E1C"/>
              <w:bottom w:val="nil"/>
              <w:right w:val="nil"/>
            </w:tcBorders>
            <w:hideMark/>
          </w:tcPr>
          <w:p w14:paraId="726ECC6C" w14:textId="77777777" w:rsidR="005A0219" w:rsidRPr="002142B8" w:rsidRDefault="005A0219" w:rsidP="005A0219">
            <w:pPr>
              <w:autoSpaceDE w:val="0"/>
              <w:autoSpaceDN w:val="0"/>
              <w:adjustRightInd w:val="0"/>
              <w:jc w:val="center"/>
              <w:rPr>
                <w:rFonts w:ascii="Georgia" w:eastAsia="Georgia" w:hAnsi="Georgia" w:cs="Arial Unicode MS"/>
                <w:sz w:val="20"/>
                <w:szCs w:val="24"/>
              </w:rPr>
            </w:pPr>
            <w:r w:rsidRPr="002142B8">
              <w:rPr>
                <w:rFonts w:ascii="Georgia" w:eastAsia="Georgia" w:hAnsi="Georgia" w:cs="Arial Unicode MS"/>
                <w:sz w:val="20"/>
                <w:szCs w:val="24"/>
              </w:rPr>
              <w:t>Eil.</w:t>
            </w:r>
          </w:p>
          <w:p w14:paraId="1FA541B3" w14:textId="77777777" w:rsidR="005A0219" w:rsidRPr="002142B8" w:rsidRDefault="005A0219" w:rsidP="005A0219">
            <w:pPr>
              <w:autoSpaceDE w:val="0"/>
              <w:autoSpaceDN w:val="0"/>
              <w:adjustRightInd w:val="0"/>
              <w:jc w:val="center"/>
              <w:rPr>
                <w:rFonts w:ascii="Georgia" w:eastAsia="Georgia" w:hAnsi="Georgia" w:cs="Arial Unicode MS"/>
                <w:sz w:val="20"/>
                <w:szCs w:val="24"/>
              </w:rPr>
            </w:pPr>
            <w:r w:rsidRPr="002142B8">
              <w:rPr>
                <w:rFonts w:ascii="Georgia" w:eastAsia="Georgia" w:hAnsi="Georgia" w:cs="Arial Unicode MS"/>
                <w:sz w:val="20"/>
                <w:szCs w:val="24"/>
              </w:rPr>
              <w:t>Nr.</w:t>
            </w:r>
          </w:p>
        </w:tc>
        <w:tc>
          <w:tcPr>
            <w:tcW w:w="1650" w:type="pct"/>
            <w:tcBorders>
              <w:top w:val="single" w:sz="8" w:space="0" w:color="D62E1C"/>
              <w:left w:val="nil"/>
              <w:bottom w:val="nil"/>
              <w:right w:val="nil"/>
            </w:tcBorders>
            <w:hideMark/>
          </w:tcPr>
          <w:p w14:paraId="21D62A40"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2142B8">
              <w:rPr>
                <w:rFonts w:ascii="Georgia" w:eastAsia="Georgia" w:hAnsi="Georgia" w:cs="Arial Unicode MS"/>
                <w:sz w:val="20"/>
                <w:szCs w:val="24"/>
              </w:rPr>
              <w:t>Rodiklis</w:t>
            </w:r>
          </w:p>
        </w:tc>
        <w:tc>
          <w:tcPr>
            <w:tcW w:w="761" w:type="pct"/>
            <w:tcBorders>
              <w:top w:val="single" w:sz="8" w:space="0" w:color="D62E1C"/>
              <w:left w:val="nil"/>
              <w:bottom w:val="nil"/>
              <w:right w:val="nil"/>
            </w:tcBorders>
            <w:hideMark/>
          </w:tcPr>
          <w:p w14:paraId="301F91E6" w14:textId="77777777" w:rsidR="005A0219" w:rsidRPr="002142B8"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2142B8">
              <w:rPr>
                <w:rFonts w:ascii="Georgia" w:eastAsia="Georgia" w:hAnsi="Georgia" w:cs="Arial Unicode MS"/>
                <w:sz w:val="20"/>
                <w:szCs w:val="24"/>
              </w:rPr>
              <w:t>Rodiklio dydis</w:t>
            </w:r>
          </w:p>
        </w:tc>
        <w:tc>
          <w:tcPr>
            <w:tcW w:w="2228" w:type="pct"/>
            <w:tcBorders>
              <w:top w:val="single" w:sz="8" w:space="0" w:color="D62E1C"/>
              <w:left w:val="nil"/>
              <w:bottom w:val="nil"/>
              <w:right w:val="single" w:sz="8" w:space="0" w:color="D62E1C"/>
            </w:tcBorders>
            <w:hideMark/>
          </w:tcPr>
          <w:p w14:paraId="462CE452" w14:textId="77777777" w:rsidR="005A0219" w:rsidRPr="002142B8" w:rsidRDefault="005A0219" w:rsidP="005A021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4"/>
              </w:rPr>
            </w:pPr>
            <w:r w:rsidRPr="002142B8">
              <w:rPr>
                <w:rFonts w:ascii="Georgia" w:eastAsia="Georgia" w:hAnsi="Georgia" w:cs="Arial Unicode MS"/>
                <w:sz w:val="20"/>
                <w:szCs w:val="24"/>
              </w:rPr>
              <w:t>Informacijos šaltinis, pagrindimas</w:t>
            </w:r>
          </w:p>
        </w:tc>
      </w:tr>
      <w:tr w:rsidR="005A0219" w:rsidRPr="002142B8" w14:paraId="715D832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right w:val="nil"/>
            </w:tcBorders>
            <w:vAlign w:val="center"/>
            <w:hideMark/>
          </w:tcPr>
          <w:p w14:paraId="059BE93A" w14:textId="77777777" w:rsidR="005A0219" w:rsidRPr="002142B8" w:rsidRDefault="005A0219" w:rsidP="005B31C6">
            <w:pPr>
              <w:autoSpaceDE w:val="0"/>
              <w:autoSpaceDN w:val="0"/>
              <w:adjustRightInd w:val="0"/>
              <w:jc w:val="center"/>
              <w:rPr>
                <w:rFonts w:ascii="Georgia" w:eastAsia="Georgia" w:hAnsi="Georgia" w:cs="Arial Unicode MS"/>
                <w:sz w:val="20"/>
                <w:szCs w:val="24"/>
              </w:rPr>
            </w:pPr>
            <w:r w:rsidRPr="002142B8">
              <w:rPr>
                <w:rFonts w:ascii="Georgia" w:eastAsia="Georgia" w:hAnsi="Georgia" w:cs="Arial Unicode MS"/>
                <w:sz w:val="20"/>
                <w:szCs w:val="24"/>
              </w:rPr>
              <w:t>1.</w:t>
            </w:r>
          </w:p>
        </w:tc>
        <w:tc>
          <w:tcPr>
            <w:tcW w:w="0" w:type="pct"/>
            <w:tcBorders>
              <w:left w:val="nil"/>
              <w:right w:val="nil"/>
            </w:tcBorders>
            <w:vAlign w:val="center"/>
            <w:hideMark/>
          </w:tcPr>
          <w:p w14:paraId="494F1503" w14:textId="77777777" w:rsidR="005A0219" w:rsidRPr="002142B8" w:rsidRDefault="005A0219" w:rsidP="005A02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Arial Unicode MS"/>
                <w:bCs/>
                <w:sz w:val="20"/>
                <w:szCs w:val="24"/>
              </w:rPr>
              <w:t>Renovuotinų šviestuvų kiekis, vnt.</w:t>
            </w:r>
          </w:p>
        </w:tc>
        <w:tc>
          <w:tcPr>
            <w:tcW w:w="0" w:type="pct"/>
            <w:tcBorders>
              <w:left w:val="nil"/>
              <w:right w:val="nil"/>
            </w:tcBorders>
            <w:vAlign w:val="center"/>
          </w:tcPr>
          <w:p w14:paraId="79E5DDBE" w14:textId="2525652F" w:rsidR="005A0219" w:rsidRPr="002142B8" w:rsidRDefault="005A0219"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p>
          <w:p w14:paraId="0278B112" w14:textId="77777777" w:rsidR="005A0219" w:rsidRPr="002142B8" w:rsidRDefault="005A0219"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Arial Unicode MS"/>
                <w:bCs/>
                <w:sz w:val="20"/>
                <w:szCs w:val="24"/>
              </w:rPr>
              <w:t>174 555</w:t>
            </w:r>
          </w:p>
          <w:p w14:paraId="6B2DBA81" w14:textId="77777777" w:rsidR="005A0219" w:rsidRPr="002142B8" w:rsidRDefault="005A0219" w:rsidP="0063781D">
            <w:pPr>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4"/>
              </w:rPr>
            </w:pPr>
          </w:p>
        </w:tc>
        <w:tc>
          <w:tcPr>
            <w:tcW w:w="0" w:type="pct"/>
            <w:tcBorders>
              <w:left w:val="nil"/>
            </w:tcBorders>
            <w:hideMark/>
          </w:tcPr>
          <w:p w14:paraId="5458E532" w14:textId="77777777" w:rsidR="005A0219" w:rsidRPr="002142B8" w:rsidRDefault="005A0219" w:rsidP="005A021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Georgia"/>
                <w:sz w:val="20"/>
                <w:szCs w:val="20"/>
              </w:rPr>
              <w:t xml:space="preserve">Pagal Energetikos ministerijos pateiktus duomenis, surinktus iš savivaldybių, neįtraukiant AB Lietuvos geležinkelių </w:t>
            </w:r>
          </w:p>
        </w:tc>
      </w:tr>
      <w:tr w:rsidR="005A0219" w:rsidRPr="002142B8" w14:paraId="3678AD4C"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vAlign w:val="center"/>
            <w:hideMark/>
          </w:tcPr>
          <w:p w14:paraId="2B7D8720" w14:textId="77777777" w:rsidR="005A0219" w:rsidRPr="002142B8" w:rsidRDefault="005A0219" w:rsidP="005B31C6">
            <w:pPr>
              <w:autoSpaceDE w:val="0"/>
              <w:autoSpaceDN w:val="0"/>
              <w:adjustRightInd w:val="0"/>
              <w:jc w:val="center"/>
              <w:rPr>
                <w:rFonts w:ascii="Georgia" w:eastAsia="Georgia" w:hAnsi="Georgia" w:cs="Georgia"/>
                <w:sz w:val="20"/>
                <w:szCs w:val="20"/>
              </w:rPr>
            </w:pPr>
            <w:r w:rsidRPr="002142B8">
              <w:rPr>
                <w:rFonts w:ascii="Georgia" w:eastAsia="Georgia" w:hAnsi="Georgia" w:cs="Georgia"/>
                <w:sz w:val="20"/>
                <w:szCs w:val="20"/>
              </w:rPr>
              <w:lastRenderedPageBreak/>
              <w:t>2.</w:t>
            </w:r>
          </w:p>
        </w:tc>
        <w:tc>
          <w:tcPr>
            <w:tcW w:w="0" w:type="pct"/>
            <w:tcBorders>
              <w:top w:val="nil"/>
              <w:left w:val="nil"/>
              <w:bottom w:val="nil"/>
              <w:right w:val="nil"/>
            </w:tcBorders>
            <w:vAlign w:val="center"/>
            <w:hideMark/>
          </w:tcPr>
          <w:p w14:paraId="09B59831" w14:textId="3DA292F2" w:rsidR="005A0219" w:rsidRPr="002142B8" w:rsidRDefault="005A0219" w:rsidP="00E234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Georgia"/>
                <w:sz w:val="20"/>
                <w:szCs w:val="20"/>
              </w:rPr>
              <w:t xml:space="preserve">Vidutiniai vieno šviestuvo pakeitimo kaštai, </w:t>
            </w:r>
            <w:r w:rsidR="00E23406" w:rsidRPr="002142B8">
              <w:rPr>
                <w:rFonts w:ascii="Georgia" w:eastAsia="Georgia" w:hAnsi="Georgia" w:cs="Georgia"/>
                <w:sz w:val="20"/>
                <w:szCs w:val="20"/>
              </w:rPr>
              <w:t>eurų</w:t>
            </w:r>
            <w:r w:rsidRPr="002142B8">
              <w:rPr>
                <w:rFonts w:ascii="Georgia" w:eastAsia="Georgia" w:hAnsi="Georgia" w:cs="Georgia"/>
                <w:sz w:val="20"/>
                <w:szCs w:val="20"/>
              </w:rPr>
              <w:t xml:space="preserve">/vnt. </w:t>
            </w:r>
          </w:p>
        </w:tc>
        <w:tc>
          <w:tcPr>
            <w:tcW w:w="0" w:type="pct"/>
            <w:tcBorders>
              <w:top w:val="nil"/>
              <w:left w:val="nil"/>
              <w:bottom w:val="nil"/>
              <w:right w:val="nil"/>
            </w:tcBorders>
            <w:vAlign w:val="center"/>
            <w:hideMark/>
          </w:tcPr>
          <w:p w14:paraId="036EF0BD" w14:textId="3803ABC1" w:rsidR="005A0219" w:rsidRPr="002142B8" w:rsidRDefault="00BD3004" w:rsidP="0063781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Arial Unicode MS"/>
                <w:bCs/>
                <w:sz w:val="20"/>
                <w:szCs w:val="24"/>
              </w:rPr>
              <w:t>684</w:t>
            </w:r>
          </w:p>
        </w:tc>
        <w:tc>
          <w:tcPr>
            <w:tcW w:w="0" w:type="pct"/>
            <w:tcBorders>
              <w:top w:val="nil"/>
              <w:left w:val="nil"/>
              <w:bottom w:val="nil"/>
              <w:right w:val="single" w:sz="8" w:space="0" w:color="D62E1C"/>
            </w:tcBorders>
            <w:hideMark/>
          </w:tcPr>
          <w:p w14:paraId="5216243A" w14:textId="77777777" w:rsidR="005A0219" w:rsidRPr="002142B8" w:rsidRDefault="005A0219" w:rsidP="005A021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Georgia"/>
                <w:sz w:val="20"/>
                <w:szCs w:val="20"/>
              </w:rPr>
              <w:t xml:space="preserve">Remiantis ENEF fondo valdytojui pateiktų garantijos gatvių apšvietimo modernizavimui paraiškų duomenimis </w:t>
            </w:r>
          </w:p>
        </w:tc>
      </w:tr>
      <w:tr w:rsidR="005A0219" w:rsidRPr="002142B8" w14:paraId="57CA5CC0"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right w:val="nil"/>
            </w:tcBorders>
            <w:vAlign w:val="center"/>
            <w:hideMark/>
          </w:tcPr>
          <w:p w14:paraId="4E9D097C" w14:textId="77777777" w:rsidR="005A0219" w:rsidRPr="002142B8" w:rsidRDefault="005A0219" w:rsidP="005B31C6">
            <w:pPr>
              <w:autoSpaceDE w:val="0"/>
              <w:autoSpaceDN w:val="0"/>
              <w:adjustRightInd w:val="0"/>
              <w:jc w:val="center"/>
              <w:rPr>
                <w:rFonts w:ascii="Georgia" w:eastAsia="Georgia" w:hAnsi="Georgia" w:cs="Georgia"/>
                <w:sz w:val="20"/>
                <w:szCs w:val="20"/>
              </w:rPr>
            </w:pPr>
            <w:r w:rsidRPr="002142B8">
              <w:rPr>
                <w:rFonts w:ascii="Georgia" w:eastAsia="Georgia" w:hAnsi="Georgia" w:cs="Georgia"/>
                <w:sz w:val="20"/>
                <w:szCs w:val="20"/>
              </w:rPr>
              <w:t>3.</w:t>
            </w:r>
          </w:p>
        </w:tc>
        <w:tc>
          <w:tcPr>
            <w:tcW w:w="0" w:type="pct"/>
            <w:tcBorders>
              <w:left w:val="nil"/>
              <w:right w:val="nil"/>
            </w:tcBorders>
            <w:vAlign w:val="center"/>
            <w:hideMark/>
          </w:tcPr>
          <w:p w14:paraId="7981C1D2" w14:textId="20EC12C6" w:rsidR="005A0219" w:rsidRPr="002142B8" w:rsidRDefault="005A0219" w:rsidP="00E234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 xml:space="preserve">Gatvių apšvietimo tinklo modernizavimo paklausa, mln. </w:t>
            </w:r>
            <w:r w:rsidR="00E23406" w:rsidRPr="002142B8">
              <w:rPr>
                <w:rFonts w:ascii="Georgia" w:eastAsia="Georgia" w:hAnsi="Georgia" w:cs="Georgia"/>
                <w:sz w:val="20"/>
                <w:szCs w:val="20"/>
              </w:rPr>
              <w:t>eurų</w:t>
            </w:r>
          </w:p>
        </w:tc>
        <w:tc>
          <w:tcPr>
            <w:tcW w:w="0" w:type="pct"/>
            <w:tcBorders>
              <w:left w:val="nil"/>
              <w:right w:val="nil"/>
            </w:tcBorders>
            <w:vAlign w:val="center"/>
            <w:hideMark/>
          </w:tcPr>
          <w:p w14:paraId="01F58516" w14:textId="7FE0CA0D" w:rsidR="005A0219" w:rsidRPr="002142B8" w:rsidRDefault="00B03E98" w:rsidP="0063781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Cs/>
                <w:sz w:val="20"/>
                <w:szCs w:val="24"/>
              </w:rPr>
            </w:pPr>
            <w:r w:rsidRPr="002142B8">
              <w:rPr>
                <w:rFonts w:ascii="Georgia" w:eastAsia="Georgia" w:hAnsi="Georgia" w:cs="Georgia"/>
                <w:sz w:val="20"/>
                <w:szCs w:val="20"/>
              </w:rPr>
              <w:t>119,4</w:t>
            </w:r>
          </w:p>
        </w:tc>
        <w:tc>
          <w:tcPr>
            <w:tcW w:w="0" w:type="pct"/>
            <w:tcBorders>
              <w:left w:val="nil"/>
            </w:tcBorders>
            <w:hideMark/>
          </w:tcPr>
          <w:p w14:paraId="42FF50C5" w14:textId="77777777" w:rsidR="005A0219" w:rsidRPr="002142B8" w:rsidRDefault="005A0219" w:rsidP="005A021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Daroma prielaidą, kad vidutinė vieno šviestuvo renovacijos kaina bus tokia pati kaip Vilniaus gatvių apšvietimo projekte</w:t>
            </w:r>
          </w:p>
        </w:tc>
      </w:tr>
    </w:tbl>
    <w:p w14:paraId="095511A9"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1F93470E" w14:textId="1B990D00"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Remiantis 13-os lentelės duomenimis, įvertinta gatvių apšvietimo modernizavimo investicijų paklausa siekia 95 mln. eurų. 2017 m. liepos mėn. VIPA atliko apklausą dėl savivaldybių poreikio gatvių apšvietimo modernizavimui naudojantis ENEF teikiamomis garantijomis projektų finansavimui. Informaciją pateikė 25 savivaldybės, iš kurių 16 nurodė, jog neplanuoja pasinaudoti ENEF garantija arba naudos kitus finansavimo šaltinius, 2 svarsto galimybę, o 7 planuoja pasinaudoti. </w:t>
      </w:r>
    </w:p>
    <w:p w14:paraId="7019A293"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566DD078" w14:textId="1DEEDCC5" w:rsidR="000264DA" w:rsidRPr="002142B8" w:rsidRDefault="000264DA" w:rsidP="000264DA">
      <w:pPr>
        <w:autoSpaceDE w:val="0"/>
        <w:autoSpaceDN w:val="0"/>
        <w:adjustRightInd w:val="0"/>
        <w:spacing w:after="0"/>
        <w:jc w:val="both"/>
        <w:rPr>
          <w:rFonts w:ascii="Georgia" w:hAnsi="Georgia" w:cs="Georgia"/>
          <w:color w:val="FF0000"/>
          <w:sz w:val="20"/>
          <w:szCs w:val="20"/>
          <w:lang w:val="lt-LT"/>
        </w:rPr>
      </w:pPr>
      <w:r w:rsidRPr="002142B8">
        <w:rPr>
          <w:rFonts w:ascii="Georgia" w:hAnsi="Georgia" w:cs="Georgia"/>
          <w:sz w:val="20"/>
          <w:szCs w:val="20"/>
          <w:lang w:val="lt-LT"/>
        </w:rPr>
        <w:t>Pagal savivaldybių pateiktus duomenis, didžiausią poreikį investicijoms gatvių apšvietimo modernizavimui nurodė Kauno miesto (14 mln. eurų 2018-2019</w:t>
      </w:r>
      <w:r w:rsidR="00A93D12" w:rsidRPr="002142B8">
        <w:rPr>
          <w:rFonts w:ascii="Georgia" w:hAnsi="Georgia" w:cs="Georgia"/>
          <w:sz w:val="20"/>
          <w:szCs w:val="20"/>
          <w:lang w:val="lt-LT"/>
        </w:rPr>
        <w:t xml:space="preserve"> m.</w:t>
      </w:r>
      <w:r w:rsidRPr="002142B8">
        <w:rPr>
          <w:rStyle w:val="Puslapioinaosnuoroda"/>
          <w:rFonts w:ascii="Georgia" w:hAnsi="Georgia" w:cs="Georgia"/>
          <w:sz w:val="20"/>
          <w:szCs w:val="20"/>
          <w:lang w:val="lt-LT"/>
        </w:rPr>
        <w:footnoteReference w:id="22"/>
      </w:r>
      <w:r w:rsidRPr="002142B8">
        <w:rPr>
          <w:rFonts w:ascii="Georgia" w:hAnsi="Georgia" w:cs="Georgia"/>
          <w:sz w:val="20"/>
          <w:szCs w:val="20"/>
          <w:lang w:val="lt-LT"/>
        </w:rPr>
        <w:t>), Klaipėdos miesto (5 mln. eurų 2018-2019</w:t>
      </w:r>
      <w:r w:rsidR="00A93D12" w:rsidRPr="002142B8">
        <w:rPr>
          <w:rFonts w:ascii="Georgia" w:hAnsi="Georgia" w:cs="Georgia"/>
          <w:sz w:val="20"/>
          <w:szCs w:val="20"/>
          <w:lang w:val="lt-LT"/>
        </w:rPr>
        <w:t xml:space="preserve"> m.</w:t>
      </w:r>
      <w:r w:rsidRPr="002142B8">
        <w:rPr>
          <w:rStyle w:val="Puslapioinaosnuoroda"/>
          <w:rFonts w:ascii="Georgia" w:hAnsi="Georgia" w:cs="Georgia"/>
          <w:sz w:val="20"/>
          <w:szCs w:val="20"/>
          <w:lang w:val="lt-LT"/>
        </w:rPr>
        <w:footnoteReference w:id="23"/>
      </w:r>
      <w:r w:rsidRPr="002142B8">
        <w:rPr>
          <w:rFonts w:ascii="Georgia" w:hAnsi="Georgia" w:cs="Georgia"/>
          <w:sz w:val="20"/>
          <w:szCs w:val="20"/>
          <w:lang w:val="lt-LT"/>
        </w:rPr>
        <w:t>), Šiaulių miesto (2 mln. eurų</w:t>
      </w:r>
      <w:r w:rsidRPr="002142B8">
        <w:rPr>
          <w:rStyle w:val="Puslapioinaosnuoroda"/>
          <w:rFonts w:ascii="Georgia" w:hAnsi="Georgia" w:cs="Georgia"/>
          <w:sz w:val="20"/>
          <w:szCs w:val="20"/>
          <w:lang w:val="lt-LT"/>
        </w:rPr>
        <w:footnoteReference w:id="24"/>
      </w:r>
      <w:r w:rsidRPr="002142B8">
        <w:rPr>
          <w:rFonts w:ascii="Georgia" w:hAnsi="Georgia" w:cs="Georgia"/>
          <w:sz w:val="20"/>
          <w:szCs w:val="20"/>
          <w:lang w:val="lt-LT"/>
        </w:rPr>
        <w:t>),</w:t>
      </w:r>
      <w:r w:rsidRPr="002142B8">
        <w:rPr>
          <w:rFonts w:ascii="Georgia" w:hAnsi="Georgia" w:cs="Georgia"/>
          <w:color w:val="FF0000"/>
          <w:sz w:val="20"/>
          <w:szCs w:val="20"/>
          <w:lang w:val="lt-LT"/>
        </w:rPr>
        <w:t xml:space="preserve"> </w:t>
      </w:r>
      <w:r w:rsidRPr="002142B8">
        <w:rPr>
          <w:rFonts w:ascii="Georgia" w:hAnsi="Georgia" w:cs="Georgia"/>
          <w:sz w:val="20"/>
          <w:szCs w:val="20"/>
          <w:lang w:val="lt-LT"/>
        </w:rPr>
        <w:t>Panevėžio (2 mln. eurų</w:t>
      </w:r>
      <w:r w:rsidRPr="002142B8">
        <w:rPr>
          <w:rStyle w:val="Puslapioinaosnuoroda"/>
          <w:rFonts w:ascii="Georgia" w:hAnsi="Georgia" w:cs="Georgia"/>
          <w:sz w:val="20"/>
          <w:szCs w:val="20"/>
          <w:lang w:val="lt-LT"/>
        </w:rPr>
        <w:footnoteReference w:id="25"/>
      </w:r>
      <w:r w:rsidRPr="002142B8">
        <w:rPr>
          <w:rFonts w:ascii="Georgia" w:hAnsi="Georgia" w:cs="Georgia"/>
          <w:sz w:val="20"/>
          <w:szCs w:val="20"/>
          <w:lang w:val="lt-LT"/>
        </w:rPr>
        <w:t>), Marijampolės (apie 563 tūkst. eurų</w:t>
      </w:r>
      <w:r w:rsidRPr="002142B8">
        <w:rPr>
          <w:rStyle w:val="Puslapioinaosnuoroda"/>
          <w:rFonts w:ascii="Georgia" w:hAnsi="Georgia" w:cs="Georgia"/>
          <w:sz w:val="20"/>
          <w:szCs w:val="20"/>
          <w:lang w:val="lt-LT"/>
        </w:rPr>
        <w:footnoteReference w:id="26"/>
      </w:r>
      <w:r w:rsidRPr="002142B8">
        <w:rPr>
          <w:rFonts w:ascii="Georgia" w:hAnsi="Georgia" w:cs="Georgia"/>
          <w:sz w:val="20"/>
          <w:szCs w:val="20"/>
          <w:lang w:val="lt-LT"/>
        </w:rPr>
        <w:t>), Ukmergės (508 tūkst. eurų</w:t>
      </w:r>
      <w:r w:rsidRPr="002142B8">
        <w:rPr>
          <w:rFonts w:ascii="Georgia" w:hAnsi="Georgia" w:cs="Georgia"/>
          <w:color w:val="FF0000"/>
          <w:sz w:val="20"/>
          <w:szCs w:val="20"/>
          <w:lang w:val="lt-LT"/>
        </w:rPr>
        <w:t xml:space="preserve"> </w:t>
      </w:r>
      <w:r w:rsidRPr="002142B8">
        <w:rPr>
          <w:rStyle w:val="Puslapioinaosnuoroda"/>
          <w:rFonts w:ascii="Georgia" w:hAnsi="Georgia" w:cs="Georgia"/>
          <w:sz w:val="20"/>
          <w:szCs w:val="20"/>
          <w:lang w:val="lt-LT"/>
        </w:rPr>
        <w:footnoteReference w:id="27"/>
      </w:r>
      <w:r w:rsidRPr="002142B8">
        <w:rPr>
          <w:rFonts w:ascii="Georgia" w:hAnsi="Georgia" w:cs="Georgia"/>
          <w:sz w:val="20"/>
          <w:szCs w:val="20"/>
          <w:lang w:val="lt-LT"/>
        </w:rPr>
        <w:t xml:space="preserve">) ir Vilniaus rajono (1,66 mln. eurų 2016-2020 </w:t>
      </w:r>
      <w:r w:rsidR="00A93D12" w:rsidRPr="002142B8">
        <w:rPr>
          <w:rFonts w:ascii="Georgia" w:hAnsi="Georgia" w:cs="Georgia"/>
          <w:sz w:val="20"/>
          <w:szCs w:val="20"/>
          <w:lang w:val="lt-LT"/>
        </w:rPr>
        <w:t>m.</w:t>
      </w:r>
      <w:r w:rsidRPr="002142B8">
        <w:rPr>
          <w:rStyle w:val="Puslapioinaosnuoroda"/>
          <w:rFonts w:ascii="Georgia" w:hAnsi="Georgia" w:cs="Georgia"/>
          <w:sz w:val="20"/>
          <w:szCs w:val="20"/>
          <w:lang w:val="lt-LT"/>
        </w:rPr>
        <w:footnoteReference w:id="28"/>
      </w:r>
      <w:r w:rsidRPr="002142B8">
        <w:rPr>
          <w:rFonts w:ascii="Georgia" w:hAnsi="Georgia" w:cs="Georgia"/>
          <w:sz w:val="20"/>
          <w:szCs w:val="20"/>
          <w:lang w:val="lt-LT"/>
        </w:rPr>
        <w:t>)</w:t>
      </w:r>
      <w:r w:rsidRPr="002142B8">
        <w:rPr>
          <w:rFonts w:ascii="Georgia" w:hAnsi="Georgia" w:cs="Georgia"/>
          <w:color w:val="FF0000"/>
          <w:sz w:val="20"/>
          <w:szCs w:val="20"/>
          <w:lang w:val="lt-LT"/>
        </w:rPr>
        <w:t xml:space="preserve"> </w:t>
      </w:r>
      <w:r w:rsidRPr="002142B8">
        <w:rPr>
          <w:rFonts w:ascii="Georgia" w:hAnsi="Georgia" w:cs="Georgia"/>
          <w:sz w:val="20"/>
          <w:szCs w:val="20"/>
          <w:lang w:val="lt-LT"/>
        </w:rPr>
        <w:t xml:space="preserve">savivaldybės. </w:t>
      </w:r>
    </w:p>
    <w:p w14:paraId="75B0AAF0" w14:textId="572C192D" w:rsidR="005A0219" w:rsidRPr="002142B8" w:rsidRDefault="005A0219" w:rsidP="00162BF5">
      <w:pPr>
        <w:keepNext/>
        <w:keepLines/>
        <w:numPr>
          <w:ilvl w:val="3"/>
          <w:numId w:val="37"/>
        </w:numPr>
        <w:spacing w:before="200" w:after="0" w:line="240" w:lineRule="auto"/>
        <w:ind w:hanging="1298"/>
        <w:outlineLvl w:val="1"/>
        <w:rPr>
          <w:rFonts w:ascii="Georgia" w:eastAsia="Times New Roman" w:hAnsi="Georgia" w:cs="Arial Unicode MS"/>
          <w:b/>
          <w:i/>
          <w:color w:val="821A1A"/>
          <w:sz w:val="32"/>
          <w:szCs w:val="26"/>
          <w:lang w:val="lt-LT"/>
        </w:rPr>
      </w:pPr>
      <w:bookmarkStart w:id="88" w:name="_Toc25589898"/>
      <w:r w:rsidRPr="002142B8">
        <w:rPr>
          <w:rFonts w:ascii="Georgia" w:eastAsia="Times New Roman" w:hAnsi="Georgia" w:cs="Arial Unicode MS"/>
          <w:b/>
          <w:i/>
          <w:color w:val="821A1A"/>
          <w:sz w:val="32"/>
          <w:szCs w:val="26"/>
          <w:lang w:val="lt-LT"/>
        </w:rPr>
        <w:t>Investicijų paklausos apibendrinti duomenys</w:t>
      </w:r>
      <w:bookmarkEnd w:id="88"/>
    </w:p>
    <w:p w14:paraId="159A9F18" w14:textId="77777777" w:rsidR="005A0219" w:rsidRPr="002142B8" w:rsidRDefault="005A0219" w:rsidP="005A0219">
      <w:pPr>
        <w:spacing w:after="160" w:line="240" w:lineRule="auto"/>
        <w:rPr>
          <w:rFonts w:ascii="Georgia" w:eastAsia="Georgia" w:hAnsi="Georgia" w:cs="Arial Unicode MS"/>
          <w:sz w:val="20"/>
          <w:szCs w:val="20"/>
          <w:lang w:val="lt-LT"/>
        </w:rPr>
      </w:pPr>
    </w:p>
    <w:p w14:paraId="67D61064" w14:textId="77777777" w:rsidR="005A0219" w:rsidRPr="002142B8" w:rsidRDefault="005A0219" w:rsidP="005A0219">
      <w:pPr>
        <w:spacing w:after="160" w:line="240" w:lineRule="auto"/>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Lentelė žemiau apibendrina paklausos duomenis visiems infrastruktūros tipams. </w:t>
      </w:r>
    </w:p>
    <w:p w14:paraId="1A3FC0C5" w14:textId="5FA595F7" w:rsidR="005A0219" w:rsidRPr="002142B8" w:rsidRDefault="005A0219" w:rsidP="005A0219">
      <w:pPr>
        <w:spacing w:after="120" w:line="240" w:lineRule="auto"/>
        <w:jc w:val="both"/>
        <w:rPr>
          <w:rFonts w:ascii="Georgia" w:eastAsia="Georgia" w:hAnsi="Georgia" w:cs="Times New Roman"/>
          <w:i/>
          <w:iCs/>
          <w:color w:val="821A1A"/>
          <w:sz w:val="20"/>
          <w:szCs w:val="18"/>
          <w:lang w:val="lt-LT"/>
        </w:rPr>
      </w:pPr>
      <w:bookmarkStart w:id="89" w:name="_Toc507939140"/>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18</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Paklausos apibendrinimas visiems infrastruktūros tipams</w:t>
      </w:r>
      <w:bookmarkEnd w:id="89"/>
      <w:r w:rsidRPr="002142B8">
        <w:rPr>
          <w:rFonts w:ascii="Georgia" w:eastAsia="Georgia" w:hAnsi="Georgia" w:cs="Georgia"/>
          <w:i/>
          <w:iCs/>
          <w:color w:val="821A1A"/>
          <w:sz w:val="20"/>
          <w:szCs w:val="20"/>
          <w:lang w:val="lt-LT"/>
        </w:rPr>
        <w:t xml:space="preserve"> </w:t>
      </w:r>
    </w:p>
    <w:tbl>
      <w:tblPr>
        <w:tblStyle w:val="LightList-Accent21"/>
        <w:tblW w:w="9180" w:type="dxa"/>
        <w:tblLook w:val="04A0" w:firstRow="1" w:lastRow="0" w:firstColumn="1" w:lastColumn="0" w:noHBand="0" w:noVBand="1"/>
      </w:tblPr>
      <w:tblGrid>
        <w:gridCol w:w="2897"/>
        <w:gridCol w:w="1951"/>
        <w:gridCol w:w="1951"/>
        <w:gridCol w:w="2381"/>
      </w:tblGrid>
      <w:tr w:rsidR="005A0219" w:rsidRPr="002142B8" w14:paraId="5AC18C71" w14:textId="77777777" w:rsidTr="00D95F6B">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897" w:type="dxa"/>
            <w:hideMark/>
          </w:tcPr>
          <w:p w14:paraId="1AD30363" w14:textId="77777777" w:rsidR="005A0219" w:rsidRPr="002142B8" w:rsidRDefault="005A0219" w:rsidP="005A0219">
            <w:pP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Infrastruktūros tipas</w:t>
            </w:r>
          </w:p>
          <w:p w14:paraId="2C359AD3" w14:textId="77777777" w:rsidR="005A0219" w:rsidRPr="002142B8" w:rsidRDefault="005A0219" w:rsidP="005A0219">
            <w:pPr>
              <w:jc w:val="cente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 </w:t>
            </w:r>
          </w:p>
        </w:tc>
        <w:tc>
          <w:tcPr>
            <w:tcW w:w="1951" w:type="dxa"/>
            <w:hideMark/>
          </w:tcPr>
          <w:p w14:paraId="1F814A6D" w14:textId="20E7AC43" w:rsidR="005A0219" w:rsidRPr="002142B8" w:rsidRDefault="00D95F6B"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Investicijų paklausa, mln. eurų</w:t>
            </w:r>
            <w:r w:rsidR="005A0219" w:rsidRPr="002142B8">
              <w:rPr>
                <w:rFonts w:ascii="Georgia" w:eastAsia="Times New Roman" w:hAnsi="Georgia" w:cs="Times New Roman"/>
                <w:sz w:val="20"/>
                <w:szCs w:val="20"/>
                <w:lang w:eastAsia="lt-LT"/>
              </w:rPr>
              <w:t xml:space="preserve"> </w:t>
            </w:r>
          </w:p>
          <w:p w14:paraId="3E10ECCC" w14:textId="2096CC25" w:rsidR="005A0219" w:rsidRPr="002142B8" w:rsidRDefault="00D95F6B"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Pradinė ataskaita</w:t>
            </w:r>
          </w:p>
        </w:tc>
        <w:tc>
          <w:tcPr>
            <w:tcW w:w="1951" w:type="dxa"/>
            <w:hideMark/>
          </w:tcPr>
          <w:p w14:paraId="2A59269A" w14:textId="60F8B0A1"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 xml:space="preserve">Investicijų paklausa, mln. </w:t>
            </w:r>
            <w:r w:rsidR="00BB79B7">
              <w:rPr>
                <w:rFonts w:ascii="Georgia" w:eastAsia="Times New Roman" w:hAnsi="Georgia" w:cs="Times New Roman"/>
                <w:sz w:val="20"/>
                <w:szCs w:val="20"/>
                <w:lang w:eastAsia="lt-LT"/>
              </w:rPr>
              <w:t>eurų</w:t>
            </w:r>
          </w:p>
          <w:p w14:paraId="392AA947" w14:textId="3296027C"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c>
          <w:tcPr>
            <w:tcW w:w="2381" w:type="dxa"/>
            <w:hideMark/>
          </w:tcPr>
          <w:p w14:paraId="34ACDFA3" w14:textId="3F9CEE13"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 xml:space="preserve">Skirtumas, mln. </w:t>
            </w:r>
            <w:r w:rsidR="00BB79B7">
              <w:rPr>
                <w:rFonts w:ascii="Georgia" w:eastAsia="Times New Roman" w:hAnsi="Georgia" w:cs="Times New Roman"/>
                <w:sz w:val="20"/>
                <w:szCs w:val="20"/>
                <w:lang w:eastAsia="lt-LT"/>
              </w:rPr>
              <w:t>eurų</w:t>
            </w:r>
          </w:p>
          <w:p w14:paraId="670C37B2"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r w:rsidR="005A0219" w:rsidRPr="002142B8" w14:paraId="0EA17D97" w14:textId="77777777" w:rsidTr="00D95F6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97" w:type="dxa"/>
            <w:hideMark/>
          </w:tcPr>
          <w:p w14:paraId="4E35B0A7" w14:textId="77777777" w:rsidR="005A0219" w:rsidRPr="002142B8" w:rsidRDefault="005A0219" w:rsidP="005A0219">
            <w:pPr>
              <w:rPr>
                <w:rFonts w:ascii="Georgia" w:eastAsia="Times New Roman" w:hAnsi="Georgia" w:cs="Times New Roman"/>
                <w:b w:val="0"/>
                <w:color w:val="000000"/>
                <w:sz w:val="20"/>
                <w:szCs w:val="20"/>
                <w:lang w:eastAsia="lt-LT"/>
              </w:rPr>
            </w:pPr>
            <w:r w:rsidRPr="002142B8">
              <w:rPr>
                <w:rFonts w:ascii="Georgia" w:eastAsia="Times New Roman" w:hAnsi="Georgia" w:cs="Times New Roman"/>
                <w:color w:val="000000"/>
                <w:sz w:val="20"/>
                <w:szCs w:val="20"/>
                <w:lang w:eastAsia="lt-LT"/>
              </w:rPr>
              <w:t>Centrinės valdžios pastatų modernizavimas</w:t>
            </w:r>
          </w:p>
        </w:tc>
        <w:tc>
          <w:tcPr>
            <w:tcW w:w="1951" w:type="dxa"/>
            <w:hideMark/>
          </w:tcPr>
          <w:p w14:paraId="7CC6DC3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Georgia"/>
                <w:color w:val="000000"/>
                <w:sz w:val="20"/>
                <w:szCs w:val="20"/>
                <w:lang w:eastAsia="lt-LT"/>
              </w:rPr>
              <w:t>169,7</w:t>
            </w:r>
          </w:p>
        </w:tc>
        <w:tc>
          <w:tcPr>
            <w:tcW w:w="1951" w:type="dxa"/>
            <w:hideMark/>
          </w:tcPr>
          <w:p w14:paraId="73FA48B9"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Georgia"/>
                <w:color w:val="000000"/>
                <w:sz w:val="20"/>
                <w:szCs w:val="20"/>
                <w:lang w:eastAsia="lt-LT"/>
              </w:rPr>
              <w:t>610,3</w:t>
            </w:r>
          </w:p>
        </w:tc>
        <w:tc>
          <w:tcPr>
            <w:tcW w:w="2381" w:type="dxa"/>
            <w:hideMark/>
          </w:tcPr>
          <w:p w14:paraId="63C4C409" w14:textId="59B3E68E" w:rsidR="005A0219" w:rsidRPr="002142B8" w:rsidRDefault="00630933"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Pr>
                <w:rFonts w:ascii="Georgia" w:eastAsia="Times New Roman" w:hAnsi="Georgia" w:cs="Georgia"/>
                <w:color w:val="000000"/>
                <w:sz w:val="20"/>
                <w:szCs w:val="20"/>
                <w:lang w:eastAsia="lt-LT"/>
              </w:rPr>
              <w:t>+</w:t>
            </w:r>
            <w:r w:rsidR="005A0219" w:rsidRPr="002142B8">
              <w:rPr>
                <w:rFonts w:ascii="Georgia" w:eastAsia="Times New Roman" w:hAnsi="Georgia" w:cs="Georgia"/>
                <w:color w:val="000000"/>
                <w:sz w:val="20"/>
                <w:szCs w:val="20"/>
                <w:lang w:eastAsia="lt-LT"/>
              </w:rPr>
              <w:t>440,6</w:t>
            </w:r>
          </w:p>
        </w:tc>
      </w:tr>
      <w:tr w:rsidR="005A0219" w:rsidRPr="002142B8" w14:paraId="795F61DB" w14:textId="77777777" w:rsidTr="00D95F6B">
        <w:trPr>
          <w:trHeight w:val="525"/>
        </w:trPr>
        <w:tc>
          <w:tcPr>
            <w:cnfStyle w:val="001000000000" w:firstRow="0" w:lastRow="0" w:firstColumn="1" w:lastColumn="0" w:oddVBand="0" w:evenVBand="0" w:oddHBand="0" w:evenHBand="0" w:firstRowFirstColumn="0" w:firstRowLastColumn="0" w:lastRowFirstColumn="0" w:lastRowLastColumn="0"/>
            <w:tcW w:w="2897" w:type="dxa"/>
            <w:hideMark/>
          </w:tcPr>
          <w:p w14:paraId="645BC80B" w14:textId="77777777" w:rsidR="005A0219" w:rsidRPr="002142B8" w:rsidRDefault="005A0219" w:rsidP="005A0219">
            <w:pPr>
              <w:rPr>
                <w:rFonts w:ascii="Georgia" w:eastAsia="Times New Roman" w:hAnsi="Georgia" w:cs="Times New Roman"/>
                <w:b w:val="0"/>
                <w:color w:val="000000"/>
                <w:sz w:val="20"/>
                <w:szCs w:val="20"/>
                <w:lang w:eastAsia="lt-LT"/>
              </w:rPr>
            </w:pPr>
            <w:r w:rsidRPr="002142B8">
              <w:rPr>
                <w:rFonts w:ascii="Georgia" w:eastAsia="Times New Roman" w:hAnsi="Georgia" w:cs="Times New Roman"/>
                <w:color w:val="000000"/>
                <w:sz w:val="20"/>
                <w:szCs w:val="20"/>
                <w:lang w:eastAsia="lt-LT"/>
              </w:rPr>
              <w:t>Savivaldybių viešųjų pastatų modernizavimas</w:t>
            </w:r>
          </w:p>
        </w:tc>
        <w:tc>
          <w:tcPr>
            <w:tcW w:w="1951" w:type="dxa"/>
            <w:hideMark/>
          </w:tcPr>
          <w:p w14:paraId="3016450F"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234,6</w:t>
            </w:r>
          </w:p>
        </w:tc>
        <w:tc>
          <w:tcPr>
            <w:tcW w:w="1951" w:type="dxa"/>
            <w:hideMark/>
          </w:tcPr>
          <w:p w14:paraId="61641BFA"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298,6</w:t>
            </w:r>
          </w:p>
        </w:tc>
        <w:tc>
          <w:tcPr>
            <w:tcW w:w="2381" w:type="dxa"/>
            <w:hideMark/>
          </w:tcPr>
          <w:p w14:paraId="58922341" w14:textId="65A0A9A7" w:rsidR="005A0219" w:rsidRPr="002142B8" w:rsidRDefault="00630933"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Pr>
                <w:rFonts w:ascii="Georgia" w:eastAsia="Times New Roman" w:hAnsi="Georgia" w:cs="Georgia"/>
                <w:color w:val="000000"/>
                <w:sz w:val="20"/>
                <w:szCs w:val="20"/>
                <w:lang w:eastAsia="lt-LT"/>
              </w:rPr>
              <w:t>+</w:t>
            </w:r>
            <w:r w:rsidR="005A0219" w:rsidRPr="002142B8">
              <w:rPr>
                <w:rFonts w:ascii="Georgia" w:eastAsia="Times New Roman" w:hAnsi="Georgia" w:cs="Georgia"/>
                <w:color w:val="000000"/>
                <w:sz w:val="20"/>
                <w:szCs w:val="20"/>
                <w:lang w:eastAsia="lt-LT"/>
              </w:rPr>
              <w:t>64,0</w:t>
            </w:r>
          </w:p>
        </w:tc>
      </w:tr>
      <w:tr w:rsidR="005A0219" w:rsidRPr="002142B8" w14:paraId="41CEC75E" w14:textId="77777777" w:rsidTr="00D95F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5B3A0851" w14:textId="77777777" w:rsidR="005A0219" w:rsidRPr="002142B8" w:rsidRDefault="005A0219" w:rsidP="005A0219">
            <w:pPr>
              <w:rPr>
                <w:rFonts w:ascii="Georgia" w:eastAsia="Times New Roman" w:hAnsi="Georgia" w:cs="Times New Roman"/>
                <w:b w:val="0"/>
                <w:color w:val="000000"/>
                <w:sz w:val="20"/>
                <w:szCs w:val="20"/>
                <w:lang w:eastAsia="lt-LT"/>
              </w:rPr>
            </w:pPr>
            <w:r w:rsidRPr="002142B8">
              <w:rPr>
                <w:rFonts w:ascii="Georgia" w:eastAsia="Times New Roman" w:hAnsi="Georgia" w:cs="Times New Roman"/>
                <w:color w:val="000000"/>
                <w:sz w:val="20"/>
                <w:szCs w:val="20"/>
                <w:lang w:eastAsia="lt-LT"/>
              </w:rPr>
              <w:t>Daugiabučių modernizavimas</w:t>
            </w:r>
          </w:p>
        </w:tc>
        <w:tc>
          <w:tcPr>
            <w:tcW w:w="1951" w:type="dxa"/>
            <w:hideMark/>
          </w:tcPr>
          <w:p w14:paraId="5C5DEBB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Georgia"/>
                <w:color w:val="000000"/>
                <w:sz w:val="20"/>
                <w:szCs w:val="20"/>
                <w:lang w:eastAsia="lt-LT"/>
              </w:rPr>
              <w:t>1 347,3</w:t>
            </w:r>
          </w:p>
        </w:tc>
        <w:tc>
          <w:tcPr>
            <w:tcW w:w="1951" w:type="dxa"/>
            <w:hideMark/>
          </w:tcPr>
          <w:p w14:paraId="1A286841" w14:textId="3E4FD480"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Georgia"/>
                <w:color w:val="000000"/>
                <w:sz w:val="20"/>
                <w:szCs w:val="20"/>
                <w:lang w:eastAsia="lt-LT"/>
              </w:rPr>
              <w:t>1</w:t>
            </w:r>
            <w:r w:rsidR="00D95F6B" w:rsidRPr="002142B8">
              <w:rPr>
                <w:rFonts w:ascii="Georgia" w:eastAsia="Times New Roman" w:hAnsi="Georgia" w:cs="Georgia"/>
                <w:color w:val="000000"/>
                <w:sz w:val="20"/>
                <w:szCs w:val="20"/>
                <w:lang w:eastAsia="lt-LT"/>
              </w:rPr>
              <w:t xml:space="preserve"> </w:t>
            </w:r>
            <w:r w:rsidRPr="002142B8">
              <w:rPr>
                <w:rFonts w:ascii="Georgia" w:eastAsia="Times New Roman" w:hAnsi="Georgia" w:cs="Georgia"/>
                <w:color w:val="000000"/>
                <w:sz w:val="20"/>
                <w:szCs w:val="20"/>
                <w:lang w:eastAsia="lt-LT"/>
              </w:rPr>
              <w:t>063,4</w:t>
            </w:r>
          </w:p>
        </w:tc>
        <w:tc>
          <w:tcPr>
            <w:tcW w:w="2381" w:type="dxa"/>
            <w:hideMark/>
          </w:tcPr>
          <w:p w14:paraId="1B3455DD"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-283,9</w:t>
            </w:r>
          </w:p>
        </w:tc>
      </w:tr>
      <w:tr w:rsidR="005A0219" w:rsidRPr="002142B8" w14:paraId="5E6286CD" w14:textId="77777777" w:rsidTr="00D95F6B">
        <w:trPr>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34C330F3" w14:textId="77777777" w:rsidR="005A0219" w:rsidRPr="002142B8" w:rsidRDefault="005A0219" w:rsidP="005A0219">
            <w:pPr>
              <w:rPr>
                <w:rFonts w:ascii="Georgia" w:eastAsia="Times New Roman" w:hAnsi="Georgia" w:cs="Times New Roman"/>
                <w:b w:val="0"/>
                <w:color w:val="000000"/>
                <w:sz w:val="20"/>
                <w:szCs w:val="20"/>
                <w:lang w:eastAsia="lt-LT"/>
              </w:rPr>
            </w:pPr>
            <w:r w:rsidRPr="002142B8">
              <w:rPr>
                <w:rFonts w:ascii="Georgia" w:eastAsia="Times New Roman" w:hAnsi="Georgia" w:cs="Times New Roman"/>
                <w:color w:val="000000"/>
                <w:sz w:val="20"/>
                <w:szCs w:val="20"/>
                <w:lang w:eastAsia="lt-LT"/>
              </w:rPr>
              <w:t>Gatvių apšvietimo modernizavimas</w:t>
            </w:r>
          </w:p>
        </w:tc>
        <w:tc>
          <w:tcPr>
            <w:tcW w:w="1951" w:type="dxa"/>
            <w:vAlign w:val="center"/>
            <w:hideMark/>
          </w:tcPr>
          <w:p w14:paraId="3F399EE9"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95,1</w:t>
            </w:r>
          </w:p>
        </w:tc>
        <w:tc>
          <w:tcPr>
            <w:tcW w:w="1951" w:type="dxa"/>
            <w:vAlign w:val="center"/>
            <w:hideMark/>
          </w:tcPr>
          <w:p w14:paraId="2092392C" w14:textId="59B16384" w:rsidR="005A0219" w:rsidRPr="002142B8" w:rsidRDefault="00190AA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119</w:t>
            </w:r>
            <w:r w:rsidR="005A0219" w:rsidRPr="002142B8">
              <w:rPr>
                <w:rFonts w:ascii="Georgia" w:eastAsia="Times New Roman" w:hAnsi="Georgia" w:cs="Times New Roman"/>
                <w:color w:val="000000"/>
                <w:sz w:val="20"/>
                <w:szCs w:val="20"/>
                <w:lang w:eastAsia="lt-LT"/>
              </w:rPr>
              <w:t>,</w:t>
            </w:r>
            <w:r w:rsidRPr="002142B8">
              <w:rPr>
                <w:rFonts w:ascii="Georgia" w:eastAsia="Times New Roman" w:hAnsi="Georgia" w:cs="Times New Roman"/>
                <w:color w:val="000000"/>
                <w:sz w:val="20"/>
                <w:szCs w:val="20"/>
                <w:lang w:eastAsia="lt-LT"/>
              </w:rPr>
              <w:t>4</w:t>
            </w:r>
          </w:p>
        </w:tc>
        <w:tc>
          <w:tcPr>
            <w:tcW w:w="2381" w:type="dxa"/>
            <w:vAlign w:val="center"/>
            <w:hideMark/>
          </w:tcPr>
          <w:p w14:paraId="24A80F5F" w14:textId="107F906F" w:rsidR="005A0219" w:rsidRPr="002142B8" w:rsidRDefault="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w:t>
            </w:r>
            <w:r w:rsidR="00190AA0" w:rsidRPr="002142B8">
              <w:rPr>
                <w:rFonts w:ascii="Georgia" w:eastAsia="Times New Roman" w:hAnsi="Georgia" w:cs="Times New Roman"/>
                <w:color w:val="000000"/>
                <w:sz w:val="20"/>
                <w:szCs w:val="20"/>
                <w:lang w:eastAsia="lt-LT"/>
              </w:rPr>
              <w:t>24</w:t>
            </w:r>
            <w:r w:rsidRPr="002142B8">
              <w:rPr>
                <w:rFonts w:ascii="Georgia" w:eastAsia="Times New Roman" w:hAnsi="Georgia" w:cs="Times New Roman"/>
                <w:color w:val="000000"/>
                <w:sz w:val="20"/>
                <w:szCs w:val="20"/>
                <w:lang w:eastAsia="lt-LT"/>
              </w:rPr>
              <w:t>,</w:t>
            </w:r>
            <w:r w:rsidR="00190AA0" w:rsidRPr="002142B8">
              <w:rPr>
                <w:rFonts w:ascii="Georgia" w:eastAsia="Times New Roman" w:hAnsi="Georgia" w:cs="Times New Roman"/>
                <w:color w:val="000000"/>
                <w:sz w:val="20"/>
                <w:szCs w:val="20"/>
                <w:lang w:eastAsia="lt-LT"/>
              </w:rPr>
              <w:t>3</w:t>
            </w:r>
          </w:p>
        </w:tc>
      </w:tr>
      <w:tr w:rsidR="005A0219" w:rsidRPr="002142B8" w14:paraId="330A5282" w14:textId="77777777" w:rsidTr="00D95F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7" w:type="dxa"/>
            <w:hideMark/>
          </w:tcPr>
          <w:p w14:paraId="04DA57C5" w14:textId="6F984569" w:rsidR="005A0219" w:rsidRPr="002142B8" w:rsidRDefault="00E23406" w:rsidP="005A0219">
            <w:pPr>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Iš viso</w:t>
            </w:r>
          </w:p>
        </w:tc>
        <w:tc>
          <w:tcPr>
            <w:tcW w:w="1951" w:type="dxa"/>
            <w:hideMark/>
          </w:tcPr>
          <w:p w14:paraId="4765C64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1 846,7</w:t>
            </w:r>
          </w:p>
        </w:tc>
        <w:tc>
          <w:tcPr>
            <w:tcW w:w="1951" w:type="dxa"/>
            <w:hideMark/>
          </w:tcPr>
          <w:p w14:paraId="26739377"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2 082,3</w:t>
            </w:r>
          </w:p>
        </w:tc>
        <w:tc>
          <w:tcPr>
            <w:tcW w:w="2381" w:type="dxa"/>
            <w:hideMark/>
          </w:tcPr>
          <w:p w14:paraId="3AED0CA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235,6</w:t>
            </w:r>
          </w:p>
        </w:tc>
      </w:tr>
    </w:tbl>
    <w:p w14:paraId="2E0C0CC9" w14:textId="77777777" w:rsidR="005A0219" w:rsidRPr="002142B8" w:rsidRDefault="005A0219" w:rsidP="005A0219">
      <w:pPr>
        <w:spacing w:after="160" w:line="240" w:lineRule="auto"/>
        <w:jc w:val="both"/>
        <w:rPr>
          <w:rFonts w:ascii="Georgia" w:eastAsia="Georgia" w:hAnsi="Georgia" w:cs="Georgia"/>
          <w:b/>
          <w:iCs/>
          <w:color w:val="821A1A"/>
          <w:sz w:val="20"/>
          <w:szCs w:val="20"/>
          <w:lang w:val="lt-LT"/>
        </w:rPr>
      </w:pPr>
      <w:r w:rsidRPr="002142B8">
        <w:rPr>
          <w:rFonts w:ascii="Georgia" w:eastAsia="Georgia" w:hAnsi="Georgia" w:cs="Georgia"/>
          <w:i/>
          <w:iCs/>
          <w:color w:val="821A1A"/>
          <w:sz w:val="20"/>
          <w:szCs w:val="20"/>
          <w:lang w:val="lt-LT"/>
        </w:rPr>
        <w:t xml:space="preserve">Šaltinis: sudaryta autorių. </w:t>
      </w:r>
    </w:p>
    <w:p w14:paraId="1F534068" w14:textId="77777777" w:rsidR="005A0219" w:rsidRPr="002142B8" w:rsidRDefault="005A0219" w:rsidP="005A0219">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90" w:name="_Toc25589899"/>
      <w:r w:rsidRPr="002142B8">
        <w:rPr>
          <w:rFonts w:ascii="Georgia" w:eastAsia="Times New Roman" w:hAnsi="Georgia" w:cs="Arial Unicode MS"/>
          <w:b/>
          <w:i/>
          <w:color w:val="821A1A"/>
          <w:sz w:val="32"/>
          <w:szCs w:val="26"/>
          <w:lang w:val="lt-LT"/>
        </w:rPr>
        <w:t>Investicijų pasiūlos analizė</w:t>
      </w:r>
      <w:bookmarkEnd w:id="90"/>
    </w:p>
    <w:p w14:paraId="57DA90E6"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Energijos efektyvumo projektai pastaruoju metu tampa itin populiarūs dėl kelių priežasčių. Pirmiausia, energijos efektyvumas įvairiuose sektoriuose yra valstybių narių strateginis tikslas – visos šalys narės turi strateginius tikslus įgyvendinti bent jau Energijos efektyvumo direktyvos keliamus reikalavimus, o kai kurios šalys turi ir dar didesnius siekius. Antra, energijos efektyvumo projektai turi aiškų investicijų atsipirkimo šaltinį – energijos kaštų sutaupymus, iš kurių yra padengiamos investicijos. Trečia, pradeda augti energijos efektyvumo projektų rinka, atsiranda gerųjų ir blogųjų </w:t>
      </w:r>
      <w:r w:rsidRPr="002142B8">
        <w:rPr>
          <w:rFonts w:ascii="Georgia" w:eastAsia="Georgia" w:hAnsi="Georgia" w:cs="Georgia"/>
          <w:sz w:val="20"/>
          <w:szCs w:val="20"/>
          <w:lang w:val="lt-LT"/>
        </w:rPr>
        <w:lastRenderedPageBreak/>
        <w:t xml:space="preserve">projektų pavyzdžių, kuriama ir tobulinama teisinė bazė, siekiama pritraukti privatų kapitalą tokio pobūdžio projektų finansavimui, skatinama Energetinių paslaugų tiekėjų </w:t>
      </w:r>
      <w:r w:rsidRPr="002142B8">
        <w:rPr>
          <w:rFonts w:ascii="Georgia" w:eastAsia="Georgia" w:hAnsi="Georgia" w:cs="Georgia"/>
          <w:i/>
          <w:sz w:val="20"/>
          <w:szCs w:val="20"/>
          <w:lang w:val="lt-LT"/>
        </w:rPr>
        <w:t>ESCO</w:t>
      </w:r>
      <w:r w:rsidRPr="002142B8">
        <w:rPr>
          <w:rFonts w:ascii="Georgia" w:eastAsia="Georgia" w:hAnsi="Georgia" w:cs="Georgia"/>
          <w:sz w:val="20"/>
          <w:szCs w:val="20"/>
          <w:lang w:val="lt-LT"/>
        </w:rPr>
        <w:t xml:space="preserve"> rinka. Dėl šių priežasčių atsiranda didesnis suinteresuotumas iš įvairių finansavimo teikėjų finansuoti tokius projektus.</w:t>
      </w:r>
    </w:p>
    <w:p w14:paraId="76F5AD74"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Finansavimo šaltinių analizė yra ex-ante vertinimo dalis, kuri yra būtina siekiant įvertinti, koks yra sektoriaus investicijų trūkumas. Finansavimo šaltinių analizė apima dvi dalis – egzistuojantį finansavimą energijos efektyvumo projektams bei potencialų 2017-2023 m. finansavimą. 2017-2023 m. finansavimo šaltinių analizėje apžvelgiami šie finansavimo šaltiniai: komercinių bankų, veikiančių Lietuvoje, finansavimas; tarptautinių finansų institucijų finansavimas; ESI fondų finansavimas; kitos lėšos, kurios gali būti skiriamos energijos efektyvumo projektams iš įvairių Lietuvos ar ES programų. </w:t>
      </w:r>
    </w:p>
    <w:p w14:paraId="4A0C3C8B" w14:textId="77777777" w:rsidR="005A0219" w:rsidRPr="002142B8" w:rsidRDefault="005A0219" w:rsidP="005A0219">
      <w:pPr>
        <w:keepNext/>
        <w:keepLines/>
        <w:numPr>
          <w:ilvl w:val="3"/>
          <w:numId w:val="2"/>
        </w:numPr>
        <w:spacing w:before="200" w:after="240" w:line="240" w:lineRule="auto"/>
        <w:ind w:hanging="1440"/>
        <w:outlineLvl w:val="1"/>
        <w:rPr>
          <w:rFonts w:ascii="Georgia" w:eastAsia="Times New Roman" w:hAnsi="Georgia" w:cs="Arial Unicode MS"/>
          <w:b/>
          <w:i/>
          <w:color w:val="821A1A"/>
          <w:sz w:val="32"/>
          <w:szCs w:val="26"/>
          <w:lang w:val="lt-LT"/>
        </w:rPr>
      </w:pPr>
      <w:bookmarkStart w:id="91" w:name="_Toc25589900"/>
      <w:r w:rsidRPr="002142B8">
        <w:rPr>
          <w:rFonts w:ascii="Georgia" w:eastAsia="Times New Roman" w:hAnsi="Georgia" w:cs="Arial Unicode MS"/>
          <w:b/>
          <w:i/>
          <w:color w:val="821A1A"/>
          <w:sz w:val="32"/>
          <w:szCs w:val="26"/>
          <w:lang w:val="lt-LT"/>
        </w:rPr>
        <w:t>Finansavimas 2007-2013 m. periodu</w:t>
      </w:r>
      <w:bookmarkEnd w:id="91"/>
    </w:p>
    <w:p w14:paraId="527B6EA5"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Šiame skyriuje yra remiamasi PwC studija, kurioje buvo aptartas daugiabučių, viešųjų pastatų ir gatvių apšvietimo modernizavimo projektų finansavimas. Pažymėtina, jog siekiant atspindėti dabartinę aktualią finansavimo situaciją šioje dalyje yra aptariamas tik 2007-2013 m. periodo finansavimas, nors energijos efektyvumo sritys buvo finansuojamos ir anksčiau. </w:t>
      </w:r>
    </w:p>
    <w:p w14:paraId="64509B16" w14:textId="77777777" w:rsidR="005A0219" w:rsidRPr="002142B8" w:rsidRDefault="005A0219" w:rsidP="005A0219">
      <w:pPr>
        <w:spacing w:after="160" w:line="240" w:lineRule="auto"/>
        <w:rPr>
          <w:rFonts w:ascii="Georgia" w:eastAsia="Georgia" w:hAnsi="Georgia" w:cs="Arial Unicode MS"/>
          <w:i/>
          <w:sz w:val="24"/>
          <w:szCs w:val="20"/>
          <w:lang w:val="lt-LT"/>
        </w:rPr>
      </w:pPr>
      <w:r w:rsidRPr="002142B8">
        <w:rPr>
          <w:rFonts w:ascii="Georgia" w:eastAsia="Georgia" w:hAnsi="Georgia" w:cs="Arial Unicode MS"/>
          <w:i/>
          <w:sz w:val="24"/>
          <w:szCs w:val="20"/>
          <w:lang w:val="lt-LT"/>
        </w:rPr>
        <w:t>Daugiabučių modernizavimo projektų finansavimas</w:t>
      </w:r>
    </w:p>
    <w:p w14:paraId="035A9175"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Vienas iš daugiabučių namų modernizavimo projektų finansavimo šaltinių yra JESSICA KF, įsteigtas 2009 m. birželį ir valdomas EIB. </w:t>
      </w:r>
    </w:p>
    <w:p w14:paraId="448AEFA6"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JESSICA KF dydis – 227 mln. eurų, tačiau įsteigus fondą buvo pervesta 149 mln. eurų. JESSICA KF 2009-2013 m. laikotarpiu paskelbė keturis kvietimus finansiniams tarpininkams atrinkti, iš kurių trys kvietimai buvo skirti daugiabučių modernizavimo finansavimui ir vienas kvietimas skirtas bendrabučių modernizavimui. </w:t>
      </w:r>
    </w:p>
    <w:p w14:paraId="21188B59"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Pirmasis kvietimas buvo paskelbtas 54 mln. eurų sumai. Pirmojo kvietimo metu buvo atrinkti trys komerciniai bankai, su kuriais buvo pasirašytos finansavimo sutartys ir kurių pagrindu jie veikia kaip JESSICA KF finansiniai tarpininkai. 2010 metais pirmosios lengvatinės paskolos jau buvo prieinamos rinkoje, be to, papildoma parama iš valstybės biudžeto lėšų buvo skiriama projektų pasirengimo išlaidoms, projektų administravimui padengti, taip pat žemas pajamas gaunantiems asmenims. Pirmojo kvietimo lėšomis paskolos per finansinius tarpininkus buvo skiriamos tiesiogiai su kiekvieno buto gyventojais pasirašant paskolos sutartį. </w:t>
      </w:r>
    </w:p>
    <w:p w14:paraId="45A69938"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Antrasis kvietimas buvo paskelbtas 20 mln. eurų sumai, tačiau remiantis EIB duomenimis, nesant tokiam dideliam projektų kiekiui, ši suma buvo sumažinta iki 3 mln. eurų. Antrasis kvietimas buvo paskelbtas siekiant padėti užbaigti įgyvendinti projektus, kurie buvo pradėti pagal senesniąją renovacijos programą, pagal kurios sąlygas 50 proc. projekto lėšų buvo finansuojama iš valstybės biudžeto lėšų, o likusi 50 proc. dalis turėjo būti skolinamasi iš komercinių bankų. Tačiau prasidėjus pasaulinei finansų krizei, iš komercinių bankų tapo itin sunku pasiskolinti projekto finansavimui reikalingą dalį. Antrasis kvietimas padėjo padengti būtent šią lėšų sumą, kurią reikėjo pasiskolinti iš komercinių bankų. </w:t>
      </w:r>
    </w:p>
    <w:p w14:paraId="2350C28D"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Trečiasis kvietimas, skirtas aukštųjų mokyklų ir profesinio mokymo įstaigų bendrabučių renovacijai ir skelbtas 20 mln. eurų sumai, aprašytas 2.2.1. skirsnyje. </w:t>
      </w:r>
    </w:p>
    <w:p w14:paraId="6C446074"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Ketvirtasis kvietimas finansiniams tarpininkams atrinkti buvo paskelbtas 60 mln. eurų sumai 2013 m. pradžioje po teisinės bazės pakeitimų, kurie įgalino daugiabučių namų administratorius skolintis savo vardu gyventojų naudai. Finansinis produktas, siūlomas pagal ketvirtąjį kvietimą, buvo identiškas pirmojo kvietimo finansiniam produktui, tačiau skyrėsi paskolos gavėjas – šį kartą tai buvo daugiabučių namų administratoriai. </w:t>
      </w:r>
    </w:p>
    <w:p w14:paraId="134D8695" w14:textId="3BAB3716" w:rsidR="00B93A44" w:rsidRDefault="005A0219" w:rsidP="00341F0F">
      <w:pPr>
        <w:autoSpaceDE w:val="0"/>
        <w:autoSpaceDN w:val="0"/>
        <w:adjustRightInd w:val="0"/>
        <w:spacing w:after="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JESSICA KF 2009-2013 m. laikotarpiu paskelbtų 4 kvietimų finansiniams tarpininkams atrinkti finansinė apžvalga pateikta žemiau esančioje lentelėje, kurioje pateiktos  kiekvienam iš kvietimų skirtos sumos (kvietimo paskelbimo metu) bei su finansiniais tarpininkais pasirašytos finansavimo sutartys</w:t>
      </w:r>
      <w:r w:rsidRPr="002142B8">
        <w:rPr>
          <w:rFonts w:ascii="Georgia" w:eastAsia="Georgia" w:hAnsi="Georgia" w:cs="Georgia"/>
          <w:color w:val="000000"/>
          <w:sz w:val="20"/>
          <w:szCs w:val="20"/>
          <w:vertAlign w:val="superscript"/>
          <w:lang w:val="lt-LT"/>
        </w:rPr>
        <w:footnoteReference w:id="29"/>
      </w:r>
      <w:r w:rsidRPr="002142B8">
        <w:rPr>
          <w:rFonts w:ascii="Georgia" w:eastAsia="Georgia" w:hAnsi="Georgia" w:cs="Georgia"/>
          <w:sz w:val="20"/>
          <w:szCs w:val="20"/>
          <w:lang w:val="lt-LT"/>
        </w:rPr>
        <w:t>. Detalus JESSICA kvietimų palyginimas buvo atliktas PwC studijoje ir yra pateikiamas priede Nr. 1.</w:t>
      </w:r>
      <w:r w:rsidR="00341F0F">
        <w:rPr>
          <w:rFonts w:ascii="Georgia" w:eastAsia="Georgia" w:hAnsi="Georgia" w:cs="Georgia"/>
          <w:sz w:val="20"/>
          <w:szCs w:val="20"/>
          <w:lang w:val="lt-LT"/>
        </w:rPr>
        <w:t xml:space="preserve"> </w:t>
      </w:r>
      <w:r w:rsidR="00B93A44">
        <w:rPr>
          <w:rFonts w:ascii="Georgia" w:eastAsia="Georgia" w:hAnsi="Georgia" w:cs="Georgia"/>
          <w:sz w:val="20"/>
          <w:szCs w:val="20"/>
          <w:lang w:val="lt-LT"/>
        </w:rPr>
        <w:br w:type="page"/>
      </w:r>
    </w:p>
    <w:p w14:paraId="15629C4D" w14:textId="77777777" w:rsidR="005A0219" w:rsidRPr="002142B8" w:rsidRDefault="005A0219" w:rsidP="005A0219">
      <w:pPr>
        <w:autoSpaceDE w:val="0"/>
        <w:autoSpaceDN w:val="0"/>
        <w:adjustRightInd w:val="0"/>
        <w:spacing w:after="0" w:line="240" w:lineRule="auto"/>
        <w:jc w:val="both"/>
        <w:rPr>
          <w:rFonts w:ascii="Georgia" w:eastAsia="Georgia" w:hAnsi="Georgia" w:cs="Georgia"/>
          <w:sz w:val="20"/>
          <w:szCs w:val="20"/>
          <w:lang w:val="lt-LT"/>
        </w:rPr>
      </w:pPr>
    </w:p>
    <w:p w14:paraId="2030BD06" w14:textId="2C4C2D3A" w:rsidR="005A0219" w:rsidRPr="002142B8" w:rsidRDefault="005A0219" w:rsidP="005A0219">
      <w:pPr>
        <w:spacing w:after="160" w:line="240" w:lineRule="auto"/>
        <w:jc w:val="both"/>
        <w:rPr>
          <w:rFonts w:ascii="Georgia" w:eastAsia="Georgia" w:hAnsi="Georgia" w:cs="Georgia"/>
          <w:i/>
          <w:iCs/>
          <w:color w:val="821A1A"/>
          <w:sz w:val="20"/>
          <w:szCs w:val="20"/>
          <w:lang w:val="lt-LT"/>
        </w:rPr>
      </w:pPr>
      <w:bookmarkStart w:id="92" w:name="_Toc507939141"/>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19</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Georgia"/>
          <w:i/>
          <w:iCs/>
          <w:color w:val="821A1A"/>
          <w:sz w:val="20"/>
          <w:szCs w:val="20"/>
          <w:lang w:val="lt-LT"/>
        </w:rPr>
        <w:t>JESSICA KF 2009-2013 m. paskelbtų kvietimų charakteristikos</w:t>
      </w:r>
      <w:bookmarkEnd w:id="92"/>
    </w:p>
    <w:tbl>
      <w:tblPr>
        <w:tblStyle w:val="LightList-Accent21"/>
        <w:tblW w:w="5000" w:type="pct"/>
        <w:tblLook w:val="04A0" w:firstRow="1" w:lastRow="0" w:firstColumn="1" w:lastColumn="0" w:noHBand="0" w:noVBand="1"/>
      </w:tblPr>
      <w:tblGrid>
        <w:gridCol w:w="1849"/>
        <w:gridCol w:w="1849"/>
        <w:gridCol w:w="1848"/>
        <w:gridCol w:w="1848"/>
        <w:gridCol w:w="1848"/>
      </w:tblGrid>
      <w:tr w:rsidR="00CB4D9D" w:rsidRPr="002142B8" w14:paraId="5AB003AC" w14:textId="77777777" w:rsidTr="00F9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D62E1C"/>
              <w:left w:val="single" w:sz="8" w:space="0" w:color="D62E1C"/>
              <w:bottom w:val="nil"/>
              <w:right w:val="nil"/>
            </w:tcBorders>
            <w:hideMark/>
          </w:tcPr>
          <w:p w14:paraId="08D0602E"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Kvietimas</w:t>
            </w:r>
          </w:p>
        </w:tc>
        <w:tc>
          <w:tcPr>
            <w:tcW w:w="1000" w:type="pct"/>
            <w:tcBorders>
              <w:top w:val="single" w:sz="8" w:space="0" w:color="D62E1C"/>
              <w:left w:val="nil"/>
              <w:bottom w:val="nil"/>
              <w:right w:val="nil"/>
            </w:tcBorders>
            <w:hideMark/>
          </w:tcPr>
          <w:p w14:paraId="3D0685C0" w14:textId="77777777" w:rsidR="005A0219" w:rsidRPr="002142B8"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Tikslas</w:t>
            </w:r>
          </w:p>
        </w:tc>
        <w:tc>
          <w:tcPr>
            <w:tcW w:w="1000" w:type="pct"/>
            <w:tcBorders>
              <w:top w:val="single" w:sz="8" w:space="0" w:color="D62E1C"/>
              <w:left w:val="nil"/>
              <w:bottom w:val="nil"/>
              <w:right w:val="nil"/>
            </w:tcBorders>
            <w:hideMark/>
          </w:tcPr>
          <w:p w14:paraId="3E45E3B4" w14:textId="77777777" w:rsidR="005A0219" w:rsidRPr="002142B8"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Pradinė kvietimo suma</w:t>
            </w:r>
          </w:p>
        </w:tc>
        <w:tc>
          <w:tcPr>
            <w:tcW w:w="1000" w:type="pct"/>
            <w:tcBorders>
              <w:top w:val="single" w:sz="8" w:space="0" w:color="D62E1C"/>
              <w:left w:val="nil"/>
              <w:bottom w:val="nil"/>
              <w:right w:val="nil"/>
            </w:tcBorders>
            <w:hideMark/>
          </w:tcPr>
          <w:p w14:paraId="1A3D38C6" w14:textId="77777777" w:rsidR="005A0219" w:rsidRPr="002142B8"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Finansiniams tarpininkams skirta suma</w:t>
            </w:r>
          </w:p>
        </w:tc>
        <w:tc>
          <w:tcPr>
            <w:tcW w:w="1000" w:type="pct"/>
            <w:tcBorders>
              <w:top w:val="single" w:sz="8" w:space="0" w:color="D62E1C"/>
              <w:left w:val="nil"/>
              <w:bottom w:val="nil"/>
              <w:right w:val="single" w:sz="8" w:space="0" w:color="D62E1C"/>
            </w:tcBorders>
            <w:hideMark/>
          </w:tcPr>
          <w:p w14:paraId="39B7C93D" w14:textId="77777777" w:rsidR="005A0219" w:rsidRPr="002142B8" w:rsidRDefault="005A0219" w:rsidP="005A021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Statusas</w:t>
            </w:r>
          </w:p>
        </w:tc>
      </w:tr>
      <w:tr w:rsidR="005A0219" w:rsidRPr="002142B8" w14:paraId="6C2E14A2"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D89C782"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Pirmasis kvietimas (2009 11 13)</w:t>
            </w:r>
          </w:p>
        </w:tc>
        <w:tc>
          <w:tcPr>
            <w:tcW w:w="0" w:type="pct"/>
            <w:tcBorders>
              <w:left w:val="nil"/>
              <w:right w:val="nil"/>
            </w:tcBorders>
            <w:hideMark/>
          </w:tcPr>
          <w:p w14:paraId="19B7A0E4"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Daugiabučių renovacija</w:t>
            </w:r>
          </w:p>
        </w:tc>
        <w:tc>
          <w:tcPr>
            <w:tcW w:w="0" w:type="pct"/>
            <w:tcBorders>
              <w:left w:val="nil"/>
              <w:right w:val="nil"/>
            </w:tcBorders>
            <w:hideMark/>
          </w:tcPr>
          <w:p w14:paraId="34A41C6D"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54 mln. eurų</w:t>
            </w:r>
          </w:p>
        </w:tc>
        <w:tc>
          <w:tcPr>
            <w:tcW w:w="0" w:type="pct"/>
            <w:tcBorders>
              <w:left w:val="nil"/>
              <w:right w:val="nil"/>
            </w:tcBorders>
            <w:hideMark/>
          </w:tcPr>
          <w:p w14:paraId="16E35406"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54 mln. eurų</w:t>
            </w:r>
          </w:p>
        </w:tc>
        <w:tc>
          <w:tcPr>
            <w:tcW w:w="0" w:type="pct"/>
            <w:tcBorders>
              <w:left w:val="nil"/>
            </w:tcBorders>
            <w:hideMark/>
          </w:tcPr>
          <w:p w14:paraId="2A1B162A"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Vyksta</w:t>
            </w:r>
          </w:p>
        </w:tc>
      </w:tr>
      <w:tr w:rsidR="005A0219" w:rsidRPr="002142B8" w14:paraId="1CD1BF4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3EDA80B7"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Antrasis kvietimas (2010 06 17)</w:t>
            </w:r>
          </w:p>
        </w:tc>
        <w:tc>
          <w:tcPr>
            <w:tcW w:w="0" w:type="pct"/>
            <w:tcBorders>
              <w:top w:val="nil"/>
              <w:left w:val="nil"/>
              <w:bottom w:val="nil"/>
              <w:right w:val="nil"/>
            </w:tcBorders>
            <w:hideMark/>
          </w:tcPr>
          <w:p w14:paraId="5F88BBAE"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Daugiabučių renovacija</w:t>
            </w:r>
          </w:p>
        </w:tc>
        <w:tc>
          <w:tcPr>
            <w:tcW w:w="0" w:type="pct"/>
            <w:tcBorders>
              <w:top w:val="nil"/>
              <w:left w:val="nil"/>
              <w:bottom w:val="nil"/>
              <w:right w:val="nil"/>
            </w:tcBorders>
            <w:hideMark/>
          </w:tcPr>
          <w:p w14:paraId="1B94DBD4"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iki 15 mln. eurų</w:t>
            </w:r>
          </w:p>
        </w:tc>
        <w:tc>
          <w:tcPr>
            <w:tcW w:w="0" w:type="pct"/>
            <w:tcBorders>
              <w:top w:val="nil"/>
              <w:left w:val="nil"/>
              <w:bottom w:val="nil"/>
              <w:right w:val="nil"/>
            </w:tcBorders>
            <w:hideMark/>
          </w:tcPr>
          <w:p w14:paraId="38C210C9"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3 mln. eurų</w:t>
            </w:r>
          </w:p>
        </w:tc>
        <w:tc>
          <w:tcPr>
            <w:tcW w:w="0" w:type="pct"/>
            <w:tcBorders>
              <w:top w:val="nil"/>
              <w:left w:val="nil"/>
              <w:bottom w:val="nil"/>
              <w:right w:val="single" w:sz="8" w:space="0" w:color="D62E1C"/>
            </w:tcBorders>
            <w:hideMark/>
          </w:tcPr>
          <w:p w14:paraId="080AAE6A"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Vyksta</w:t>
            </w:r>
          </w:p>
        </w:tc>
      </w:tr>
      <w:tr w:rsidR="005A0219" w:rsidRPr="002142B8" w14:paraId="76AFD82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35A2AA34"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Trečiasis kvietimas</w:t>
            </w:r>
          </w:p>
          <w:p w14:paraId="3C687052"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(2012 01 12)</w:t>
            </w:r>
          </w:p>
        </w:tc>
        <w:tc>
          <w:tcPr>
            <w:tcW w:w="0" w:type="pct"/>
            <w:tcBorders>
              <w:left w:val="nil"/>
              <w:right w:val="nil"/>
            </w:tcBorders>
            <w:hideMark/>
          </w:tcPr>
          <w:p w14:paraId="0DA9D50E"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Bendrabučių renovacija</w:t>
            </w:r>
          </w:p>
        </w:tc>
        <w:tc>
          <w:tcPr>
            <w:tcW w:w="0" w:type="pct"/>
            <w:tcBorders>
              <w:left w:val="nil"/>
              <w:right w:val="nil"/>
            </w:tcBorders>
            <w:hideMark/>
          </w:tcPr>
          <w:p w14:paraId="475F36B4"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20 mln. eurų</w:t>
            </w:r>
          </w:p>
        </w:tc>
        <w:tc>
          <w:tcPr>
            <w:tcW w:w="0" w:type="pct"/>
            <w:tcBorders>
              <w:left w:val="nil"/>
              <w:right w:val="nil"/>
            </w:tcBorders>
            <w:hideMark/>
          </w:tcPr>
          <w:p w14:paraId="2AC26F35"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20 mln. eurų</w:t>
            </w:r>
          </w:p>
        </w:tc>
        <w:tc>
          <w:tcPr>
            <w:tcW w:w="0" w:type="pct"/>
            <w:tcBorders>
              <w:left w:val="nil"/>
            </w:tcBorders>
            <w:hideMark/>
          </w:tcPr>
          <w:p w14:paraId="0031199A"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Vyksta</w:t>
            </w:r>
          </w:p>
        </w:tc>
      </w:tr>
      <w:tr w:rsidR="005A0219" w:rsidRPr="002142B8" w14:paraId="3BFD86A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53041447"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 xml:space="preserve">Ketvirtasis kvietimas </w:t>
            </w:r>
          </w:p>
          <w:p w14:paraId="5E8AD45D" w14:textId="77777777" w:rsidR="005A0219" w:rsidRPr="002142B8" w:rsidRDefault="005A0219"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(2013 04 30)</w:t>
            </w:r>
          </w:p>
        </w:tc>
        <w:tc>
          <w:tcPr>
            <w:tcW w:w="0" w:type="pct"/>
            <w:tcBorders>
              <w:top w:val="nil"/>
              <w:left w:val="nil"/>
              <w:bottom w:val="single" w:sz="8" w:space="0" w:color="D62E1C"/>
              <w:right w:val="nil"/>
            </w:tcBorders>
            <w:hideMark/>
          </w:tcPr>
          <w:p w14:paraId="0F01D532"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Daugiabučių renovacija</w:t>
            </w:r>
          </w:p>
        </w:tc>
        <w:tc>
          <w:tcPr>
            <w:tcW w:w="0" w:type="pct"/>
            <w:tcBorders>
              <w:top w:val="nil"/>
              <w:left w:val="nil"/>
              <w:bottom w:val="single" w:sz="8" w:space="0" w:color="D62E1C"/>
              <w:right w:val="nil"/>
            </w:tcBorders>
            <w:hideMark/>
          </w:tcPr>
          <w:p w14:paraId="545C97BC"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Iki 100 mln. eurų</w:t>
            </w:r>
          </w:p>
        </w:tc>
        <w:tc>
          <w:tcPr>
            <w:tcW w:w="0" w:type="pct"/>
            <w:tcBorders>
              <w:top w:val="nil"/>
              <w:left w:val="nil"/>
              <w:bottom w:val="single" w:sz="8" w:space="0" w:color="D62E1C"/>
              <w:right w:val="nil"/>
            </w:tcBorders>
            <w:hideMark/>
          </w:tcPr>
          <w:p w14:paraId="7F35E674"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60 mln. eurų</w:t>
            </w:r>
          </w:p>
        </w:tc>
        <w:tc>
          <w:tcPr>
            <w:tcW w:w="0" w:type="pct"/>
            <w:tcBorders>
              <w:top w:val="nil"/>
              <w:left w:val="nil"/>
              <w:bottom w:val="single" w:sz="8" w:space="0" w:color="D62E1C"/>
              <w:right w:val="single" w:sz="8" w:space="0" w:color="D62E1C"/>
            </w:tcBorders>
            <w:hideMark/>
          </w:tcPr>
          <w:p w14:paraId="51D6E434" w14:textId="77777777" w:rsidR="005A0219" w:rsidRPr="002142B8" w:rsidRDefault="005A0219" w:rsidP="005A021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Vyksta</w:t>
            </w:r>
          </w:p>
        </w:tc>
      </w:tr>
      <w:tr w:rsidR="005A0219" w:rsidRPr="002142B8" w14:paraId="00733306"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right w:val="nil"/>
            </w:tcBorders>
            <w:hideMark/>
          </w:tcPr>
          <w:p w14:paraId="0824178E" w14:textId="3FABB0CD" w:rsidR="005A0219" w:rsidRPr="002142B8" w:rsidRDefault="0077117B" w:rsidP="005A0219">
            <w:pPr>
              <w:autoSpaceDE w:val="0"/>
              <w:autoSpaceDN w:val="0"/>
              <w:adjustRightInd w:val="0"/>
              <w:jc w:val="right"/>
              <w:rPr>
                <w:rFonts w:ascii="Georgia" w:eastAsia="Georgia" w:hAnsi="Georgia" w:cs="Georgia"/>
                <w:sz w:val="20"/>
                <w:szCs w:val="20"/>
              </w:rPr>
            </w:pPr>
            <w:r w:rsidRPr="002142B8">
              <w:rPr>
                <w:rFonts w:ascii="Georgia" w:eastAsia="Georgia" w:hAnsi="Georgia" w:cs="Georgia"/>
                <w:sz w:val="20"/>
                <w:szCs w:val="20"/>
              </w:rPr>
              <w:t>Iš viso</w:t>
            </w:r>
          </w:p>
        </w:tc>
        <w:tc>
          <w:tcPr>
            <w:tcW w:w="0" w:type="pct"/>
            <w:tcBorders>
              <w:top w:val="nil"/>
              <w:left w:val="nil"/>
              <w:right w:val="nil"/>
            </w:tcBorders>
            <w:hideMark/>
          </w:tcPr>
          <w:p w14:paraId="6BA8565C"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p>
        </w:tc>
        <w:tc>
          <w:tcPr>
            <w:tcW w:w="0" w:type="pct"/>
            <w:tcBorders>
              <w:top w:val="nil"/>
              <w:left w:val="nil"/>
              <w:right w:val="nil"/>
            </w:tcBorders>
            <w:hideMark/>
          </w:tcPr>
          <w:p w14:paraId="3405F4F8"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Iki 189 mln. eurų</w:t>
            </w:r>
          </w:p>
        </w:tc>
        <w:tc>
          <w:tcPr>
            <w:tcW w:w="0" w:type="pct"/>
            <w:tcBorders>
              <w:top w:val="nil"/>
              <w:left w:val="nil"/>
              <w:right w:val="nil"/>
            </w:tcBorders>
            <w:hideMark/>
          </w:tcPr>
          <w:p w14:paraId="63939726"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137 mln. eurų</w:t>
            </w:r>
          </w:p>
        </w:tc>
        <w:tc>
          <w:tcPr>
            <w:tcW w:w="0" w:type="pct"/>
            <w:tcBorders>
              <w:top w:val="nil"/>
              <w:left w:val="nil"/>
            </w:tcBorders>
            <w:hideMark/>
          </w:tcPr>
          <w:p w14:paraId="301A6A77" w14:textId="77777777" w:rsidR="005A0219" w:rsidRPr="002142B8" w:rsidRDefault="005A0219" w:rsidP="005A021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20"/>
                <w:szCs w:val="20"/>
              </w:rPr>
            </w:pPr>
            <w:r w:rsidRPr="002142B8">
              <w:rPr>
                <w:rFonts w:ascii="Georgia" w:eastAsia="Georgia" w:hAnsi="Georgia" w:cs="Georgia"/>
                <w:sz w:val="20"/>
                <w:szCs w:val="20"/>
              </w:rPr>
              <w:t>Vyksta</w:t>
            </w:r>
          </w:p>
        </w:tc>
      </w:tr>
    </w:tbl>
    <w:p w14:paraId="5E790DD9" w14:textId="77777777" w:rsidR="005A0219" w:rsidRPr="002142B8" w:rsidRDefault="005A0219" w:rsidP="005A0219">
      <w:pPr>
        <w:spacing w:after="160" w:line="240" w:lineRule="auto"/>
        <w:jc w:val="both"/>
        <w:rPr>
          <w:rFonts w:ascii="Georgia" w:eastAsia="Georgia" w:hAnsi="Georgia" w:cs="Georgia"/>
          <w:iCs/>
          <w:color w:val="821A1A"/>
          <w:sz w:val="20"/>
          <w:szCs w:val="20"/>
          <w:lang w:val="lt-LT"/>
        </w:rPr>
      </w:pPr>
      <w:r w:rsidRPr="002142B8">
        <w:rPr>
          <w:rFonts w:ascii="Georgia" w:eastAsia="Georgia" w:hAnsi="Georgia" w:cs="Georgia"/>
          <w:i/>
          <w:iCs/>
          <w:color w:val="821A1A"/>
          <w:sz w:val="20"/>
          <w:szCs w:val="20"/>
          <w:lang w:val="lt-LT"/>
        </w:rPr>
        <w:t>Šaltinis: Finansų ministerija, 2014 09 24 duomenys.</w:t>
      </w:r>
    </w:p>
    <w:p w14:paraId="65151F2A" w14:textId="7DEEE468"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Be JESSICA KF, egzistuoja ir kiti finansavimo šaltiniai daugiabučių namų renovacijai. Vienas tokių yra 2007-2013 m. periodu įgyvendinta Vidaus reikalų ministerijos priemonė „Daugiabučių namų atnaujinimas pirmiausia didinant jų energijos vartojimo efektyvumą“, kuriai buvo skirta apie </w:t>
      </w:r>
      <w:r w:rsidR="0077117B" w:rsidRPr="002142B8">
        <w:rPr>
          <w:rFonts w:ascii="Georgia" w:eastAsia="Georgia" w:hAnsi="Georgia" w:cs="Georgia"/>
          <w:sz w:val="20"/>
          <w:szCs w:val="20"/>
          <w:lang w:val="lt-LT"/>
        </w:rPr>
        <w:t xml:space="preserve">58 </w:t>
      </w:r>
      <w:r w:rsidRPr="002142B8">
        <w:rPr>
          <w:rFonts w:ascii="Georgia" w:eastAsia="Georgia" w:hAnsi="Georgia" w:cs="Georgia"/>
          <w:sz w:val="20"/>
          <w:szCs w:val="20"/>
          <w:lang w:val="lt-LT"/>
        </w:rPr>
        <w:t xml:space="preserve">mln. </w:t>
      </w:r>
      <w:r w:rsidR="0077117B" w:rsidRPr="002142B8">
        <w:rPr>
          <w:rFonts w:ascii="Georgia" w:eastAsia="Georgia" w:hAnsi="Georgia" w:cs="Georgia"/>
          <w:sz w:val="20"/>
          <w:szCs w:val="20"/>
          <w:lang w:val="lt-LT"/>
        </w:rPr>
        <w:t>eurų</w:t>
      </w:r>
      <w:r w:rsidRPr="002142B8">
        <w:rPr>
          <w:rFonts w:ascii="Georgia" w:eastAsia="Georgia" w:hAnsi="Georgia" w:cs="Georgia"/>
          <w:sz w:val="20"/>
          <w:szCs w:val="20"/>
          <w:lang w:val="lt-LT"/>
        </w:rPr>
        <w:t xml:space="preserve">. Priemonė buvo skirta pirmiausia siekiant gerinti būsto sąlygas probleminėse teritorijose, o tinkama pareiškėjų grupė pagal šią priemonę – probleminėmis teritorijomis pripažintų savivaldybių administracijos. Šia priemone siekiama atnaujinti 300 daugiabučių namų bei pagerinti būsto sąlygas 10 000 asmenų, gyvenančių probleminėse teritorijose. </w:t>
      </w:r>
    </w:p>
    <w:p w14:paraId="765971AF" w14:textId="4F64D974"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Dar viena 2007-2013 m. periodu Vidaus reikalų ministerijos įgyvendinama priemonė, susijusi su būsto sektoriumi, yra „Socialinio būsto plėtra ir jo kokybės gerinimas“. Šios priemonės tikslas - padidinti ar pagerinti savivaldybių socialinio būsto fondą, kuris būtų nuomojamas nepasiturintiems asmenims (šeimoms), turintiems teisę į socialinį būstą. Priemonei įgyvendinti skirta apie </w:t>
      </w:r>
      <w:r w:rsidR="0077117B" w:rsidRPr="002142B8">
        <w:rPr>
          <w:rFonts w:ascii="Georgia" w:eastAsia="Georgia" w:hAnsi="Georgia" w:cs="Georgia"/>
          <w:sz w:val="20"/>
          <w:szCs w:val="20"/>
          <w:lang w:val="lt-LT"/>
        </w:rPr>
        <w:t>10,7 mln. eurų (</w:t>
      </w:r>
      <w:r w:rsidRPr="002142B8">
        <w:rPr>
          <w:rFonts w:ascii="Georgia" w:eastAsia="Georgia" w:hAnsi="Georgia" w:cs="Georgia"/>
          <w:sz w:val="20"/>
          <w:szCs w:val="20"/>
          <w:lang w:val="lt-LT"/>
        </w:rPr>
        <w:t>37 mln. litų</w:t>
      </w:r>
      <w:r w:rsidR="0077117B" w:rsidRPr="002142B8">
        <w:rPr>
          <w:rFonts w:ascii="Georgia" w:eastAsia="Georgia" w:hAnsi="Georgia" w:cs="Georgia"/>
          <w:sz w:val="20"/>
          <w:szCs w:val="20"/>
          <w:lang w:val="lt-LT"/>
        </w:rPr>
        <w:t>)</w:t>
      </w:r>
      <w:r w:rsidRPr="002142B8">
        <w:rPr>
          <w:rFonts w:ascii="Georgia" w:eastAsia="Georgia" w:hAnsi="Georgia" w:cs="Georgia"/>
          <w:sz w:val="20"/>
          <w:szCs w:val="20"/>
          <w:lang w:val="lt-LT"/>
        </w:rPr>
        <w:t>.</w:t>
      </w:r>
    </w:p>
    <w:p w14:paraId="606B4833"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Pažymėtina, kad egzistuoja ir galimybė patiems daugiabučių namų gyventojams skolintis iš komercinių bankų ir savo iniciatyva įgyvendinti daugiabučio modernizavimo projektus. Tokiu atveju komerciniai bankai reikalautų užstato iš paskolos gavėjų, o paskolos palūkanos - rinkos. </w:t>
      </w:r>
    </w:p>
    <w:p w14:paraId="0EBDAFA9" w14:textId="77777777" w:rsidR="005A0219" w:rsidRPr="002142B8" w:rsidRDefault="005A0219" w:rsidP="005A0219">
      <w:pPr>
        <w:keepNext/>
        <w:spacing w:after="160" w:line="240" w:lineRule="auto"/>
        <w:rPr>
          <w:rFonts w:ascii="Georgia" w:eastAsia="Georgia" w:hAnsi="Georgia" w:cs="Arial Unicode MS"/>
          <w:i/>
          <w:sz w:val="24"/>
          <w:szCs w:val="20"/>
          <w:lang w:val="lt-LT"/>
        </w:rPr>
      </w:pPr>
      <w:r w:rsidRPr="002142B8">
        <w:rPr>
          <w:rFonts w:ascii="Georgia" w:eastAsia="Georgia" w:hAnsi="Georgia" w:cs="Arial Unicode MS"/>
          <w:i/>
          <w:sz w:val="24"/>
          <w:szCs w:val="20"/>
          <w:lang w:val="lt-LT"/>
        </w:rPr>
        <w:t xml:space="preserve">Viešųjų pastatų modernizavimo finansavimas </w:t>
      </w:r>
    </w:p>
    <w:p w14:paraId="1E08A5C9" w14:textId="77777777" w:rsidR="005A0219" w:rsidRPr="002142B8" w:rsidRDefault="005A0219" w:rsidP="005A0219">
      <w:pPr>
        <w:keepNext/>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2007-2013 m. periodu viešųjų pastatų renovacija buvo remiama ESI fondų lėšomis pagal tris Ūkio ministerijos priemones: “Viešosios paskirties pastatų renovavimas nacionaliniu lygiu”, “Viešosios paskirties pastatų renovavimas regioniniu lygiu” ir “Viešosios paskirties pastatų renovavimo projektai, atitinkantys Lietuvos 2004–2006 m. Bendrojo programavimo dokumento 1.2 priemonės „Energijos tiekimo stabilumo, prieinamumo ir didesnio energetikos efektyvumo užtikrinimas“ naudos ir kokybės vertinimo kriterijus”. Įgyvendinant šių pastatų renovacijos projektus buvo taikytis patrauklus, tačiau ne itin efektyvus finansavimo būdas, kai projektams įgyvendinti buvo skiriamas finansavimas (subsidija), nesiejant šių investicijų ir siekiamo rezultato, su atsipirkimu ir investicijų padengimu sutaupytos šilumos energijos sąskaita. Lentelėje žemiau yra pateikiamas šių priemonių palyginimas bei šių priemonių pasiekti rezultatai. </w:t>
      </w:r>
    </w:p>
    <w:p w14:paraId="55DF13B3" w14:textId="77777777" w:rsidR="00B93A44" w:rsidRDefault="00B93A44">
      <w:pPr>
        <w:rPr>
          <w:rFonts w:ascii="Georgia" w:eastAsia="Georgia" w:hAnsi="Georgia" w:cs="Arial Unicode MS"/>
          <w:i/>
          <w:iCs/>
          <w:color w:val="821A1A"/>
          <w:sz w:val="20"/>
          <w:szCs w:val="18"/>
          <w:lang w:val="lt-LT"/>
        </w:rPr>
      </w:pPr>
      <w:r>
        <w:rPr>
          <w:rFonts w:ascii="Georgia" w:eastAsia="Georgia" w:hAnsi="Georgia" w:cs="Arial Unicode MS"/>
          <w:i/>
          <w:iCs/>
          <w:color w:val="821A1A"/>
          <w:sz w:val="20"/>
          <w:szCs w:val="18"/>
          <w:lang w:val="lt-LT"/>
        </w:rPr>
        <w:br w:type="page"/>
      </w:r>
    </w:p>
    <w:p w14:paraId="4CCCDD1F" w14:textId="5283C772" w:rsidR="005A0219" w:rsidRPr="002142B8" w:rsidRDefault="005A0219" w:rsidP="005A0219">
      <w:pPr>
        <w:spacing w:after="160" w:line="240" w:lineRule="auto"/>
        <w:rPr>
          <w:rFonts w:ascii="Georgia" w:eastAsia="Georgia" w:hAnsi="Georgia" w:cs="Arial Unicode MS"/>
          <w:i/>
          <w:iCs/>
          <w:color w:val="821A1A"/>
          <w:sz w:val="20"/>
          <w:szCs w:val="18"/>
          <w:lang w:val="lt-LT"/>
        </w:rPr>
      </w:pPr>
      <w:bookmarkStart w:id="93" w:name="_Toc507939142"/>
      <w:r w:rsidRPr="002142B8">
        <w:rPr>
          <w:rFonts w:ascii="Georgia" w:eastAsia="Georgia" w:hAnsi="Georgia" w:cs="Arial Unicode MS"/>
          <w:i/>
          <w:iCs/>
          <w:color w:val="821A1A"/>
          <w:sz w:val="20"/>
          <w:szCs w:val="18"/>
          <w:lang w:val="lt-LT"/>
        </w:rPr>
        <w:lastRenderedPageBreak/>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20</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Viešųjų pastatų renovacijos Ūkio ministerijos 2007-2013 m. priemonių palyginimas</w:t>
      </w:r>
      <w:bookmarkEnd w:id="93"/>
    </w:p>
    <w:tbl>
      <w:tblPr>
        <w:tblStyle w:val="LightList-Accent21"/>
        <w:tblW w:w="5000" w:type="pct"/>
        <w:tblLook w:val="04A0" w:firstRow="1" w:lastRow="0" w:firstColumn="1" w:lastColumn="0" w:noHBand="0" w:noVBand="1"/>
      </w:tblPr>
      <w:tblGrid>
        <w:gridCol w:w="2161"/>
        <w:gridCol w:w="2362"/>
        <w:gridCol w:w="2368"/>
        <w:gridCol w:w="2351"/>
      </w:tblGrid>
      <w:tr w:rsidR="00CB4D9D" w:rsidRPr="002142B8" w14:paraId="2E735753" w14:textId="77777777" w:rsidTr="00F935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D62E1C"/>
              <w:left w:val="single" w:sz="8" w:space="0" w:color="D62E1C"/>
              <w:bottom w:val="nil"/>
              <w:right w:val="nil"/>
            </w:tcBorders>
            <w:hideMark/>
          </w:tcPr>
          <w:p w14:paraId="6A4BC494" w14:textId="77777777" w:rsidR="005A0219" w:rsidRPr="002142B8" w:rsidRDefault="005A0219" w:rsidP="005A0219">
            <w:pPr>
              <w:ind w:left="113" w:right="113"/>
              <w:jc w:val="center"/>
              <w:rPr>
                <w:rFonts w:ascii="Georgia" w:eastAsia="Calibri" w:hAnsi="Georgia" w:cs="Arial Unicode MS"/>
                <w:sz w:val="20"/>
                <w:szCs w:val="20"/>
              </w:rPr>
            </w:pPr>
            <w:r w:rsidRPr="002142B8">
              <w:rPr>
                <w:rFonts w:ascii="Georgia" w:eastAsia="Calibri" w:hAnsi="Georgia" w:cs="Arial Unicode MS"/>
                <w:sz w:val="20"/>
                <w:szCs w:val="20"/>
              </w:rPr>
              <w:t>Priemonė</w:t>
            </w:r>
          </w:p>
        </w:tc>
        <w:tc>
          <w:tcPr>
            <w:tcW w:w="1278" w:type="pct"/>
            <w:tcBorders>
              <w:top w:val="single" w:sz="8" w:space="0" w:color="D62E1C"/>
              <w:left w:val="nil"/>
              <w:bottom w:val="nil"/>
              <w:right w:val="nil"/>
            </w:tcBorders>
            <w:hideMark/>
          </w:tcPr>
          <w:p w14:paraId="77C14531" w14:textId="77777777" w:rsidR="005A0219" w:rsidRPr="002142B8"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Viešosios paskirties pastatų renovavimas nacionaliniu lygmeniu</w:t>
            </w:r>
            <w:r w:rsidRPr="002142B8">
              <w:rPr>
                <w:rFonts w:ascii="Georgia" w:eastAsia="Calibri" w:hAnsi="Georgia" w:cs="Arial Unicode MS"/>
                <w:color w:val="FFFFFF" w:themeColor="background1"/>
                <w:sz w:val="20"/>
                <w:szCs w:val="20"/>
                <w:vertAlign w:val="superscript"/>
              </w:rPr>
              <w:footnoteReference w:id="30"/>
            </w:r>
          </w:p>
        </w:tc>
        <w:tc>
          <w:tcPr>
            <w:tcW w:w="1281" w:type="pct"/>
            <w:tcBorders>
              <w:top w:val="single" w:sz="8" w:space="0" w:color="D62E1C"/>
              <w:left w:val="nil"/>
              <w:bottom w:val="nil"/>
              <w:right w:val="nil"/>
            </w:tcBorders>
            <w:hideMark/>
          </w:tcPr>
          <w:p w14:paraId="4C886A6D" w14:textId="77777777" w:rsidR="005A0219" w:rsidRPr="002142B8"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Viešosios paskirties pastatų renovavimas regioniniu lygmeniu</w:t>
            </w:r>
            <w:r w:rsidRPr="002142B8">
              <w:rPr>
                <w:rFonts w:ascii="Georgia" w:eastAsia="Calibri" w:hAnsi="Georgia" w:cs="Arial Unicode MS"/>
                <w:color w:val="FFFFFF" w:themeColor="background1"/>
                <w:sz w:val="20"/>
                <w:szCs w:val="20"/>
                <w:vertAlign w:val="superscript"/>
              </w:rPr>
              <w:footnoteReference w:id="31"/>
            </w:r>
          </w:p>
        </w:tc>
        <w:tc>
          <w:tcPr>
            <w:tcW w:w="1272" w:type="pct"/>
            <w:tcBorders>
              <w:top w:val="single" w:sz="8" w:space="0" w:color="D62E1C"/>
              <w:left w:val="nil"/>
              <w:bottom w:val="nil"/>
              <w:right w:val="single" w:sz="8" w:space="0" w:color="D62E1C"/>
            </w:tcBorders>
            <w:hideMark/>
          </w:tcPr>
          <w:p w14:paraId="2867BABB" w14:textId="77777777" w:rsidR="005A0219" w:rsidRPr="002142B8" w:rsidRDefault="005A0219" w:rsidP="005A0219">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Viešosios paskirties pastatų renovacija, atitinkanti 2004-2006 m. kriterijus</w:t>
            </w:r>
            <w:r w:rsidRPr="002142B8">
              <w:rPr>
                <w:rFonts w:ascii="Georgia" w:eastAsia="Calibri" w:hAnsi="Georgia" w:cs="Arial Unicode MS"/>
                <w:color w:val="FFFFFF" w:themeColor="background1"/>
                <w:sz w:val="20"/>
                <w:szCs w:val="20"/>
                <w:vertAlign w:val="superscript"/>
              </w:rPr>
              <w:footnoteReference w:id="32"/>
            </w:r>
          </w:p>
        </w:tc>
      </w:tr>
      <w:tr w:rsidR="005A0219" w:rsidRPr="002142B8" w14:paraId="6B5B6F7C"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19E9D842" w14:textId="77777777" w:rsidR="005A0219" w:rsidRPr="002142B8" w:rsidRDefault="005A0219" w:rsidP="005A0219">
            <w:pPr>
              <w:ind w:left="113" w:right="113"/>
              <w:rPr>
                <w:rFonts w:ascii="Georgia" w:eastAsia="Calibri" w:hAnsi="Georgia" w:cs="Arial Unicode MS"/>
                <w:sz w:val="20"/>
                <w:szCs w:val="20"/>
              </w:rPr>
            </w:pPr>
            <w:r w:rsidRPr="002142B8">
              <w:rPr>
                <w:rFonts w:ascii="Georgia" w:eastAsia="Calibri" w:hAnsi="Georgia" w:cs="Arial Unicode MS"/>
                <w:sz w:val="20"/>
                <w:szCs w:val="20"/>
              </w:rPr>
              <w:t>Galutiniai naudos gavėjai</w:t>
            </w:r>
          </w:p>
        </w:tc>
        <w:tc>
          <w:tcPr>
            <w:tcW w:w="0" w:type="pct"/>
            <w:tcBorders>
              <w:left w:val="nil"/>
              <w:right w:val="nil"/>
            </w:tcBorders>
            <w:hideMark/>
          </w:tcPr>
          <w:p w14:paraId="3B1A0BEE"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Sveikatos institucijos, švietimo institucijos, socialinių paslaugų institucijos, kultūros institucijos, savivaldybės ir savivaldybių įsteigtos institucijos</w:t>
            </w:r>
          </w:p>
        </w:tc>
        <w:tc>
          <w:tcPr>
            <w:tcW w:w="0" w:type="pct"/>
            <w:tcBorders>
              <w:left w:val="nil"/>
              <w:right w:val="nil"/>
            </w:tcBorders>
            <w:hideMark/>
          </w:tcPr>
          <w:p w14:paraId="71488CE3"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Projektus pagal priemonę įgyvendina savivaldybės ar jos įstaigų įsteigti viešieji juridiniai asmenys (savivaldybių biudžetinės įstaigos ir viešosios įstaigos) arba šių juridinių asmenų steigėjai</w:t>
            </w:r>
          </w:p>
        </w:tc>
        <w:tc>
          <w:tcPr>
            <w:tcW w:w="0" w:type="pct"/>
            <w:tcBorders>
              <w:left w:val="nil"/>
            </w:tcBorders>
            <w:hideMark/>
          </w:tcPr>
          <w:p w14:paraId="0751E218"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Valstybė ar savivaldybės arba jų įstaigų įsteigti viešieji juridiniai asmenys (valstybės ar savivaldybių biudžetinės įstaigos, viešosios įstaigos) arba šių juridinių asmenų steigėjai</w:t>
            </w:r>
          </w:p>
        </w:tc>
      </w:tr>
      <w:tr w:rsidR="005A0219" w:rsidRPr="002142B8" w14:paraId="2023521A"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2DD0CDCD" w14:textId="77777777" w:rsidR="005A0219" w:rsidRPr="002142B8" w:rsidRDefault="005A0219" w:rsidP="005A0219">
            <w:pPr>
              <w:ind w:left="113" w:right="113"/>
              <w:rPr>
                <w:rFonts w:ascii="Georgia" w:eastAsia="Calibri" w:hAnsi="Georgia" w:cs="Arial Unicode MS"/>
                <w:sz w:val="20"/>
                <w:szCs w:val="20"/>
              </w:rPr>
            </w:pPr>
            <w:r w:rsidRPr="002142B8">
              <w:rPr>
                <w:rFonts w:ascii="Georgia" w:eastAsia="Calibri" w:hAnsi="Georgia" w:cs="Arial Unicode MS"/>
                <w:sz w:val="20"/>
                <w:szCs w:val="20"/>
              </w:rPr>
              <w:t>Priemonės rodikliai (rezultato ir produkto)</w:t>
            </w:r>
          </w:p>
        </w:tc>
        <w:tc>
          <w:tcPr>
            <w:tcW w:w="0" w:type="pct"/>
            <w:tcBorders>
              <w:top w:val="nil"/>
              <w:left w:val="nil"/>
              <w:bottom w:val="nil"/>
              <w:right w:val="nil"/>
            </w:tcBorders>
            <w:hideMark/>
          </w:tcPr>
          <w:p w14:paraId="3E73FEB9"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Energijos sutaupymai – 56 GWh; renovuotų pastatų skaičius – 94 iki 2015</w:t>
            </w:r>
          </w:p>
        </w:tc>
        <w:tc>
          <w:tcPr>
            <w:tcW w:w="0" w:type="pct"/>
            <w:tcBorders>
              <w:top w:val="nil"/>
              <w:left w:val="nil"/>
              <w:bottom w:val="nil"/>
              <w:right w:val="nil"/>
            </w:tcBorders>
            <w:hideMark/>
          </w:tcPr>
          <w:p w14:paraId="02FFE377"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Energijos sutaupymai – 36 GWh; renovuotų pastatų skaičius – 80 iki 2015</w:t>
            </w:r>
          </w:p>
        </w:tc>
        <w:tc>
          <w:tcPr>
            <w:tcW w:w="0" w:type="pct"/>
            <w:tcBorders>
              <w:top w:val="nil"/>
              <w:left w:val="nil"/>
              <w:bottom w:val="nil"/>
              <w:right w:val="single" w:sz="8" w:space="0" w:color="D62E1C"/>
            </w:tcBorders>
            <w:hideMark/>
          </w:tcPr>
          <w:p w14:paraId="2DC6010E"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Energijos sutaupymai – 8 GWh; renovuotų pastatų skaičius – 26 iki 2015</w:t>
            </w:r>
          </w:p>
        </w:tc>
      </w:tr>
      <w:tr w:rsidR="005A0219" w:rsidRPr="002142B8" w14:paraId="334CD9FC"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06117C07" w14:textId="77777777" w:rsidR="005A0219" w:rsidRPr="002142B8" w:rsidRDefault="005A0219" w:rsidP="005A0219">
            <w:pPr>
              <w:ind w:left="113" w:right="113"/>
              <w:rPr>
                <w:rFonts w:ascii="Georgia" w:eastAsia="Calibri" w:hAnsi="Georgia" w:cs="Arial Unicode MS"/>
                <w:sz w:val="20"/>
                <w:szCs w:val="20"/>
              </w:rPr>
            </w:pPr>
            <w:r w:rsidRPr="002142B8">
              <w:rPr>
                <w:rFonts w:ascii="Georgia" w:eastAsia="Calibri" w:hAnsi="Georgia" w:cs="Arial Unicode MS"/>
                <w:sz w:val="20"/>
                <w:szCs w:val="20"/>
              </w:rPr>
              <w:t>Finansinis produktas</w:t>
            </w:r>
          </w:p>
        </w:tc>
        <w:tc>
          <w:tcPr>
            <w:tcW w:w="0" w:type="pct"/>
            <w:tcBorders>
              <w:left w:val="nil"/>
              <w:right w:val="nil"/>
            </w:tcBorders>
            <w:hideMark/>
          </w:tcPr>
          <w:p w14:paraId="67CFBE14"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Subsidija iki 100%; prisidedama valstybės biudžeto lėšomis</w:t>
            </w:r>
          </w:p>
        </w:tc>
        <w:tc>
          <w:tcPr>
            <w:tcW w:w="0" w:type="pct"/>
            <w:tcBorders>
              <w:left w:val="nil"/>
              <w:right w:val="nil"/>
            </w:tcBorders>
            <w:hideMark/>
          </w:tcPr>
          <w:p w14:paraId="27BC058B"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Subsidija iki 100%; prisidedama valstybės biudžeto lėšomis</w:t>
            </w:r>
          </w:p>
        </w:tc>
        <w:tc>
          <w:tcPr>
            <w:tcW w:w="0" w:type="pct"/>
            <w:tcBorders>
              <w:left w:val="nil"/>
            </w:tcBorders>
            <w:hideMark/>
          </w:tcPr>
          <w:p w14:paraId="732D7E22"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Subsidija iki 100%; prisidedama valstybės biudžeto lėšomis</w:t>
            </w:r>
          </w:p>
        </w:tc>
      </w:tr>
      <w:tr w:rsidR="005A0219" w:rsidRPr="002142B8" w14:paraId="6E5E03E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nil"/>
            </w:tcBorders>
            <w:hideMark/>
          </w:tcPr>
          <w:p w14:paraId="2653674C" w14:textId="77777777" w:rsidR="005A0219" w:rsidRPr="002142B8" w:rsidRDefault="005A0219" w:rsidP="005A0219">
            <w:pPr>
              <w:ind w:left="113" w:right="113"/>
              <w:rPr>
                <w:rFonts w:ascii="Georgia" w:eastAsia="Calibri" w:hAnsi="Georgia" w:cs="Arial Unicode MS"/>
                <w:sz w:val="20"/>
                <w:szCs w:val="20"/>
              </w:rPr>
            </w:pPr>
            <w:r w:rsidRPr="002142B8">
              <w:rPr>
                <w:rFonts w:ascii="Georgia" w:eastAsia="Calibri" w:hAnsi="Georgia" w:cs="Arial Unicode MS"/>
                <w:sz w:val="20"/>
                <w:szCs w:val="20"/>
              </w:rPr>
              <w:t>Priemonei skirtas finansavimas</w:t>
            </w:r>
          </w:p>
        </w:tc>
        <w:tc>
          <w:tcPr>
            <w:tcW w:w="0" w:type="pct"/>
            <w:tcBorders>
              <w:top w:val="nil"/>
              <w:left w:val="nil"/>
              <w:bottom w:val="nil"/>
              <w:right w:val="nil"/>
            </w:tcBorders>
            <w:hideMark/>
          </w:tcPr>
          <w:p w14:paraId="68AEA4C6"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211 mln. EUR</w:t>
            </w:r>
          </w:p>
        </w:tc>
        <w:tc>
          <w:tcPr>
            <w:tcW w:w="0" w:type="pct"/>
            <w:tcBorders>
              <w:top w:val="nil"/>
              <w:left w:val="nil"/>
              <w:bottom w:val="nil"/>
              <w:right w:val="nil"/>
            </w:tcBorders>
            <w:hideMark/>
          </w:tcPr>
          <w:p w14:paraId="0EF43BCA"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100 mln. EUR</w:t>
            </w:r>
          </w:p>
        </w:tc>
        <w:tc>
          <w:tcPr>
            <w:tcW w:w="0" w:type="pct"/>
            <w:tcBorders>
              <w:top w:val="nil"/>
              <w:left w:val="nil"/>
              <w:bottom w:val="nil"/>
              <w:right w:val="single" w:sz="8" w:space="0" w:color="D62E1C"/>
            </w:tcBorders>
            <w:hideMark/>
          </w:tcPr>
          <w:p w14:paraId="4AA67186" w14:textId="77777777" w:rsidR="005A0219" w:rsidRPr="002142B8" w:rsidRDefault="005A0219" w:rsidP="005A0219">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12,42 mln. EUR</w:t>
            </w:r>
          </w:p>
        </w:tc>
      </w:tr>
      <w:tr w:rsidR="005A0219" w:rsidRPr="002142B8" w14:paraId="7BCF610F"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27C8E081" w14:textId="77777777" w:rsidR="005A0219" w:rsidRPr="002142B8" w:rsidRDefault="005A0219" w:rsidP="005A0219">
            <w:pPr>
              <w:ind w:left="113" w:right="113"/>
              <w:rPr>
                <w:rFonts w:ascii="Georgia" w:eastAsia="Calibri" w:hAnsi="Georgia" w:cs="Arial Unicode MS"/>
                <w:sz w:val="20"/>
                <w:szCs w:val="20"/>
              </w:rPr>
            </w:pPr>
            <w:r w:rsidRPr="002142B8">
              <w:rPr>
                <w:rFonts w:ascii="Georgia" w:eastAsia="Calibri" w:hAnsi="Georgia" w:cs="Arial Unicode MS"/>
                <w:sz w:val="20"/>
                <w:szCs w:val="20"/>
              </w:rPr>
              <w:t>Pasirašyta sutarčių</w:t>
            </w:r>
          </w:p>
        </w:tc>
        <w:tc>
          <w:tcPr>
            <w:tcW w:w="0" w:type="pct"/>
            <w:tcBorders>
              <w:left w:val="nil"/>
              <w:right w:val="nil"/>
            </w:tcBorders>
            <w:hideMark/>
          </w:tcPr>
          <w:p w14:paraId="60598D34"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304</w:t>
            </w:r>
          </w:p>
        </w:tc>
        <w:tc>
          <w:tcPr>
            <w:tcW w:w="0" w:type="pct"/>
            <w:tcBorders>
              <w:left w:val="nil"/>
              <w:right w:val="nil"/>
            </w:tcBorders>
            <w:hideMark/>
          </w:tcPr>
          <w:p w14:paraId="668AE3A6"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323</w:t>
            </w:r>
          </w:p>
        </w:tc>
        <w:tc>
          <w:tcPr>
            <w:tcW w:w="0" w:type="pct"/>
            <w:tcBorders>
              <w:left w:val="nil"/>
            </w:tcBorders>
            <w:hideMark/>
          </w:tcPr>
          <w:p w14:paraId="794C3663" w14:textId="77777777" w:rsidR="005A0219" w:rsidRPr="002142B8" w:rsidRDefault="005A0219" w:rsidP="005A0219">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21</w:t>
            </w:r>
          </w:p>
        </w:tc>
      </w:tr>
      <w:tr w:rsidR="005A0219" w:rsidRPr="002142B8" w14:paraId="1B63BFE0"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5DCB6845" w14:textId="50BD6915" w:rsidR="005A0219" w:rsidRPr="002142B8" w:rsidRDefault="005A0219" w:rsidP="00E23406">
            <w:pPr>
              <w:keepNext/>
              <w:ind w:left="113" w:right="113"/>
              <w:rPr>
                <w:rFonts w:ascii="Georgia" w:eastAsia="Calibri" w:hAnsi="Georgia" w:cs="Arial Unicode MS"/>
                <w:sz w:val="20"/>
                <w:szCs w:val="20"/>
              </w:rPr>
            </w:pPr>
            <w:r w:rsidRPr="002142B8">
              <w:rPr>
                <w:rFonts w:ascii="Georgia" w:eastAsia="Calibri" w:hAnsi="Georgia" w:cs="Arial Unicode MS"/>
                <w:sz w:val="20"/>
                <w:szCs w:val="20"/>
              </w:rPr>
              <w:t xml:space="preserve">Vidutinis projekto finansavimas, </w:t>
            </w:r>
            <w:r w:rsidR="00E23406" w:rsidRPr="002142B8">
              <w:rPr>
                <w:rFonts w:ascii="Georgia" w:eastAsia="Calibri" w:hAnsi="Georgia" w:cs="Arial Unicode MS"/>
                <w:sz w:val="20"/>
                <w:szCs w:val="20"/>
              </w:rPr>
              <w:t>eurais</w:t>
            </w:r>
          </w:p>
        </w:tc>
        <w:tc>
          <w:tcPr>
            <w:tcW w:w="0" w:type="pct"/>
            <w:tcBorders>
              <w:top w:val="nil"/>
              <w:left w:val="nil"/>
              <w:bottom w:val="single" w:sz="8" w:space="0" w:color="D62E1C"/>
              <w:right w:val="nil"/>
            </w:tcBorders>
            <w:vAlign w:val="center"/>
            <w:hideMark/>
          </w:tcPr>
          <w:p w14:paraId="5F6C0797" w14:textId="77777777" w:rsidR="005A0219" w:rsidRPr="002142B8"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694 tūkst.</w:t>
            </w:r>
          </w:p>
        </w:tc>
        <w:tc>
          <w:tcPr>
            <w:tcW w:w="0" w:type="pct"/>
            <w:tcBorders>
              <w:top w:val="nil"/>
              <w:left w:val="nil"/>
              <w:bottom w:val="single" w:sz="8" w:space="0" w:color="D62E1C"/>
              <w:right w:val="nil"/>
            </w:tcBorders>
            <w:vAlign w:val="center"/>
            <w:hideMark/>
          </w:tcPr>
          <w:p w14:paraId="4E6C149B" w14:textId="77777777" w:rsidR="005A0219" w:rsidRPr="002142B8"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309 tūkst.</w:t>
            </w:r>
          </w:p>
        </w:tc>
        <w:tc>
          <w:tcPr>
            <w:tcW w:w="0" w:type="pct"/>
            <w:tcBorders>
              <w:top w:val="nil"/>
              <w:left w:val="nil"/>
              <w:bottom w:val="single" w:sz="8" w:space="0" w:color="D62E1C"/>
              <w:right w:val="single" w:sz="8" w:space="0" w:color="D62E1C"/>
            </w:tcBorders>
            <w:vAlign w:val="center"/>
            <w:hideMark/>
          </w:tcPr>
          <w:p w14:paraId="235F559A" w14:textId="77777777" w:rsidR="005A0219" w:rsidRPr="002142B8" w:rsidRDefault="005A0219" w:rsidP="005A0219">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cs="Arial Unicode MS"/>
                <w:sz w:val="20"/>
                <w:szCs w:val="20"/>
              </w:rPr>
            </w:pPr>
            <w:r w:rsidRPr="002142B8">
              <w:rPr>
                <w:rFonts w:ascii="Georgia" w:eastAsia="Calibri" w:hAnsi="Georgia" w:cs="Arial Unicode MS"/>
                <w:sz w:val="20"/>
                <w:szCs w:val="20"/>
              </w:rPr>
              <w:t>591 tūkst.</w:t>
            </w:r>
          </w:p>
        </w:tc>
      </w:tr>
    </w:tbl>
    <w:p w14:paraId="5CC4C06D" w14:textId="41AC7BA8" w:rsidR="005A0219" w:rsidRPr="002142B8" w:rsidRDefault="005A0219" w:rsidP="005A0219">
      <w:pPr>
        <w:spacing w:after="160" w:line="240" w:lineRule="auto"/>
        <w:rPr>
          <w:rFonts w:ascii="Georgia" w:eastAsia="Georgia" w:hAnsi="Georgia" w:cs="Arial Unicode MS"/>
          <w:iCs/>
          <w:color w:val="821A1A"/>
          <w:sz w:val="20"/>
          <w:szCs w:val="18"/>
          <w:lang w:val="lt-LT"/>
        </w:rPr>
      </w:pPr>
      <w:r w:rsidRPr="002142B8">
        <w:rPr>
          <w:rFonts w:ascii="Georgia" w:eastAsia="Georgia" w:hAnsi="Georgia" w:cs="Arial Unicode MS"/>
          <w:i/>
          <w:iCs/>
          <w:color w:val="821A1A"/>
          <w:sz w:val="20"/>
          <w:szCs w:val="18"/>
          <w:lang w:val="lt-LT"/>
        </w:rPr>
        <w:t xml:space="preserve">Šaltinis: PwC studija, </w:t>
      </w:r>
      <w:hyperlink r:id="rId15" w:history="1">
        <w:r w:rsidRPr="002142B8">
          <w:rPr>
            <w:rFonts w:ascii="Georgia" w:eastAsia="Georgia" w:hAnsi="Georgia" w:cs="Arial Unicode MS"/>
            <w:i/>
            <w:iCs/>
            <w:color w:val="0070C0"/>
            <w:sz w:val="20"/>
            <w:szCs w:val="18"/>
            <w:u w:val="single"/>
            <w:lang w:val="lt-LT"/>
          </w:rPr>
          <w:t>www.esparama.lt</w:t>
        </w:r>
      </w:hyperlink>
      <w:r w:rsidRPr="002142B8">
        <w:rPr>
          <w:rFonts w:ascii="Georgia" w:eastAsia="Georgia" w:hAnsi="Georgia" w:cs="Arial Unicode MS"/>
          <w:i/>
          <w:iCs/>
          <w:color w:val="821A1A"/>
          <w:sz w:val="20"/>
          <w:szCs w:val="18"/>
          <w:lang w:val="lt-LT"/>
        </w:rPr>
        <w:t xml:space="preserve">, sudaryta autorių. </w:t>
      </w:r>
    </w:p>
    <w:p w14:paraId="0316FD74" w14:textId="77777777" w:rsidR="005A0219" w:rsidRPr="002142B8" w:rsidRDefault="005A0219" w:rsidP="005A0219">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Per 2007-2013 m. periodą pagal šias priemones iš viso buvo skirta 323,4 mln. eurų 648 projektų finansavimui. Vidutinė projekto vertė remiantis šiais duomenimis siekia 500 tūkst. eurų. </w:t>
      </w:r>
    </w:p>
    <w:p w14:paraId="2405F52D" w14:textId="77777777" w:rsidR="005A0219" w:rsidRPr="002142B8" w:rsidRDefault="005A0219" w:rsidP="005A0219">
      <w:pPr>
        <w:spacing w:after="160" w:line="240" w:lineRule="auto"/>
        <w:rPr>
          <w:rFonts w:ascii="Georgia" w:eastAsia="Georgia" w:hAnsi="Georgia" w:cs="Arial Unicode MS"/>
          <w:i/>
          <w:sz w:val="24"/>
          <w:szCs w:val="20"/>
          <w:lang w:val="lt-LT"/>
        </w:rPr>
      </w:pPr>
      <w:r w:rsidRPr="002142B8">
        <w:rPr>
          <w:rFonts w:ascii="Georgia" w:eastAsia="Georgia" w:hAnsi="Georgia" w:cs="Arial Unicode MS"/>
          <w:i/>
          <w:sz w:val="24"/>
          <w:szCs w:val="20"/>
          <w:lang w:val="lt-LT"/>
        </w:rPr>
        <w:t>Gatvių apšvietimo modernizavimo finansavimas</w:t>
      </w:r>
    </w:p>
    <w:p w14:paraId="139B955F"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2007-2013 m. periodu ESI fondų lėšomis nebuvo įgyvendinta nė viena priemonė, skirta finansuoti gatvių apšvietimo modernizavimo projektus. Gatvių apšvietimo tinklai pastaraisiais metais buvo renovuojami savivaldybių lėšomis arba skolinantis iš komercinių bankų. Tačiau pažymėtina, jog praktiškai visos investicijos į gatvių apšvietimo tinklus buvo skirtos ne siekti energijos vartojimo efektyvumo, bet sutaisyti bei renovuoti sugedusius šviestuvus (kaip jau buvo aptarta 2.1.3. skirsnyje, kur pažymėta, kad gatvių apšvietimo tinklai yra pasenę ir susidėvėję). Gatvių apšvietimo tinklai taip pat modernizuoti tais atvejais, kai buvo atliekama esminė kelių rekonstrukcija. Pavieniais atvejais naujos technologijos taip pat įdiegiamos tiesiant naujus kelius, pavyzdžiui LED tipo šviestuvais apšviestos Vilniaus vakarinio aplinkkelio atkarpos.</w:t>
      </w:r>
    </w:p>
    <w:p w14:paraId="52BE15B5"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lastRenderedPageBreak/>
        <w:t>Vienintelis pradedamas gatvių apšvietimo projektas yra Vilniaus gatvių apšvietimo projektas. 2012 m. Vilniaus miesto savivaldybė priėmė sprendimą modernizuoti Vilniaus gatvių apšvietimo tinklus, kadangi „</w:t>
      </w:r>
      <w:r w:rsidRPr="002142B8">
        <w:rPr>
          <w:rFonts w:ascii="Georgia" w:eastAsia="Georgia" w:hAnsi="Georgia" w:cs="Georgia"/>
          <w:i/>
          <w:sz w:val="20"/>
          <w:szCs w:val="20"/>
          <w:lang w:val="lt-LT"/>
        </w:rPr>
        <w:t>esama Vilniaus gatvių apšvietimo tinklo valdymo ir kontrolės sistema neefektyvi - naudoja energijai imlias technologijas, nėra galimybės reguliuoti apšvietimo lygį, gedimai fiksuojami tik fiziškai apžiūrint šviestuvus. Gatvių apšvietimo infrastruktūros nusidėvėjimas siekia 89,5 proc., ji neužtikrina normatyvuose nustatyto apšvietimo lygio, gedimai pastebimi pavėluotai</w:t>
      </w:r>
      <w:r w:rsidRPr="002142B8">
        <w:rPr>
          <w:rFonts w:ascii="Georgia" w:eastAsia="Georgia" w:hAnsi="Georgia" w:cs="Georgia"/>
          <w:sz w:val="20"/>
          <w:szCs w:val="20"/>
          <w:lang w:val="lt-LT"/>
        </w:rPr>
        <w:t xml:space="preserve">. </w:t>
      </w:r>
      <w:r w:rsidRPr="002142B8">
        <w:rPr>
          <w:rFonts w:ascii="Georgia" w:eastAsia="Georgia" w:hAnsi="Georgia" w:cs="Georgia"/>
          <w:i/>
          <w:sz w:val="20"/>
          <w:szCs w:val="20"/>
          <w:lang w:val="lt-LT"/>
        </w:rPr>
        <w:t>1997 – 2000 m. pasenę gatvių apšvietimui skirti gyvsidabrio lempų šviestuvai buvo pakeisti į ekonomiškesnius natrio lempų šviestuvus. Tai leido mažiausiai dvigubai sumažinti šviestuvų instaliuotą galią, o kartu suvartojamos elektros energijos kiekį. Tačiau daugumos šių šviestuvų eksploatacijos laikas baigsis už 1 – 4 metų, todėl nesiimant projekto įgyvendinimo kokybišką gatvių apšvietimą užtikrinti bus sudėtinga”</w:t>
      </w:r>
      <w:r w:rsidRPr="002142B8">
        <w:rPr>
          <w:rFonts w:ascii="Georgia" w:eastAsia="Georgia" w:hAnsi="Georgia" w:cs="Georgia"/>
          <w:color w:val="000000"/>
          <w:sz w:val="20"/>
          <w:szCs w:val="20"/>
          <w:vertAlign w:val="superscript"/>
          <w:lang w:val="lt-LT"/>
        </w:rPr>
        <w:footnoteReference w:id="33"/>
      </w:r>
      <w:r w:rsidRPr="002142B8">
        <w:rPr>
          <w:rFonts w:ascii="Georgia" w:eastAsia="Georgia" w:hAnsi="Georgia" w:cs="Georgia"/>
          <w:i/>
          <w:sz w:val="20"/>
          <w:szCs w:val="20"/>
          <w:lang w:val="lt-LT"/>
        </w:rPr>
        <w:t xml:space="preserve">. </w:t>
      </w:r>
    </w:p>
    <w:p w14:paraId="6153A36F" w14:textId="08D4AFFE"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Buvo nuspręsta, kad projektą įgyvendins savivaldybės įmonė UAB „Vilniaus gatvių apšvietimo elektros tinklai“ be </w:t>
      </w:r>
      <w:r w:rsidR="00FB6F18" w:rsidRPr="002142B8">
        <w:rPr>
          <w:rFonts w:ascii="Georgia" w:eastAsia="Georgia" w:hAnsi="Georgia" w:cs="Georgia"/>
          <w:sz w:val="20"/>
          <w:szCs w:val="20"/>
          <w:lang w:val="lt-LT"/>
        </w:rPr>
        <w:t>ESCO</w:t>
      </w:r>
      <w:r w:rsidRPr="002142B8">
        <w:rPr>
          <w:rFonts w:ascii="Georgia" w:eastAsia="Georgia" w:hAnsi="Georgia" w:cs="Georgia"/>
          <w:sz w:val="20"/>
          <w:szCs w:val="20"/>
          <w:lang w:val="lt-LT"/>
        </w:rPr>
        <w:t xml:space="preserve">. Vilniaus gatvių apšvietimo modernizavimo projekto finansavimui pasirinktas modelis yra valdžios ir privataus subjektų partnerystė. Šio projekto vertė – 25,6 mln. EUR, trukmė – 36 m. Planuojama, kad įgyvendinus projektą elektros energijos suvartojimas kiekis ir kaštai sumažės apie 50 proc., elektros įrenginių sąnaudos – iki 31 proc. Tuo pačiu bus sumažinta aplinkos tarša, ŠESD emisija, sumažės nusikalstamumas ir pagerės apšvietimo kokybė.   </w:t>
      </w:r>
    </w:p>
    <w:p w14:paraId="60B1BBA1" w14:textId="0D753BD9" w:rsidR="005A0219" w:rsidRPr="002142B8" w:rsidRDefault="005A0219" w:rsidP="005A0219">
      <w:pPr>
        <w:keepNext/>
        <w:keepLines/>
        <w:numPr>
          <w:ilvl w:val="3"/>
          <w:numId w:val="2"/>
        </w:numPr>
        <w:spacing w:before="200" w:after="240" w:line="240" w:lineRule="auto"/>
        <w:ind w:hanging="1440"/>
        <w:outlineLvl w:val="1"/>
        <w:rPr>
          <w:rFonts w:ascii="Georgia" w:eastAsia="Times New Roman" w:hAnsi="Georgia" w:cs="Arial Unicode MS"/>
          <w:b/>
          <w:i/>
          <w:color w:val="821A1A"/>
          <w:sz w:val="32"/>
          <w:szCs w:val="26"/>
          <w:lang w:val="lt-LT"/>
        </w:rPr>
      </w:pPr>
      <w:bookmarkStart w:id="94" w:name="_Toc25589901"/>
      <w:r w:rsidRPr="002142B8">
        <w:rPr>
          <w:rFonts w:ascii="Georgia" w:eastAsia="Times New Roman" w:hAnsi="Georgia" w:cs="Arial Unicode MS"/>
          <w:b/>
          <w:i/>
          <w:color w:val="821A1A"/>
          <w:sz w:val="32"/>
          <w:szCs w:val="26"/>
          <w:lang w:val="lt-LT"/>
        </w:rPr>
        <w:t>Finansavimas 2014-202</w:t>
      </w:r>
      <w:r w:rsidR="008B57EC" w:rsidRPr="002142B8">
        <w:rPr>
          <w:rFonts w:ascii="Georgia" w:eastAsia="Times New Roman" w:hAnsi="Georgia" w:cs="Arial Unicode MS"/>
          <w:b/>
          <w:i/>
          <w:color w:val="821A1A"/>
          <w:sz w:val="32"/>
          <w:szCs w:val="26"/>
          <w:lang w:val="lt-LT"/>
        </w:rPr>
        <w:t>0</w:t>
      </w:r>
      <w:r w:rsidRPr="002142B8">
        <w:rPr>
          <w:rFonts w:ascii="Georgia" w:eastAsia="Times New Roman" w:hAnsi="Georgia" w:cs="Arial Unicode MS"/>
          <w:b/>
          <w:i/>
          <w:color w:val="821A1A"/>
          <w:sz w:val="32"/>
          <w:szCs w:val="26"/>
          <w:lang w:val="lt-LT"/>
        </w:rPr>
        <w:t xml:space="preserve"> m. laikotarpiu</w:t>
      </w:r>
      <w:bookmarkEnd w:id="94"/>
    </w:p>
    <w:p w14:paraId="1D77F551"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 xml:space="preserve">Siekiant atspindėti dabartinę aktualią finansavimo situaciją šioje dalyje yra aptariamas 2014-2020 m. periodo finansavimas, nors energijos efektyvumo sritys buvo finansuojamos ir anksčiau. </w:t>
      </w:r>
    </w:p>
    <w:p w14:paraId="1E0AF87F" w14:textId="77777777" w:rsidR="005A0219" w:rsidRPr="002142B8" w:rsidRDefault="005A0219" w:rsidP="005A0219">
      <w:pPr>
        <w:spacing w:after="160" w:line="240" w:lineRule="auto"/>
        <w:rPr>
          <w:rFonts w:ascii="Georgia" w:eastAsia="Georgia" w:hAnsi="Georgia" w:cs="Arial Unicode MS"/>
          <w:b/>
          <w:i/>
          <w:sz w:val="24"/>
          <w:szCs w:val="20"/>
          <w:lang w:val="lt-LT"/>
        </w:rPr>
      </w:pPr>
      <w:r w:rsidRPr="002142B8">
        <w:rPr>
          <w:rFonts w:ascii="Georgia" w:eastAsia="Georgia" w:hAnsi="Georgia" w:cs="Arial Unicode MS"/>
          <w:b/>
          <w:i/>
          <w:sz w:val="24"/>
          <w:szCs w:val="20"/>
          <w:lang w:val="lt-LT"/>
        </w:rPr>
        <w:t>ESI fondų lėšos</w:t>
      </w:r>
    </w:p>
    <w:p w14:paraId="25EBF256"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2014-2020 m. periodo ESI fondų investicijos Lietuvoje energijos efektyvumo projektų finansavimui sudarys ženklią sumą ir bus skiriamos pagal Veiksmų programos 4-ąjį prioritetą „Energijos efektyvumo ir atsinaujinančių išteklių energijos gamybos ir naudojimo skatinimas“, 4.3 investicinį prioritetą „Energijos vartojimo efektyvumo, pažangaus energijos valdymo ir AIE vartojimo viešosiose infrastruktūrose, įskaitant viešuosius pastatus ir gyvenamųjų namų sektorių, rėmimas“ ir 4.3.1 konkretų uždavinį „Sumažinti energijos suvartojimą viešojoje infrastruktūroje ir daugiabučiuose namuose“.</w:t>
      </w:r>
    </w:p>
    <w:p w14:paraId="67BC8AAE"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Bendrai sritims, kurios yra analizuojamos šiame ex-ante vertinime, yra skiriama 448 mln. eurų</w:t>
      </w:r>
      <w:r w:rsidRPr="002142B8">
        <w:rPr>
          <w:rFonts w:ascii="Georgia" w:eastAsia="Georgia" w:hAnsi="Georgia" w:cs="Times New Roman"/>
          <w:color w:val="000000"/>
          <w:sz w:val="20"/>
          <w:szCs w:val="20"/>
          <w:vertAlign w:val="superscript"/>
          <w:lang w:val="lt-LT"/>
        </w:rPr>
        <w:footnoteReference w:id="34"/>
      </w:r>
      <w:r w:rsidRPr="002142B8">
        <w:rPr>
          <w:rFonts w:ascii="Georgia" w:eastAsia="Georgia" w:hAnsi="Georgia" w:cs="Times New Roman"/>
          <w:sz w:val="20"/>
          <w:szCs w:val="20"/>
          <w:lang w:val="lt-LT"/>
        </w:rPr>
        <w:t>, kurie, remiantis naujausiais duomenimis, yra paskirstyti lentelėje žemiau.</w:t>
      </w:r>
    </w:p>
    <w:p w14:paraId="47213351" w14:textId="742B4A8E" w:rsidR="005A0219" w:rsidRPr="002142B8" w:rsidRDefault="005A0219" w:rsidP="005A0219">
      <w:pPr>
        <w:spacing w:after="160" w:line="240" w:lineRule="auto"/>
        <w:rPr>
          <w:rFonts w:ascii="Georgia" w:eastAsia="Georgia" w:hAnsi="Georgia" w:cs="Arial Unicode MS"/>
          <w:i/>
          <w:iCs/>
          <w:color w:val="821A1A"/>
          <w:sz w:val="20"/>
          <w:szCs w:val="18"/>
          <w:lang w:val="lt-LT"/>
        </w:rPr>
      </w:pPr>
      <w:bookmarkStart w:id="95" w:name="_Toc507939143"/>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21</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Priemonės ir įsteigti fondai siekiant veiksmų programos 4 prioriteto „Energijos efektyvumo ir atsinaujinančių išteklių energijos gamybos ir naudojimo skatinimas“ 2014-2020 metais</w:t>
      </w:r>
      <w:bookmarkEnd w:id="95"/>
    </w:p>
    <w:tbl>
      <w:tblPr>
        <w:tblStyle w:val="LightList-Accent21"/>
        <w:tblW w:w="0" w:type="auto"/>
        <w:tblInd w:w="-10" w:type="dxa"/>
        <w:tblLayout w:type="fixed"/>
        <w:tblLook w:val="04A0" w:firstRow="1" w:lastRow="0" w:firstColumn="1" w:lastColumn="0" w:noHBand="0" w:noVBand="1"/>
      </w:tblPr>
      <w:tblGrid>
        <w:gridCol w:w="1560"/>
        <w:gridCol w:w="3543"/>
        <w:gridCol w:w="1560"/>
        <w:gridCol w:w="1417"/>
        <w:gridCol w:w="1701"/>
      </w:tblGrid>
      <w:tr w:rsidR="005A0219" w:rsidRPr="002142B8" w14:paraId="5B445B45" w14:textId="77777777" w:rsidTr="003640C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FBA78CD"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Priemonės kodas</w:t>
            </w:r>
          </w:p>
        </w:tc>
        <w:tc>
          <w:tcPr>
            <w:tcW w:w="3543" w:type="dxa"/>
            <w:noWrap/>
            <w:hideMark/>
          </w:tcPr>
          <w:p w14:paraId="0FB92A2A" w14:textId="77777777" w:rsidR="005A0219" w:rsidRPr="002142B8" w:rsidRDefault="005A0219" w:rsidP="005A0219">
            <w:pPr>
              <w:spacing w:after="240" w:line="240" w:lineRule="atLeas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Priemonės pavadinimas</w:t>
            </w:r>
          </w:p>
        </w:tc>
        <w:tc>
          <w:tcPr>
            <w:tcW w:w="1560" w:type="dxa"/>
            <w:noWrap/>
            <w:hideMark/>
          </w:tcPr>
          <w:p w14:paraId="4D9350FE" w14:textId="6585B8EA" w:rsidR="005A0219" w:rsidRPr="002142B8" w:rsidRDefault="005A0219" w:rsidP="00192663">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Suma, </w:t>
            </w:r>
            <w:r w:rsidR="00192663" w:rsidRPr="002142B8">
              <w:rPr>
                <w:rFonts w:ascii="Georgia" w:eastAsia="Georgia" w:hAnsi="Georgia" w:cs="Arial Unicode MS"/>
                <w:sz w:val="20"/>
                <w:szCs w:val="20"/>
              </w:rPr>
              <w:t>eurais</w:t>
            </w:r>
          </w:p>
        </w:tc>
        <w:tc>
          <w:tcPr>
            <w:tcW w:w="1417" w:type="dxa"/>
            <w:hideMark/>
          </w:tcPr>
          <w:p w14:paraId="279701E8" w14:textId="77777777" w:rsidR="005A0219" w:rsidRPr="002142B8" w:rsidRDefault="005A0219" w:rsidP="005A0219">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Išmokėta (%)</w:t>
            </w:r>
          </w:p>
        </w:tc>
        <w:tc>
          <w:tcPr>
            <w:tcW w:w="1701" w:type="dxa"/>
            <w:hideMark/>
          </w:tcPr>
          <w:p w14:paraId="6730EEC1" w14:textId="77777777" w:rsidR="005A0219" w:rsidRPr="002142B8" w:rsidRDefault="005A0219" w:rsidP="005A0219">
            <w:pPr>
              <w:spacing w:after="240" w:line="240" w:lineRule="atLeast"/>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Sutarties pasirašymo data</w:t>
            </w:r>
          </w:p>
        </w:tc>
      </w:tr>
      <w:tr w:rsidR="005A0219" w:rsidRPr="002142B8" w14:paraId="7065B76A" w14:textId="77777777" w:rsidTr="003640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noWrap/>
            <w:hideMark/>
          </w:tcPr>
          <w:p w14:paraId="686E5B41"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04.3.1-VIPA-V-101</w:t>
            </w:r>
          </w:p>
        </w:tc>
        <w:tc>
          <w:tcPr>
            <w:tcW w:w="3543" w:type="dxa"/>
            <w:shd w:val="clear" w:color="auto" w:fill="F8D3CF"/>
            <w:noWrap/>
            <w:hideMark/>
          </w:tcPr>
          <w:p w14:paraId="6CAFA9BF"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Valstybei nuosavybės teise priklausančių pastatų atnaujinimas</w:t>
            </w:r>
          </w:p>
        </w:tc>
        <w:tc>
          <w:tcPr>
            <w:tcW w:w="1560" w:type="dxa"/>
            <w:shd w:val="clear" w:color="auto" w:fill="F8D3CF"/>
            <w:noWrap/>
            <w:hideMark/>
          </w:tcPr>
          <w:p w14:paraId="2A0FFC20"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28 962 001</w:t>
            </w:r>
          </w:p>
        </w:tc>
        <w:tc>
          <w:tcPr>
            <w:tcW w:w="1417" w:type="dxa"/>
            <w:shd w:val="clear" w:color="auto" w:fill="F8D3CF"/>
            <w:noWrap/>
            <w:hideMark/>
          </w:tcPr>
          <w:p w14:paraId="4248154B"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0%</w:t>
            </w:r>
          </w:p>
        </w:tc>
        <w:tc>
          <w:tcPr>
            <w:tcW w:w="1701" w:type="dxa"/>
            <w:shd w:val="clear" w:color="auto" w:fill="F8D3CF"/>
            <w:noWrap/>
            <w:hideMark/>
          </w:tcPr>
          <w:p w14:paraId="6265A487"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w:t>
            </w:r>
          </w:p>
        </w:tc>
      </w:tr>
      <w:tr w:rsidR="005A0219" w:rsidRPr="002142B8" w14:paraId="5A1BC447" w14:textId="77777777" w:rsidTr="003640C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noWrap/>
          </w:tcPr>
          <w:p w14:paraId="093A5EB0"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04.3.1-FM-F-105</w:t>
            </w:r>
          </w:p>
        </w:tc>
        <w:tc>
          <w:tcPr>
            <w:tcW w:w="3543" w:type="dxa"/>
            <w:shd w:val="clear" w:color="auto" w:fill="F8D3CF"/>
            <w:noWrap/>
          </w:tcPr>
          <w:p w14:paraId="1F4F3F1C"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Energijos vartojimo efektyvumo didinimas viešojoje infrastruktūroje</w:t>
            </w:r>
          </w:p>
        </w:tc>
        <w:tc>
          <w:tcPr>
            <w:tcW w:w="1560" w:type="dxa"/>
            <w:shd w:val="clear" w:color="auto" w:fill="F8D3CF"/>
            <w:noWrap/>
          </w:tcPr>
          <w:p w14:paraId="3E34DF5A"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bookmarkStart w:id="96" w:name="_Hlk496651910"/>
            <w:r w:rsidRPr="002142B8">
              <w:rPr>
                <w:rFonts w:ascii="Georgia" w:eastAsia="Georgia" w:hAnsi="Georgia" w:cs="Arial Unicode MS"/>
                <w:sz w:val="20"/>
                <w:szCs w:val="20"/>
              </w:rPr>
              <w:t>79 645 505</w:t>
            </w:r>
            <w:bookmarkEnd w:id="96"/>
          </w:p>
        </w:tc>
        <w:tc>
          <w:tcPr>
            <w:tcW w:w="1417" w:type="dxa"/>
            <w:shd w:val="clear" w:color="auto" w:fill="F8D3CF"/>
            <w:noWrap/>
          </w:tcPr>
          <w:p w14:paraId="0D6952CB" w14:textId="5613D4FA" w:rsidR="005A0219" w:rsidRPr="002142B8"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w:t>
            </w:r>
            <w:r w:rsidR="005A0219" w:rsidRPr="002142B8">
              <w:rPr>
                <w:rFonts w:ascii="Georgia" w:eastAsia="Georgia" w:hAnsi="Georgia" w:cs="Arial Unicode MS"/>
                <w:sz w:val="20"/>
                <w:szCs w:val="20"/>
              </w:rPr>
              <w:t>%</w:t>
            </w:r>
          </w:p>
        </w:tc>
        <w:tc>
          <w:tcPr>
            <w:tcW w:w="1701" w:type="dxa"/>
            <w:shd w:val="clear" w:color="auto" w:fill="F8D3CF"/>
            <w:noWrap/>
          </w:tcPr>
          <w:p w14:paraId="1C99FA15"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2142B8" w14:paraId="59629BDF"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7645D106"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04.3.1-FM-F-105-01-0001</w:t>
            </w:r>
          </w:p>
        </w:tc>
        <w:tc>
          <w:tcPr>
            <w:tcW w:w="3543" w:type="dxa"/>
            <w:hideMark/>
          </w:tcPr>
          <w:p w14:paraId="6F70CF55"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Energijos efektyvumo fondas, finansuojamas iš Europos regioninės plėtros fondo</w:t>
            </w:r>
          </w:p>
        </w:tc>
        <w:tc>
          <w:tcPr>
            <w:tcW w:w="1560" w:type="dxa"/>
            <w:noWrap/>
            <w:hideMark/>
          </w:tcPr>
          <w:p w14:paraId="55CEEF55"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79 645 505</w:t>
            </w:r>
          </w:p>
        </w:tc>
        <w:tc>
          <w:tcPr>
            <w:tcW w:w="1417" w:type="dxa"/>
            <w:noWrap/>
            <w:hideMark/>
          </w:tcPr>
          <w:p w14:paraId="7EC068AA"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24%</w:t>
            </w:r>
          </w:p>
        </w:tc>
        <w:tc>
          <w:tcPr>
            <w:tcW w:w="1701" w:type="dxa"/>
            <w:noWrap/>
            <w:hideMark/>
          </w:tcPr>
          <w:p w14:paraId="367C4B54" w14:textId="5DA9D7CB"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2015</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02</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18</w:t>
            </w:r>
          </w:p>
        </w:tc>
      </w:tr>
      <w:tr w:rsidR="005A0219" w:rsidRPr="002142B8" w14:paraId="3223EFF9"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3702A95B"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lastRenderedPageBreak/>
              <w:t>Nr. 04.3.1-FM-F-001</w:t>
            </w:r>
          </w:p>
        </w:tc>
        <w:tc>
          <w:tcPr>
            <w:tcW w:w="3543" w:type="dxa"/>
            <w:shd w:val="clear" w:color="auto" w:fill="F8D3CF"/>
          </w:tcPr>
          <w:p w14:paraId="7C27DEBF"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Daugiabučių namų atnaujinimas</w:t>
            </w:r>
          </w:p>
        </w:tc>
        <w:tc>
          <w:tcPr>
            <w:tcW w:w="1560" w:type="dxa"/>
            <w:shd w:val="clear" w:color="auto" w:fill="F8D3CF"/>
            <w:noWrap/>
          </w:tcPr>
          <w:p w14:paraId="20994BA9"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314 000 000</w:t>
            </w:r>
          </w:p>
        </w:tc>
        <w:tc>
          <w:tcPr>
            <w:tcW w:w="1417" w:type="dxa"/>
            <w:shd w:val="clear" w:color="auto" w:fill="F8D3CF"/>
            <w:noWrap/>
          </w:tcPr>
          <w:p w14:paraId="33F8590E" w14:textId="57C862E8" w:rsidR="005A0219" w:rsidRPr="002142B8"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87</w:t>
            </w:r>
            <w:r w:rsidR="005A0219" w:rsidRPr="002142B8">
              <w:rPr>
                <w:rFonts w:ascii="Georgia" w:eastAsia="Georgia" w:hAnsi="Georgia" w:cs="Arial Unicode MS"/>
                <w:sz w:val="20"/>
                <w:szCs w:val="20"/>
              </w:rPr>
              <w:t>%</w:t>
            </w:r>
          </w:p>
        </w:tc>
        <w:tc>
          <w:tcPr>
            <w:tcW w:w="1701" w:type="dxa"/>
            <w:shd w:val="clear" w:color="auto" w:fill="F8D3CF"/>
            <w:noWrap/>
          </w:tcPr>
          <w:p w14:paraId="597D2C93"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2142B8" w14:paraId="408FA9EA"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27BA04DE"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04.3.1-FM-F-001-01-0001</w:t>
            </w:r>
          </w:p>
        </w:tc>
        <w:tc>
          <w:tcPr>
            <w:tcW w:w="3543" w:type="dxa"/>
            <w:hideMark/>
          </w:tcPr>
          <w:p w14:paraId="26597139"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Daugiabučių namų modernizavimo fondas, finansuojamas Europos regioninės plėtros fondo lėšomis</w:t>
            </w:r>
          </w:p>
        </w:tc>
        <w:tc>
          <w:tcPr>
            <w:tcW w:w="1560" w:type="dxa"/>
            <w:noWrap/>
            <w:hideMark/>
          </w:tcPr>
          <w:p w14:paraId="50595081"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74 000 000</w:t>
            </w:r>
          </w:p>
        </w:tc>
        <w:tc>
          <w:tcPr>
            <w:tcW w:w="1417" w:type="dxa"/>
            <w:noWrap/>
            <w:hideMark/>
          </w:tcPr>
          <w:p w14:paraId="0D723291"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100%</w:t>
            </w:r>
          </w:p>
        </w:tc>
        <w:tc>
          <w:tcPr>
            <w:tcW w:w="1701" w:type="dxa"/>
            <w:noWrap/>
            <w:hideMark/>
          </w:tcPr>
          <w:p w14:paraId="710AA603" w14:textId="09E7F343"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2015</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03</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27</w:t>
            </w:r>
          </w:p>
        </w:tc>
      </w:tr>
      <w:tr w:rsidR="005A0219" w:rsidRPr="002142B8" w14:paraId="2C43552E"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62765457"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04.3.1-FM-F-001-02-0001</w:t>
            </w:r>
          </w:p>
        </w:tc>
        <w:tc>
          <w:tcPr>
            <w:tcW w:w="3543" w:type="dxa"/>
            <w:hideMark/>
          </w:tcPr>
          <w:p w14:paraId="708E81BE"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Jessica II Fondų fondas („FF“), finansuojamas Europos regioninės plėtros fondo</w:t>
            </w:r>
          </w:p>
        </w:tc>
        <w:tc>
          <w:tcPr>
            <w:tcW w:w="1560" w:type="dxa"/>
            <w:noWrap/>
            <w:hideMark/>
          </w:tcPr>
          <w:p w14:paraId="261444B2"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150 000 000</w:t>
            </w:r>
          </w:p>
        </w:tc>
        <w:tc>
          <w:tcPr>
            <w:tcW w:w="1417" w:type="dxa"/>
            <w:noWrap/>
            <w:hideMark/>
          </w:tcPr>
          <w:p w14:paraId="729C1F14"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100%</w:t>
            </w:r>
          </w:p>
        </w:tc>
        <w:tc>
          <w:tcPr>
            <w:tcW w:w="1701" w:type="dxa"/>
            <w:noWrap/>
            <w:hideMark/>
          </w:tcPr>
          <w:p w14:paraId="6A6127DE" w14:textId="25019799"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2015</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05</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07</w:t>
            </w:r>
          </w:p>
        </w:tc>
      </w:tr>
      <w:tr w:rsidR="005A0219" w:rsidRPr="002142B8" w14:paraId="74B0DD8C"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2E277DE9"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04.3.1-FM-F-001-02-0002</w:t>
            </w:r>
          </w:p>
        </w:tc>
        <w:tc>
          <w:tcPr>
            <w:tcW w:w="3543" w:type="dxa"/>
            <w:hideMark/>
          </w:tcPr>
          <w:p w14:paraId="3C160FF6"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Rizikos pasidalijimo fondas, finansuojamas Europos regioninės plėtros fondo ir grįžusių lėšų</w:t>
            </w:r>
          </w:p>
        </w:tc>
        <w:tc>
          <w:tcPr>
            <w:tcW w:w="1560" w:type="dxa"/>
            <w:noWrap/>
            <w:hideMark/>
          </w:tcPr>
          <w:p w14:paraId="356F32AD"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90 000 000</w:t>
            </w:r>
          </w:p>
        </w:tc>
        <w:tc>
          <w:tcPr>
            <w:tcW w:w="1417" w:type="dxa"/>
            <w:noWrap/>
            <w:hideMark/>
          </w:tcPr>
          <w:p w14:paraId="05F7D651" w14:textId="4921A1F9" w:rsidR="005A0219" w:rsidRPr="002142B8" w:rsidRDefault="00DA6728" w:rsidP="00DA6728">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56%</w:t>
            </w:r>
          </w:p>
        </w:tc>
        <w:tc>
          <w:tcPr>
            <w:tcW w:w="1701" w:type="dxa"/>
            <w:noWrap/>
            <w:hideMark/>
          </w:tcPr>
          <w:p w14:paraId="0FE58F23" w14:textId="4B145454"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2016</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10</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05</w:t>
            </w:r>
          </w:p>
        </w:tc>
      </w:tr>
      <w:tr w:rsidR="005A0219" w:rsidRPr="002142B8" w14:paraId="5F81AA46"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403027AA"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04.3.1-FM-F-002</w:t>
            </w:r>
          </w:p>
        </w:tc>
        <w:tc>
          <w:tcPr>
            <w:tcW w:w="3543" w:type="dxa"/>
            <w:shd w:val="clear" w:color="auto" w:fill="F8D3CF"/>
          </w:tcPr>
          <w:p w14:paraId="126E7C80"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Savivaldybių viešųjų pastatų atnaujinimas</w:t>
            </w:r>
          </w:p>
        </w:tc>
        <w:tc>
          <w:tcPr>
            <w:tcW w:w="1560" w:type="dxa"/>
            <w:shd w:val="clear" w:color="auto" w:fill="F8D3CF"/>
            <w:noWrap/>
          </w:tcPr>
          <w:p w14:paraId="33AB08E0"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17 268 692</w:t>
            </w:r>
          </w:p>
        </w:tc>
        <w:tc>
          <w:tcPr>
            <w:tcW w:w="1417" w:type="dxa"/>
            <w:shd w:val="clear" w:color="auto" w:fill="F8D3CF"/>
            <w:noWrap/>
          </w:tcPr>
          <w:p w14:paraId="43805310" w14:textId="65F3E67E" w:rsidR="005A0219" w:rsidRPr="002142B8"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25</w:t>
            </w:r>
            <w:r w:rsidR="005A0219" w:rsidRPr="002142B8">
              <w:rPr>
                <w:rFonts w:ascii="Georgia" w:eastAsia="Georgia" w:hAnsi="Georgia" w:cs="Arial Unicode MS"/>
                <w:sz w:val="20"/>
                <w:szCs w:val="20"/>
              </w:rPr>
              <w:t>%</w:t>
            </w:r>
          </w:p>
        </w:tc>
        <w:tc>
          <w:tcPr>
            <w:tcW w:w="1701" w:type="dxa"/>
            <w:shd w:val="clear" w:color="auto" w:fill="F8D3CF"/>
            <w:noWrap/>
          </w:tcPr>
          <w:p w14:paraId="2CFF76EA"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rPr>
            </w:pPr>
          </w:p>
        </w:tc>
      </w:tr>
      <w:tr w:rsidR="005A0219" w:rsidRPr="002142B8" w14:paraId="0E5AB66C"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0C6E3346"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04.3.1-FM-F-002-01-0001</w:t>
            </w:r>
          </w:p>
        </w:tc>
        <w:tc>
          <w:tcPr>
            <w:tcW w:w="3543" w:type="dxa"/>
            <w:hideMark/>
          </w:tcPr>
          <w:p w14:paraId="7AB1B0DC"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Savivaldybių pastatų fondas</w:t>
            </w:r>
          </w:p>
        </w:tc>
        <w:tc>
          <w:tcPr>
            <w:tcW w:w="1560" w:type="dxa"/>
            <w:noWrap/>
            <w:hideMark/>
          </w:tcPr>
          <w:p w14:paraId="0DDADD1D"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17 268 692</w:t>
            </w:r>
          </w:p>
        </w:tc>
        <w:tc>
          <w:tcPr>
            <w:tcW w:w="1417" w:type="dxa"/>
            <w:noWrap/>
            <w:hideMark/>
          </w:tcPr>
          <w:p w14:paraId="2061584F"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25%</w:t>
            </w:r>
          </w:p>
        </w:tc>
        <w:tc>
          <w:tcPr>
            <w:tcW w:w="1701" w:type="dxa"/>
            <w:noWrap/>
            <w:hideMark/>
          </w:tcPr>
          <w:p w14:paraId="5185A012" w14:textId="63C9118C"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2017</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06</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27</w:t>
            </w:r>
          </w:p>
        </w:tc>
      </w:tr>
      <w:tr w:rsidR="005A0219" w:rsidRPr="002142B8" w14:paraId="05FE426B"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shd w:val="clear" w:color="auto" w:fill="F8D3CF"/>
          </w:tcPr>
          <w:p w14:paraId="49150595"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04.3.1-APVA-V-003</w:t>
            </w:r>
          </w:p>
        </w:tc>
        <w:tc>
          <w:tcPr>
            <w:tcW w:w="3543" w:type="dxa"/>
            <w:shd w:val="clear" w:color="auto" w:fill="F8D3CF"/>
          </w:tcPr>
          <w:p w14:paraId="4683EF62"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Daugiabučių namų ir savivaldybių viešųjų pastatų modernizavimo skatinimas</w:t>
            </w:r>
          </w:p>
        </w:tc>
        <w:tc>
          <w:tcPr>
            <w:tcW w:w="1560" w:type="dxa"/>
            <w:shd w:val="clear" w:color="auto" w:fill="F8D3CF"/>
            <w:noWrap/>
          </w:tcPr>
          <w:p w14:paraId="4E835CAA"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 8 688 600</w:t>
            </w:r>
          </w:p>
        </w:tc>
        <w:tc>
          <w:tcPr>
            <w:tcW w:w="1417" w:type="dxa"/>
            <w:shd w:val="clear" w:color="auto" w:fill="F8D3CF"/>
            <w:noWrap/>
          </w:tcPr>
          <w:p w14:paraId="2086CC56" w14:textId="33B323DE" w:rsidR="005A0219" w:rsidRPr="002142B8" w:rsidRDefault="00DA6728"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23</w:t>
            </w:r>
            <w:r w:rsidR="005A0219" w:rsidRPr="002142B8">
              <w:rPr>
                <w:rFonts w:ascii="Georgia" w:eastAsia="Georgia" w:hAnsi="Georgia" w:cs="Arial Unicode MS"/>
                <w:sz w:val="20"/>
                <w:szCs w:val="20"/>
              </w:rPr>
              <w:t>%</w:t>
            </w:r>
          </w:p>
        </w:tc>
        <w:tc>
          <w:tcPr>
            <w:tcW w:w="1701" w:type="dxa"/>
            <w:shd w:val="clear" w:color="auto" w:fill="F8D3CF"/>
            <w:noWrap/>
          </w:tcPr>
          <w:p w14:paraId="6E59CC44"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2142B8" w14:paraId="2DBA3830" w14:textId="77777777" w:rsidTr="003640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0646C423"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04.3.1-APVA-V-003-01-0001</w:t>
            </w:r>
          </w:p>
        </w:tc>
        <w:tc>
          <w:tcPr>
            <w:tcW w:w="3543" w:type="dxa"/>
            <w:hideMark/>
          </w:tcPr>
          <w:p w14:paraId="63DF2E35"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Daugiabučių namų ir savivaldybių viešųjų pastatų modernizavimo skatinimas</w:t>
            </w:r>
          </w:p>
        </w:tc>
        <w:tc>
          <w:tcPr>
            <w:tcW w:w="1560" w:type="dxa"/>
            <w:noWrap/>
            <w:hideMark/>
          </w:tcPr>
          <w:p w14:paraId="03FC89A4"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4 542 187</w:t>
            </w:r>
          </w:p>
        </w:tc>
        <w:tc>
          <w:tcPr>
            <w:tcW w:w="1417" w:type="dxa"/>
            <w:noWrap/>
            <w:hideMark/>
          </w:tcPr>
          <w:p w14:paraId="0A38F8A7"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40%</w:t>
            </w:r>
          </w:p>
        </w:tc>
        <w:tc>
          <w:tcPr>
            <w:tcW w:w="1701" w:type="dxa"/>
            <w:noWrap/>
            <w:hideMark/>
          </w:tcPr>
          <w:p w14:paraId="46A7C841" w14:textId="469BA78F"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2016</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08</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25</w:t>
            </w:r>
          </w:p>
        </w:tc>
      </w:tr>
      <w:tr w:rsidR="005A0219" w:rsidRPr="002142B8" w14:paraId="3AF8AB98" w14:textId="77777777" w:rsidTr="003640CE">
        <w:trPr>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5C0A435B" w14:textId="77777777" w:rsidR="005A0219" w:rsidRPr="002142B8" w:rsidRDefault="005A0219"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Nr. 04.3.1-APVA-V-003-01-0002</w:t>
            </w:r>
          </w:p>
        </w:tc>
        <w:tc>
          <w:tcPr>
            <w:tcW w:w="3543" w:type="dxa"/>
            <w:hideMark/>
          </w:tcPr>
          <w:p w14:paraId="10C6E390" w14:textId="77777777" w:rsidR="005A0219" w:rsidRPr="002142B8" w:rsidRDefault="005A0219" w:rsidP="005A0219">
            <w:pPr>
              <w:spacing w:after="240" w:line="240" w:lineRule="atLeas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Atnaujinamų (modernizuojamų) pastatų statybos kokybės priežiūra ir kontrolė</w:t>
            </w:r>
          </w:p>
        </w:tc>
        <w:tc>
          <w:tcPr>
            <w:tcW w:w="1560" w:type="dxa"/>
            <w:noWrap/>
            <w:hideMark/>
          </w:tcPr>
          <w:p w14:paraId="3914B533"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429 018</w:t>
            </w:r>
          </w:p>
        </w:tc>
        <w:tc>
          <w:tcPr>
            <w:tcW w:w="1417" w:type="dxa"/>
            <w:noWrap/>
            <w:hideMark/>
          </w:tcPr>
          <w:p w14:paraId="6A782D9B" w14:textId="77777777"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34%</w:t>
            </w:r>
          </w:p>
        </w:tc>
        <w:tc>
          <w:tcPr>
            <w:tcW w:w="1701" w:type="dxa"/>
            <w:noWrap/>
            <w:hideMark/>
          </w:tcPr>
          <w:p w14:paraId="1F7A8979" w14:textId="018A36F9" w:rsidR="005A0219" w:rsidRPr="002142B8" w:rsidRDefault="005A0219" w:rsidP="005A0219">
            <w:pPr>
              <w:spacing w:after="240" w:line="240" w:lineRule="atLeast"/>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2016</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12</w:t>
            </w:r>
            <w:r w:rsidR="00192663" w:rsidRPr="002142B8">
              <w:rPr>
                <w:rFonts w:ascii="Georgia" w:eastAsia="Georgia" w:hAnsi="Georgia" w:cs="Arial Unicode MS"/>
                <w:sz w:val="20"/>
                <w:szCs w:val="20"/>
              </w:rPr>
              <w:t>-</w:t>
            </w:r>
            <w:r w:rsidRPr="002142B8">
              <w:rPr>
                <w:rFonts w:ascii="Georgia" w:eastAsia="Georgia" w:hAnsi="Georgia" w:cs="Arial Unicode MS"/>
                <w:sz w:val="20"/>
                <w:szCs w:val="20"/>
              </w:rPr>
              <w:t>13</w:t>
            </w:r>
          </w:p>
        </w:tc>
      </w:tr>
      <w:tr w:rsidR="005A0219" w:rsidRPr="002142B8" w14:paraId="3B67D0DD" w14:textId="77777777" w:rsidTr="003640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60" w:type="dxa"/>
          </w:tcPr>
          <w:p w14:paraId="70DBA861" w14:textId="2E6B92F3" w:rsidR="005A0219" w:rsidRPr="002142B8" w:rsidRDefault="00192663" w:rsidP="005A0219">
            <w:pPr>
              <w:spacing w:after="240" w:line="240" w:lineRule="atLeast"/>
              <w:rPr>
                <w:rFonts w:ascii="Georgia" w:eastAsia="Georgia" w:hAnsi="Georgia" w:cs="Arial Unicode MS"/>
                <w:sz w:val="20"/>
                <w:szCs w:val="20"/>
              </w:rPr>
            </w:pPr>
            <w:r w:rsidRPr="002142B8">
              <w:rPr>
                <w:rFonts w:ascii="Georgia" w:eastAsia="Georgia" w:hAnsi="Georgia" w:cs="Arial Unicode MS"/>
                <w:sz w:val="20"/>
                <w:szCs w:val="20"/>
              </w:rPr>
              <w:t>Iš viso</w:t>
            </w:r>
          </w:p>
        </w:tc>
        <w:tc>
          <w:tcPr>
            <w:tcW w:w="3543" w:type="dxa"/>
          </w:tcPr>
          <w:p w14:paraId="35D779FD" w14:textId="77777777" w:rsidR="005A0219" w:rsidRPr="002142B8" w:rsidRDefault="005A0219" w:rsidP="005A0219">
            <w:pPr>
              <w:spacing w:after="240" w:line="240" w:lineRule="atLeas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p>
        </w:tc>
        <w:tc>
          <w:tcPr>
            <w:tcW w:w="1560" w:type="dxa"/>
            <w:noWrap/>
          </w:tcPr>
          <w:p w14:paraId="266FB65A"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sz w:val="20"/>
                <w:szCs w:val="20"/>
              </w:rPr>
            </w:pPr>
            <w:r w:rsidRPr="002142B8">
              <w:rPr>
                <w:rFonts w:ascii="Georgia" w:eastAsia="Georgia" w:hAnsi="Georgia" w:cs="Arial Unicode MS"/>
                <w:b/>
                <w:sz w:val="20"/>
                <w:szCs w:val="20"/>
              </w:rPr>
              <w:t>448 564 798</w:t>
            </w:r>
          </w:p>
        </w:tc>
        <w:tc>
          <w:tcPr>
            <w:tcW w:w="1417" w:type="dxa"/>
            <w:noWrap/>
          </w:tcPr>
          <w:p w14:paraId="26B37390"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b/>
              </w:rPr>
            </w:pPr>
          </w:p>
        </w:tc>
        <w:tc>
          <w:tcPr>
            <w:tcW w:w="1701" w:type="dxa"/>
            <w:noWrap/>
          </w:tcPr>
          <w:p w14:paraId="4D651F1F" w14:textId="77777777" w:rsidR="005A0219" w:rsidRPr="002142B8" w:rsidRDefault="005A0219" w:rsidP="005A0219">
            <w:pPr>
              <w:spacing w:after="240" w:line="240" w:lineRule="atLeast"/>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rPr>
            </w:pPr>
          </w:p>
        </w:tc>
      </w:tr>
    </w:tbl>
    <w:p w14:paraId="18C477A5" w14:textId="77777777" w:rsidR="005A0219" w:rsidRPr="002142B8" w:rsidRDefault="005A0219" w:rsidP="005A0219">
      <w:pPr>
        <w:spacing w:after="160" w:line="240" w:lineRule="auto"/>
        <w:rPr>
          <w:rFonts w:ascii="Georgia" w:eastAsia="Georgia" w:hAnsi="Georgia" w:cs="Georgia"/>
          <w:i/>
          <w:iCs/>
          <w:color w:val="821A1A"/>
          <w:sz w:val="20"/>
          <w:szCs w:val="18"/>
          <w:lang w:val="lt-LT"/>
        </w:rPr>
      </w:pPr>
      <w:r w:rsidRPr="002142B8">
        <w:rPr>
          <w:rFonts w:ascii="Georgia" w:eastAsia="Georgia" w:hAnsi="Georgia" w:cs="Georgia"/>
          <w:i/>
          <w:iCs/>
          <w:color w:val="821A1A"/>
          <w:sz w:val="20"/>
          <w:szCs w:val="18"/>
          <w:lang w:val="lt-LT"/>
        </w:rPr>
        <w:t>Šaltinis: sudaryta autorių</w:t>
      </w:r>
    </w:p>
    <w:p w14:paraId="442EA1C0" w14:textId="77777777" w:rsidR="005A0219" w:rsidRPr="002142B8" w:rsidRDefault="005A0219" w:rsidP="005A0219">
      <w:pPr>
        <w:spacing w:after="160" w:line="240" w:lineRule="auto"/>
        <w:jc w:val="both"/>
        <w:rPr>
          <w:rFonts w:ascii="Georgia" w:eastAsia="Georgia" w:hAnsi="Georgia" w:cs="Times New Roman"/>
          <w:b/>
          <w:sz w:val="20"/>
          <w:szCs w:val="20"/>
          <w:lang w:val="lt-LT"/>
        </w:rPr>
      </w:pPr>
      <w:r w:rsidRPr="002142B8">
        <w:rPr>
          <w:rFonts w:ascii="Georgia" w:eastAsia="Georgia" w:hAnsi="Georgia" w:cs="Times New Roman"/>
          <w:b/>
          <w:sz w:val="20"/>
          <w:szCs w:val="20"/>
          <w:lang w:val="lt-LT"/>
        </w:rPr>
        <w:t>Energijos efektyvumo fondas (ENEF)</w:t>
      </w:r>
    </w:p>
    <w:p w14:paraId="4C000E0D"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2015 m. vasario 18 d. trišale sutartimi, sudaryta tarp Lietuvos Respublikos finansų ministerijos, Lietuvos Respublikos energetikos ministerijos ir VIPA, įsteigtas Energijos efektyvumo fondas (ENEF fondas), finansuojamas Europos regioninės plėtros fondo lėšomis, o VIPA veikia kaip šio fondo valdytoja.</w:t>
      </w:r>
    </w:p>
    <w:p w14:paraId="3927F79E"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Energijos efektyvumo fondo tikslas – skatinti energijos efektyvumą investuojant į viešąją infrastruktūrą. Fondo apimtyje bus įgyvendinamos dvi finansinės priemonės: </w:t>
      </w:r>
    </w:p>
    <w:p w14:paraId="4D533BA5" w14:textId="77777777" w:rsidR="005A0219" w:rsidRPr="002142B8" w:rsidRDefault="005A0219" w:rsidP="00162BF5">
      <w:pPr>
        <w:numPr>
          <w:ilvl w:val="0"/>
          <w:numId w:val="71"/>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Paskolų finansinė priemonė, kuria teikiamos lengvatinės paskolos centrinės valdžios viešųjų pastatų modernizavimo projektams finansuoti. Šiai priemonei skirta 65,16 mln. eurų;</w:t>
      </w:r>
    </w:p>
    <w:p w14:paraId="0D23FB37" w14:textId="77777777" w:rsidR="005A0219" w:rsidRPr="002142B8" w:rsidRDefault="005A0219" w:rsidP="00162BF5">
      <w:pPr>
        <w:numPr>
          <w:ilvl w:val="0"/>
          <w:numId w:val="71"/>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Garantijų finansinė priemonė, kuri skirta garantuoti  gatvių apšvietimo modernizavimo projektams finansuoti komercinių bankų suteiktas paskolas. Priemonei skirta 14,49 mln. eurų.</w:t>
      </w:r>
    </w:p>
    <w:p w14:paraId="38693164" w14:textId="0D8E54F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Įgyvendinant šias finansines priemones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 xml:space="preserve">(energijos taupymo paslaugų teikėjas) bendrovėms, centrinės valdžios subjektams (kurie turi teisę skolintis) sudaromos galimybės įgyvendinti energijos vartojimo efektyvumo projektus pasinaudojant teikiamu finansavimu. Sudarant galimybę pasinaudoti palankiomis finansavimo sąlygomis bus siekiama pritraukti privataus sektoriaus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 xml:space="preserve">kompanijas įgyvendinti energijos vartojimo efektyvumo projektus viešajame sektoriuje, bei plėtoti šią rinką Lietuvoje. </w:t>
      </w:r>
    </w:p>
    <w:p w14:paraId="36989CF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lastRenderedPageBreak/>
        <w:t>Pagrindiniai numatomi reikalavimai finansuojamiems centrinės valdžios pastatų energijos efektyvumo projektams yra pasiekti ne žemesnę, nei C energinio naudingumo klasė, o įgyvendinant gatvių apšvietimo modernizavimo projektus turi būti pasiektas minimalus 40 proc. energijos sutaupymas. Finansavimas centrinės valdžios pastatų modernizavimui teikiamas įgyvendinant 2014 m. lapkričio 26 d. Lietuvos Respublikos Vyriausybės nutarimu Nr. 1328 patvirtintą Viešųjų pastatų energinio efektyvumo didinimo programą.</w:t>
      </w:r>
    </w:p>
    <w:p w14:paraId="17C9E508" w14:textId="4CA7E4BC"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2017</w:t>
      </w:r>
      <w:r w:rsidR="0077117B" w:rsidRPr="002142B8">
        <w:rPr>
          <w:rFonts w:ascii="Georgia" w:eastAsia="Georgia" w:hAnsi="Georgia" w:cs="Times New Roman"/>
          <w:sz w:val="20"/>
          <w:szCs w:val="20"/>
          <w:lang w:val="lt-LT"/>
        </w:rPr>
        <w:t xml:space="preserve"> </w:t>
      </w:r>
      <w:r w:rsidR="00D9139B" w:rsidRPr="002142B8">
        <w:rPr>
          <w:rFonts w:ascii="Georgia" w:eastAsia="Georgia" w:hAnsi="Georgia" w:cs="Times New Roman"/>
          <w:sz w:val="20"/>
          <w:szCs w:val="20"/>
          <w:lang w:val="lt-LT"/>
        </w:rPr>
        <w:t>rugpjūčio</w:t>
      </w:r>
      <w:r w:rsidR="0077117B" w:rsidRPr="002142B8">
        <w:rPr>
          <w:rFonts w:ascii="Georgia" w:eastAsia="Georgia" w:hAnsi="Georgia" w:cs="Times New Roman"/>
          <w:sz w:val="20"/>
          <w:szCs w:val="20"/>
          <w:lang w:val="lt-LT"/>
        </w:rPr>
        <w:t xml:space="preserve"> 3 d.</w:t>
      </w:r>
      <w:r w:rsidRPr="002142B8">
        <w:rPr>
          <w:rFonts w:ascii="Georgia" w:eastAsia="Georgia" w:hAnsi="Georgia" w:cs="Times New Roman"/>
          <w:sz w:val="20"/>
          <w:szCs w:val="20"/>
          <w:lang w:val="lt-LT"/>
        </w:rPr>
        <w:t xml:space="preserve"> VIPA su Turto banku pasirašė pirmąsias </w:t>
      </w:r>
      <w:r w:rsidR="00000D8F" w:rsidRPr="002142B8">
        <w:rPr>
          <w:rFonts w:ascii="Georgia" w:eastAsia="Georgia" w:hAnsi="Georgia" w:cs="Times New Roman"/>
          <w:sz w:val="20"/>
          <w:szCs w:val="20"/>
          <w:lang w:val="lt-LT"/>
        </w:rPr>
        <w:t xml:space="preserve">tris </w:t>
      </w:r>
      <w:r w:rsidRPr="002142B8">
        <w:rPr>
          <w:rFonts w:ascii="Georgia" w:eastAsia="Georgia" w:hAnsi="Georgia" w:cs="Times New Roman"/>
          <w:sz w:val="20"/>
          <w:szCs w:val="20"/>
          <w:lang w:val="lt-LT"/>
        </w:rPr>
        <w:t>sutartis už 2 mln. eurų</w:t>
      </w:r>
      <w:r w:rsidR="00000D8F" w:rsidRPr="002142B8">
        <w:rPr>
          <w:rFonts w:ascii="Georgia" w:eastAsia="Georgia" w:hAnsi="Georgia" w:cs="Times New Roman"/>
          <w:sz w:val="20"/>
          <w:szCs w:val="20"/>
          <w:lang w:val="lt-LT"/>
        </w:rPr>
        <w:t>. 2017 m. gruodžio mėn. su Turto banku sudarytos dar dvi sutartys 1,3 mln. eurų sumai. Artimiausiu metu</w:t>
      </w:r>
      <w:r w:rsidRPr="002142B8">
        <w:rPr>
          <w:rFonts w:ascii="Georgia" w:eastAsia="Georgia" w:hAnsi="Georgia" w:cs="Times New Roman"/>
          <w:sz w:val="20"/>
          <w:szCs w:val="20"/>
          <w:lang w:val="lt-LT"/>
        </w:rPr>
        <w:t xml:space="preserve"> numatoma pasirašyti dar daugiau sutarčių. Iš viso šiuo metu VIPA yra gavusi</w:t>
      </w:r>
      <w:r w:rsidR="00F3780B" w:rsidRPr="002142B8">
        <w:rPr>
          <w:rFonts w:ascii="Georgia" w:eastAsia="Georgia" w:hAnsi="Georgia" w:cs="Times New Roman"/>
          <w:sz w:val="20"/>
          <w:szCs w:val="20"/>
          <w:lang w:val="lt-LT"/>
        </w:rPr>
        <w:t xml:space="preserve"> paraiškas</w:t>
      </w:r>
      <w:r w:rsidRPr="002142B8">
        <w:rPr>
          <w:rFonts w:ascii="Georgia" w:eastAsia="Georgia" w:hAnsi="Georgia" w:cs="Times New Roman"/>
          <w:sz w:val="20"/>
          <w:szCs w:val="20"/>
          <w:lang w:val="lt-LT"/>
        </w:rPr>
        <w:t xml:space="preserve"> 61 centrinės valdžios pastat</w:t>
      </w:r>
      <w:r w:rsidR="00F3780B" w:rsidRPr="002142B8">
        <w:rPr>
          <w:rFonts w:ascii="Georgia" w:eastAsia="Georgia" w:hAnsi="Georgia" w:cs="Times New Roman"/>
          <w:sz w:val="20"/>
          <w:szCs w:val="20"/>
          <w:lang w:val="lt-LT"/>
        </w:rPr>
        <w:t>ui</w:t>
      </w:r>
      <w:r w:rsidRPr="002142B8">
        <w:rPr>
          <w:rFonts w:ascii="Georgia" w:eastAsia="Georgia" w:hAnsi="Georgia" w:cs="Times New Roman"/>
          <w:sz w:val="20"/>
          <w:szCs w:val="20"/>
          <w:lang w:val="lt-LT"/>
        </w:rPr>
        <w:t>, iš kurių 26 paraiškoms buvo patvirtintas finansavimas. Planuojama, kad ENEF įgyvendinimas įsibėgės 2018-2019 m. Remiantis 2016 metų ENEF metinės ataskaitos duomenimis</w:t>
      </w:r>
      <w:r w:rsidRPr="002142B8">
        <w:rPr>
          <w:rFonts w:ascii="Georgia" w:eastAsia="Georgia" w:hAnsi="Georgia" w:cs="Times New Roman"/>
          <w:color w:val="000000"/>
          <w:sz w:val="20"/>
          <w:szCs w:val="20"/>
          <w:vertAlign w:val="superscript"/>
          <w:lang w:val="lt-LT"/>
        </w:rPr>
        <w:footnoteReference w:id="35"/>
      </w:r>
      <w:r w:rsidRPr="002142B8">
        <w:rPr>
          <w:rFonts w:ascii="Georgia" w:eastAsia="Georgia" w:hAnsi="Georgia" w:cs="Times New Roman"/>
          <w:sz w:val="20"/>
          <w:szCs w:val="20"/>
          <w:lang w:val="lt-LT"/>
        </w:rPr>
        <w:t xml:space="preserve">, </w:t>
      </w:r>
      <w:r w:rsidRPr="002142B8">
        <w:rPr>
          <w:rFonts w:ascii="Georgia" w:eastAsia="Georgia" w:hAnsi="Georgia" w:cs="Times New Roman"/>
          <w:b/>
          <w:sz w:val="20"/>
          <w:szCs w:val="20"/>
          <w:lang w:val="lt-LT"/>
        </w:rPr>
        <w:t>per 2017-2023 metus planuojama išmokėti viso 53,9 mln. eurų paskolų. Šiuo fondu taip pat numatoma pritraukti ne mažiau kaip 19,1 mln. eurų privačių lėšų.</w:t>
      </w:r>
    </w:p>
    <w:p w14:paraId="376413B6"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Siekiant paskatinti savivaldybes ir finansuotojų dalyvavimą gatvių apšvietimo tinklų modernizavimo projektuose, buvo inicijuoti ir 2017 m. gegužės 29 d. patvirtinti tam tikri ENEF garantijų teikimo tvarkos aprašo pakeitimai. Supaprastinta paraiškos forma, vertinimo procedūros ir projektams taikomi viešinimo reikalavimai, panaikintas garantijos atlyginimas, garantijos intensyvumas padidintas iki 80% ir atsietas nuo  skolinto kapitalo dalies tinkamose išlaidose.</w:t>
      </w:r>
    </w:p>
    <w:p w14:paraId="1555029D"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Iki 2017 m. spalio mėnesio pabaigos buvo išduoti 4 garantijų raštai už 2,88 mln. eurų modernizuoti gatvių apšvietimo tinklus. Žemiau įvardinama esame projektų stadija kiekvienoje iš savivaldybių:</w:t>
      </w:r>
    </w:p>
    <w:p w14:paraId="7951FE2C" w14:textId="77777777" w:rsidR="005A0219" w:rsidRPr="002142B8"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Jonavos r. sav. rangos darbus įgyvendinti savo lėšomis jau baigė, šiuo metu vykdoma bankų apklausa, pusė numatytos sumos skolintis ketinama 2017 m.  gruodžio mėn.</w:t>
      </w:r>
    </w:p>
    <w:p w14:paraId="5990E694" w14:textId="60FB5EE9" w:rsidR="005A0219" w:rsidRPr="002142B8"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Šilutės r. sav. paskelbtas viešasis pirkimas rangovams atrinkti (įgyvendina tiesiogiai pati sav</w:t>
      </w:r>
      <w:r w:rsidR="00022769" w:rsidRPr="002142B8">
        <w:rPr>
          <w:rFonts w:ascii="Georgia" w:eastAsia="Georgia" w:hAnsi="Georgia" w:cs="Times New Roman"/>
          <w:sz w:val="20"/>
          <w:szCs w:val="20"/>
          <w:lang w:val="lt-LT"/>
        </w:rPr>
        <w:t>ivaldybė</w:t>
      </w:r>
      <w:r w:rsidRPr="002142B8">
        <w:rPr>
          <w:rFonts w:ascii="Georgia" w:eastAsia="Georgia" w:hAnsi="Georgia" w:cs="Times New Roman"/>
          <w:sz w:val="20"/>
          <w:szCs w:val="20"/>
          <w:lang w:val="lt-LT"/>
        </w:rPr>
        <w:t xml:space="preserve">), vokų </w:t>
      </w:r>
      <w:r w:rsidR="00022769" w:rsidRPr="002142B8">
        <w:rPr>
          <w:rFonts w:ascii="Georgia" w:eastAsia="Georgia" w:hAnsi="Georgia" w:cs="Times New Roman"/>
          <w:sz w:val="20"/>
          <w:szCs w:val="20"/>
          <w:lang w:val="lt-LT"/>
        </w:rPr>
        <w:t>at</w:t>
      </w:r>
      <w:r w:rsidRPr="002142B8">
        <w:rPr>
          <w:rFonts w:ascii="Georgia" w:eastAsia="Georgia" w:hAnsi="Georgia" w:cs="Times New Roman"/>
          <w:sz w:val="20"/>
          <w:szCs w:val="20"/>
          <w:lang w:val="lt-LT"/>
        </w:rPr>
        <w:t xml:space="preserve">plėšimas numatytas </w:t>
      </w:r>
      <w:r w:rsidR="00022769" w:rsidRPr="002142B8">
        <w:rPr>
          <w:rFonts w:ascii="Georgia" w:eastAsia="Georgia" w:hAnsi="Georgia" w:cs="Times New Roman"/>
          <w:sz w:val="20"/>
          <w:szCs w:val="20"/>
          <w:lang w:val="lt-LT"/>
        </w:rPr>
        <w:t xml:space="preserve">2017 m. </w:t>
      </w:r>
      <w:r w:rsidRPr="002142B8">
        <w:rPr>
          <w:rFonts w:ascii="Georgia" w:eastAsia="Georgia" w:hAnsi="Georgia" w:cs="Times New Roman"/>
          <w:sz w:val="20"/>
          <w:szCs w:val="20"/>
          <w:lang w:val="lt-LT"/>
        </w:rPr>
        <w:t>lapkričio 21 d. Kit</w:t>
      </w:r>
      <w:r w:rsidR="00022769" w:rsidRPr="002142B8">
        <w:rPr>
          <w:rFonts w:ascii="Georgia" w:eastAsia="Georgia" w:hAnsi="Georgia" w:cs="Times New Roman"/>
          <w:sz w:val="20"/>
          <w:szCs w:val="20"/>
          <w:lang w:val="lt-LT"/>
        </w:rPr>
        <w:t>ame</w:t>
      </w:r>
      <w:r w:rsidRPr="002142B8">
        <w:rPr>
          <w:rFonts w:ascii="Georgia" w:eastAsia="Georgia" w:hAnsi="Georgia" w:cs="Times New Roman"/>
          <w:sz w:val="20"/>
          <w:szCs w:val="20"/>
          <w:lang w:val="lt-LT"/>
        </w:rPr>
        <w:t xml:space="preserve"> etap</w:t>
      </w:r>
      <w:r w:rsidR="00022769" w:rsidRPr="002142B8">
        <w:rPr>
          <w:rFonts w:ascii="Georgia" w:eastAsia="Georgia" w:hAnsi="Georgia" w:cs="Times New Roman"/>
          <w:sz w:val="20"/>
          <w:szCs w:val="20"/>
          <w:lang w:val="lt-LT"/>
        </w:rPr>
        <w:t>e</w:t>
      </w:r>
      <w:r w:rsidRPr="002142B8">
        <w:rPr>
          <w:rFonts w:ascii="Georgia" w:eastAsia="Georgia" w:hAnsi="Georgia" w:cs="Times New Roman"/>
          <w:sz w:val="20"/>
          <w:szCs w:val="20"/>
          <w:lang w:val="lt-LT"/>
        </w:rPr>
        <w:t xml:space="preserve"> bus apklausiami bankai dėl finansavimo ir kreipiamasi dėl garantijos suteikimo.</w:t>
      </w:r>
    </w:p>
    <w:p w14:paraId="26EA9AB4" w14:textId="4237903F" w:rsidR="005A0219" w:rsidRPr="002142B8"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Telšių r. sav. derina techninės specifikacijos sąlygas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 xml:space="preserve">įmonei atrinkti ir sutarties projektą, kurį 2017 m. lapkričio mėn. ketinama pristatyti savivaldybės tarybai, o 2017 m. gruodžio mėn. planuojama pradėti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atranką.</w:t>
      </w:r>
    </w:p>
    <w:p w14:paraId="14CA4747" w14:textId="77777777" w:rsidR="00022769" w:rsidRPr="002142B8" w:rsidRDefault="005A0219" w:rsidP="00162BF5">
      <w:pPr>
        <w:numPr>
          <w:ilvl w:val="0"/>
          <w:numId w:val="73"/>
        </w:numPr>
        <w:spacing w:after="120" w:line="240" w:lineRule="auto"/>
        <w:contextualSpacing/>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Plungės r. sav. šiuo metu rengiama pirkimų dokumentacija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 xml:space="preserve">įmonei atrinkti ir 2017 m. lapkričio mėn.  rengiamasi pristatyti savivaldybės tarybai, gavus pritarimą, 2017 m. gruodžio  mėn. ketina pradėti </w:t>
      </w:r>
      <w:r w:rsidR="00FB6F18" w:rsidRPr="002142B8">
        <w:rPr>
          <w:rFonts w:ascii="Georgia" w:eastAsia="Georgia" w:hAnsi="Georgia" w:cs="Times New Roman"/>
          <w:sz w:val="20"/>
          <w:szCs w:val="20"/>
          <w:lang w:val="lt-LT"/>
        </w:rPr>
        <w:t xml:space="preserve">ESCO </w:t>
      </w:r>
      <w:r w:rsidRPr="002142B8">
        <w:rPr>
          <w:rFonts w:ascii="Georgia" w:eastAsia="Georgia" w:hAnsi="Georgia" w:cs="Times New Roman"/>
          <w:sz w:val="20"/>
          <w:szCs w:val="20"/>
          <w:lang w:val="lt-LT"/>
        </w:rPr>
        <w:t>atranką</w:t>
      </w:r>
      <w:r w:rsidR="00022769" w:rsidRPr="002142B8">
        <w:rPr>
          <w:rFonts w:ascii="Georgia" w:eastAsia="Georgia" w:hAnsi="Georgia" w:cs="Times New Roman"/>
          <w:sz w:val="20"/>
          <w:szCs w:val="20"/>
          <w:lang w:val="lt-LT"/>
        </w:rPr>
        <w:t>.</w:t>
      </w:r>
    </w:p>
    <w:p w14:paraId="113DA431" w14:textId="2674FD25" w:rsidR="005A0219" w:rsidRPr="002142B8" w:rsidRDefault="005A0219" w:rsidP="0063781D">
      <w:pPr>
        <w:spacing w:after="120" w:line="240" w:lineRule="auto"/>
        <w:ind w:left="720"/>
        <w:contextualSpacing/>
        <w:jc w:val="both"/>
        <w:rPr>
          <w:rFonts w:ascii="Georgia" w:eastAsia="Georgia" w:hAnsi="Georgia" w:cs="Times New Roman"/>
          <w:sz w:val="20"/>
          <w:szCs w:val="20"/>
          <w:lang w:val="lt-LT"/>
        </w:rPr>
      </w:pPr>
    </w:p>
    <w:p w14:paraId="04D09324" w14:textId="58B4313F" w:rsidR="005A0219"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Savivaldybių skolinimosi limitai ir menkas suinteresuotųjų šalių supratimas apie tokias finansines priemones riboja garantijų priemonės įgyvendinimo progresą.</w:t>
      </w:r>
    </w:p>
    <w:p w14:paraId="20B3AB3F" w14:textId="77777777" w:rsidR="004848F6" w:rsidRDefault="004848F6" w:rsidP="004848F6">
      <w:pPr>
        <w:spacing w:after="160" w:line="240" w:lineRule="auto"/>
        <w:jc w:val="both"/>
        <w:rPr>
          <w:rFonts w:ascii="Georgia" w:eastAsia="Georgia" w:hAnsi="Georgia" w:cs="Times New Roman"/>
          <w:b/>
          <w:sz w:val="20"/>
          <w:szCs w:val="20"/>
          <w:lang w:val="lt-LT"/>
        </w:rPr>
      </w:pPr>
      <w:r w:rsidRPr="00630A7F">
        <w:rPr>
          <w:rFonts w:ascii="Georgia" w:eastAsia="Georgia" w:hAnsi="Georgia" w:cs="Times New Roman"/>
          <w:b/>
          <w:sz w:val="20"/>
          <w:szCs w:val="20"/>
          <w:lang w:val="lt-LT"/>
        </w:rPr>
        <w:t>Savivaldybių pastatų fondas</w:t>
      </w:r>
      <w:r>
        <w:rPr>
          <w:rFonts w:ascii="Georgia" w:eastAsia="Georgia" w:hAnsi="Georgia" w:cs="Times New Roman"/>
          <w:b/>
          <w:sz w:val="20"/>
          <w:szCs w:val="20"/>
          <w:lang w:val="lt-LT"/>
        </w:rPr>
        <w:t xml:space="preserve"> (SPF)</w:t>
      </w:r>
    </w:p>
    <w:p w14:paraId="27BD592B" w14:textId="79B498B4" w:rsidR="004848F6" w:rsidRPr="00630A7F" w:rsidRDefault="004848F6" w:rsidP="004848F6">
      <w:pPr>
        <w:spacing w:after="160" w:line="240" w:lineRule="auto"/>
        <w:jc w:val="both"/>
        <w:rPr>
          <w:rFonts w:ascii="Georgia" w:eastAsia="Georgia" w:hAnsi="Georgia" w:cs="Times New Roman"/>
          <w:sz w:val="20"/>
          <w:szCs w:val="20"/>
          <w:lang w:val="lt-LT"/>
        </w:rPr>
      </w:pPr>
      <w:r w:rsidRPr="00630A7F">
        <w:rPr>
          <w:rFonts w:ascii="Georgia" w:eastAsia="Georgia" w:hAnsi="Georgia" w:cs="Times New Roman"/>
          <w:sz w:val="20"/>
          <w:szCs w:val="20"/>
          <w:lang w:val="lt-LT"/>
        </w:rPr>
        <w:t>2017 m.</w:t>
      </w:r>
      <w:r>
        <w:rPr>
          <w:rFonts w:ascii="Georgia" w:eastAsia="Georgia" w:hAnsi="Georgia" w:cs="Times New Roman"/>
          <w:sz w:val="20"/>
          <w:szCs w:val="20"/>
          <w:lang w:val="lt-LT"/>
        </w:rPr>
        <w:t xml:space="preserve"> birželio 27 d. buvo pasirašyta trišalė sutartis tarp </w:t>
      </w:r>
      <w:r w:rsidRPr="002142B8">
        <w:rPr>
          <w:rFonts w:ascii="Georgia" w:eastAsia="Georgia" w:hAnsi="Georgia" w:cs="Times New Roman"/>
          <w:sz w:val="20"/>
          <w:szCs w:val="20"/>
          <w:lang w:val="lt-LT"/>
        </w:rPr>
        <w:t>VIPA,  Aplinkos ministerijos ir Finansų ministerijos</w:t>
      </w:r>
      <w:r>
        <w:rPr>
          <w:rFonts w:ascii="Georgia" w:eastAsia="Georgia" w:hAnsi="Georgia" w:cs="Times New Roman"/>
          <w:sz w:val="20"/>
          <w:szCs w:val="20"/>
          <w:lang w:val="lt-LT"/>
        </w:rPr>
        <w:t>, kuria įsteigtas savivaldybių pastatų fondas</w:t>
      </w:r>
      <w:r w:rsidR="00BB79B7">
        <w:rPr>
          <w:rFonts w:ascii="Georgia" w:eastAsia="Georgia" w:hAnsi="Georgia" w:cs="Times New Roman"/>
          <w:sz w:val="20"/>
          <w:szCs w:val="20"/>
          <w:lang w:val="lt-LT"/>
        </w:rPr>
        <w:t xml:space="preserve"> (SPF)</w:t>
      </w:r>
      <w:r>
        <w:rPr>
          <w:rFonts w:ascii="Georgia" w:eastAsia="Georgia" w:hAnsi="Georgia" w:cs="Times New Roman"/>
          <w:sz w:val="20"/>
          <w:szCs w:val="20"/>
          <w:lang w:val="lt-LT"/>
        </w:rPr>
        <w:t>. Jo lėšomis numatoma finansuoti savivaldybių pastatų modernizavimo projektus – tam skirta 17 mln. ES</w:t>
      </w:r>
      <w:r w:rsidR="00BF06C3">
        <w:rPr>
          <w:rFonts w:ascii="Georgia" w:eastAsia="Georgia" w:hAnsi="Georgia" w:cs="Times New Roman"/>
          <w:sz w:val="20"/>
          <w:szCs w:val="20"/>
          <w:lang w:val="lt-LT"/>
        </w:rPr>
        <w:t>I</w:t>
      </w:r>
      <w:r>
        <w:rPr>
          <w:rFonts w:ascii="Georgia" w:eastAsia="Georgia" w:hAnsi="Georgia" w:cs="Times New Roman"/>
          <w:sz w:val="20"/>
          <w:szCs w:val="20"/>
          <w:lang w:val="lt-LT"/>
        </w:rPr>
        <w:t>fondų lėšų.</w:t>
      </w:r>
    </w:p>
    <w:p w14:paraId="03848C46" w14:textId="44B68219" w:rsidR="004848F6" w:rsidRDefault="004848F6" w:rsidP="005A0219">
      <w:pPr>
        <w:spacing w:after="160" w:line="240" w:lineRule="auto"/>
        <w:jc w:val="both"/>
        <w:rPr>
          <w:rFonts w:ascii="Georgia" w:eastAsia="Georgia" w:hAnsi="Georgia" w:cs="Times New Roman"/>
          <w:sz w:val="20"/>
          <w:szCs w:val="20"/>
          <w:lang w:val="lt-LT"/>
        </w:rPr>
      </w:pPr>
      <w:r w:rsidRPr="004231CE">
        <w:rPr>
          <w:rFonts w:ascii="Georgia" w:eastAsia="Georgia" w:hAnsi="Georgia" w:cs="Times New Roman"/>
          <w:sz w:val="20"/>
          <w:szCs w:val="20"/>
          <w:lang w:val="lt-LT"/>
        </w:rPr>
        <w:t>Savivaldybių pastatų fondo tikslas – skatinti energijos vartojimo efektyvumą investuojant į viešąją infrastruktūrą. Fondo lėšomis bus teikiamos paskolos savivaldybių pastatų modernizavimo projektams, didinantiems pastato energinį efektyvumą.</w:t>
      </w:r>
    </w:p>
    <w:p w14:paraId="34B59099" w14:textId="77777777" w:rsidR="0099041E" w:rsidRPr="004231CE" w:rsidRDefault="0099041E" w:rsidP="0099041E">
      <w:pPr>
        <w:spacing w:after="0" w:line="240" w:lineRule="auto"/>
        <w:jc w:val="both"/>
        <w:rPr>
          <w:rFonts w:ascii="Georgia" w:eastAsia="Georgia" w:hAnsi="Georgia" w:cs="Times New Roman"/>
          <w:sz w:val="20"/>
          <w:szCs w:val="20"/>
          <w:lang w:val="lt-LT"/>
        </w:rPr>
      </w:pPr>
      <w:r w:rsidRPr="004231CE">
        <w:rPr>
          <w:rFonts w:ascii="Georgia" w:eastAsia="Georgia" w:hAnsi="Georgia" w:cs="Times New Roman"/>
          <w:sz w:val="20"/>
          <w:szCs w:val="20"/>
          <w:lang w:val="lt-LT"/>
        </w:rPr>
        <w:t>Savivaldybės projektus galės įgyvendinti pačios arba pasitelkiant tokius projektų vykdytojus:</w:t>
      </w:r>
    </w:p>
    <w:p w14:paraId="3478FB06" w14:textId="205327DB" w:rsidR="0099041E" w:rsidRPr="00592775" w:rsidRDefault="0099041E" w:rsidP="0099041E">
      <w:pPr>
        <w:numPr>
          <w:ilvl w:val="0"/>
          <w:numId w:val="184"/>
        </w:numPr>
        <w:spacing w:before="100" w:beforeAutospacing="1" w:after="100" w:afterAutospacing="1" w:line="240" w:lineRule="auto"/>
        <w:jc w:val="both"/>
        <w:rPr>
          <w:rFonts w:ascii="Georgia" w:eastAsia="Georgia" w:hAnsi="Georgia" w:cs="Times New Roman"/>
          <w:sz w:val="20"/>
          <w:szCs w:val="20"/>
          <w:lang w:val="lt-LT"/>
        </w:rPr>
      </w:pPr>
      <w:r w:rsidRPr="00592775">
        <w:rPr>
          <w:rFonts w:ascii="Georgia" w:eastAsia="Georgia" w:hAnsi="Georgia" w:cs="Times New Roman"/>
          <w:sz w:val="20"/>
          <w:szCs w:val="20"/>
          <w:lang w:val="lt-LT"/>
        </w:rPr>
        <w:t>Savivaldybių administracij</w:t>
      </w:r>
      <w:r w:rsidR="004231CE" w:rsidRPr="00592775">
        <w:rPr>
          <w:rFonts w:ascii="Georgia" w:eastAsia="Georgia" w:hAnsi="Georgia" w:cs="Times New Roman"/>
          <w:sz w:val="20"/>
          <w:szCs w:val="20"/>
          <w:lang w:val="lt-LT"/>
        </w:rPr>
        <w:t>a</w:t>
      </w:r>
      <w:r w:rsidRPr="00592775">
        <w:rPr>
          <w:rFonts w:ascii="Georgia" w:eastAsia="Georgia" w:hAnsi="Georgia" w:cs="Times New Roman"/>
          <w:sz w:val="20"/>
          <w:szCs w:val="20"/>
          <w:lang w:val="lt-LT"/>
        </w:rPr>
        <w:t>s;</w:t>
      </w:r>
    </w:p>
    <w:p w14:paraId="2042ECEC" w14:textId="77777777" w:rsidR="0099041E" w:rsidRPr="004231CE" w:rsidRDefault="0099041E" w:rsidP="0099041E">
      <w:pPr>
        <w:numPr>
          <w:ilvl w:val="0"/>
          <w:numId w:val="184"/>
        </w:numPr>
        <w:spacing w:before="100" w:beforeAutospacing="1" w:after="100" w:afterAutospacing="1" w:line="240" w:lineRule="auto"/>
        <w:jc w:val="both"/>
        <w:rPr>
          <w:rFonts w:ascii="Georgia" w:eastAsia="Georgia" w:hAnsi="Georgia" w:cs="Times New Roman"/>
          <w:sz w:val="20"/>
          <w:szCs w:val="20"/>
          <w:lang w:val="lt-LT"/>
        </w:rPr>
      </w:pPr>
      <w:r w:rsidRPr="004231CE">
        <w:rPr>
          <w:rFonts w:ascii="Georgia" w:eastAsia="Georgia" w:hAnsi="Georgia" w:cs="Times New Roman"/>
          <w:sz w:val="20"/>
          <w:szCs w:val="20"/>
          <w:lang w:val="lt-LT"/>
        </w:rPr>
        <w:t>Administratorius, t.y. įmonė, kuri vykdo savivaldybės paskirtojo administratoriaus funkciją (pvz. kaip veikia daugiabučių modernizavimą įgyvendinantys administratoriai). Administratorius skolintųsi savivaldybės vardu ir jos naudai (t.y. kaip daugiabučio namo administratorius skolinasi veikdamas butų savininkų vardu). Paskola administratoriaus apskaitoje būtų apskaitoma už balanso, o savivaldybė skolą (finansinį įsipareigojimą) apskaitytų savo balanse pagal paskolos sutartį;</w:t>
      </w:r>
    </w:p>
    <w:p w14:paraId="4287E81C" w14:textId="1B6CCF4E" w:rsidR="0099041E" w:rsidRPr="003E470D" w:rsidRDefault="0099041E" w:rsidP="0099041E">
      <w:pPr>
        <w:numPr>
          <w:ilvl w:val="0"/>
          <w:numId w:val="184"/>
        </w:numPr>
        <w:spacing w:before="100" w:beforeAutospacing="1" w:after="100" w:afterAutospacing="1" w:line="240" w:lineRule="auto"/>
        <w:jc w:val="both"/>
        <w:rPr>
          <w:rFonts w:ascii="Georgia" w:eastAsia="Georgia" w:hAnsi="Georgia" w:cs="Times New Roman"/>
          <w:sz w:val="20"/>
          <w:szCs w:val="20"/>
          <w:lang w:val="lt-LT"/>
        </w:rPr>
      </w:pPr>
      <w:r w:rsidRPr="00592775">
        <w:rPr>
          <w:rFonts w:ascii="Georgia" w:eastAsia="Georgia" w:hAnsi="Georgia" w:cs="Times New Roman"/>
          <w:sz w:val="20"/>
          <w:szCs w:val="20"/>
          <w:lang w:val="lt-LT"/>
        </w:rPr>
        <w:lastRenderedPageBreak/>
        <w:t>Įmon</w:t>
      </w:r>
      <w:r w:rsidR="004231CE" w:rsidRPr="00592775">
        <w:rPr>
          <w:rFonts w:ascii="Georgia" w:eastAsia="Georgia" w:hAnsi="Georgia" w:cs="Times New Roman"/>
          <w:sz w:val="20"/>
          <w:szCs w:val="20"/>
          <w:lang w:val="lt-LT"/>
        </w:rPr>
        <w:t>es</w:t>
      </w:r>
      <w:r w:rsidRPr="00592775">
        <w:rPr>
          <w:rFonts w:ascii="Georgia" w:eastAsia="Georgia" w:hAnsi="Georgia" w:cs="Times New Roman"/>
          <w:sz w:val="20"/>
          <w:szCs w:val="20"/>
          <w:lang w:val="lt-LT"/>
        </w:rPr>
        <w:t>, veikian</w:t>
      </w:r>
      <w:r w:rsidR="004231CE" w:rsidRPr="00592775">
        <w:rPr>
          <w:rFonts w:ascii="Georgia" w:eastAsia="Georgia" w:hAnsi="Georgia" w:cs="Times New Roman"/>
          <w:sz w:val="20"/>
          <w:szCs w:val="20"/>
          <w:lang w:val="lt-LT"/>
        </w:rPr>
        <w:t>čias</w:t>
      </w:r>
      <w:r w:rsidRPr="00D23037">
        <w:rPr>
          <w:rFonts w:ascii="Georgia" w:eastAsia="Georgia" w:hAnsi="Georgia" w:cs="Times New Roman"/>
          <w:sz w:val="20"/>
          <w:szCs w:val="20"/>
          <w:lang w:val="lt-LT"/>
        </w:rPr>
        <w:t xml:space="preserve"> į</w:t>
      </w:r>
      <w:r>
        <w:rPr>
          <w:rFonts w:ascii="Georgia" w:eastAsia="Georgia" w:hAnsi="Georgia" w:cs="Times New Roman"/>
          <w:sz w:val="20"/>
          <w:szCs w:val="20"/>
          <w:lang w:val="lt-LT"/>
        </w:rPr>
        <w:t xml:space="preserve"> EPTP panašiais principais</w:t>
      </w:r>
      <w:r w:rsidRPr="003E470D">
        <w:rPr>
          <w:rFonts w:ascii="Georgia" w:eastAsia="Georgia" w:hAnsi="Georgia" w:cs="Times New Roman"/>
          <w:sz w:val="20"/>
          <w:szCs w:val="20"/>
          <w:lang w:val="lt-LT"/>
        </w:rPr>
        <w:t>, t</w:t>
      </w:r>
      <w:r>
        <w:rPr>
          <w:rFonts w:ascii="Georgia" w:eastAsia="Georgia" w:hAnsi="Georgia" w:cs="Times New Roman"/>
          <w:sz w:val="20"/>
          <w:szCs w:val="20"/>
          <w:lang w:val="lt-LT"/>
        </w:rPr>
        <w:t>ai yra</w:t>
      </w:r>
      <w:r w:rsidRPr="003E470D">
        <w:rPr>
          <w:rFonts w:ascii="Georgia" w:eastAsia="Georgia" w:hAnsi="Georgia" w:cs="Times New Roman"/>
          <w:sz w:val="20"/>
          <w:szCs w:val="20"/>
          <w:lang w:val="lt-LT"/>
        </w:rPr>
        <w:t xml:space="preserve"> paraiškas finansavimui teikia ir projektus įgyvendina savivaldybės paskirtas administratorius (pvz. įmonė ar įstaiga, kuri šiuo metu jau administruoja daugiabučių renovacijos projektus ar kita savivaldybės ar kelių savivaldybių įsteigta įmonė ar viešoji įstaiga, kurios pagrindinė funkcija būtų administruoti energinio efektyvumo projektus). Tokie subjektai prisiima ETPT įmonių prisiimamas rizikas bei įsipareigojimus, o skola apskaitoma jų </w:t>
      </w:r>
      <w:r>
        <w:rPr>
          <w:rFonts w:ascii="Georgia" w:eastAsia="Georgia" w:hAnsi="Georgia" w:cs="Times New Roman"/>
          <w:sz w:val="20"/>
          <w:szCs w:val="20"/>
          <w:lang w:val="lt-LT"/>
        </w:rPr>
        <w:t>balanse</w:t>
      </w:r>
      <w:r w:rsidRPr="003E470D">
        <w:rPr>
          <w:rFonts w:ascii="Georgia" w:eastAsia="Georgia" w:hAnsi="Georgia" w:cs="Times New Roman"/>
          <w:sz w:val="20"/>
          <w:szCs w:val="20"/>
          <w:lang w:val="lt-LT"/>
        </w:rPr>
        <w:t>. Dažnu atveju būtų išnaudojama jau turima sukaupta patirtis ir kompetencijos;</w:t>
      </w:r>
    </w:p>
    <w:p w14:paraId="72E053DC" w14:textId="3859A31A" w:rsidR="0099041E" w:rsidRPr="003E470D" w:rsidRDefault="0099041E" w:rsidP="0099041E">
      <w:pPr>
        <w:numPr>
          <w:ilvl w:val="0"/>
          <w:numId w:val="184"/>
        </w:numPr>
        <w:spacing w:before="100" w:beforeAutospacing="1" w:after="100" w:afterAutospacing="1" w:line="240" w:lineRule="auto"/>
        <w:jc w:val="both"/>
        <w:rPr>
          <w:rFonts w:ascii="Georgia" w:eastAsia="Georgia" w:hAnsi="Georgia" w:cs="Times New Roman"/>
          <w:sz w:val="20"/>
          <w:szCs w:val="20"/>
          <w:lang w:val="lt-LT"/>
        </w:rPr>
      </w:pPr>
      <w:r w:rsidRPr="00592775">
        <w:rPr>
          <w:rFonts w:ascii="Georgia" w:eastAsia="Georgia" w:hAnsi="Georgia" w:cs="Times New Roman"/>
          <w:sz w:val="20"/>
          <w:szCs w:val="20"/>
          <w:lang w:val="lt-LT"/>
        </w:rPr>
        <w:t>ETPT įmon</w:t>
      </w:r>
      <w:r w:rsidR="004231CE" w:rsidRPr="00592775">
        <w:rPr>
          <w:rFonts w:ascii="Georgia" w:eastAsia="Georgia" w:hAnsi="Georgia" w:cs="Times New Roman"/>
          <w:sz w:val="20"/>
          <w:szCs w:val="20"/>
          <w:lang w:val="lt-LT"/>
        </w:rPr>
        <w:t>e</w:t>
      </w:r>
      <w:r w:rsidRPr="00D23037">
        <w:rPr>
          <w:rFonts w:ascii="Georgia" w:eastAsia="Georgia" w:hAnsi="Georgia" w:cs="Times New Roman"/>
          <w:sz w:val="20"/>
          <w:szCs w:val="20"/>
          <w:lang w:val="lt-LT"/>
        </w:rPr>
        <w:t>s,</w:t>
      </w:r>
      <w:r w:rsidRPr="003E470D">
        <w:rPr>
          <w:rFonts w:ascii="Georgia" w:eastAsia="Georgia" w:hAnsi="Georgia" w:cs="Times New Roman"/>
          <w:sz w:val="20"/>
          <w:szCs w:val="20"/>
          <w:lang w:val="lt-LT"/>
        </w:rPr>
        <w:t xml:space="preserve"> t.y. paraiškas finansavimui teikia ir projektus įgyvendina viešųjų pirkimų būdu parinktos privačios ETPT įmonės, t.y. jos renovuoja pastatus bei teikia energijos ūkio priežiūros, energijos taupymo paslaugas. ETPT įmonė nėra kontroliuojama savivaldybės ar kaip nors kitaip susijusi su savivaldybe.</w:t>
      </w:r>
    </w:p>
    <w:p w14:paraId="28A9CD01" w14:textId="61D2E606" w:rsidR="0099041E" w:rsidRPr="002142B8" w:rsidRDefault="0099041E" w:rsidP="005A0219">
      <w:pPr>
        <w:spacing w:after="160" w:line="240" w:lineRule="auto"/>
        <w:jc w:val="both"/>
        <w:rPr>
          <w:rFonts w:ascii="Georgia" w:eastAsia="Georgia" w:hAnsi="Georgia" w:cs="Times New Roman"/>
          <w:sz w:val="20"/>
          <w:szCs w:val="20"/>
          <w:lang w:val="lt-LT"/>
        </w:rPr>
      </w:pPr>
      <w:r>
        <w:rPr>
          <w:rFonts w:ascii="Georgia" w:eastAsia="Georgia" w:hAnsi="Georgia" w:cs="Times New Roman"/>
          <w:sz w:val="20"/>
          <w:szCs w:val="20"/>
          <w:lang w:val="lt-LT"/>
        </w:rPr>
        <w:t xml:space="preserve">2017 m. gruodžio mėn. pabaigoje paskelbtas atviras </w:t>
      </w:r>
      <w:r w:rsidRPr="003E470D">
        <w:rPr>
          <w:rFonts w:ascii="Georgia" w:eastAsia="Georgia" w:hAnsi="Georgia" w:cs="Times New Roman"/>
          <w:sz w:val="20"/>
          <w:szCs w:val="20"/>
          <w:lang w:val="lt-LT"/>
        </w:rPr>
        <w:t xml:space="preserve"> finansinės priemonės „Paskolos savivaldybių pastatų modernizavimui, finansuojamos iš Europos regioninės plėtros fondo“ valdytojo paslaugų pirkimas. Atrinktas finansinės priemonės valdytojas </w:t>
      </w:r>
      <w:r w:rsidR="00BF06C3">
        <w:rPr>
          <w:rFonts w:ascii="Georgia" w:eastAsia="Georgia" w:hAnsi="Georgia" w:cs="Times New Roman"/>
          <w:sz w:val="20"/>
          <w:szCs w:val="20"/>
          <w:lang w:val="lt-LT"/>
        </w:rPr>
        <w:t xml:space="preserve"> SPF</w:t>
      </w:r>
      <w:r w:rsidRPr="003E470D">
        <w:rPr>
          <w:rFonts w:ascii="Georgia" w:eastAsia="Georgia" w:hAnsi="Georgia" w:cs="Times New Roman"/>
          <w:sz w:val="20"/>
          <w:szCs w:val="20"/>
          <w:lang w:val="lt-LT"/>
        </w:rPr>
        <w:t xml:space="preserve"> ir nuosavomis lėšomis teiks paskolas savivaldybės viešųjų pastatų modernizavimo projektams finansuoti</w:t>
      </w:r>
      <w:r>
        <w:rPr>
          <w:rFonts w:ascii="Georgia" w:eastAsia="Georgia" w:hAnsi="Georgia" w:cs="Times New Roman"/>
          <w:sz w:val="20"/>
          <w:szCs w:val="20"/>
          <w:lang w:val="lt-LT"/>
        </w:rPr>
        <w:t>.</w:t>
      </w:r>
    </w:p>
    <w:p w14:paraId="50A98D6A" w14:textId="77777777" w:rsidR="005A0219" w:rsidRPr="002142B8" w:rsidRDefault="005A0219" w:rsidP="005A0219">
      <w:pPr>
        <w:spacing w:after="160" w:line="240" w:lineRule="auto"/>
        <w:jc w:val="both"/>
        <w:rPr>
          <w:rFonts w:ascii="Georgia" w:eastAsia="Georgia" w:hAnsi="Georgia" w:cs="Times New Roman"/>
          <w:b/>
          <w:sz w:val="20"/>
          <w:szCs w:val="20"/>
          <w:lang w:val="lt-LT"/>
        </w:rPr>
      </w:pPr>
      <w:r w:rsidRPr="002142B8">
        <w:rPr>
          <w:rFonts w:ascii="Georgia" w:eastAsia="Georgia" w:hAnsi="Georgia" w:cs="Times New Roman"/>
          <w:b/>
          <w:sz w:val="20"/>
          <w:szCs w:val="20"/>
          <w:lang w:val="lt-LT"/>
        </w:rPr>
        <w:t>Daugiabučių namų modernizavimo fondas (DNMF)</w:t>
      </w:r>
    </w:p>
    <w:p w14:paraId="13A30456" w14:textId="7B81DA25"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2015 m. kovo 27 d. buvo pasirašyta DNMF steigimo ir finansavimo sutartis tarp VIPA, LR Aplinkos ministerijos ir LR Finansų ministerijos, kuria buvo nuspręsta įsteigti finansinę priemonę „Daugiabučių namų modernizavimo fondas“</w:t>
      </w:r>
      <w:r w:rsidR="00E2686E" w:rsidRPr="002142B8">
        <w:rPr>
          <w:rFonts w:ascii="Georgia" w:eastAsia="Georgia" w:hAnsi="Georgia" w:cs="Times New Roman"/>
          <w:sz w:val="20"/>
          <w:szCs w:val="20"/>
          <w:lang w:val="lt-LT"/>
        </w:rPr>
        <w:t>,</w:t>
      </w:r>
      <w:r w:rsidRPr="002142B8">
        <w:rPr>
          <w:rFonts w:ascii="Georgia" w:eastAsia="Georgia" w:hAnsi="Georgia" w:cs="Times New Roman"/>
          <w:sz w:val="20"/>
          <w:szCs w:val="20"/>
          <w:lang w:val="lt-LT"/>
        </w:rPr>
        <w:t xml:space="preserve"> skirtą užtikrinti </w:t>
      </w:r>
      <w:r w:rsidR="00E2686E" w:rsidRPr="002142B8">
        <w:rPr>
          <w:rFonts w:ascii="Georgia" w:eastAsia="Georgia" w:hAnsi="Georgia" w:cs="Times New Roman"/>
          <w:sz w:val="20"/>
          <w:szCs w:val="20"/>
          <w:lang w:val="lt-LT"/>
        </w:rPr>
        <w:t xml:space="preserve">greitą </w:t>
      </w:r>
      <w:r w:rsidRPr="002142B8">
        <w:rPr>
          <w:rFonts w:ascii="Georgia" w:eastAsia="Georgia" w:hAnsi="Georgia" w:cs="Times New Roman"/>
          <w:sz w:val="20"/>
          <w:szCs w:val="20"/>
          <w:lang w:val="lt-LT"/>
        </w:rPr>
        <w:t>smarkiai išaugusios daugiabučių namų modernizavimo paklausos finansavimą. Ši priemonė taip pat padėjo tęsti ir papildyti sėkmingai iki tol veikusio JESSICA kontroliuojančiojo fondo veiklą.</w:t>
      </w:r>
    </w:p>
    <w:p w14:paraId="6FEA0F23" w14:textId="105BB41C"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DNMF valdytoju buvo paskirta VIPA, kuri teikia paskolas LR Vyriausybės daugiabučių namų atnaujinimo (modernizavimo) programoje patvirtintomis sąlygomis. Šiai priemo</w:t>
      </w:r>
      <w:r w:rsidR="00E2686E" w:rsidRPr="002142B8">
        <w:rPr>
          <w:rFonts w:ascii="Georgia" w:eastAsia="Georgia" w:hAnsi="Georgia" w:cs="Times New Roman"/>
          <w:sz w:val="20"/>
          <w:szCs w:val="20"/>
          <w:lang w:val="lt-LT"/>
        </w:rPr>
        <w:t xml:space="preserve">nei buvo skirta 74 mln. eurų </w:t>
      </w:r>
      <w:r w:rsidRPr="002142B8">
        <w:rPr>
          <w:rFonts w:ascii="Georgia" w:eastAsia="Georgia" w:hAnsi="Georgia" w:cs="Times New Roman"/>
          <w:sz w:val="20"/>
          <w:szCs w:val="20"/>
          <w:lang w:val="lt-LT"/>
        </w:rPr>
        <w:t xml:space="preserve">ES struktūrinių fondų lėšų. </w:t>
      </w:r>
    </w:p>
    <w:p w14:paraId="01539EE4"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DNMF veiklos rezultatus 2015-2016 metais atvaizduoja iliustracija žemiau.</w:t>
      </w:r>
    </w:p>
    <w:p w14:paraId="000336F9" w14:textId="77777777" w:rsidR="005A0219" w:rsidRPr="002142B8" w:rsidRDefault="005A0219" w:rsidP="005A0219">
      <w:pPr>
        <w:spacing w:after="160" w:line="240" w:lineRule="auto"/>
        <w:jc w:val="both"/>
        <w:rPr>
          <w:rFonts w:ascii="Georgia" w:eastAsia="Georgia" w:hAnsi="Georgia" w:cs="Times New Roman"/>
          <w:sz w:val="20"/>
          <w:szCs w:val="20"/>
          <w:lang w:val="lt-LT"/>
        </w:rPr>
      </w:pPr>
    </w:p>
    <w:p w14:paraId="16608D08" w14:textId="77777777" w:rsidR="005A0219" w:rsidRPr="002142B8" w:rsidRDefault="005A0219" w:rsidP="005A0219">
      <w:pPr>
        <w:spacing w:after="160" w:line="240" w:lineRule="auto"/>
        <w:jc w:val="center"/>
        <w:rPr>
          <w:rFonts w:ascii="Georgia" w:eastAsia="Georgia" w:hAnsi="Georgia" w:cs="Times New Roman"/>
          <w:sz w:val="20"/>
          <w:szCs w:val="20"/>
          <w:lang w:val="lt-LT"/>
        </w:rPr>
      </w:pPr>
      <w:r w:rsidRPr="002142B8">
        <w:rPr>
          <w:rFonts w:ascii="Georgia" w:eastAsia="Georgia" w:hAnsi="Georgia" w:cs="Times New Roman"/>
          <w:noProof/>
          <w:sz w:val="20"/>
          <w:szCs w:val="20"/>
          <w:lang w:val="lt-LT" w:eastAsia="lt-LT"/>
        </w:rPr>
        <w:drawing>
          <wp:inline distT="0" distB="0" distL="0" distR="0" wp14:anchorId="096FB1F0" wp14:editId="78A8AA23">
            <wp:extent cx="5730875" cy="2767965"/>
            <wp:effectExtent l="0" t="0" r="3175"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767965"/>
                    </a:xfrm>
                    <a:prstGeom prst="rect">
                      <a:avLst/>
                    </a:prstGeom>
                    <a:noFill/>
                  </pic:spPr>
                </pic:pic>
              </a:graphicData>
            </a:graphic>
          </wp:inline>
        </w:drawing>
      </w:r>
    </w:p>
    <w:p w14:paraId="110F2F15" w14:textId="77777777" w:rsidR="005A0219" w:rsidRPr="002142B8" w:rsidRDefault="005A0219" w:rsidP="005A0219">
      <w:pPr>
        <w:spacing w:after="160" w:line="240" w:lineRule="auto"/>
        <w:rPr>
          <w:rFonts w:ascii="Georgia" w:eastAsia="Georgia" w:hAnsi="Georgia" w:cs="Georgia"/>
          <w:i/>
          <w:iCs/>
          <w:color w:val="821A1A"/>
          <w:sz w:val="20"/>
          <w:szCs w:val="18"/>
          <w:lang w:val="lt-LT"/>
        </w:rPr>
      </w:pPr>
      <w:r w:rsidRPr="002142B8">
        <w:rPr>
          <w:rFonts w:ascii="Georgia" w:eastAsia="Georgia" w:hAnsi="Georgia" w:cs="Georgia"/>
          <w:i/>
          <w:iCs/>
          <w:color w:val="821A1A"/>
          <w:sz w:val="20"/>
          <w:szCs w:val="18"/>
          <w:lang w:val="lt-LT"/>
        </w:rPr>
        <w:t>Šaltinis: 2017 m. liepos 3 d. Nr. 2017/2 – 1721 “Dėl daugiabučių namų modernizavimo fondo metinės ataskaitos patikslinimo”</w:t>
      </w:r>
    </w:p>
    <w:p w14:paraId="0E8DE486" w14:textId="28C06628"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2015 metų pabaigoje</w:t>
      </w:r>
      <w:r w:rsidR="00022769" w:rsidRPr="002142B8">
        <w:rPr>
          <w:rFonts w:ascii="Georgia" w:eastAsia="Georgia" w:hAnsi="Georgia" w:cs="Times New Roman"/>
          <w:sz w:val="20"/>
          <w:szCs w:val="20"/>
          <w:lang w:val="lt-LT"/>
        </w:rPr>
        <w:t xml:space="preserve"> VIPA</w:t>
      </w:r>
      <w:r w:rsidRPr="002142B8">
        <w:rPr>
          <w:rFonts w:ascii="Georgia" w:eastAsia="Georgia" w:hAnsi="Georgia" w:cs="Times New Roman"/>
          <w:sz w:val="20"/>
          <w:szCs w:val="20"/>
          <w:lang w:val="lt-LT"/>
        </w:rPr>
        <w:t xml:space="preserve"> buvo pasirašiusi pasko</w:t>
      </w:r>
      <w:r w:rsidR="00E2686E" w:rsidRPr="002142B8">
        <w:rPr>
          <w:rFonts w:ascii="Georgia" w:eastAsia="Georgia" w:hAnsi="Georgia" w:cs="Times New Roman"/>
          <w:sz w:val="20"/>
          <w:szCs w:val="20"/>
          <w:lang w:val="lt-LT"/>
        </w:rPr>
        <w:t>los sutarčių už 74 mln. eurų, t.y. panaudojo visas fondo lėšas, bei</w:t>
      </w:r>
      <w:r w:rsidRPr="002142B8">
        <w:rPr>
          <w:rFonts w:ascii="Georgia" w:eastAsia="Georgia" w:hAnsi="Georgia" w:cs="Times New Roman"/>
          <w:sz w:val="20"/>
          <w:szCs w:val="20"/>
          <w:lang w:val="lt-LT"/>
        </w:rPr>
        <w:t xml:space="preserve"> </w:t>
      </w:r>
      <w:r w:rsidR="00E2686E" w:rsidRPr="002142B8">
        <w:rPr>
          <w:rFonts w:ascii="Georgia" w:eastAsia="Georgia" w:hAnsi="Georgia" w:cs="Times New Roman"/>
          <w:sz w:val="20"/>
          <w:szCs w:val="20"/>
          <w:lang w:val="lt-LT"/>
        </w:rPr>
        <w:t>papildomai turėjo didelį projektų</w:t>
      </w:r>
      <w:r w:rsidRPr="002142B8">
        <w:rPr>
          <w:rFonts w:ascii="Georgia" w:eastAsia="Georgia" w:hAnsi="Georgia" w:cs="Times New Roman"/>
          <w:sz w:val="20"/>
          <w:szCs w:val="20"/>
          <w:lang w:val="lt-LT"/>
        </w:rPr>
        <w:t xml:space="preserve"> srautą, kuris viršijo fondui skirtų lėšų sumą jau </w:t>
      </w:r>
      <w:r w:rsidRPr="002142B8">
        <w:rPr>
          <w:rFonts w:ascii="Georgia" w:eastAsia="Georgia" w:hAnsi="Georgia" w:cs="Times New Roman"/>
          <w:sz w:val="20"/>
          <w:szCs w:val="20"/>
          <w:lang w:val="lt-LT"/>
        </w:rPr>
        <w:lastRenderedPageBreak/>
        <w:t xml:space="preserve">pirmais jo įsteigimo metais. Tuo tikslu 2017 m. gegužės 10 d. buvo pasirašyta </w:t>
      </w:r>
      <w:r w:rsidR="00E2686E" w:rsidRPr="002142B8">
        <w:rPr>
          <w:rFonts w:ascii="Georgia" w:eastAsia="Georgia" w:hAnsi="Georgia" w:cs="Times New Roman"/>
          <w:sz w:val="20"/>
          <w:szCs w:val="20"/>
          <w:lang w:val="lt-LT"/>
        </w:rPr>
        <w:t>50 mln. eurų paskolos sutartis su ERPB,</w:t>
      </w:r>
      <w:r w:rsidRPr="002142B8">
        <w:rPr>
          <w:rFonts w:ascii="Georgia" w:eastAsia="Georgia" w:hAnsi="Georgia" w:cs="Times New Roman"/>
          <w:sz w:val="20"/>
          <w:szCs w:val="20"/>
          <w:lang w:val="lt-LT"/>
        </w:rPr>
        <w:t xml:space="preserve"> siekia</w:t>
      </w:r>
      <w:r w:rsidR="00E2686E" w:rsidRPr="002142B8">
        <w:rPr>
          <w:rFonts w:ascii="Georgia" w:eastAsia="Georgia" w:hAnsi="Georgia" w:cs="Times New Roman"/>
          <w:sz w:val="20"/>
          <w:szCs w:val="20"/>
          <w:lang w:val="lt-LT"/>
        </w:rPr>
        <w:t>nt finansuoti</w:t>
      </w:r>
      <w:r w:rsidRPr="002142B8">
        <w:rPr>
          <w:rFonts w:ascii="Georgia" w:eastAsia="Georgia" w:hAnsi="Georgia" w:cs="Times New Roman"/>
          <w:sz w:val="20"/>
          <w:szCs w:val="20"/>
          <w:lang w:val="lt-LT"/>
        </w:rPr>
        <w:t xml:space="preserve"> dar 150 daugiabučių</w:t>
      </w:r>
      <w:r w:rsidR="00E2686E" w:rsidRPr="002142B8">
        <w:rPr>
          <w:rFonts w:ascii="Georgia" w:eastAsia="Georgia" w:hAnsi="Georgia" w:cs="Times New Roman"/>
          <w:sz w:val="20"/>
          <w:szCs w:val="20"/>
          <w:lang w:val="lt-LT"/>
        </w:rPr>
        <w:t xml:space="preserve"> namų renovaciją</w:t>
      </w:r>
      <w:r w:rsidRPr="002142B8">
        <w:rPr>
          <w:rFonts w:ascii="Georgia" w:eastAsia="Georgia" w:hAnsi="Georgia" w:cs="Times New Roman"/>
          <w:color w:val="000000"/>
          <w:sz w:val="20"/>
          <w:szCs w:val="20"/>
          <w:vertAlign w:val="superscript"/>
          <w:lang w:val="lt-LT"/>
        </w:rPr>
        <w:footnoteReference w:id="36"/>
      </w:r>
      <w:r w:rsidRPr="002142B8">
        <w:rPr>
          <w:rFonts w:ascii="Georgia" w:eastAsia="Georgia" w:hAnsi="Georgia" w:cs="Times New Roman"/>
          <w:sz w:val="20"/>
          <w:szCs w:val="20"/>
          <w:lang w:val="lt-LT"/>
        </w:rPr>
        <w:t xml:space="preserve">.    </w:t>
      </w:r>
    </w:p>
    <w:p w14:paraId="1C5E7BA5" w14:textId="63C4009C" w:rsidR="005A0219"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Atsižvel</w:t>
      </w:r>
      <w:r w:rsidR="00E2686E" w:rsidRPr="002142B8">
        <w:rPr>
          <w:rFonts w:ascii="Georgia" w:eastAsia="Georgia" w:hAnsi="Georgia" w:cs="Times New Roman"/>
          <w:sz w:val="20"/>
          <w:szCs w:val="20"/>
          <w:lang w:val="lt-LT"/>
        </w:rPr>
        <w:t xml:space="preserve">gdami į fondo išmokėjimo tempus ir aukščiau pateiktą informaciją, matome, kad </w:t>
      </w:r>
      <w:r w:rsidRPr="002142B8">
        <w:rPr>
          <w:rFonts w:ascii="Georgia" w:eastAsia="Georgia" w:hAnsi="Georgia" w:cs="Times New Roman"/>
          <w:sz w:val="20"/>
          <w:szCs w:val="20"/>
          <w:lang w:val="lt-LT"/>
        </w:rPr>
        <w:t>2017-2023 metų period</w:t>
      </w:r>
      <w:r w:rsidR="00E2686E" w:rsidRPr="002142B8">
        <w:rPr>
          <w:rFonts w:ascii="Georgia" w:eastAsia="Georgia" w:hAnsi="Georgia" w:cs="Times New Roman"/>
          <w:sz w:val="20"/>
          <w:szCs w:val="20"/>
          <w:lang w:val="lt-LT"/>
        </w:rPr>
        <w:t>ui DNMF pirminės fondo lėšos</w:t>
      </w:r>
      <w:r w:rsidRPr="002142B8">
        <w:rPr>
          <w:rFonts w:ascii="Georgia" w:eastAsia="Georgia" w:hAnsi="Georgia" w:cs="Times New Roman"/>
          <w:sz w:val="20"/>
          <w:szCs w:val="20"/>
          <w:lang w:val="lt-LT"/>
        </w:rPr>
        <w:t xml:space="preserve"> yra pilnai išnaudotos ir ne</w:t>
      </w:r>
      <w:r w:rsidR="004848F6">
        <w:rPr>
          <w:rFonts w:ascii="Georgia" w:eastAsia="Georgia" w:hAnsi="Georgia" w:cs="Times New Roman"/>
          <w:sz w:val="20"/>
          <w:szCs w:val="20"/>
          <w:lang w:val="lt-LT"/>
        </w:rPr>
        <w:t>be</w:t>
      </w:r>
      <w:r w:rsidRPr="002142B8">
        <w:rPr>
          <w:rFonts w:ascii="Georgia" w:eastAsia="Georgia" w:hAnsi="Georgia" w:cs="Times New Roman"/>
          <w:sz w:val="20"/>
          <w:szCs w:val="20"/>
          <w:lang w:val="lt-LT"/>
        </w:rPr>
        <w:t xml:space="preserve">prieinamos. Tuo tarpu ERPB paskola už 50 mln. eurų turi būti įtraukta skaičiuojant lėšų pasiūlą. </w:t>
      </w:r>
    </w:p>
    <w:p w14:paraId="6FBA37B0" w14:textId="77777777" w:rsidR="005A0219" w:rsidRPr="002142B8" w:rsidRDefault="005A0219" w:rsidP="005A0219">
      <w:pPr>
        <w:spacing w:after="160" w:line="240" w:lineRule="auto"/>
        <w:jc w:val="both"/>
        <w:rPr>
          <w:rFonts w:ascii="Georgia" w:eastAsia="Georgia" w:hAnsi="Georgia" w:cs="Times New Roman"/>
          <w:b/>
          <w:sz w:val="20"/>
          <w:szCs w:val="20"/>
          <w:lang w:val="lt-LT"/>
        </w:rPr>
      </w:pPr>
      <w:r w:rsidRPr="002142B8">
        <w:rPr>
          <w:rFonts w:ascii="Georgia" w:eastAsia="Georgia" w:hAnsi="Georgia" w:cs="Times New Roman"/>
          <w:b/>
          <w:sz w:val="20"/>
          <w:szCs w:val="20"/>
          <w:lang w:val="lt-LT"/>
        </w:rPr>
        <w:t xml:space="preserve">JESSICA II </w:t>
      </w:r>
    </w:p>
    <w:p w14:paraId="5648C9D2" w14:textId="77777777" w:rsidR="00A06708"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2015 m. gegužės 5</w:t>
      </w:r>
      <w:r w:rsidR="002257F2" w:rsidRPr="002142B8">
        <w:rPr>
          <w:rFonts w:ascii="Georgia" w:eastAsia="Georgia" w:hAnsi="Georgia" w:cs="Times New Roman"/>
          <w:sz w:val="20"/>
          <w:szCs w:val="20"/>
          <w:lang w:val="lt-LT"/>
        </w:rPr>
        <w:t xml:space="preserve"> </w:t>
      </w:r>
      <w:r w:rsidRPr="002142B8">
        <w:rPr>
          <w:rFonts w:ascii="Georgia" w:eastAsia="Georgia" w:hAnsi="Georgia" w:cs="Times New Roman"/>
          <w:sz w:val="20"/>
          <w:szCs w:val="20"/>
          <w:lang w:val="lt-LT"/>
        </w:rPr>
        <w:t xml:space="preserve">d. finansavimo sutarties tarp LR Finansų ministerijos, LR Aplinkos ministerijos ir EIB pagrindu buvo įsteigtas fondų fondas (FF) – EIB valdomo JESSICA kontroliuojančiojo fondo tęsinys, skirtas investicijoms į energinio efektyvumo didinimą būsto sektoriuje. JESSICA FF valdytoju buvo paskirtas EIB, kurio pagrindinis tikslas buvo </w:t>
      </w:r>
      <w:r w:rsidR="00A06708" w:rsidRPr="002142B8">
        <w:rPr>
          <w:rFonts w:ascii="Georgia" w:eastAsia="Georgia" w:hAnsi="Georgia" w:cs="Times New Roman"/>
          <w:sz w:val="20"/>
          <w:szCs w:val="20"/>
          <w:lang w:val="lt-LT"/>
        </w:rPr>
        <w:t>renovuoti kuo didesnį daugiabučių namų skaičių, pritraukiant</w:t>
      </w:r>
      <w:r w:rsidRPr="002142B8">
        <w:rPr>
          <w:rFonts w:ascii="Georgia" w:eastAsia="Georgia" w:hAnsi="Georgia" w:cs="Times New Roman"/>
          <w:sz w:val="20"/>
          <w:szCs w:val="20"/>
          <w:lang w:val="lt-LT"/>
        </w:rPr>
        <w:t xml:space="preserve"> kiek įmanoma dau</w:t>
      </w:r>
      <w:r w:rsidR="00A06708" w:rsidRPr="002142B8">
        <w:rPr>
          <w:rFonts w:ascii="Georgia" w:eastAsia="Georgia" w:hAnsi="Georgia" w:cs="Times New Roman"/>
          <w:sz w:val="20"/>
          <w:szCs w:val="20"/>
          <w:lang w:val="lt-LT"/>
        </w:rPr>
        <w:t xml:space="preserve">giau privataus finansavimo. </w:t>
      </w:r>
    </w:p>
    <w:p w14:paraId="144FF111" w14:textId="59DFE334" w:rsidR="00A06708" w:rsidRPr="002142B8" w:rsidRDefault="00A06708"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EIB fondo lėšomis teikia paskolas LR Vyriausybės daugiabučių namų atnaujinimo (modernizavimo) programoje patvirtintomis sąlygomis. </w:t>
      </w:r>
      <w:r w:rsidR="005A0219" w:rsidRPr="002142B8">
        <w:rPr>
          <w:rFonts w:ascii="Georgia" w:eastAsia="Georgia" w:hAnsi="Georgia" w:cs="Times New Roman"/>
          <w:sz w:val="20"/>
          <w:szCs w:val="20"/>
          <w:lang w:val="lt-LT"/>
        </w:rPr>
        <w:t>Paskolos yra skirtos daugiabučių namų modernizacijai (atnaujinimui) didinant jų energinį efektyvumą taip, kad būtų pasiekta ne mažesnė kaip C pastatų energinio efektyvumo klasė.</w:t>
      </w:r>
      <w:r w:rsidRPr="002142B8">
        <w:rPr>
          <w:rFonts w:ascii="Georgia" w:eastAsia="Georgia" w:hAnsi="Georgia" w:cs="Times New Roman"/>
          <w:sz w:val="20"/>
          <w:szCs w:val="20"/>
          <w:lang w:val="lt-LT"/>
        </w:rPr>
        <w:t xml:space="preserve"> Fondui skirta 150 mln. eurų ES struktūrinių fondų lėšų. </w:t>
      </w:r>
    </w:p>
    <w:p w14:paraId="0CE36C3D"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Iki 2016 metų pabaigos, EIB paskelbė du kvietimus finansiniams tarpininkams atrinkti, kurių informacija apibendrinta lentelėje žemiau.</w:t>
      </w:r>
    </w:p>
    <w:p w14:paraId="0BBC2B3E" w14:textId="17904A06" w:rsidR="005A0219" w:rsidRPr="002142B8" w:rsidRDefault="005A0219" w:rsidP="005A0219">
      <w:pPr>
        <w:spacing w:after="160" w:line="240" w:lineRule="auto"/>
        <w:rPr>
          <w:rFonts w:ascii="Georgia" w:eastAsia="Georgia" w:hAnsi="Georgia" w:cs="Arial Unicode MS"/>
          <w:i/>
          <w:iCs/>
          <w:color w:val="821A1A"/>
          <w:sz w:val="20"/>
          <w:szCs w:val="18"/>
          <w:lang w:val="lt-LT"/>
        </w:rPr>
      </w:pPr>
      <w:bookmarkStart w:id="97" w:name="_Toc507939144"/>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22</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EIB kvietimai finansiniams tarpininkams atrinkti ir priemonės pilnas finansavimas 2017-2023 m.</w:t>
      </w:r>
      <w:bookmarkEnd w:id="97"/>
    </w:p>
    <w:tbl>
      <w:tblPr>
        <w:tblW w:w="9332" w:type="dxa"/>
        <w:tblInd w:w="-10" w:type="dxa"/>
        <w:tblLayout w:type="fixed"/>
        <w:tblLook w:val="04A0" w:firstRow="1" w:lastRow="0" w:firstColumn="1" w:lastColumn="0" w:noHBand="0" w:noVBand="1"/>
      </w:tblPr>
      <w:tblGrid>
        <w:gridCol w:w="1454"/>
        <w:gridCol w:w="1080"/>
        <w:gridCol w:w="1270"/>
        <w:gridCol w:w="1080"/>
        <w:gridCol w:w="1222"/>
        <w:gridCol w:w="1080"/>
        <w:gridCol w:w="1317"/>
        <w:gridCol w:w="829"/>
      </w:tblGrid>
      <w:tr w:rsidR="00BB79B7" w:rsidRPr="002142B8" w14:paraId="59B88FED" w14:textId="77777777" w:rsidTr="00F91954">
        <w:trPr>
          <w:trHeight w:val="990"/>
        </w:trPr>
        <w:tc>
          <w:tcPr>
            <w:tcW w:w="1454" w:type="dxa"/>
            <w:tcBorders>
              <w:top w:val="single" w:sz="8" w:space="0" w:color="D62E1C"/>
              <w:left w:val="single" w:sz="8" w:space="0" w:color="D62E1C"/>
              <w:bottom w:val="nil"/>
              <w:right w:val="nil"/>
            </w:tcBorders>
            <w:shd w:val="clear" w:color="000000" w:fill="D62E1C"/>
            <w:vAlign w:val="center"/>
            <w:hideMark/>
          </w:tcPr>
          <w:p w14:paraId="4CD39D26" w14:textId="77777777" w:rsidR="005A0219" w:rsidRPr="002142B8"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Kvietimas</w:t>
            </w:r>
          </w:p>
        </w:tc>
        <w:tc>
          <w:tcPr>
            <w:tcW w:w="1080" w:type="dxa"/>
            <w:tcBorders>
              <w:top w:val="single" w:sz="8" w:space="0" w:color="D62E1C"/>
              <w:left w:val="nil"/>
              <w:bottom w:val="nil"/>
              <w:right w:val="nil"/>
            </w:tcBorders>
            <w:shd w:val="clear" w:color="000000" w:fill="D62E1C"/>
            <w:vAlign w:val="center"/>
            <w:hideMark/>
          </w:tcPr>
          <w:p w14:paraId="6D409A69" w14:textId="72CF5C41" w:rsidR="005A0219" w:rsidRPr="002142B8" w:rsidRDefault="005A0219" w:rsidP="00BB79B7">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 xml:space="preserve">Suma, mln. </w:t>
            </w:r>
            <w:r w:rsidR="00BB79B7">
              <w:rPr>
                <w:rFonts w:ascii="Georgia" w:eastAsia="Times New Roman" w:hAnsi="Georgia" w:cs="Times New Roman"/>
                <w:b/>
                <w:bCs/>
                <w:color w:val="FFFFFF"/>
                <w:sz w:val="18"/>
                <w:szCs w:val="18"/>
                <w:lang w:val="lt-LT" w:eastAsia="lt-LT"/>
              </w:rPr>
              <w:t>eurų</w:t>
            </w:r>
          </w:p>
        </w:tc>
        <w:tc>
          <w:tcPr>
            <w:tcW w:w="1270" w:type="dxa"/>
            <w:tcBorders>
              <w:top w:val="single" w:sz="8" w:space="0" w:color="D62E1C"/>
              <w:left w:val="nil"/>
              <w:bottom w:val="nil"/>
              <w:right w:val="nil"/>
            </w:tcBorders>
            <w:shd w:val="clear" w:color="000000" w:fill="D62E1C"/>
            <w:vAlign w:val="center"/>
            <w:hideMark/>
          </w:tcPr>
          <w:p w14:paraId="6270A5A7" w14:textId="77777777" w:rsidR="005A0219" w:rsidRPr="002142B8"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Pasirašyta</w:t>
            </w:r>
          </w:p>
        </w:tc>
        <w:tc>
          <w:tcPr>
            <w:tcW w:w="1080" w:type="dxa"/>
            <w:tcBorders>
              <w:top w:val="single" w:sz="8" w:space="0" w:color="D62E1C"/>
              <w:left w:val="nil"/>
              <w:bottom w:val="nil"/>
              <w:right w:val="nil"/>
            </w:tcBorders>
            <w:shd w:val="clear" w:color="000000" w:fill="D62E1C"/>
            <w:vAlign w:val="center"/>
            <w:hideMark/>
          </w:tcPr>
          <w:p w14:paraId="168FED15" w14:textId="18130EEB" w:rsidR="005A0219" w:rsidRPr="002142B8" w:rsidRDefault="005A0219" w:rsidP="00BB79B7">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 xml:space="preserve">EIB lėšos, mln. </w:t>
            </w:r>
            <w:r w:rsidR="00BB79B7">
              <w:rPr>
                <w:rFonts w:ascii="Georgia" w:eastAsia="Times New Roman" w:hAnsi="Georgia" w:cs="Times New Roman"/>
                <w:b/>
                <w:bCs/>
                <w:color w:val="FFFFFF"/>
                <w:sz w:val="18"/>
                <w:szCs w:val="18"/>
                <w:lang w:val="lt-LT" w:eastAsia="lt-LT"/>
              </w:rPr>
              <w:t>eurų</w:t>
            </w:r>
          </w:p>
        </w:tc>
        <w:tc>
          <w:tcPr>
            <w:tcW w:w="1222" w:type="dxa"/>
            <w:tcBorders>
              <w:top w:val="single" w:sz="8" w:space="0" w:color="D62E1C"/>
              <w:left w:val="nil"/>
              <w:bottom w:val="nil"/>
              <w:right w:val="nil"/>
            </w:tcBorders>
            <w:shd w:val="clear" w:color="000000" w:fill="D62E1C"/>
            <w:vAlign w:val="center"/>
            <w:hideMark/>
          </w:tcPr>
          <w:p w14:paraId="2A870A4F" w14:textId="2E301707" w:rsidR="005A0219" w:rsidRPr="002142B8" w:rsidRDefault="005A0219" w:rsidP="00BB79B7">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 xml:space="preserve">Finansinių tarpininkų lėšos, mln. </w:t>
            </w:r>
            <w:r w:rsidR="00BB79B7">
              <w:rPr>
                <w:rFonts w:ascii="Georgia" w:eastAsia="Times New Roman" w:hAnsi="Georgia" w:cs="Times New Roman"/>
                <w:b/>
                <w:bCs/>
                <w:color w:val="FFFFFF"/>
                <w:sz w:val="18"/>
                <w:szCs w:val="18"/>
                <w:lang w:val="lt-LT" w:eastAsia="lt-LT"/>
              </w:rPr>
              <w:t>eurų</w:t>
            </w:r>
          </w:p>
        </w:tc>
        <w:tc>
          <w:tcPr>
            <w:tcW w:w="1080" w:type="dxa"/>
            <w:tcBorders>
              <w:top w:val="single" w:sz="8" w:space="0" w:color="D62E1C"/>
              <w:left w:val="nil"/>
              <w:bottom w:val="nil"/>
              <w:right w:val="nil"/>
            </w:tcBorders>
            <w:shd w:val="clear" w:color="000000" w:fill="D62E1C"/>
            <w:vAlign w:val="center"/>
            <w:hideMark/>
          </w:tcPr>
          <w:p w14:paraId="19A33DB6" w14:textId="05F0303A" w:rsidR="005A0219" w:rsidRPr="002142B8" w:rsidRDefault="00022769" w:rsidP="00BB79B7">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Iš v</w:t>
            </w:r>
            <w:r w:rsidR="005A0219" w:rsidRPr="002142B8">
              <w:rPr>
                <w:rFonts w:ascii="Georgia" w:eastAsia="Times New Roman" w:hAnsi="Georgia" w:cs="Times New Roman"/>
                <w:b/>
                <w:bCs/>
                <w:color w:val="FFFFFF"/>
                <w:sz w:val="18"/>
                <w:szCs w:val="18"/>
                <w:lang w:val="lt-LT" w:eastAsia="lt-LT"/>
              </w:rPr>
              <w:t xml:space="preserve">iso, mln. </w:t>
            </w:r>
            <w:r w:rsidR="00BB79B7">
              <w:rPr>
                <w:rFonts w:ascii="Georgia" w:eastAsia="Times New Roman" w:hAnsi="Georgia" w:cs="Times New Roman"/>
                <w:b/>
                <w:bCs/>
                <w:color w:val="FFFFFF"/>
                <w:sz w:val="18"/>
                <w:szCs w:val="18"/>
                <w:lang w:val="lt-LT" w:eastAsia="lt-LT"/>
              </w:rPr>
              <w:t>eurų</w:t>
            </w:r>
          </w:p>
        </w:tc>
        <w:tc>
          <w:tcPr>
            <w:tcW w:w="1317" w:type="dxa"/>
            <w:tcBorders>
              <w:top w:val="single" w:sz="8" w:space="0" w:color="D62E1C"/>
              <w:left w:val="nil"/>
              <w:bottom w:val="nil"/>
              <w:right w:val="nil"/>
            </w:tcBorders>
            <w:shd w:val="clear" w:color="000000" w:fill="D62E1C"/>
            <w:vAlign w:val="center"/>
            <w:hideMark/>
          </w:tcPr>
          <w:p w14:paraId="26832DC2" w14:textId="6A76DBE3" w:rsidR="005A0219" w:rsidRPr="002142B8" w:rsidRDefault="005A0219" w:rsidP="00BB79B7">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 xml:space="preserve">Išmokėta galutiniams gavėjams, mln. </w:t>
            </w:r>
            <w:r w:rsidR="00BB79B7">
              <w:rPr>
                <w:rFonts w:ascii="Georgia" w:eastAsia="Times New Roman" w:hAnsi="Georgia" w:cs="Times New Roman"/>
                <w:b/>
                <w:bCs/>
                <w:color w:val="FFFFFF"/>
                <w:sz w:val="18"/>
                <w:szCs w:val="18"/>
                <w:lang w:val="lt-LT" w:eastAsia="lt-LT"/>
              </w:rPr>
              <w:t>eurų</w:t>
            </w:r>
          </w:p>
        </w:tc>
        <w:tc>
          <w:tcPr>
            <w:tcW w:w="829" w:type="dxa"/>
            <w:tcBorders>
              <w:top w:val="single" w:sz="8" w:space="0" w:color="D62E1C"/>
              <w:left w:val="nil"/>
              <w:bottom w:val="nil"/>
              <w:right w:val="single" w:sz="8" w:space="0" w:color="D62E1C"/>
            </w:tcBorders>
            <w:shd w:val="clear" w:color="000000" w:fill="D62E1C"/>
            <w:vAlign w:val="center"/>
            <w:hideMark/>
          </w:tcPr>
          <w:p w14:paraId="117F3FA0" w14:textId="3BD662DF" w:rsidR="005A0219" w:rsidRPr="002142B8" w:rsidRDefault="005A0219" w:rsidP="005A0219">
            <w:pPr>
              <w:spacing w:after="0" w:line="240" w:lineRule="auto"/>
              <w:jc w:val="center"/>
              <w:rPr>
                <w:rFonts w:ascii="Georgia" w:eastAsia="Times New Roman" w:hAnsi="Georgia" w:cs="Times New Roman"/>
                <w:b/>
                <w:bCs/>
                <w:color w:val="FFFFFF"/>
                <w:sz w:val="18"/>
                <w:szCs w:val="18"/>
                <w:lang w:val="lt-LT" w:eastAsia="lt-LT"/>
              </w:rPr>
            </w:pPr>
            <w:r w:rsidRPr="002142B8">
              <w:rPr>
                <w:rFonts w:ascii="Georgia" w:eastAsia="Times New Roman" w:hAnsi="Georgia" w:cs="Times New Roman"/>
                <w:b/>
                <w:bCs/>
                <w:color w:val="FFFFFF"/>
                <w:sz w:val="18"/>
                <w:szCs w:val="18"/>
                <w:lang w:val="lt-LT" w:eastAsia="lt-LT"/>
              </w:rPr>
              <w:t>Išmo</w:t>
            </w:r>
            <w:r w:rsidR="00BB79B7">
              <w:rPr>
                <w:rFonts w:ascii="Georgia" w:eastAsia="Times New Roman" w:hAnsi="Georgia" w:cs="Times New Roman"/>
                <w:b/>
                <w:bCs/>
                <w:color w:val="FFFFFF"/>
                <w:sz w:val="18"/>
                <w:szCs w:val="18"/>
                <w:lang w:val="lt-LT" w:eastAsia="lt-LT"/>
              </w:rPr>
              <w:t>-</w:t>
            </w:r>
            <w:r w:rsidRPr="002142B8">
              <w:rPr>
                <w:rFonts w:ascii="Georgia" w:eastAsia="Times New Roman" w:hAnsi="Georgia" w:cs="Times New Roman"/>
                <w:b/>
                <w:bCs/>
                <w:color w:val="FFFFFF"/>
                <w:sz w:val="18"/>
                <w:szCs w:val="18"/>
                <w:lang w:val="lt-LT" w:eastAsia="lt-LT"/>
              </w:rPr>
              <w:t>kėta</w:t>
            </w:r>
          </w:p>
        </w:tc>
      </w:tr>
      <w:tr w:rsidR="00BB79B7" w:rsidRPr="002142B8" w14:paraId="447C2FBE" w14:textId="77777777" w:rsidTr="00F91954">
        <w:trPr>
          <w:trHeight w:val="502"/>
        </w:trPr>
        <w:tc>
          <w:tcPr>
            <w:tcW w:w="1454" w:type="dxa"/>
            <w:tcBorders>
              <w:top w:val="single" w:sz="8" w:space="0" w:color="D62E1C"/>
              <w:left w:val="single" w:sz="8" w:space="0" w:color="D62E1C"/>
              <w:bottom w:val="single" w:sz="8" w:space="0" w:color="D62E1C"/>
              <w:right w:val="nil"/>
            </w:tcBorders>
            <w:shd w:val="clear" w:color="auto" w:fill="auto"/>
            <w:vAlign w:val="center"/>
            <w:hideMark/>
          </w:tcPr>
          <w:p w14:paraId="187656C9" w14:textId="77777777" w:rsidR="005A0219" w:rsidRPr="002142B8" w:rsidRDefault="005A0219" w:rsidP="005A0219">
            <w:pPr>
              <w:spacing w:after="0" w:line="240" w:lineRule="auto"/>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Pirmasis kvietimas (2015)</w:t>
            </w:r>
          </w:p>
        </w:tc>
        <w:tc>
          <w:tcPr>
            <w:tcW w:w="1080" w:type="dxa"/>
            <w:tcBorders>
              <w:top w:val="single" w:sz="8" w:space="0" w:color="D62E1C"/>
              <w:left w:val="nil"/>
              <w:bottom w:val="single" w:sz="8" w:space="0" w:color="D62E1C"/>
              <w:right w:val="nil"/>
            </w:tcBorders>
            <w:shd w:val="clear" w:color="auto" w:fill="auto"/>
            <w:vAlign w:val="center"/>
            <w:hideMark/>
          </w:tcPr>
          <w:p w14:paraId="0EEC0EC6"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n.d.</w:t>
            </w:r>
          </w:p>
        </w:tc>
        <w:tc>
          <w:tcPr>
            <w:tcW w:w="1270" w:type="dxa"/>
            <w:tcBorders>
              <w:top w:val="single" w:sz="8" w:space="0" w:color="D62E1C"/>
              <w:left w:val="nil"/>
              <w:bottom w:val="single" w:sz="8" w:space="0" w:color="D62E1C"/>
              <w:right w:val="nil"/>
            </w:tcBorders>
            <w:shd w:val="clear" w:color="auto" w:fill="auto"/>
            <w:vAlign w:val="center"/>
            <w:hideMark/>
          </w:tcPr>
          <w:p w14:paraId="10FF8CC9" w14:textId="2F755415" w:rsidR="005A0219" w:rsidRPr="002142B8" w:rsidRDefault="005A0219" w:rsidP="005A0219">
            <w:pPr>
              <w:spacing w:after="0" w:line="240" w:lineRule="auto"/>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2015</w:t>
            </w:r>
            <w:r w:rsidR="00BF06C3">
              <w:rPr>
                <w:rFonts w:ascii="Georgia" w:eastAsia="Times New Roman" w:hAnsi="Georgia" w:cs="Times New Roman"/>
                <w:color w:val="000000"/>
                <w:sz w:val="18"/>
                <w:szCs w:val="18"/>
                <w:lang w:val="lt-LT" w:eastAsia="lt-LT"/>
              </w:rPr>
              <w:t>-</w:t>
            </w:r>
            <w:r w:rsidRPr="002142B8">
              <w:rPr>
                <w:rFonts w:ascii="Georgia" w:eastAsia="Times New Roman" w:hAnsi="Georgia" w:cs="Times New Roman"/>
                <w:color w:val="000000"/>
                <w:sz w:val="18"/>
                <w:szCs w:val="18"/>
                <w:lang w:val="lt-LT" w:eastAsia="lt-LT"/>
              </w:rPr>
              <w:t>08</w:t>
            </w:r>
            <w:r w:rsidR="00BF06C3">
              <w:rPr>
                <w:rFonts w:ascii="Georgia" w:eastAsia="Times New Roman" w:hAnsi="Georgia" w:cs="Times New Roman"/>
                <w:color w:val="000000"/>
                <w:sz w:val="18"/>
                <w:szCs w:val="18"/>
                <w:lang w:val="lt-LT" w:eastAsia="lt-LT"/>
              </w:rPr>
              <w:t>-</w:t>
            </w:r>
            <w:r w:rsidRPr="002142B8">
              <w:rPr>
                <w:rFonts w:ascii="Georgia" w:eastAsia="Times New Roman" w:hAnsi="Georgia" w:cs="Times New Roman"/>
                <w:color w:val="000000"/>
                <w:sz w:val="18"/>
                <w:szCs w:val="18"/>
                <w:lang w:val="lt-LT" w:eastAsia="lt-LT"/>
              </w:rPr>
              <w:t>07</w:t>
            </w:r>
          </w:p>
        </w:tc>
        <w:tc>
          <w:tcPr>
            <w:tcW w:w="1080" w:type="dxa"/>
            <w:tcBorders>
              <w:top w:val="single" w:sz="8" w:space="0" w:color="D62E1C"/>
              <w:left w:val="nil"/>
              <w:bottom w:val="single" w:sz="8" w:space="0" w:color="D62E1C"/>
              <w:right w:val="nil"/>
            </w:tcBorders>
            <w:shd w:val="clear" w:color="auto" w:fill="auto"/>
            <w:vAlign w:val="center"/>
            <w:hideMark/>
          </w:tcPr>
          <w:p w14:paraId="36C8C01B"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68</w:t>
            </w:r>
          </w:p>
        </w:tc>
        <w:tc>
          <w:tcPr>
            <w:tcW w:w="1222" w:type="dxa"/>
            <w:tcBorders>
              <w:top w:val="single" w:sz="8" w:space="0" w:color="D62E1C"/>
              <w:left w:val="nil"/>
              <w:bottom w:val="single" w:sz="8" w:space="0" w:color="D62E1C"/>
              <w:right w:val="nil"/>
            </w:tcBorders>
            <w:shd w:val="clear" w:color="auto" w:fill="auto"/>
            <w:vAlign w:val="center"/>
            <w:hideMark/>
          </w:tcPr>
          <w:p w14:paraId="4E7E916B"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30</w:t>
            </w:r>
          </w:p>
        </w:tc>
        <w:tc>
          <w:tcPr>
            <w:tcW w:w="1080" w:type="dxa"/>
            <w:tcBorders>
              <w:top w:val="single" w:sz="8" w:space="0" w:color="D62E1C"/>
              <w:left w:val="nil"/>
              <w:bottom w:val="single" w:sz="8" w:space="0" w:color="D62E1C"/>
              <w:right w:val="nil"/>
            </w:tcBorders>
            <w:shd w:val="clear" w:color="auto" w:fill="auto"/>
            <w:vAlign w:val="center"/>
            <w:hideMark/>
          </w:tcPr>
          <w:p w14:paraId="689D85E4"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98</w:t>
            </w:r>
          </w:p>
        </w:tc>
        <w:tc>
          <w:tcPr>
            <w:tcW w:w="1317" w:type="dxa"/>
            <w:tcBorders>
              <w:top w:val="single" w:sz="8" w:space="0" w:color="D62E1C"/>
              <w:left w:val="nil"/>
              <w:bottom w:val="single" w:sz="8" w:space="0" w:color="D62E1C"/>
              <w:right w:val="nil"/>
            </w:tcBorders>
            <w:shd w:val="clear" w:color="auto" w:fill="auto"/>
            <w:vAlign w:val="center"/>
            <w:hideMark/>
          </w:tcPr>
          <w:p w14:paraId="7E267BBA"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90,58</w:t>
            </w:r>
          </w:p>
        </w:tc>
        <w:tc>
          <w:tcPr>
            <w:tcW w:w="829" w:type="dxa"/>
            <w:tcBorders>
              <w:top w:val="single" w:sz="8" w:space="0" w:color="D62E1C"/>
              <w:left w:val="nil"/>
              <w:bottom w:val="single" w:sz="8" w:space="0" w:color="D62E1C"/>
              <w:right w:val="single" w:sz="8" w:space="0" w:color="D62E1C"/>
            </w:tcBorders>
            <w:shd w:val="clear" w:color="auto" w:fill="auto"/>
            <w:vAlign w:val="center"/>
            <w:hideMark/>
          </w:tcPr>
          <w:p w14:paraId="25659119"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92%</w:t>
            </w:r>
          </w:p>
        </w:tc>
      </w:tr>
      <w:tr w:rsidR="00BB79B7" w:rsidRPr="002142B8" w14:paraId="6B67CC36" w14:textId="77777777" w:rsidTr="00F91954">
        <w:trPr>
          <w:trHeight w:val="502"/>
        </w:trPr>
        <w:tc>
          <w:tcPr>
            <w:tcW w:w="1454" w:type="dxa"/>
            <w:tcBorders>
              <w:top w:val="nil"/>
              <w:left w:val="single" w:sz="8" w:space="0" w:color="D62E1C"/>
              <w:bottom w:val="single" w:sz="8" w:space="0" w:color="D62E1C"/>
              <w:right w:val="nil"/>
            </w:tcBorders>
            <w:shd w:val="clear" w:color="auto" w:fill="auto"/>
            <w:vAlign w:val="center"/>
            <w:hideMark/>
          </w:tcPr>
          <w:p w14:paraId="6B4066AF" w14:textId="77777777" w:rsidR="005A0219" w:rsidRPr="002142B8" w:rsidRDefault="005A0219" w:rsidP="005A0219">
            <w:pPr>
              <w:spacing w:after="0" w:line="240" w:lineRule="auto"/>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Antrasis kvietimas (2015 11 14)</w:t>
            </w:r>
          </w:p>
        </w:tc>
        <w:tc>
          <w:tcPr>
            <w:tcW w:w="1080" w:type="dxa"/>
            <w:tcBorders>
              <w:top w:val="nil"/>
              <w:left w:val="nil"/>
              <w:bottom w:val="single" w:sz="8" w:space="0" w:color="D62E1C"/>
              <w:right w:val="nil"/>
            </w:tcBorders>
            <w:shd w:val="clear" w:color="auto" w:fill="auto"/>
            <w:vAlign w:val="center"/>
            <w:hideMark/>
          </w:tcPr>
          <w:p w14:paraId="20B03F89"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104</w:t>
            </w:r>
          </w:p>
        </w:tc>
        <w:tc>
          <w:tcPr>
            <w:tcW w:w="1270" w:type="dxa"/>
            <w:tcBorders>
              <w:top w:val="nil"/>
              <w:left w:val="nil"/>
              <w:bottom w:val="single" w:sz="8" w:space="0" w:color="D62E1C"/>
              <w:right w:val="nil"/>
            </w:tcBorders>
            <w:shd w:val="clear" w:color="auto" w:fill="auto"/>
            <w:vAlign w:val="center"/>
            <w:hideMark/>
          </w:tcPr>
          <w:p w14:paraId="24823D45" w14:textId="5BF17B07" w:rsidR="005A0219" w:rsidRPr="002142B8" w:rsidRDefault="005A0219" w:rsidP="005A0219">
            <w:pPr>
              <w:spacing w:after="0" w:line="240" w:lineRule="auto"/>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2016</w:t>
            </w:r>
            <w:r w:rsidR="00BF06C3">
              <w:rPr>
                <w:rFonts w:ascii="Georgia" w:eastAsia="Times New Roman" w:hAnsi="Georgia" w:cs="Times New Roman"/>
                <w:color w:val="000000"/>
                <w:sz w:val="18"/>
                <w:szCs w:val="18"/>
                <w:lang w:val="lt-LT" w:eastAsia="lt-LT"/>
              </w:rPr>
              <w:t>-</w:t>
            </w:r>
            <w:r w:rsidRPr="002142B8">
              <w:rPr>
                <w:rFonts w:ascii="Georgia" w:eastAsia="Times New Roman" w:hAnsi="Georgia" w:cs="Times New Roman"/>
                <w:color w:val="000000"/>
                <w:sz w:val="18"/>
                <w:szCs w:val="18"/>
                <w:lang w:val="lt-LT" w:eastAsia="lt-LT"/>
              </w:rPr>
              <w:t>05</w:t>
            </w:r>
            <w:r w:rsidR="00BF06C3">
              <w:rPr>
                <w:rFonts w:ascii="Georgia" w:eastAsia="Times New Roman" w:hAnsi="Georgia" w:cs="Times New Roman"/>
                <w:color w:val="000000"/>
                <w:sz w:val="18"/>
                <w:szCs w:val="18"/>
                <w:lang w:val="lt-LT" w:eastAsia="lt-LT"/>
              </w:rPr>
              <w:t>-</w:t>
            </w:r>
            <w:r w:rsidRPr="002142B8">
              <w:rPr>
                <w:rFonts w:ascii="Georgia" w:eastAsia="Times New Roman" w:hAnsi="Georgia" w:cs="Times New Roman"/>
                <w:color w:val="000000"/>
                <w:sz w:val="18"/>
                <w:szCs w:val="18"/>
                <w:lang w:val="lt-LT" w:eastAsia="lt-LT"/>
              </w:rPr>
              <w:t>27</w:t>
            </w:r>
          </w:p>
        </w:tc>
        <w:tc>
          <w:tcPr>
            <w:tcW w:w="1080" w:type="dxa"/>
            <w:tcBorders>
              <w:top w:val="nil"/>
              <w:left w:val="nil"/>
              <w:bottom w:val="single" w:sz="8" w:space="0" w:color="D62E1C"/>
              <w:right w:val="nil"/>
            </w:tcBorders>
            <w:shd w:val="clear" w:color="auto" w:fill="auto"/>
            <w:vAlign w:val="center"/>
            <w:hideMark/>
          </w:tcPr>
          <w:p w14:paraId="33753305"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40</w:t>
            </w:r>
          </w:p>
        </w:tc>
        <w:tc>
          <w:tcPr>
            <w:tcW w:w="1222" w:type="dxa"/>
            <w:tcBorders>
              <w:top w:val="nil"/>
              <w:left w:val="nil"/>
              <w:bottom w:val="single" w:sz="8" w:space="0" w:color="D62E1C"/>
              <w:right w:val="nil"/>
            </w:tcBorders>
            <w:shd w:val="clear" w:color="auto" w:fill="auto"/>
            <w:vAlign w:val="center"/>
            <w:hideMark/>
          </w:tcPr>
          <w:p w14:paraId="32330E13"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40</w:t>
            </w:r>
          </w:p>
        </w:tc>
        <w:tc>
          <w:tcPr>
            <w:tcW w:w="1080" w:type="dxa"/>
            <w:tcBorders>
              <w:top w:val="nil"/>
              <w:left w:val="nil"/>
              <w:bottom w:val="single" w:sz="8" w:space="0" w:color="D62E1C"/>
              <w:right w:val="nil"/>
            </w:tcBorders>
            <w:shd w:val="clear" w:color="auto" w:fill="auto"/>
            <w:vAlign w:val="center"/>
            <w:hideMark/>
          </w:tcPr>
          <w:p w14:paraId="6BAFBEC6"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80</w:t>
            </w:r>
          </w:p>
        </w:tc>
        <w:tc>
          <w:tcPr>
            <w:tcW w:w="1317" w:type="dxa"/>
            <w:tcBorders>
              <w:top w:val="nil"/>
              <w:left w:val="nil"/>
              <w:bottom w:val="single" w:sz="8" w:space="0" w:color="D62E1C"/>
              <w:right w:val="nil"/>
            </w:tcBorders>
            <w:shd w:val="clear" w:color="auto" w:fill="auto"/>
            <w:vAlign w:val="center"/>
            <w:hideMark/>
          </w:tcPr>
          <w:p w14:paraId="5036A3E5"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74,42</w:t>
            </w:r>
          </w:p>
        </w:tc>
        <w:tc>
          <w:tcPr>
            <w:tcW w:w="829" w:type="dxa"/>
            <w:tcBorders>
              <w:top w:val="nil"/>
              <w:left w:val="nil"/>
              <w:bottom w:val="single" w:sz="8" w:space="0" w:color="D62E1C"/>
              <w:right w:val="single" w:sz="8" w:space="0" w:color="D62E1C"/>
            </w:tcBorders>
            <w:shd w:val="clear" w:color="auto" w:fill="auto"/>
            <w:vAlign w:val="center"/>
            <w:hideMark/>
          </w:tcPr>
          <w:p w14:paraId="5B3A6CAB"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93%</w:t>
            </w:r>
          </w:p>
        </w:tc>
      </w:tr>
      <w:tr w:rsidR="00BB79B7" w:rsidRPr="002142B8" w14:paraId="28EE23EA" w14:textId="77777777" w:rsidTr="00F91954">
        <w:trPr>
          <w:trHeight w:val="301"/>
        </w:trPr>
        <w:tc>
          <w:tcPr>
            <w:tcW w:w="1454" w:type="dxa"/>
            <w:tcBorders>
              <w:top w:val="nil"/>
              <w:left w:val="single" w:sz="8" w:space="0" w:color="D62E1C"/>
              <w:bottom w:val="single" w:sz="8" w:space="0" w:color="D62E1C"/>
              <w:right w:val="nil"/>
            </w:tcBorders>
            <w:shd w:val="clear" w:color="auto" w:fill="auto"/>
            <w:vAlign w:val="center"/>
            <w:hideMark/>
          </w:tcPr>
          <w:p w14:paraId="081229A2" w14:textId="77777777" w:rsidR="005A0219" w:rsidRPr="002142B8" w:rsidRDefault="005A0219" w:rsidP="005A0219">
            <w:pPr>
              <w:spacing w:after="0" w:line="240" w:lineRule="auto"/>
              <w:jc w:val="both"/>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Iš viso</w:t>
            </w:r>
          </w:p>
        </w:tc>
        <w:tc>
          <w:tcPr>
            <w:tcW w:w="1080" w:type="dxa"/>
            <w:tcBorders>
              <w:top w:val="nil"/>
              <w:left w:val="nil"/>
              <w:bottom w:val="single" w:sz="8" w:space="0" w:color="D62E1C"/>
              <w:right w:val="nil"/>
            </w:tcBorders>
            <w:shd w:val="clear" w:color="auto" w:fill="auto"/>
            <w:vAlign w:val="center"/>
            <w:hideMark/>
          </w:tcPr>
          <w:p w14:paraId="3BD3E2A0"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 </w:t>
            </w:r>
          </w:p>
        </w:tc>
        <w:tc>
          <w:tcPr>
            <w:tcW w:w="1270" w:type="dxa"/>
            <w:tcBorders>
              <w:top w:val="nil"/>
              <w:left w:val="nil"/>
              <w:bottom w:val="single" w:sz="8" w:space="0" w:color="D62E1C"/>
              <w:right w:val="nil"/>
            </w:tcBorders>
            <w:shd w:val="clear" w:color="auto" w:fill="auto"/>
            <w:vAlign w:val="center"/>
            <w:hideMark/>
          </w:tcPr>
          <w:p w14:paraId="4AA9E57F"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 </w:t>
            </w:r>
          </w:p>
        </w:tc>
        <w:tc>
          <w:tcPr>
            <w:tcW w:w="1080" w:type="dxa"/>
            <w:tcBorders>
              <w:top w:val="nil"/>
              <w:left w:val="nil"/>
              <w:bottom w:val="single" w:sz="8" w:space="0" w:color="D62E1C"/>
              <w:right w:val="nil"/>
            </w:tcBorders>
            <w:shd w:val="clear" w:color="auto" w:fill="auto"/>
            <w:vAlign w:val="center"/>
            <w:hideMark/>
          </w:tcPr>
          <w:p w14:paraId="72D61D03"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108</w:t>
            </w:r>
          </w:p>
        </w:tc>
        <w:tc>
          <w:tcPr>
            <w:tcW w:w="1222" w:type="dxa"/>
            <w:tcBorders>
              <w:top w:val="nil"/>
              <w:left w:val="nil"/>
              <w:bottom w:val="single" w:sz="8" w:space="0" w:color="D62E1C"/>
              <w:right w:val="nil"/>
            </w:tcBorders>
            <w:shd w:val="clear" w:color="auto" w:fill="auto"/>
            <w:vAlign w:val="center"/>
            <w:hideMark/>
          </w:tcPr>
          <w:p w14:paraId="1B24012A"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70</w:t>
            </w:r>
          </w:p>
        </w:tc>
        <w:tc>
          <w:tcPr>
            <w:tcW w:w="1080" w:type="dxa"/>
            <w:tcBorders>
              <w:top w:val="nil"/>
              <w:left w:val="nil"/>
              <w:bottom w:val="single" w:sz="8" w:space="0" w:color="D62E1C"/>
              <w:right w:val="nil"/>
            </w:tcBorders>
            <w:shd w:val="clear" w:color="auto" w:fill="auto"/>
            <w:vAlign w:val="center"/>
            <w:hideMark/>
          </w:tcPr>
          <w:p w14:paraId="4F4D7283"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178</w:t>
            </w:r>
          </w:p>
        </w:tc>
        <w:tc>
          <w:tcPr>
            <w:tcW w:w="1317" w:type="dxa"/>
            <w:tcBorders>
              <w:top w:val="nil"/>
              <w:left w:val="nil"/>
              <w:bottom w:val="single" w:sz="8" w:space="0" w:color="D62E1C"/>
              <w:right w:val="nil"/>
            </w:tcBorders>
            <w:shd w:val="clear" w:color="auto" w:fill="auto"/>
            <w:vAlign w:val="center"/>
            <w:hideMark/>
          </w:tcPr>
          <w:p w14:paraId="692EE5A7"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165</w:t>
            </w:r>
          </w:p>
        </w:tc>
        <w:tc>
          <w:tcPr>
            <w:tcW w:w="829" w:type="dxa"/>
            <w:tcBorders>
              <w:top w:val="nil"/>
              <w:left w:val="nil"/>
              <w:bottom w:val="single" w:sz="8" w:space="0" w:color="D62E1C"/>
              <w:right w:val="single" w:sz="8" w:space="0" w:color="D62E1C"/>
            </w:tcBorders>
            <w:shd w:val="clear" w:color="auto" w:fill="auto"/>
            <w:vAlign w:val="center"/>
            <w:hideMark/>
          </w:tcPr>
          <w:p w14:paraId="472D1E3F"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93%</w:t>
            </w:r>
          </w:p>
        </w:tc>
      </w:tr>
      <w:tr w:rsidR="00BB79B7" w:rsidRPr="002142B8" w14:paraId="3106FA34" w14:textId="77777777" w:rsidTr="00F91954">
        <w:trPr>
          <w:trHeight w:val="468"/>
        </w:trPr>
        <w:tc>
          <w:tcPr>
            <w:tcW w:w="1454" w:type="dxa"/>
            <w:tcBorders>
              <w:top w:val="nil"/>
              <w:left w:val="single" w:sz="8" w:space="0" w:color="D62E1C"/>
              <w:bottom w:val="single" w:sz="8" w:space="0" w:color="D62E1C"/>
              <w:right w:val="nil"/>
            </w:tcBorders>
            <w:shd w:val="clear" w:color="auto" w:fill="auto"/>
            <w:vAlign w:val="center"/>
          </w:tcPr>
          <w:p w14:paraId="52E4975B" w14:textId="77777777" w:rsidR="005A0219" w:rsidRPr="002142B8" w:rsidRDefault="005A0219" w:rsidP="005A0219">
            <w:pPr>
              <w:spacing w:after="0" w:line="240" w:lineRule="auto"/>
              <w:jc w:val="both"/>
              <w:rPr>
                <w:rFonts w:ascii="Georgia" w:eastAsia="Times New Roman" w:hAnsi="Georgia" w:cs="Times New Roman"/>
                <w:bCs/>
                <w:color w:val="000000"/>
                <w:sz w:val="18"/>
                <w:szCs w:val="18"/>
                <w:lang w:val="lt-LT" w:eastAsia="lt-LT"/>
              </w:rPr>
            </w:pPr>
            <w:r w:rsidRPr="002142B8">
              <w:rPr>
                <w:rFonts w:ascii="Georgia" w:eastAsia="Times New Roman" w:hAnsi="Georgia" w:cs="Times New Roman"/>
                <w:bCs/>
                <w:color w:val="000000"/>
                <w:sz w:val="18"/>
                <w:szCs w:val="18"/>
                <w:lang w:val="lt-LT" w:eastAsia="lt-LT"/>
              </w:rPr>
              <w:t>Numatytas finansavimas</w:t>
            </w:r>
          </w:p>
        </w:tc>
        <w:tc>
          <w:tcPr>
            <w:tcW w:w="1080" w:type="dxa"/>
            <w:tcBorders>
              <w:top w:val="nil"/>
              <w:left w:val="nil"/>
              <w:bottom w:val="single" w:sz="8" w:space="0" w:color="D62E1C"/>
              <w:right w:val="nil"/>
            </w:tcBorders>
            <w:shd w:val="clear" w:color="auto" w:fill="auto"/>
            <w:vAlign w:val="center"/>
          </w:tcPr>
          <w:p w14:paraId="268F659D"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p>
        </w:tc>
        <w:tc>
          <w:tcPr>
            <w:tcW w:w="1270" w:type="dxa"/>
            <w:tcBorders>
              <w:top w:val="nil"/>
              <w:left w:val="nil"/>
              <w:bottom w:val="single" w:sz="8" w:space="0" w:color="D62E1C"/>
              <w:right w:val="nil"/>
            </w:tcBorders>
            <w:shd w:val="clear" w:color="auto" w:fill="auto"/>
            <w:vAlign w:val="center"/>
          </w:tcPr>
          <w:p w14:paraId="6639EC8F"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p>
        </w:tc>
        <w:tc>
          <w:tcPr>
            <w:tcW w:w="1080" w:type="dxa"/>
            <w:tcBorders>
              <w:top w:val="nil"/>
              <w:left w:val="nil"/>
              <w:bottom w:val="single" w:sz="8" w:space="0" w:color="D62E1C"/>
              <w:right w:val="nil"/>
            </w:tcBorders>
            <w:shd w:val="clear" w:color="auto" w:fill="auto"/>
            <w:vAlign w:val="center"/>
          </w:tcPr>
          <w:p w14:paraId="57351073" w14:textId="77777777" w:rsidR="005A0219" w:rsidRPr="002142B8" w:rsidRDefault="005A0219" w:rsidP="005A0219">
            <w:pPr>
              <w:spacing w:after="0" w:line="240" w:lineRule="auto"/>
              <w:jc w:val="center"/>
              <w:rPr>
                <w:rFonts w:ascii="Georgia" w:eastAsia="Times New Roman" w:hAnsi="Georgia" w:cs="Times New Roman"/>
                <w:bCs/>
                <w:color w:val="000000"/>
                <w:sz w:val="18"/>
                <w:szCs w:val="18"/>
                <w:lang w:val="lt-LT" w:eastAsia="lt-LT"/>
              </w:rPr>
            </w:pPr>
            <w:r w:rsidRPr="002142B8">
              <w:rPr>
                <w:rFonts w:ascii="Georgia" w:eastAsia="Times New Roman" w:hAnsi="Georgia" w:cs="Times New Roman"/>
                <w:bCs/>
                <w:color w:val="000000"/>
                <w:sz w:val="18"/>
                <w:szCs w:val="18"/>
                <w:lang w:val="lt-LT" w:eastAsia="lt-LT"/>
              </w:rPr>
              <w:t>150</w:t>
            </w:r>
          </w:p>
        </w:tc>
        <w:tc>
          <w:tcPr>
            <w:tcW w:w="1222" w:type="dxa"/>
            <w:tcBorders>
              <w:top w:val="nil"/>
              <w:left w:val="nil"/>
              <w:bottom w:val="single" w:sz="8" w:space="0" w:color="D62E1C"/>
              <w:right w:val="nil"/>
            </w:tcBorders>
            <w:shd w:val="clear" w:color="auto" w:fill="auto"/>
            <w:vAlign w:val="center"/>
          </w:tcPr>
          <w:p w14:paraId="29C4F833" w14:textId="77777777" w:rsidR="005A0219" w:rsidRPr="002142B8" w:rsidRDefault="005A0219" w:rsidP="005A0219">
            <w:pPr>
              <w:spacing w:after="0" w:line="240" w:lineRule="auto"/>
              <w:jc w:val="center"/>
              <w:rPr>
                <w:rFonts w:ascii="Georgia" w:eastAsia="Times New Roman" w:hAnsi="Georgia" w:cs="Times New Roman"/>
                <w:bCs/>
                <w:color w:val="000000"/>
                <w:sz w:val="18"/>
                <w:szCs w:val="18"/>
                <w:lang w:val="lt-LT" w:eastAsia="lt-LT"/>
              </w:rPr>
            </w:pPr>
            <w:r w:rsidRPr="002142B8">
              <w:rPr>
                <w:rFonts w:ascii="Georgia" w:eastAsia="Times New Roman" w:hAnsi="Georgia" w:cs="Times New Roman"/>
                <w:bCs/>
                <w:color w:val="000000"/>
                <w:sz w:val="18"/>
                <w:szCs w:val="18"/>
                <w:lang w:val="lt-LT" w:eastAsia="lt-LT"/>
              </w:rPr>
              <w:t>150</w:t>
            </w:r>
          </w:p>
        </w:tc>
        <w:tc>
          <w:tcPr>
            <w:tcW w:w="1080" w:type="dxa"/>
            <w:tcBorders>
              <w:top w:val="nil"/>
              <w:left w:val="nil"/>
              <w:bottom w:val="single" w:sz="8" w:space="0" w:color="D62E1C"/>
              <w:right w:val="nil"/>
            </w:tcBorders>
            <w:shd w:val="clear" w:color="auto" w:fill="auto"/>
            <w:vAlign w:val="center"/>
          </w:tcPr>
          <w:p w14:paraId="04729000"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3</w:t>
            </w:r>
            <w:r w:rsidRPr="002142B8">
              <w:rPr>
                <w:rFonts w:ascii="Georgia" w:eastAsia="Times New Roman" w:hAnsi="Georgia" w:cs="Times New Roman"/>
                <w:bCs/>
                <w:color w:val="000000"/>
                <w:sz w:val="18"/>
                <w:szCs w:val="18"/>
                <w:lang w:val="lt-LT" w:eastAsia="lt-LT"/>
              </w:rPr>
              <w:t>00</w:t>
            </w:r>
          </w:p>
        </w:tc>
        <w:tc>
          <w:tcPr>
            <w:tcW w:w="1317" w:type="dxa"/>
            <w:tcBorders>
              <w:top w:val="nil"/>
              <w:left w:val="nil"/>
              <w:bottom w:val="single" w:sz="8" w:space="0" w:color="D62E1C"/>
              <w:right w:val="nil"/>
            </w:tcBorders>
            <w:shd w:val="clear" w:color="auto" w:fill="auto"/>
            <w:vAlign w:val="center"/>
          </w:tcPr>
          <w:p w14:paraId="3A0B10D0"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300</w:t>
            </w:r>
          </w:p>
        </w:tc>
        <w:tc>
          <w:tcPr>
            <w:tcW w:w="829" w:type="dxa"/>
            <w:tcBorders>
              <w:top w:val="nil"/>
              <w:left w:val="nil"/>
              <w:bottom w:val="single" w:sz="8" w:space="0" w:color="D62E1C"/>
              <w:right w:val="single" w:sz="8" w:space="0" w:color="D62E1C"/>
            </w:tcBorders>
            <w:shd w:val="clear" w:color="auto" w:fill="auto"/>
            <w:vAlign w:val="center"/>
          </w:tcPr>
          <w:p w14:paraId="5590D9F9" w14:textId="77777777" w:rsidR="005A0219" w:rsidRPr="002142B8" w:rsidRDefault="005A0219" w:rsidP="005A0219">
            <w:pPr>
              <w:spacing w:after="0" w:line="240" w:lineRule="auto"/>
              <w:jc w:val="center"/>
              <w:rPr>
                <w:rFonts w:ascii="Georgia" w:eastAsia="Times New Roman" w:hAnsi="Georgia" w:cs="Times New Roman"/>
                <w:color w:val="000000"/>
                <w:sz w:val="18"/>
                <w:szCs w:val="18"/>
                <w:lang w:val="lt-LT" w:eastAsia="lt-LT"/>
              </w:rPr>
            </w:pPr>
            <w:r w:rsidRPr="002142B8">
              <w:rPr>
                <w:rFonts w:ascii="Georgia" w:eastAsia="Times New Roman" w:hAnsi="Georgia" w:cs="Times New Roman"/>
                <w:color w:val="000000"/>
                <w:sz w:val="18"/>
                <w:szCs w:val="18"/>
                <w:lang w:val="lt-LT" w:eastAsia="lt-LT"/>
              </w:rPr>
              <w:t>100%</w:t>
            </w:r>
          </w:p>
        </w:tc>
      </w:tr>
      <w:tr w:rsidR="00BB79B7" w:rsidRPr="002142B8" w14:paraId="18148C9D" w14:textId="77777777" w:rsidTr="00F91954">
        <w:trPr>
          <w:trHeight w:val="439"/>
        </w:trPr>
        <w:tc>
          <w:tcPr>
            <w:tcW w:w="1454" w:type="dxa"/>
            <w:tcBorders>
              <w:top w:val="nil"/>
              <w:left w:val="single" w:sz="8" w:space="0" w:color="D62E1C"/>
              <w:bottom w:val="single" w:sz="8" w:space="0" w:color="D62E1C"/>
              <w:right w:val="nil"/>
            </w:tcBorders>
            <w:shd w:val="clear" w:color="auto" w:fill="auto"/>
            <w:vAlign w:val="center"/>
            <w:hideMark/>
          </w:tcPr>
          <w:p w14:paraId="73B96113" w14:textId="77777777" w:rsidR="005A0219" w:rsidRPr="002142B8" w:rsidRDefault="005A0219" w:rsidP="005A0219">
            <w:pPr>
              <w:spacing w:after="0" w:line="240" w:lineRule="auto"/>
              <w:jc w:val="both"/>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Likęs finansavimas</w:t>
            </w:r>
          </w:p>
        </w:tc>
        <w:tc>
          <w:tcPr>
            <w:tcW w:w="1080" w:type="dxa"/>
            <w:tcBorders>
              <w:top w:val="nil"/>
              <w:left w:val="nil"/>
              <w:bottom w:val="single" w:sz="8" w:space="0" w:color="D62E1C"/>
              <w:right w:val="nil"/>
            </w:tcBorders>
            <w:shd w:val="clear" w:color="auto" w:fill="auto"/>
            <w:vAlign w:val="center"/>
            <w:hideMark/>
          </w:tcPr>
          <w:p w14:paraId="29CDFAFB"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 </w:t>
            </w:r>
          </w:p>
        </w:tc>
        <w:tc>
          <w:tcPr>
            <w:tcW w:w="1270" w:type="dxa"/>
            <w:tcBorders>
              <w:top w:val="nil"/>
              <w:left w:val="nil"/>
              <w:bottom w:val="single" w:sz="8" w:space="0" w:color="D62E1C"/>
              <w:right w:val="nil"/>
            </w:tcBorders>
            <w:shd w:val="clear" w:color="auto" w:fill="auto"/>
            <w:vAlign w:val="center"/>
            <w:hideMark/>
          </w:tcPr>
          <w:p w14:paraId="5E224A5F"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 </w:t>
            </w:r>
          </w:p>
        </w:tc>
        <w:tc>
          <w:tcPr>
            <w:tcW w:w="1080" w:type="dxa"/>
            <w:tcBorders>
              <w:top w:val="nil"/>
              <w:left w:val="nil"/>
              <w:bottom w:val="single" w:sz="8" w:space="0" w:color="D62E1C"/>
              <w:right w:val="nil"/>
            </w:tcBorders>
            <w:shd w:val="clear" w:color="auto" w:fill="auto"/>
            <w:vAlign w:val="center"/>
            <w:hideMark/>
          </w:tcPr>
          <w:p w14:paraId="648BFA86"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42</w:t>
            </w:r>
          </w:p>
        </w:tc>
        <w:tc>
          <w:tcPr>
            <w:tcW w:w="1222" w:type="dxa"/>
            <w:tcBorders>
              <w:top w:val="nil"/>
              <w:left w:val="nil"/>
              <w:bottom w:val="single" w:sz="8" w:space="0" w:color="D62E1C"/>
              <w:right w:val="nil"/>
            </w:tcBorders>
            <w:shd w:val="clear" w:color="auto" w:fill="auto"/>
            <w:vAlign w:val="center"/>
            <w:hideMark/>
          </w:tcPr>
          <w:p w14:paraId="6916C29D"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80</w:t>
            </w:r>
          </w:p>
        </w:tc>
        <w:tc>
          <w:tcPr>
            <w:tcW w:w="1080" w:type="dxa"/>
            <w:tcBorders>
              <w:top w:val="nil"/>
              <w:left w:val="nil"/>
              <w:bottom w:val="single" w:sz="8" w:space="0" w:color="D62E1C"/>
              <w:right w:val="nil"/>
            </w:tcBorders>
            <w:shd w:val="clear" w:color="auto" w:fill="auto"/>
            <w:vAlign w:val="center"/>
            <w:hideMark/>
          </w:tcPr>
          <w:p w14:paraId="2934FC5E" w14:textId="77777777" w:rsidR="005A0219" w:rsidRPr="002142B8" w:rsidRDefault="005A0219" w:rsidP="005A0219">
            <w:pPr>
              <w:spacing w:after="0" w:line="240" w:lineRule="auto"/>
              <w:jc w:val="center"/>
              <w:rPr>
                <w:rFonts w:ascii="Georgia" w:eastAsia="Times New Roman" w:hAnsi="Georgia" w:cs="Times New Roman"/>
                <w:b/>
                <w:bCs/>
                <w:color w:val="000000"/>
                <w:sz w:val="18"/>
                <w:szCs w:val="18"/>
                <w:lang w:val="lt-LT" w:eastAsia="lt-LT"/>
              </w:rPr>
            </w:pPr>
            <w:r w:rsidRPr="002142B8">
              <w:rPr>
                <w:rFonts w:ascii="Georgia" w:eastAsia="Times New Roman" w:hAnsi="Georgia" w:cs="Times New Roman"/>
                <w:b/>
                <w:bCs/>
                <w:color w:val="000000"/>
                <w:sz w:val="18"/>
                <w:szCs w:val="18"/>
                <w:lang w:val="lt-LT" w:eastAsia="lt-LT"/>
              </w:rPr>
              <w:t>122</w:t>
            </w:r>
          </w:p>
        </w:tc>
        <w:tc>
          <w:tcPr>
            <w:tcW w:w="1317" w:type="dxa"/>
            <w:tcBorders>
              <w:top w:val="nil"/>
              <w:left w:val="nil"/>
              <w:bottom w:val="single" w:sz="8" w:space="0" w:color="D62E1C"/>
              <w:right w:val="nil"/>
            </w:tcBorders>
            <w:shd w:val="clear" w:color="auto" w:fill="auto"/>
            <w:vAlign w:val="center"/>
            <w:hideMark/>
          </w:tcPr>
          <w:p w14:paraId="70C27B3C" w14:textId="77777777" w:rsidR="005A0219" w:rsidRPr="002142B8" w:rsidRDefault="005A0219" w:rsidP="005A0219">
            <w:pPr>
              <w:spacing w:after="0" w:line="240" w:lineRule="auto"/>
              <w:jc w:val="center"/>
              <w:rPr>
                <w:rFonts w:ascii="Georgia" w:eastAsia="Times New Roman" w:hAnsi="Georgia" w:cs="Times New Roman"/>
                <w:b/>
                <w:color w:val="000000"/>
                <w:sz w:val="18"/>
                <w:szCs w:val="18"/>
                <w:lang w:val="lt-LT" w:eastAsia="lt-LT"/>
              </w:rPr>
            </w:pPr>
            <w:r w:rsidRPr="002142B8">
              <w:rPr>
                <w:rFonts w:ascii="Georgia" w:eastAsia="Times New Roman" w:hAnsi="Georgia" w:cs="Times New Roman"/>
                <w:b/>
                <w:color w:val="000000"/>
                <w:sz w:val="18"/>
                <w:szCs w:val="18"/>
                <w:lang w:val="lt-LT" w:eastAsia="lt-LT"/>
              </w:rPr>
              <w:t>135</w:t>
            </w:r>
          </w:p>
        </w:tc>
        <w:tc>
          <w:tcPr>
            <w:tcW w:w="829" w:type="dxa"/>
            <w:tcBorders>
              <w:top w:val="nil"/>
              <w:left w:val="nil"/>
              <w:bottom w:val="single" w:sz="8" w:space="0" w:color="D62E1C"/>
              <w:right w:val="single" w:sz="8" w:space="0" w:color="D62E1C"/>
            </w:tcBorders>
            <w:shd w:val="clear" w:color="auto" w:fill="auto"/>
            <w:vAlign w:val="center"/>
            <w:hideMark/>
          </w:tcPr>
          <w:p w14:paraId="6FFEABDF" w14:textId="77777777" w:rsidR="005A0219" w:rsidRPr="002142B8" w:rsidRDefault="005A0219" w:rsidP="005A0219">
            <w:pPr>
              <w:spacing w:after="0" w:line="240" w:lineRule="auto"/>
              <w:jc w:val="center"/>
              <w:rPr>
                <w:rFonts w:ascii="Georgia" w:eastAsia="Times New Roman" w:hAnsi="Georgia" w:cs="Times New Roman"/>
                <w:b/>
                <w:color w:val="000000"/>
                <w:sz w:val="18"/>
                <w:szCs w:val="18"/>
                <w:lang w:val="lt-LT" w:eastAsia="lt-LT"/>
              </w:rPr>
            </w:pPr>
            <w:r w:rsidRPr="002142B8">
              <w:rPr>
                <w:rFonts w:ascii="Georgia" w:eastAsia="Times New Roman" w:hAnsi="Georgia" w:cs="Times New Roman"/>
                <w:b/>
                <w:color w:val="000000"/>
                <w:sz w:val="18"/>
                <w:szCs w:val="18"/>
                <w:lang w:val="lt-LT" w:eastAsia="lt-LT"/>
              </w:rPr>
              <w:t> </w:t>
            </w:r>
          </w:p>
        </w:tc>
      </w:tr>
    </w:tbl>
    <w:p w14:paraId="67632D96" w14:textId="77777777" w:rsidR="005A0219" w:rsidRPr="002142B8" w:rsidRDefault="005A0219" w:rsidP="005A0219">
      <w:pPr>
        <w:spacing w:after="160" w:line="240" w:lineRule="auto"/>
        <w:rPr>
          <w:rFonts w:ascii="Georgia" w:eastAsia="Georgia" w:hAnsi="Georgia" w:cs="Arial Unicode MS"/>
          <w:iCs/>
          <w:color w:val="821A1A"/>
          <w:sz w:val="20"/>
          <w:szCs w:val="18"/>
          <w:lang w:val="lt-LT"/>
        </w:rPr>
      </w:pPr>
      <w:r w:rsidRPr="002142B8">
        <w:rPr>
          <w:rFonts w:ascii="Georgia" w:eastAsia="Georgia" w:hAnsi="Georgia" w:cs="Georgia"/>
          <w:i/>
          <w:iCs/>
          <w:color w:val="821A1A"/>
          <w:sz w:val="20"/>
          <w:szCs w:val="18"/>
          <w:lang w:val="lt-LT"/>
        </w:rPr>
        <w:t xml:space="preserve"> </w:t>
      </w:r>
      <w:r w:rsidRPr="002142B8">
        <w:rPr>
          <w:rFonts w:ascii="Georgia" w:eastAsia="Georgia" w:hAnsi="Georgia" w:cs="Arial Unicode MS"/>
          <w:i/>
          <w:iCs/>
          <w:color w:val="821A1A"/>
          <w:sz w:val="20"/>
          <w:szCs w:val="18"/>
          <w:lang w:val="lt-LT"/>
        </w:rPr>
        <w:t xml:space="preserve">Šaltinis: 2016 Jessica II Fund-of-funds Lithuania, Annual Progress Report, sudaryta autorių. </w:t>
      </w:r>
    </w:p>
    <w:p w14:paraId="62D8C96D" w14:textId="4686970F"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Per pirmus du kv</w:t>
      </w:r>
      <w:r w:rsidR="00A06708" w:rsidRPr="002142B8">
        <w:rPr>
          <w:rFonts w:ascii="Georgia" w:eastAsia="Georgia" w:hAnsi="Georgia" w:cs="Georgia"/>
          <w:sz w:val="20"/>
          <w:szCs w:val="20"/>
          <w:lang w:val="lt-LT"/>
        </w:rPr>
        <w:t>ietimus buvo pasirašytos sutarty</w:t>
      </w:r>
      <w:r w:rsidRPr="002142B8">
        <w:rPr>
          <w:rFonts w:ascii="Georgia" w:eastAsia="Georgia" w:hAnsi="Georgia" w:cs="Georgia"/>
          <w:sz w:val="20"/>
          <w:szCs w:val="20"/>
          <w:lang w:val="lt-LT"/>
        </w:rPr>
        <w:t>s su tuo pačiu finansiniu tarpininku – Šiaulių banku, kuris</w:t>
      </w:r>
      <w:r w:rsidR="00A06708" w:rsidRPr="002142B8">
        <w:rPr>
          <w:rFonts w:ascii="Georgia" w:eastAsia="Georgia" w:hAnsi="Georgia" w:cs="Georgia"/>
          <w:sz w:val="20"/>
          <w:szCs w:val="20"/>
          <w:lang w:val="lt-LT"/>
        </w:rPr>
        <w:t xml:space="preserve"> prie jam išmokėtų 108 mln. eurų ES fondų</w:t>
      </w:r>
      <w:r w:rsidRPr="002142B8">
        <w:rPr>
          <w:rFonts w:ascii="Georgia" w:eastAsia="Georgia" w:hAnsi="Georgia" w:cs="Georgia"/>
          <w:sz w:val="20"/>
          <w:szCs w:val="20"/>
          <w:lang w:val="lt-LT"/>
        </w:rPr>
        <w:t xml:space="preserve"> lėšų sutiko pri</w:t>
      </w:r>
      <w:r w:rsidR="00A06708" w:rsidRPr="002142B8">
        <w:rPr>
          <w:rFonts w:ascii="Georgia" w:eastAsia="Georgia" w:hAnsi="Georgia" w:cs="Georgia"/>
          <w:sz w:val="20"/>
          <w:szCs w:val="20"/>
          <w:lang w:val="lt-LT"/>
        </w:rPr>
        <w:t>dėti 70 mln. eurų savo privačių lėšų</w:t>
      </w:r>
      <w:r w:rsidRPr="002142B8">
        <w:rPr>
          <w:rFonts w:ascii="Georgia" w:eastAsia="Georgia" w:hAnsi="Georgia" w:cs="Georgia"/>
          <w:sz w:val="20"/>
          <w:szCs w:val="20"/>
          <w:lang w:val="lt-LT"/>
        </w:rPr>
        <w:t>. Per pirmus du k</w:t>
      </w:r>
      <w:r w:rsidR="00A06708" w:rsidRPr="002142B8">
        <w:rPr>
          <w:rFonts w:ascii="Georgia" w:eastAsia="Georgia" w:hAnsi="Georgia" w:cs="Georgia"/>
          <w:sz w:val="20"/>
          <w:szCs w:val="20"/>
          <w:lang w:val="lt-LT"/>
        </w:rPr>
        <w:t>vietimus iki 2016 metų pabaigos</w:t>
      </w:r>
      <w:r w:rsidRPr="002142B8">
        <w:rPr>
          <w:rFonts w:ascii="Georgia" w:eastAsia="Georgia" w:hAnsi="Georgia" w:cs="Georgia"/>
          <w:sz w:val="20"/>
          <w:szCs w:val="20"/>
          <w:lang w:val="lt-LT"/>
        </w:rPr>
        <w:t xml:space="preserve"> galutiniams </w:t>
      </w:r>
      <w:r w:rsidR="00A06708" w:rsidRPr="002142B8">
        <w:rPr>
          <w:rFonts w:ascii="Georgia" w:eastAsia="Georgia" w:hAnsi="Georgia" w:cs="Georgia"/>
          <w:sz w:val="20"/>
          <w:szCs w:val="20"/>
          <w:lang w:val="lt-LT"/>
        </w:rPr>
        <w:t xml:space="preserve">naudos </w:t>
      </w:r>
      <w:r w:rsidRPr="002142B8">
        <w:rPr>
          <w:rFonts w:ascii="Georgia" w:eastAsia="Georgia" w:hAnsi="Georgia" w:cs="Georgia"/>
          <w:sz w:val="20"/>
          <w:szCs w:val="20"/>
          <w:lang w:val="lt-LT"/>
        </w:rPr>
        <w:t>gavė</w:t>
      </w:r>
      <w:r w:rsidR="00A06708" w:rsidRPr="002142B8">
        <w:rPr>
          <w:rFonts w:ascii="Georgia" w:eastAsia="Georgia" w:hAnsi="Georgia" w:cs="Georgia"/>
          <w:sz w:val="20"/>
          <w:szCs w:val="20"/>
          <w:lang w:val="lt-LT"/>
        </w:rPr>
        <w:t>jams buvo išmokėti 165 mln. eurų.</w:t>
      </w:r>
    </w:p>
    <w:p w14:paraId="31B4570E" w14:textId="78A117DB"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Skaičiuojant finansinių lėšų pasiūlą daugiabučių namų modernizavimo projektams 2017-2023 m. laikotarpiu, prognozuojama, jog </w:t>
      </w:r>
      <w:r w:rsidRPr="002142B8">
        <w:rPr>
          <w:rFonts w:ascii="Georgia" w:eastAsia="Georgia" w:hAnsi="Georgia" w:cs="Times New Roman"/>
          <w:b/>
          <w:sz w:val="20"/>
          <w:szCs w:val="20"/>
          <w:lang w:val="lt-LT"/>
        </w:rPr>
        <w:t>papildomai bus išmokėta 135 mln. eurų</w:t>
      </w:r>
      <w:r w:rsidRPr="002142B8">
        <w:rPr>
          <w:rFonts w:ascii="Georgia" w:eastAsia="Georgia" w:hAnsi="Georgia" w:cs="Times New Roman"/>
          <w:sz w:val="20"/>
          <w:szCs w:val="20"/>
          <w:lang w:val="lt-LT"/>
        </w:rPr>
        <w:t>. Atsižvelgiant į Šiaulių banko išreikštą didelį norą prisidėti savo nuosavomis lėšomis per pirmąjį ir antrąjį kvieti</w:t>
      </w:r>
      <w:r w:rsidR="00A06708" w:rsidRPr="002142B8">
        <w:rPr>
          <w:rFonts w:ascii="Georgia" w:eastAsia="Georgia" w:hAnsi="Georgia" w:cs="Times New Roman"/>
          <w:sz w:val="20"/>
          <w:szCs w:val="20"/>
          <w:lang w:val="lt-LT"/>
        </w:rPr>
        <w:t xml:space="preserve">mus, tikėtina, jog ateityje gali būti </w:t>
      </w:r>
      <w:r w:rsidRPr="002142B8">
        <w:rPr>
          <w:rFonts w:ascii="Georgia" w:eastAsia="Georgia" w:hAnsi="Georgia" w:cs="Times New Roman"/>
          <w:sz w:val="20"/>
          <w:szCs w:val="20"/>
          <w:lang w:val="lt-LT"/>
        </w:rPr>
        <w:t>viršyti numatyto finansavimo iš finansinių tarpininkų planai.</w:t>
      </w:r>
    </w:p>
    <w:p w14:paraId="6E7C829C" w14:textId="77777777" w:rsidR="005A0219" w:rsidRPr="002142B8" w:rsidRDefault="005A0219" w:rsidP="005A0219">
      <w:pPr>
        <w:spacing w:after="160" w:line="240" w:lineRule="auto"/>
        <w:jc w:val="both"/>
        <w:rPr>
          <w:rFonts w:ascii="Georgia" w:eastAsia="Georgia" w:hAnsi="Georgia" w:cs="Times New Roman"/>
          <w:b/>
          <w:sz w:val="20"/>
          <w:szCs w:val="20"/>
          <w:lang w:val="lt-LT"/>
        </w:rPr>
      </w:pPr>
      <w:r w:rsidRPr="002142B8">
        <w:rPr>
          <w:rFonts w:ascii="Georgia" w:eastAsia="Georgia" w:hAnsi="Georgia" w:cs="Times New Roman"/>
          <w:b/>
          <w:sz w:val="20"/>
          <w:szCs w:val="20"/>
          <w:lang w:val="lt-LT"/>
        </w:rPr>
        <w:t>Rizikos pasidalijimo fondas (RPF)</w:t>
      </w:r>
    </w:p>
    <w:p w14:paraId="1C4C3EC1" w14:textId="0833B31C" w:rsidR="00A90741"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2016 m. spalio 5 d. LR Fina</w:t>
      </w:r>
      <w:r w:rsidR="00A90741" w:rsidRPr="002142B8">
        <w:rPr>
          <w:rFonts w:ascii="Georgia" w:eastAsia="Georgia" w:hAnsi="Georgia" w:cs="Times New Roman"/>
          <w:sz w:val="20"/>
          <w:szCs w:val="20"/>
          <w:lang w:val="lt-LT"/>
        </w:rPr>
        <w:t xml:space="preserve">nsų ir Aplinkos ministerijos bei </w:t>
      </w:r>
      <w:r w:rsidRPr="002142B8">
        <w:rPr>
          <w:rFonts w:ascii="Georgia" w:eastAsia="Georgia" w:hAnsi="Georgia" w:cs="Times New Roman"/>
          <w:sz w:val="20"/>
          <w:szCs w:val="20"/>
          <w:lang w:val="lt-LT"/>
        </w:rPr>
        <w:t>EIB pasirašė trišalę su</w:t>
      </w:r>
      <w:r w:rsidR="00A90741" w:rsidRPr="002142B8">
        <w:rPr>
          <w:rFonts w:ascii="Georgia" w:eastAsia="Georgia" w:hAnsi="Georgia" w:cs="Times New Roman"/>
          <w:sz w:val="20"/>
          <w:szCs w:val="20"/>
          <w:lang w:val="lt-LT"/>
        </w:rPr>
        <w:t>tartį, kuria įsteigtas Rizikos pasidalijimo f</w:t>
      </w:r>
      <w:r w:rsidRPr="002142B8">
        <w:rPr>
          <w:rFonts w:ascii="Georgia" w:eastAsia="Georgia" w:hAnsi="Georgia" w:cs="Times New Roman"/>
          <w:sz w:val="20"/>
          <w:szCs w:val="20"/>
          <w:lang w:val="lt-LT"/>
        </w:rPr>
        <w:t xml:space="preserve">ondas (RPF). </w:t>
      </w:r>
      <w:r w:rsidRPr="002142B8">
        <w:rPr>
          <w:rFonts w:ascii="Georgia" w:eastAsia="Georgia" w:hAnsi="Georgia" w:cs="Times New Roman"/>
          <w:b/>
          <w:sz w:val="20"/>
          <w:szCs w:val="20"/>
          <w:lang w:val="lt-LT"/>
        </w:rPr>
        <w:t>Jo dydis –</w:t>
      </w:r>
      <w:r w:rsidR="00A90741" w:rsidRPr="002142B8">
        <w:rPr>
          <w:rFonts w:ascii="Georgia" w:eastAsia="Georgia" w:hAnsi="Georgia" w:cs="Times New Roman"/>
          <w:b/>
          <w:sz w:val="20"/>
          <w:szCs w:val="20"/>
          <w:lang w:val="lt-LT"/>
        </w:rPr>
        <w:t xml:space="preserve"> 100 mln. eurų (90 mln. eurų ES</w:t>
      </w:r>
      <w:r w:rsidRPr="002142B8">
        <w:rPr>
          <w:rFonts w:ascii="Georgia" w:eastAsia="Georgia" w:hAnsi="Georgia" w:cs="Times New Roman"/>
          <w:b/>
          <w:sz w:val="20"/>
          <w:szCs w:val="20"/>
          <w:lang w:val="lt-LT"/>
        </w:rPr>
        <w:t xml:space="preserve"> </w:t>
      </w:r>
      <w:r w:rsidR="00A90741" w:rsidRPr="002142B8">
        <w:rPr>
          <w:rFonts w:ascii="Georgia" w:eastAsia="Georgia" w:hAnsi="Georgia" w:cs="Times New Roman"/>
          <w:b/>
          <w:sz w:val="20"/>
          <w:szCs w:val="20"/>
          <w:lang w:val="lt-LT"/>
        </w:rPr>
        <w:t xml:space="preserve">fondų lėšų ir 10 mln. eurų JESSICA </w:t>
      </w:r>
      <w:r w:rsidRPr="002142B8">
        <w:rPr>
          <w:rFonts w:ascii="Georgia" w:eastAsia="Georgia" w:hAnsi="Georgia" w:cs="Times New Roman"/>
          <w:b/>
          <w:sz w:val="20"/>
          <w:szCs w:val="20"/>
          <w:lang w:val="lt-LT"/>
        </w:rPr>
        <w:t>grįžusių lėšų)</w:t>
      </w:r>
      <w:r w:rsidRPr="002142B8">
        <w:rPr>
          <w:rFonts w:ascii="Georgia" w:eastAsia="Georgia" w:hAnsi="Georgia" w:cs="Times New Roman"/>
          <w:sz w:val="20"/>
          <w:szCs w:val="20"/>
          <w:lang w:val="lt-LT"/>
        </w:rPr>
        <w:t>. RPF yra pirmojo nuostolio padengimo garantijų finansinis instrumentas, kuriuo siekiama pritrauktų papildomų lėšų iš privataus sektoriaus (bankų, finansinių institucijų, t.t.) taip sukuriant sverto efektą. Finansiniai tarpininkai</w:t>
      </w:r>
      <w:r w:rsidR="00A90741" w:rsidRPr="002142B8">
        <w:rPr>
          <w:rFonts w:ascii="Georgia" w:eastAsia="Georgia" w:hAnsi="Georgia" w:cs="Times New Roman"/>
          <w:sz w:val="20"/>
          <w:szCs w:val="20"/>
          <w:lang w:val="lt-LT"/>
        </w:rPr>
        <w:t>,</w:t>
      </w:r>
      <w:r w:rsidRPr="002142B8">
        <w:rPr>
          <w:rFonts w:ascii="Georgia" w:eastAsia="Georgia" w:hAnsi="Georgia" w:cs="Times New Roman"/>
          <w:sz w:val="20"/>
          <w:szCs w:val="20"/>
          <w:lang w:val="lt-LT"/>
        </w:rPr>
        <w:t xml:space="preserve"> pasinaudodami garantijos </w:t>
      </w:r>
      <w:r w:rsidRPr="002142B8">
        <w:rPr>
          <w:rFonts w:ascii="Georgia" w:eastAsia="Georgia" w:hAnsi="Georgia" w:cs="Times New Roman"/>
          <w:sz w:val="20"/>
          <w:szCs w:val="20"/>
          <w:lang w:val="lt-LT"/>
        </w:rPr>
        <w:lastRenderedPageBreak/>
        <w:t>finansiniu instrumentu</w:t>
      </w:r>
      <w:r w:rsidR="00A90741" w:rsidRPr="002142B8">
        <w:rPr>
          <w:rFonts w:ascii="Georgia" w:eastAsia="Georgia" w:hAnsi="Georgia" w:cs="Times New Roman"/>
          <w:sz w:val="20"/>
          <w:szCs w:val="20"/>
          <w:lang w:val="lt-LT"/>
        </w:rPr>
        <w:t xml:space="preserve">, teikia </w:t>
      </w:r>
      <w:r w:rsidRPr="002142B8">
        <w:rPr>
          <w:rFonts w:ascii="Georgia" w:eastAsia="Georgia" w:hAnsi="Georgia" w:cs="Times New Roman"/>
          <w:sz w:val="20"/>
          <w:szCs w:val="20"/>
          <w:lang w:val="lt-LT"/>
        </w:rPr>
        <w:t xml:space="preserve">lengvatines paskolas </w:t>
      </w:r>
      <w:r w:rsidR="00A90741" w:rsidRPr="002142B8">
        <w:rPr>
          <w:rFonts w:ascii="Georgia" w:eastAsia="Georgia" w:hAnsi="Georgia" w:cs="Times New Roman"/>
          <w:sz w:val="20"/>
          <w:szCs w:val="20"/>
          <w:lang w:val="lt-LT"/>
        </w:rPr>
        <w:t>galutiniams naudos gavėjams</w:t>
      </w:r>
      <w:r w:rsidRPr="002142B8">
        <w:rPr>
          <w:rFonts w:ascii="Georgia" w:eastAsia="Georgia" w:hAnsi="Georgia" w:cs="Times New Roman"/>
          <w:sz w:val="20"/>
          <w:szCs w:val="20"/>
          <w:lang w:val="lt-LT"/>
        </w:rPr>
        <w:t>, kuriems nuosavybės teise priklauso daugiabučių namų butai ir (ar) kitos patalpos</w:t>
      </w:r>
      <w:r w:rsidR="00A90741" w:rsidRPr="002142B8">
        <w:rPr>
          <w:rFonts w:ascii="Georgia" w:eastAsia="Georgia" w:hAnsi="Georgia" w:cs="Times New Roman"/>
          <w:sz w:val="20"/>
          <w:szCs w:val="20"/>
          <w:lang w:val="lt-LT"/>
        </w:rPr>
        <w:t>.</w:t>
      </w:r>
      <w:r w:rsidRPr="002142B8">
        <w:rPr>
          <w:rFonts w:ascii="Georgia" w:eastAsia="Georgia" w:hAnsi="Georgia" w:cs="Times New Roman"/>
          <w:sz w:val="20"/>
          <w:szCs w:val="20"/>
          <w:lang w:val="lt-LT"/>
        </w:rPr>
        <w:t xml:space="preserve"> </w:t>
      </w:r>
      <w:r w:rsidR="00A90741" w:rsidRPr="002142B8">
        <w:rPr>
          <w:rFonts w:ascii="Georgia" w:eastAsia="Georgia" w:hAnsi="Georgia" w:cs="Times New Roman"/>
          <w:sz w:val="20"/>
          <w:szCs w:val="20"/>
          <w:lang w:val="lt-LT"/>
        </w:rPr>
        <w:t xml:space="preserve">2017 m. gruodžio mėn. fondui pervesta pirmoji įnašo dalis siekianti 50 mln. eurų bei 2018 m. sausio pradžioje buvo pradėta finansinių tarpininkų atranka. </w:t>
      </w:r>
    </w:p>
    <w:p w14:paraId="39AB824C" w14:textId="2228706B" w:rsidR="005A0219" w:rsidRPr="002142B8" w:rsidRDefault="00A90741"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RPF p</w:t>
      </w:r>
      <w:r w:rsidR="005A0219" w:rsidRPr="002142B8">
        <w:rPr>
          <w:rFonts w:ascii="Georgia" w:eastAsia="Georgia" w:hAnsi="Georgia" w:cs="Times New Roman"/>
          <w:sz w:val="20"/>
          <w:szCs w:val="20"/>
          <w:lang w:val="lt-LT"/>
        </w:rPr>
        <w:t xml:space="preserve">askolos </w:t>
      </w:r>
      <w:r w:rsidRPr="002142B8">
        <w:rPr>
          <w:rFonts w:ascii="Georgia" w:eastAsia="Georgia" w:hAnsi="Georgia" w:cs="Times New Roman"/>
          <w:sz w:val="20"/>
          <w:szCs w:val="20"/>
          <w:lang w:val="lt-LT"/>
        </w:rPr>
        <w:t xml:space="preserve">bus </w:t>
      </w:r>
      <w:r w:rsidR="005A0219" w:rsidRPr="002142B8">
        <w:rPr>
          <w:rFonts w:ascii="Georgia" w:eastAsia="Georgia" w:hAnsi="Georgia" w:cs="Times New Roman"/>
          <w:sz w:val="20"/>
          <w:szCs w:val="20"/>
          <w:lang w:val="lt-LT"/>
        </w:rPr>
        <w:t xml:space="preserve">skirtos daugiabučių namų modernizacijai (atnaujinimui) didinant jų energinį efektyvumą taip, kad būtų pasiekta ne mažesnė kaip C pastatų energinio efektyvumo klasė. Pradėjus teikti garantijas tikimasi sugeneruoti modernizacijos paskolų už 500 milijonų eurų, leisiančių iki 2023 m. atnaujinti apie 32 500 butų beveik 1 500 daugiabučių namų visoje Lietuvoje. Šios investicijos į daugiabučių namų energijos vartojimo efektyvumą </w:t>
      </w:r>
      <w:r w:rsidRPr="002142B8">
        <w:rPr>
          <w:rFonts w:ascii="Georgia" w:eastAsia="Georgia" w:hAnsi="Georgia" w:cs="Times New Roman"/>
          <w:sz w:val="20"/>
          <w:szCs w:val="20"/>
          <w:lang w:val="lt-LT"/>
        </w:rPr>
        <w:t xml:space="preserve">ne tik </w:t>
      </w:r>
      <w:r w:rsidR="005A0219" w:rsidRPr="002142B8">
        <w:rPr>
          <w:rFonts w:ascii="Georgia" w:eastAsia="Georgia" w:hAnsi="Georgia" w:cs="Times New Roman"/>
          <w:sz w:val="20"/>
          <w:szCs w:val="20"/>
          <w:lang w:val="lt-LT"/>
        </w:rPr>
        <w:t>sumažintų energijos suvartojimą</w:t>
      </w:r>
      <w:r w:rsidRPr="002142B8">
        <w:rPr>
          <w:rFonts w:ascii="Georgia" w:eastAsia="Georgia" w:hAnsi="Georgia" w:cs="Times New Roman"/>
          <w:sz w:val="20"/>
          <w:szCs w:val="20"/>
          <w:lang w:val="lt-LT"/>
        </w:rPr>
        <w:t xml:space="preserve"> gyvenamuosiuose namuose ir gyventojų išlaidas energijai, bet</w:t>
      </w:r>
      <w:r w:rsidR="005A0219" w:rsidRPr="002142B8">
        <w:rPr>
          <w:rFonts w:ascii="Georgia" w:eastAsia="Georgia" w:hAnsi="Georgia" w:cs="Times New Roman"/>
          <w:sz w:val="20"/>
          <w:szCs w:val="20"/>
          <w:lang w:val="lt-LT"/>
        </w:rPr>
        <w:t xml:space="preserve"> taip pat sumažintų ir šalies priklausomybę nuo išorinių kuro </w:t>
      </w:r>
      <w:r w:rsidRPr="002142B8">
        <w:rPr>
          <w:rFonts w:ascii="Georgia" w:eastAsia="Georgia" w:hAnsi="Georgia" w:cs="Times New Roman"/>
          <w:sz w:val="20"/>
          <w:szCs w:val="20"/>
          <w:lang w:val="lt-LT"/>
        </w:rPr>
        <w:t>tiekėjų. Vertinant aplinkosauginiu</w:t>
      </w:r>
      <w:r w:rsidR="005A0219" w:rsidRPr="002142B8">
        <w:rPr>
          <w:rFonts w:ascii="Georgia" w:eastAsia="Georgia" w:hAnsi="Georgia" w:cs="Times New Roman"/>
          <w:sz w:val="20"/>
          <w:szCs w:val="20"/>
          <w:lang w:val="lt-LT"/>
        </w:rPr>
        <w:t xml:space="preserve"> aspektu, </w:t>
      </w:r>
      <w:r w:rsidRPr="002142B8">
        <w:rPr>
          <w:rFonts w:ascii="Georgia" w:eastAsia="Georgia" w:hAnsi="Georgia" w:cs="Times New Roman"/>
          <w:sz w:val="20"/>
          <w:szCs w:val="20"/>
          <w:lang w:val="lt-LT"/>
        </w:rPr>
        <w:t xml:space="preserve">bus sumažinti ir </w:t>
      </w:r>
      <w:r w:rsidR="005A0219" w:rsidRPr="002142B8">
        <w:rPr>
          <w:rFonts w:ascii="Georgia" w:eastAsia="Georgia" w:hAnsi="Georgia" w:cs="Times New Roman"/>
          <w:sz w:val="20"/>
          <w:szCs w:val="20"/>
          <w:lang w:val="lt-LT"/>
        </w:rPr>
        <w:t>išskiriami anglies dvideginio kiekiai.</w:t>
      </w:r>
      <w:r w:rsidR="00F3780B" w:rsidRPr="002142B8">
        <w:rPr>
          <w:rFonts w:ascii="Georgia" w:eastAsia="Georgia" w:hAnsi="Georgia" w:cs="Times New Roman"/>
          <w:sz w:val="20"/>
          <w:szCs w:val="20"/>
          <w:lang w:val="lt-LT"/>
        </w:rPr>
        <w:t xml:space="preserve">  </w:t>
      </w:r>
    </w:p>
    <w:p w14:paraId="03B27F8B" w14:textId="77777777" w:rsidR="005A0219" w:rsidRPr="002142B8" w:rsidRDefault="005A0219" w:rsidP="005A0219">
      <w:pPr>
        <w:spacing w:after="160" w:line="240" w:lineRule="auto"/>
        <w:jc w:val="both"/>
        <w:rPr>
          <w:rFonts w:ascii="Georgia" w:eastAsia="Georgia" w:hAnsi="Georgia" w:cs="Times New Roman"/>
          <w:sz w:val="20"/>
          <w:szCs w:val="20"/>
          <w:lang w:val="lt-LT"/>
        </w:rPr>
      </w:pPr>
    </w:p>
    <w:p w14:paraId="71D3BA7B" w14:textId="77777777" w:rsidR="005A0219" w:rsidRPr="002142B8" w:rsidRDefault="005A0219" w:rsidP="005A0219">
      <w:pPr>
        <w:spacing w:after="160" w:line="240" w:lineRule="auto"/>
        <w:rPr>
          <w:rFonts w:ascii="Georgia" w:eastAsia="Georgia" w:hAnsi="Georgia" w:cs="Arial Unicode MS"/>
          <w:b/>
          <w:i/>
          <w:sz w:val="24"/>
          <w:szCs w:val="20"/>
          <w:lang w:val="lt-LT"/>
        </w:rPr>
      </w:pPr>
      <w:r w:rsidRPr="002142B8">
        <w:rPr>
          <w:rFonts w:ascii="Georgia" w:eastAsia="Georgia" w:hAnsi="Georgia" w:cs="Arial Unicode MS"/>
          <w:b/>
          <w:i/>
          <w:sz w:val="24"/>
          <w:szCs w:val="20"/>
          <w:lang w:val="lt-LT"/>
        </w:rPr>
        <w:t>Komercinių bankų finansavimas</w:t>
      </w:r>
    </w:p>
    <w:p w14:paraId="62A5E95B"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Šalies bankinio sektoriaus struktūra</w:t>
      </w:r>
    </w:p>
    <w:p w14:paraId="11F63ED3" w14:textId="77777777" w:rsidR="005A0219" w:rsidRPr="002142B8" w:rsidRDefault="005A0219" w:rsidP="005A0219">
      <w:pPr>
        <w:autoSpaceDE w:val="0"/>
        <w:autoSpaceDN w:val="0"/>
        <w:adjustRightInd w:val="0"/>
        <w:spacing w:after="160" w:line="240" w:lineRule="auto"/>
        <w:jc w:val="both"/>
        <w:rPr>
          <w:rFonts w:ascii="Georgia" w:eastAsia="Georgia" w:hAnsi="Georgia" w:cs="Georgia"/>
          <w:sz w:val="20"/>
          <w:szCs w:val="20"/>
          <w:lang w:val="lt-LT"/>
        </w:rPr>
      </w:pPr>
      <w:r w:rsidRPr="002142B8">
        <w:rPr>
          <w:rFonts w:ascii="Georgia" w:eastAsia="Georgia" w:hAnsi="Georgia" w:cs="Georgia"/>
          <w:sz w:val="20"/>
          <w:szCs w:val="20"/>
          <w:lang w:val="lt-LT"/>
        </w:rPr>
        <w:t>2017 m. liepos pradžioje Lietuvoje veikė 6 bankai ir 7 užsienio šalių bankų filialai, kurie teikė paskolas bei kitas finansinio pobūdžio paslaugas juridiniams ir fiziniams asmenims. Remiantis Lietuvos banko duomenimis, 2017 m. sausio 1 d. komerciniai bankai valdė 26,4 mlrd. eurų vertės turtą (įskaitant lizingą)</w:t>
      </w:r>
      <w:r w:rsidRPr="002142B8">
        <w:rPr>
          <w:rFonts w:ascii="Georgia" w:eastAsia="Georgia" w:hAnsi="Georgia" w:cs="Georgia"/>
          <w:color w:val="000000"/>
          <w:sz w:val="20"/>
          <w:szCs w:val="20"/>
          <w:vertAlign w:val="superscript"/>
          <w:lang w:val="lt-LT"/>
        </w:rPr>
        <w:footnoteReference w:id="37"/>
      </w:r>
      <w:r w:rsidRPr="002142B8">
        <w:rPr>
          <w:rFonts w:ascii="Georgia" w:eastAsia="Georgia" w:hAnsi="Georgia" w:cs="Georgia"/>
          <w:sz w:val="20"/>
          <w:szCs w:val="20"/>
          <w:lang w:val="lt-LT"/>
        </w:rPr>
        <w:t>, kas sudaro 86,2 proc. visos šalies finansų sistemos turto</w:t>
      </w:r>
      <w:r w:rsidRPr="002142B8">
        <w:rPr>
          <w:rFonts w:ascii="Georgia" w:eastAsia="Georgia" w:hAnsi="Georgia" w:cs="Georgia"/>
          <w:color w:val="000000"/>
          <w:sz w:val="20"/>
          <w:szCs w:val="20"/>
          <w:vertAlign w:val="superscript"/>
          <w:lang w:val="lt-LT"/>
        </w:rPr>
        <w:footnoteReference w:id="38"/>
      </w:r>
      <w:r w:rsidRPr="002142B8">
        <w:rPr>
          <w:rFonts w:ascii="Georgia" w:eastAsia="Georgia" w:hAnsi="Georgia" w:cs="Georgia"/>
          <w:sz w:val="20"/>
          <w:szCs w:val="20"/>
          <w:lang w:val="lt-LT"/>
        </w:rPr>
        <w:t xml:space="preserve">. Atsižvelgiant į tai, komercinių bankų finansavimas yra vienas svarbiausių ir didžiausių finansavimo šaltinių, todėl jam skiriamas didelis dėmesys pasiūlos analizėje. </w:t>
      </w:r>
    </w:p>
    <w:p w14:paraId="2ED4D44F"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Lietuvos banko statistika atskleidžia, kad po finansų krizės smarkiai sumažėjo skolinimo ne finansų korporacijoms apimtys (žr. pav. žemiau). Pavyzdžiui, 2011 m. trečią ketvirtį išduotų paskolų balansas siekė apie 8,4 mlrd. eurų</w:t>
      </w:r>
      <w:r w:rsidRPr="002142B8">
        <w:rPr>
          <w:rFonts w:ascii="Georgia" w:eastAsia="Georgia" w:hAnsi="Georgia" w:cs="Times New Roman"/>
          <w:color w:val="000000"/>
          <w:sz w:val="20"/>
          <w:szCs w:val="20"/>
          <w:vertAlign w:val="superscript"/>
          <w:lang w:val="lt-LT"/>
        </w:rPr>
        <w:footnoteReference w:id="39"/>
      </w:r>
      <w:r w:rsidRPr="002142B8">
        <w:rPr>
          <w:rFonts w:ascii="Georgia" w:eastAsia="Georgia" w:hAnsi="Georgia" w:cs="Times New Roman"/>
          <w:sz w:val="20"/>
          <w:szCs w:val="20"/>
          <w:lang w:val="lt-LT"/>
        </w:rPr>
        <w:t>, tuo tarpu 2013 m. tą patį ketvirtį – jau tik 7,3 mlrd. eurų  paskolų (1,1 mlrd. Eur. sumažėjimas). Nors esama skolinimo ne finansų įmonėms padėtis stabilizuojasi ir 2017 metų antrą ketvirtį paskolų ne finansų bendrovėms sugrįžo į 2011 metų lygį, skaičiai vis tiek mažesni palyginti su laikotarpiu prieš krizę (tuo metu paskolų portfelis siekė 10,4 mlrd. eurų</w:t>
      </w:r>
      <w:r w:rsidRPr="002142B8">
        <w:rPr>
          <w:rFonts w:ascii="Georgia" w:eastAsia="Georgia" w:hAnsi="Georgia" w:cs="Times New Roman"/>
          <w:color w:val="000000"/>
          <w:sz w:val="20"/>
          <w:szCs w:val="20"/>
          <w:vertAlign w:val="superscript"/>
          <w:lang w:val="lt-LT"/>
        </w:rPr>
        <w:footnoteReference w:id="40"/>
      </w:r>
      <w:r w:rsidRPr="002142B8">
        <w:rPr>
          <w:rFonts w:ascii="Georgia" w:eastAsia="Georgia" w:hAnsi="Georgia" w:cs="Times New Roman"/>
          <w:sz w:val="20"/>
          <w:szCs w:val="20"/>
          <w:lang w:val="lt-LT"/>
        </w:rPr>
        <w:t xml:space="preserve">). Tai rodo, kad komerciniai bankai vis dar nenoriai teikia naujas paskolas ne finansų bendrovėms.  </w:t>
      </w:r>
    </w:p>
    <w:p w14:paraId="35E1A242" w14:textId="77777777" w:rsidR="005A0219" w:rsidRPr="002142B8" w:rsidRDefault="005A0219" w:rsidP="005A0219">
      <w:pPr>
        <w:spacing w:after="160" w:line="240" w:lineRule="auto"/>
        <w:jc w:val="center"/>
        <w:rPr>
          <w:rFonts w:ascii="Georgia" w:eastAsia="Georgia" w:hAnsi="Georgia" w:cs="Times New Roman"/>
          <w:sz w:val="16"/>
          <w:szCs w:val="16"/>
          <w:lang w:val="lt-LT"/>
        </w:rPr>
      </w:pPr>
      <w:r w:rsidRPr="002142B8">
        <w:rPr>
          <w:rFonts w:ascii="Georgia" w:eastAsia="Georgia" w:hAnsi="Georgia" w:cs="Arial Unicode MS"/>
          <w:noProof/>
          <w:sz w:val="20"/>
          <w:szCs w:val="20"/>
          <w:lang w:val="lt-LT" w:eastAsia="lt-LT"/>
        </w:rPr>
        <w:drawing>
          <wp:inline distT="0" distB="0" distL="0" distR="0" wp14:anchorId="2249A81D" wp14:editId="7993F094">
            <wp:extent cx="5771736" cy="2743200"/>
            <wp:effectExtent l="0" t="0" r="635" b="0"/>
            <wp:docPr id="50193" name="Chart 50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52F8BE" w14:textId="205A1DDE" w:rsidR="00E24EA8" w:rsidRPr="005C0239" w:rsidRDefault="005A0219" w:rsidP="005A0219">
      <w:pPr>
        <w:spacing w:after="160"/>
        <w:rPr>
          <w:rFonts w:ascii="Georgia" w:eastAsia="Georgia" w:hAnsi="Georgia" w:cs="Arial Unicode MS"/>
          <w:b/>
          <w:iCs/>
          <w:color w:val="821A1A"/>
          <w:sz w:val="20"/>
          <w:szCs w:val="18"/>
          <w:lang w:val="lt-LT"/>
        </w:rPr>
      </w:pPr>
      <w:bookmarkStart w:id="98" w:name="_Toc507939263"/>
      <w:r w:rsidRPr="005C0239">
        <w:rPr>
          <w:rFonts w:ascii="Georgia" w:eastAsia="Georgia" w:hAnsi="Georgia" w:cs="Arial Unicode MS"/>
          <w:b/>
          <w:iCs/>
          <w:color w:val="821A1A"/>
          <w:sz w:val="20"/>
          <w:szCs w:val="18"/>
          <w:lang w:val="lt-LT"/>
        </w:rPr>
        <w:t xml:space="preserve">Paveikslas </w:t>
      </w:r>
      <w:r w:rsidRPr="005C0239">
        <w:rPr>
          <w:rFonts w:ascii="Georgia" w:eastAsia="Georgia" w:hAnsi="Georgia" w:cs="Arial Unicode MS"/>
          <w:b/>
          <w:iCs/>
          <w:color w:val="821A1A"/>
          <w:sz w:val="20"/>
          <w:szCs w:val="18"/>
          <w:lang w:val="lt-LT"/>
        </w:rPr>
        <w:fldChar w:fldCharType="begin"/>
      </w:r>
      <w:r w:rsidRPr="005C0239">
        <w:rPr>
          <w:rFonts w:ascii="Georgia" w:eastAsia="Georgia" w:hAnsi="Georgia" w:cs="Arial Unicode MS"/>
          <w:b/>
          <w:iCs/>
          <w:color w:val="821A1A"/>
          <w:sz w:val="20"/>
          <w:szCs w:val="18"/>
          <w:lang w:val="lt-LT"/>
        </w:rPr>
        <w:instrText xml:space="preserve"> SEQ Paveikslas \* ARABIC </w:instrText>
      </w:r>
      <w:r w:rsidRPr="005C0239">
        <w:rPr>
          <w:rFonts w:ascii="Georgia" w:eastAsia="Georgia" w:hAnsi="Georgia" w:cs="Arial Unicode MS"/>
          <w:b/>
          <w:iCs/>
          <w:color w:val="821A1A"/>
          <w:sz w:val="20"/>
          <w:szCs w:val="18"/>
          <w:lang w:val="lt-LT"/>
        </w:rPr>
        <w:fldChar w:fldCharType="separate"/>
      </w:r>
      <w:r w:rsidR="009652A6">
        <w:rPr>
          <w:rFonts w:ascii="Georgia" w:eastAsia="Georgia" w:hAnsi="Georgia" w:cs="Arial Unicode MS"/>
          <w:b/>
          <w:iCs/>
          <w:noProof/>
          <w:color w:val="821A1A"/>
          <w:sz w:val="20"/>
          <w:szCs w:val="18"/>
          <w:lang w:val="lt-LT"/>
        </w:rPr>
        <w:t>4</w:t>
      </w:r>
      <w:r w:rsidRPr="005C0239">
        <w:rPr>
          <w:rFonts w:ascii="Georgia" w:eastAsia="Georgia" w:hAnsi="Georgia" w:cs="Arial Unicode MS"/>
          <w:b/>
          <w:iCs/>
          <w:color w:val="821A1A"/>
          <w:sz w:val="20"/>
          <w:szCs w:val="18"/>
          <w:lang w:val="lt-LT"/>
        </w:rPr>
        <w:fldChar w:fldCharType="end"/>
      </w:r>
      <w:r w:rsidRPr="005C0239">
        <w:rPr>
          <w:rFonts w:ascii="Georgia" w:eastAsia="Georgia" w:hAnsi="Georgia" w:cs="Arial Unicode MS"/>
          <w:b/>
          <w:iCs/>
          <w:color w:val="821A1A"/>
          <w:sz w:val="20"/>
          <w:szCs w:val="18"/>
          <w:lang w:val="lt-LT"/>
        </w:rPr>
        <w:t>. Ne finansų korporacijoms išduotos naujos paskolos 2011 – 2017 m.</w:t>
      </w:r>
      <w:bookmarkEnd w:id="98"/>
      <w:r w:rsidRPr="005C0239">
        <w:rPr>
          <w:rFonts w:ascii="Georgia" w:eastAsia="Georgia" w:hAnsi="Georgia" w:cs="Arial Unicode MS"/>
          <w:b/>
          <w:iCs/>
          <w:color w:val="821A1A"/>
          <w:sz w:val="20"/>
          <w:szCs w:val="18"/>
          <w:lang w:val="lt-LT"/>
        </w:rPr>
        <w:t xml:space="preserve"> </w:t>
      </w:r>
    </w:p>
    <w:p w14:paraId="2C1A835D" w14:textId="579AEBC0" w:rsidR="005A0219" w:rsidRPr="00E24EA8" w:rsidRDefault="005A0219" w:rsidP="005A0219">
      <w:pPr>
        <w:spacing w:after="160"/>
        <w:rPr>
          <w:rFonts w:ascii="Georgia" w:eastAsia="Georgia" w:hAnsi="Georgia" w:cs="Arial Unicode MS"/>
          <w:i/>
          <w:iCs/>
          <w:color w:val="821A1A"/>
          <w:sz w:val="20"/>
          <w:szCs w:val="20"/>
          <w:lang w:val="lt-LT"/>
        </w:rPr>
      </w:pPr>
      <w:r w:rsidRPr="00E24EA8">
        <w:rPr>
          <w:rFonts w:ascii="Georgia" w:eastAsia="Georgia" w:hAnsi="Georgia" w:cs="Arial Unicode MS"/>
          <w:i/>
          <w:iCs/>
          <w:color w:val="821A1A"/>
          <w:sz w:val="20"/>
          <w:szCs w:val="18"/>
          <w:lang w:val="lt-LT"/>
        </w:rPr>
        <w:lastRenderedPageBreak/>
        <w:t>Šaltinis: sudaryta autorių</w:t>
      </w:r>
    </w:p>
    <w:p w14:paraId="102E41E8"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Komercinių bankų finansavimas energetikos sektoriui buvo apskaičiuotas remiantis prielaidomis dėl bendro komercinių bankų portfelio augimo prognozių ir energetikos projektų finansavimo dalies bendrame komercinių bankų paskolų portfelyje. Atsižvelgiant į 2014 m. komercinių bankų apklausos metu gautą informaciją, energetikos sektoriaus finansavimas sudaro apie 25 proc. viso viešosios sektoriaus infrastruktūrai tenkančio finansavimo portfelio, iš kurių apie 5 proc. viso finansavimo portfelio gali atitekti energetinio efektyvumo projektams. Remiantis komercinių bankų apklausų metu pateikta informacija, prognozuojamas bendro portfelio augimas iki 2020 metų yra pateikiamas lentelėje žemiau. Prognozė komercinių bankų finansavimui yra apskaičiuota remiantis prielaida, kad komercinių bankų portfelis kasmet auga 5,5 proc. remiantis paskutinių šešių metų portfelio vidutiniu augimo tempu. </w:t>
      </w:r>
    </w:p>
    <w:p w14:paraId="59A320D2" w14:textId="6163F5E3" w:rsidR="005A0219" w:rsidRPr="002142B8" w:rsidRDefault="005A0219" w:rsidP="005A0219">
      <w:pPr>
        <w:spacing w:after="160" w:line="240" w:lineRule="auto"/>
        <w:jc w:val="both"/>
        <w:rPr>
          <w:rFonts w:ascii="Georgia" w:eastAsia="Georgia" w:hAnsi="Georgia" w:cs="Arial Unicode MS"/>
          <w:i/>
          <w:iCs/>
          <w:color w:val="821A1A"/>
          <w:sz w:val="20"/>
          <w:szCs w:val="20"/>
          <w:lang w:val="lt-LT"/>
        </w:rPr>
      </w:pPr>
      <w:bookmarkStart w:id="99" w:name="_Toc507939145"/>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23</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Arial Unicode MS"/>
          <w:i/>
          <w:iCs/>
          <w:color w:val="821A1A"/>
          <w:sz w:val="20"/>
          <w:szCs w:val="20"/>
          <w:lang w:val="lt-LT"/>
        </w:rPr>
        <w:t>Komercinių bankų portfelio prognozė (mln. EUR)</w:t>
      </w:r>
      <w:bookmarkEnd w:id="99"/>
    </w:p>
    <w:tbl>
      <w:tblPr>
        <w:tblStyle w:val="LightList-Accent21"/>
        <w:tblW w:w="9039" w:type="dxa"/>
        <w:tblLayout w:type="fixed"/>
        <w:tblLook w:val="04A0" w:firstRow="1" w:lastRow="0" w:firstColumn="1" w:lastColumn="0" w:noHBand="0" w:noVBand="1"/>
      </w:tblPr>
      <w:tblGrid>
        <w:gridCol w:w="3085"/>
        <w:gridCol w:w="850"/>
        <w:gridCol w:w="851"/>
        <w:gridCol w:w="850"/>
        <w:gridCol w:w="851"/>
        <w:gridCol w:w="850"/>
        <w:gridCol w:w="851"/>
        <w:gridCol w:w="851"/>
      </w:tblGrid>
      <w:tr w:rsidR="005A0219" w:rsidRPr="002142B8" w14:paraId="7F96B83D" w14:textId="77777777" w:rsidTr="005A1A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22EF353" w14:textId="77777777" w:rsidR="005A0219" w:rsidRPr="002142B8" w:rsidRDefault="005A0219" w:rsidP="005A0219">
            <w:pPr>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Metai</w:t>
            </w:r>
          </w:p>
        </w:tc>
        <w:tc>
          <w:tcPr>
            <w:tcW w:w="850" w:type="dxa"/>
            <w:noWrap/>
            <w:hideMark/>
          </w:tcPr>
          <w:p w14:paraId="3E39AB97"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2017</w:t>
            </w:r>
          </w:p>
        </w:tc>
        <w:tc>
          <w:tcPr>
            <w:tcW w:w="851" w:type="dxa"/>
            <w:noWrap/>
            <w:hideMark/>
          </w:tcPr>
          <w:p w14:paraId="4578A409"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2018</w:t>
            </w:r>
          </w:p>
        </w:tc>
        <w:tc>
          <w:tcPr>
            <w:tcW w:w="850" w:type="dxa"/>
            <w:noWrap/>
            <w:hideMark/>
          </w:tcPr>
          <w:p w14:paraId="4039C17D"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2019</w:t>
            </w:r>
          </w:p>
        </w:tc>
        <w:tc>
          <w:tcPr>
            <w:tcW w:w="851" w:type="dxa"/>
            <w:noWrap/>
            <w:hideMark/>
          </w:tcPr>
          <w:p w14:paraId="02C0B88C"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2020</w:t>
            </w:r>
          </w:p>
        </w:tc>
        <w:tc>
          <w:tcPr>
            <w:tcW w:w="850" w:type="dxa"/>
            <w:noWrap/>
            <w:hideMark/>
          </w:tcPr>
          <w:p w14:paraId="3674880F"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2021</w:t>
            </w:r>
          </w:p>
        </w:tc>
        <w:tc>
          <w:tcPr>
            <w:tcW w:w="851" w:type="dxa"/>
            <w:noWrap/>
            <w:hideMark/>
          </w:tcPr>
          <w:p w14:paraId="2F947FF1"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2022</w:t>
            </w:r>
          </w:p>
        </w:tc>
        <w:tc>
          <w:tcPr>
            <w:tcW w:w="851" w:type="dxa"/>
            <w:noWrap/>
            <w:hideMark/>
          </w:tcPr>
          <w:p w14:paraId="6EFD1EE2" w14:textId="77777777" w:rsidR="005A0219" w:rsidRPr="002142B8" w:rsidRDefault="005A0219" w:rsidP="005A0219">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2023</w:t>
            </w:r>
          </w:p>
        </w:tc>
      </w:tr>
      <w:tr w:rsidR="005A0219" w:rsidRPr="002142B8" w14:paraId="74C54E71" w14:textId="77777777" w:rsidTr="005A1A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85" w:type="dxa"/>
            <w:hideMark/>
          </w:tcPr>
          <w:p w14:paraId="5426EAFA" w14:textId="77777777" w:rsidR="005A0219" w:rsidRPr="002142B8" w:rsidRDefault="005A0219" w:rsidP="005A0219">
            <w:pPr>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Komercinių bankų paskolų portfelio prognozė</w:t>
            </w:r>
          </w:p>
        </w:tc>
        <w:tc>
          <w:tcPr>
            <w:tcW w:w="850" w:type="dxa"/>
            <w:noWrap/>
            <w:hideMark/>
          </w:tcPr>
          <w:p w14:paraId="74116B88"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8 222</w:t>
            </w:r>
          </w:p>
        </w:tc>
        <w:tc>
          <w:tcPr>
            <w:tcW w:w="851" w:type="dxa"/>
            <w:noWrap/>
            <w:hideMark/>
          </w:tcPr>
          <w:p w14:paraId="5B574421"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8 674</w:t>
            </w:r>
          </w:p>
        </w:tc>
        <w:tc>
          <w:tcPr>
            <w:tcW w:w="850" w:type="dxa"/>
            <w:noWrap/>
            <w:hideMark/>
          </w:tcPr>
          <w:p w14:paraId="3DDD8C6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9 151</w:t>
            </w:r>
          </w:p>
        </w:tc>
        <w:tc>
          <w:tcPr>
            <w:tcW w:w="851" w:type="dxa"/>
            <w:noWrap/>
            <w:hideMark/>
          </w:tcPr>
          <w:p w14:paraId="7760A3F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9 655</w:t>
            </w:r>
          </w:p>
        </w:tc>
        <w:tc>
          <w:tcPr>
            <w:tcW w:w="850" w:type="dxa"/>
            <w:noWrap/>
            <w:hideMark/>
          </w:tcPr>
          <w:p w14:paraId="517EEBF5"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10 186</w:t>
            </w:r>
          </w:p>
        </w:tc>
        <w:tc>
          <w:tcPr>
            <w:tcW w:w="851" w:type="dxa"/>
            <w:noWrap/>
            <w:hideMark/>
          </w:tcPr>
          <w:p w14:paraId="0D2EFCE2"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10 746</w:t>
            </w:r>
          </w:p>
        </w:tc>
        <w:tc>
          <w:tcPr>
            <w:tcW w:w="851" w:type="dxa"/>
            <w:noWrap/>
            <w:hideMark/>
          </w:tcPr>
          <w:p w14:paraId="5EA82CA3"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11 337</w:t>
            </w:r>
          </w:p>
        </w:tc>
      </w:tr>
      <w:tr w:rsidR="005A0219" w:rsidRPr="002142B8" w14:paraId="7C0E1452" w14:textId="77777777" w:rsidTr="005A1A99">
        <w:trPr>
          <w:trHeight w:val="900"/>
        </w:trPr>
        <w:tc>
          <w:tcPr>
            <w:cnfStyle w:val="001000000000" w:firstRow="0" w:lastRow="0" w:firstColumn="1" w:lastColumn="0" w:oddVBand="0" w:evenVBand="0" w:oddHBand="0" w:evenHBand="0" w:firstRowFirstColumn="0" w:firstRowLastColumn="0" w:lastRowFirstColumn="0" w:lastRowLastColumn="0"/>
            <w:tcW w:w="3085" w:type="dxa"/>
            <w:hideMark/>
          </w:tcPr>
          <w:p w14:paraId="505F2E19" w14:textId="77777777" w:rsidR="005A0219" w:rsidRPr="002142B8" w:rsidRDefault="005A0219" w:rsidP="005A0219">
            <w:pPr>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Energetinio efektyvumo projektai</w:t>
            </w:r>
          </w:p>
        </w:tc>
        <w:tc>
          <w:tcPr>
            <w:tcW w:w="850" w:type="dxa"/>
            <w:noWrap/>
            <w:hideMark/>
          </w:tcPr>
          <w:p w14:paraId="6E78686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107</w:t>
            </w:r>
          </w:p>
        </w:tc>
        <w:tc>
          <w:tcPr>
            <w:tcW w:w="851" w:type="dxa"/>
            <w:noWrap/>
            <w:hideMark/>
          </w:tcPr>
          <w:p w14:paraId="1C49D970"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115</w:t>
            </w:r>
          </w:p>
        </w:tc>
        <w:tc>
          <w:tcPr>
            <w:tcW w:w="850" w:type="dxa"/>
            <w:noWrap/>
            <w:hideMark/>
          </w:tcPr>
          <w:p w14:paraId="58276325"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121</w:t>
            </w:r>
          </w:p>
        </w:tc>
        <w:tc>
          <w:tcPr>
            <w:tcW w:w="851" w:type="dxa"/>
            <w:noWrap/>
            <w:hideMark/>
          </w:tcPr>
          <w:p w14:paraId="7A136AE3"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128</w:t>
            </w:r>
          </w:p>
        </w:tc>
        <w:tc>
          <w:tcPr>
            <w:tcW w:w="850" w:type="dxa"/>
            <w:noWrap/>
            <w:hideMark/>
          </w:tcPr>
          <w:p w14:paraId="55F88E9C"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135</w:t>
            </w:r>
          </w:p>
        </w:tc>
        <w:tc>
          <w:tcPr>
            <w:tcW w:w="851" w:type="dxa"/>
            <w:noWrap/>
            <w:hideMark/>
          </w:tcPr>
          <w:p w14:paraId="3B83D229"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143</w:t>
            </w:r>
          </w:p>
        </w:tc>
        <w:tc>
          <w:tcPr>
            <w:tcW w:w="851" w:type="dxa"/>
            <w:noWrap/>
            <w:hideMark/>
          </w:tcPr>
          <w:p w14:paraId="4B22406B" w14:textId="77777777" w:rsidR="005A0219" w:rsidRPr="002142B8" w:rsidRDefault="005A0219" w:rsidP="005A0219">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lang w:eastAsia="lt-LT"/>
              </w:rPr>
            </w:pPr>
            <w:r w:rsidRPr="002142B8">
              <w:rPr>
                <w:rFonts w:ascii="Georgia" w:eastAsia="Georgia" w:hAnsi="Georgia" w:cs="Calibri"/>
                <w:sz w:val="20"/>
                <w:szCs w:val="20"/>
              </w:rPr>
              <w:t>150</w:t>
            </w:r>
          </w:p>
        </w:tc>
      </w:tr>
      <w:tr w:rsidR="005A0219" w:rsidRPr="002142B8" w14:paraId="7AA99329" w14:textId="77777777" w:rsidTr="005A1A9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5" w:type="dxa"/>
            <w:hideMark/>
          </w:tcPr>
          <w:p w14:paraId="432E8A9F" w14:textId="77777777" w:rsidR="005A0219" w:rsidRPr="002142B8" w:rsidRDefault="005A0219" w:rsidP="005A0219">
            <w:pPr>
              <w:rPr>
                <w:rFonts w:ascii="Georgia" w:eastAsia="Times New Roman" w:hAnsi="Georgia" w:cs="Times New Roman"/>
                <w:color w:val="000000"/>
                <w:sz w:val="20"/>
                <w:szCs w:val="20"/>
                <w:lang w:eastAsia="lt-LT"/>
              </w:rPr>
            </w:pPr>
            <w:r w:rsidRPr="002142B8">
              <w:rPr>
                <w:rFonts w:ascii="Georgia" w:eastAsia="Times New Roman" w:hAnsi="Georgia" w:cs="Times New Roman"/>
                <w:color w:val="000000"/>
                <w:sz w:val="20"/>
                <w:szCs w:val="20"/>
                <w:lang w:eastAsia="lt-LT"/>
              </w:rPr>
              <w:t>Finansavimo augimas</w:t>
            </w:r>
          </w:p>
        </w:tc>
        <w:tc>
          <w:tcPr>
            <w:tcW w:w="850" w:type="dxa"/>
            <w:noWrap/>
            <w:hideMark/>
          </w:tcPr>
          <w:p w14:paraId="6B88C0EA"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30</w:t>
            </w:r>
          </w:p>
        </w:tc>
        <w:tc>
          <w:tcPr>
            <w:tcW w:w="851" w:type="dxa"/>
            <w:noWrap/>
            <w:hideMark/>
          </w:tcPr>
          <w:p w14:paraId="785DB1F6"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23</w:t>
            </w:r>
          </w:p>
        </w:tc>
        <w:tc>
          <w:tcPr>
            <w:tcW w:w="850" w:type="dxa"/>
            <w:noWrap/>
            <w:hideMark/>
          </w:tcPr>
          <w:p w14:paraId="3D812C5E"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24</w:t>
            </w:r>
          </w:p>
        </w:tc>
        <w:tc>
          <w:tcPr>
            <w:tcW w:w="851" w:type="dxa"/>
            <w:noWrap/>
            <w:hideMark/>
          </w:tcPr>
          <w:p w14:paraId="1F8FF1AF"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25</w:t>
            </w:r>
          </w:p>
        </w:tc>
        <w:tc>
          <w:tcPr>
            <w:tcW w:w="850" w:type="dxa"/>
            <w:noWrap/>
            <w:hideMark/>
          </w:tcPr>
          <w:p w14:paraId="703790C0"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27</w:t>
            </w:r>
          </w:p>
        </w:tc>
        <w:tc>
          <w:tcPr>
            <w:tcW w:w="851" w:type="dxa"/>
            <w:noWrap/>
            <w:hideMark/>
          </w:tcPr>
          <w:p w14:paraId="1EB90F36"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28</w:t>
            </w:r>
          </w:p>
        </w:tc>
        <w:tc>
          <w:tcPr>
            <w:tcW w:w="851" w:type="dxa"/>
            <w:noWrap/>
            <w:hideMark/>
          </w:tcPr>
          <w:p w14:paraId="3C894F07" w14:textId="77777777" w:rsidR="005A0219" w:rsidRPr="002142B8" w:rsidRDefault="005A0219" w:rsidP="005A0219">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
                <w:bCs/>
                <w:color w:val="000000"/>
                <w:sz w:val="20"/>
                <w:szCs w:val="20"/>
                <w:lang w:eastAsia="lt-LT"/>
              </w:rPr>
            </w:pPr>
            <w:r w:rsidRPr="002142B8">
              <w:rPr>
                <w:rFonts w:ascii="Georgia" w:eastAsia="Times New Roman" w:hAnsi="Georgia" w:cs="Times New Roman"/>
                <w:b/>
                <w:bCs/>
                <w:color w:val="000000"/>
                <w:sz w:val="20"/>
                <w:szCs w:val="20"/>
                <w:lang w:eastAsia="lt-LT"/>
              </w:rPr>
              <w:t>30</w:t>
            </w:r>
          </w:p>
        </w:tc>
      </w:tr>
    </w:tbl>
    <w:p w14:paraId="567F8102" w14:textId="77777777" w:rsidR="005A0219" w:rsidRPr="002142B8" w:rsidRDefault="005A0219" w:rsidP="005A0219">
      <w:pPr>
        <w:spacing w:after="160" w:line="240" w:lineRule="auto"/>
        <w:jc w:val="both"/>
        <w:rPr>
          <w:rFonts w:ascii="Georgia" w:eastAsia="Georgia" w:hAnsi="Georgia" w:cs="Arial Unicode MS"/>
          <w:iCs/>
          <w:color w:val="821A1A"/>
          <w:sz w:val="20"/>
          <w:szCs w:val="20"/>
          <w:lang w:val="lt-LT"/>
        </w:rPr>
      </w:pPr>
      <w:r w:rsidRPr="002142B8">
        <w:rPr>
          <w:rFonts w:ascii="Georgia" w:eastAsia="Georgia" w:hAnsi="Georgia" w:cs="Arial Unicode MS"/>
          <w:i/>
          <w:iCs/>
          <w:color w:val="821A1A"/>
          <w:sz w:val="20"/>
          <w:szCs w:val="20"/>
          <w:lang w:val="lt-LT"/>
        </w:rPr>
        <w:t xml:space="preserve">Šaltinis: sudaryta autorių remiantis komercinių bankų apklausos rezultatais. </w:t>
      </w:r>
    </w:p>
    <w:p w14:paraId="7484FFF7" w14:textId="1B8E0D61"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Remiantis lentelėje aukščiau esančioje lentelėje pateiktais duomenimis, komercinių bankų finansavimas, prieinamas energetinio efektyvumo projektams finansuoti sudaro apie 186 mln. eurų. Atkreiptinas dėmesys, kad komerciniai bankai negalėjo pateikti atskiros informacijos apie daugiabučių renovacijos finansavimą, todėl darytina prielaida, kad daugiabučių renovacijai tenkanti pasiūlos dalis yra įskaičiuota į 186 mln. eurų. Atsižvelgiant į komercinių bankų apklausų metu suteiktą informaciją ir ekspertinį vertinimą, nesinaudojant finansinių priemonių pagalba, bankai galėtų paskolinti apie 11,6 mln. eurų.</w:t>
      </w:r>
    </w:p>
    <w:p w14:paraId="2D5CA98F"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 xml:space="preserve">Paskolų kaina </w:t>
      </w:r>
    </w:p>
    <w:p w14:paraId="56E18C1E"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Bankai apklausos metu pabrėžė, kad prieš suteikiant paskolą, jie įvertina paraiškos teikėjo patikimumą, mokumą, skolų aptarnavimo istoriją, jo galimybes prisiimti naujus įsipareigojimus, skolų limitus, paskolos grąžinimo šaltinius, tikimybę, jog šie šaltiniai nesikeis visu paskolos grąžinimo laikotarpiu, įgyvendinamo projekto atsiperkamumą ir kitus rizikos faktorius, susijusius su paraiškos teikėju. Tačiau didžiausią įtaką skolinimo kainai turi šie faktoriai: projekto generuojami piniginiai srautai ir paskolos gavėjo kredito rizika. Be to, jų skolinimo kainą įtakoja ne tik konkretaus projekto rizika, bet ir bazinių palūkanų normų pokyčiai ir konkurencinė aplinka pačiame bankiniame sektoriuje.</w:t>
      </w:r>
    </w:p>
    <w:p w14:paraId="25C94B71" w14:textId="7613BD50"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Apačioje yra pateiktas grafikas, kuriame parodyta bankų suteiktų paskolų eurais nefinansinėms korporacijoms ilgesniam nei 5 metų laikotarpiui palūkanų normos dinamika. Lietuvos Banko svetainėje buvo prieinami duomenys tik nuo</w:t>
      </w:r>
      <w:r w:rsidR="00022769" w:rsidRPr="002142B8">
        <w:rPr>
          <w:rFonts w:ascii="Georgia" w:eastAsia="Georgia" w:hAnsi="Georgia" w:cs="Times New Roman"/>
          <w:sz w:val="20"/>
          <w:szCs w:val="20"/>
          <w:lang w:val="lt-LT"/>
        </w:rPr>
        <w:t xml:space="preserve"> euro įvedimo</w:t>
      </w:r>
      <w:r w:rsidRPr="002142B8">
        <w:rPr>
          <w:rFonts w:ascii="Georgia" w:eastAsia="Georgia" w:hAnsi="Georgia" w:cs="Times New Roman"/>
          <w:sz w:val="20"/>
          <w:szCs w:val="20"/>
          <w:lang w:val="lt-LT"/>
        </w:rPr>
        <w:t xml:space="preserve"> 2015 metų sausio 1d. todėl suteikia ne pilną vaizdą ir neatspindi palūkanų normų padidėjimų 2009 ir 2012 metais - finansinės krizės ir ekonominio sunkmečio periodais. </w:t>
      </w:r>
    </w:p>
    <w:p w14:paraId="36600126" w14:textId="77777777" w:rsidR="005A0219" w:rsidRPr="002142B8" w:rsidRDefault="005A0219" w:rsidP="005A0219">
      <w:pPr>
        <w:spacing w:after="160" w:line="240" w:lineRule="auto"/>
        <w:jc w:val="center"/>
        <w:rPr>
          <w:rFonts w:ascii="Georgia" w:eastAsia="Georgia" w:hAnsi="Georgia" w:cs="Times New Roman"/>
          <w:sz w:val="20"/>
          <w:szCs w:val="20"/>
          <w:lang w:val="lt-LT"/>
        </w:rPr>
      </w:pPr>
      <w:r w:rsidRPr="002142B8">
        <w:rPr>
          <w:rFonts w:ascii="Georgia" w:eastAsia="Georgia" w:hAnsi="Georgia" w:cs="Arial Unicode MS"/>
          <w:noProof/>
          <w:sz w:val="20"/>
          <w:szCs w:val="20"/>
          <w:lang w:val="lt-LT" w:eastAsia="lt-LT"/>
        </w:rPr>
        <w:lastRenderedPageBreak/>
        <w:drawing>
          <wp:inline distT="0" distB="0" distL="0" distR="0" wp14:anchorId="1F19CF49" wp14:editId="3B816550">
            <wp:extent cx="5294630" cy="2243470"/>
            <wp:effectExtent l="0" t="0" r="1270" b="4445"/>
            <wp:docPr id="50194" name="Chart 50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18D324" w14:textId="28D42E44" w:rsidR="005A0219" w:rsidRPr="00E24EA8" w:rsidRDefault="005A0219" w:rsidP="005A0219">
      <w:pPr>
        <w:spacing w:after="160"/>
        <w:jc w:val="both"/>
        <w:rPr>
          <w:rFonts w:ascii="Georgia" w:eastAsia="Georgia" w:hAnsi="Georgia" w:cs="Arial Unicode MS"/>
          <w:b/>
          <w:iCs/>
          <w:color w:val="821A1A"/>
          <w:sz w:val="20"/>
          <w:szCs w:val="20"/>
          <w:lang w:val="lt-LT"/>
        </w:rPr>
      </w:pPr>
      <w:bookmarkStart w:id="100" w:name="_Toc507939264"/>
      <w:r w:rsidRPr="00E24EA8">
        <w:rPr>
          <w:rFonts w:ascii="Georgia" w:eastAsia="Georgia" w:hAnsi="Georgia" w:cs="Arial Unicode MS"/>
          <w:b/>
          <w:iCs/>
          <w:color w:val="821A1A"/>
          <w:sz w:val="20"/>
          <w:szCs w:val="18"/>
          <w:lang w:val="lt-LT"/>
        </w:rPr>
        <w:t xml:space="preserve">Paveikslas </w:t>
      </w:r>
      <w:r w:rsidRPr="00E24EA8">
        <w:rPr>
          <w:rFonts w:ascii="Georgia" w:eastAsia="Georgia" w:hAnsi="Georgia" w:cs="Arial Unicode MS"/>
          <w:b/>
          <w:iCs/>
          <w:color w:val="821A1A"/>
          <w:sz w:val="20"/>
          <w:szCs w:val="18"/>
          <w:lang w:val="lt-LT"/>
        </w:rPr>
        <w:fldChar w:fldCharType="begin"/>
      </w:r>
      <w:r w:rsidRPr="00E24EA8">
        <w:rPr>
          <w:rFonts w:ascii="Georgia" w:eastAsia="Georgia" w:hAnsi="Georgia" w:cs="Arial Unicode MS"/>
          <w:b/>
          <w:iCs/>
          <w:color w:val="821A1A"/>
          <w:sz w:val="20"/>
          <w:szCs w:val="18"/>
          <w:lang w:val="lt-LT"/>
        </w:rPr>
        <w:instrText xml:space="preserve"> SEQ Paveikslas \* ARABIC </w:instrText>
      </w:r>
      <w:r w:rsidRPr="00E24EA8">
        <w:rPr>
          <w:rFonts w:ascii="Georgia" w:eastAsia="Georgia" w:hAnsi="Georgia" w:cs="Arial Unicode MS"/>
          <w:b/>
          <w:iCs/>
          <w:color w:val="821A1A"/>
          <w:sz w:val="20"/>
          <w:szCs w:val="18"/>
          <w:lang w:val="lt-LT"/>
        </w:rPr>
        <w:fldChar w:fldCharType="separate"/>
      </w:r>
      <w:r w:rsidR="009652A6">
        <w:rPr>
          <w:rFonts w:ascii="Georgia" w:eastAsia="Georgia" w:hAnsi="Georgia" w:cs="Arial Unicode MS"/>
          <w:b/>
          <w:iCs/>
          <w:noProof/>
          <w:color w:val="821A1A"/>
          <w:sz w:val="20"/>
          <w:szCs w:val="18"/>
          <w:lang w:val="lt-LT"/>
        </w:rPr>
        <w:t>5</w:t>
      </w:r>
      <w:r w:rsidRPr="00E24EA8">
        <w:rPr>
          <w:rFonts w:ascii="Georgia" w:eastAsia="Georgia" w:hAnsi="Georgia" w:cs="Arial Unicode MS"/>
          <w:b/>
          <w:iCs/>
          <w:color w:val="821A1A"/>
          <w:sz w:val="20"/>
          <w:szCs w:val="18"/>
          <w:lang w:val="lt-LT"/>
        </w:rPr>
        <w:fldChar w:fldCharType="end"/>
      </w:r>
      <w:r w:rsidRPr="00E24EA8">
        <w:rPr>
          <w:rFonts w:ascii="Georgia" w:eastAsia="Georgia" w:hAnsi="Georgia" w:cs="Arial Unicode MS"/>
          <w:b/>
          <w:iCs/>
          <w:color w:val="821A1A"/>
          <w:sz w:val="20"/>
          <w:szCs w:val="18"/>
          <w:lang w:val="lt-LT"/>
        </w:rPr>
        <w:t xml:space="preserve">. </w:t>
      </w:r>
      <w:r w:rsidRPr="00E24EA8">
        <w:rPr>
          <w:rFonts w:ascii="Georgia" w:eastAsia="Georgia" w:hAnsi="Georgia" w:cs="Arial Unicode MS"/>
          <w:b/>
          <w:iCs/>
          <w:color w:val="821A1A"/>
          <w:sz w:val="20"/>
          <w:szCs w:val="20"/>
          <w:lang w:val="lt-LT"/>
        </w:rPr>
        <w:t>Pinigų finansų įstaigų paskolos euro zonos ne finansų bendrovėms, pradinis terminas nuo 5 metų – likučių palūkanų normos.</w:t>
      </w:r>
      <w:bookmarkEnd w:id="100"/>
    </w:p>
    <w:p w14:paraId="7F68D8BA"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Paskolos laikotarpis</w:t>
      </w:r>
    </w:p>
    <w:p w14:paraId="744F50CD"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Apklausos metu komerciniai bankai nurodė, kad labiausiai priimtinas viešojo sektoriaus investicinio projekto laikotarpis yra 5-10 metų (daugiabučių atveju 10-15 metų).</w:t>
      </w:r>
    </w:p>
    <w:p w14:paraId="21DBC4C8"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Paskolos užtikrinimo priemonės</w:t>
      </w:r>
    </w:p>
    <w:p w14:paraId="0718ED5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Energijos efektyvumo projektus didžiąja dalimi vykdo daugiabučių namų administratoriai, bendrijos, savivaldybės, savivaldybių įmonės arba kitos valstybės valdomos įmonės.</w:t>
      </w:r>
    </w:p>
    <w:p w14:paraId="6255334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Komerciniai bankai iš valstybės ir savivaldybių kontroliuojamų įstaigų, siekiančių gauti finansavimą, prašo garantijų, nekilnojamojo turto įkeitimo ar sąskaitos bei gautinų sumų įkeitimo kaip paskolos užtikrinimo priemonės. Taikomos užtikrinimo priemonės visuomet priklauso nuo finansuojamo projekto rizikos. Bet paprastai bankai reikalauja garantijos ar apsidraudimo priemonės sudarytų ne mažiau kaip 80 proc. suteikiamos paskolos sumos. Vadovaujantis Lietuvos Respublikos valstybės ir savivaldybių turto valdymo, naudojimo ir disponavimo juo įstatymo 20 straipsnio nuostatomis, savivaldybės yra smarkiai apribotos įkeičiant turtą ir komerciniai bankai neturi teisės iš savivaldybių reikalauti užstato. </w:t>
      </w:r>
    </w:p>
    <w:p w14:paraId="799C6E5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Jeigu projektą vykdo privačios įmonės, tai bankai tuomet kelia dar didesnius reikalavimus paskolos gavėjui: iki 200% kredito vertės, jei turtas nekomercinės paskirties, ir iki 150% kredito vertės, jei turtas komercinės ar gyvenamosios paskirties. Kaip papildomą paskolos užtikrinimo priemonę bankai panaudoja lėšų sąskaitose įkeitimą arba papildomą nekomercinės paskirties ir/ar kilnojamo turto įkeitimą</w:t>
      </w:r>
    </w:p>
    <w:p w14:paraId="01414FF5"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Taip pat bankai nurodo, kad vykdant ilgalaikius projektus, kurie turi ilgą atsipirkimo laikotarpį, jie iš projekto įgyventojo reikalauja, kad projektų vykdytojai į patį projektą investuotų ne mažiau kaip 30 proc. nuosavų lėšų.</w:t>
      </w:r>
    </w:p>
    <w:p w14:paraId="41A50966"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Vertinant finansuojamą projektą, esminis kriterijus yra kliento sugebėjimas aptarnauti paskolą. Todėl subsidijos projekto daliai pagerina projekto atsiperkamumą ir kliento sugebėjimą grąžinti kreditą. Kitas svarbus kriterijus yra paskolos užtikrinimo priemonės. Dažnai jų trūksta arba jos yra netinkamos, tokiu atveju garantijos turi svarią reikšmę sprendimo priėmimui.</w:t>
      </w:r>
    </w:p>
    <w:p w14:paraId="73666C03"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Priežastys dėl kurių nesuteikiamas finansavimas</w:t>
      </w:r>
    </w:p>
    <w:p w14:paraId="3B4AB237"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Apklausos metu bankai išskyrė tris pagrindines priežastis, dėl kurių dažniausiai yra nesuteikiama paskola viešiesiems subjektams:</w:t>
      </w:r>
    </w:p>
    <w:p w14:paraId="3BA3BD06" w14:textId="77777777" w:rsidR="005A0219" w:rsidRPr="002142B8" w:rsidRDefault="005A0219" w:rsidP="00162BF5">
      <w:pPr>
        <w:numPr>
          <w:ilvl w:val="0"/>
          <w:numId w:val="32"/>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įmonė turi per didelius įsipareigojimus;</w:t>
      </w:r>
    </w:p>
    <w:p w14:paraId="13976F3E" w14:textId="33A3FEB5" w:rsidR="005A0219" w:rsidRPr="002142B8" w:rsidRDefault="005A0219" w:rsidP="00162BF5">
      <w:pPr>
        <w:numPr>
          <w:ilvl w:val="0"/>
          <w:numId w:val="32"/>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įmonė turėjo </w:t>
      </w:r>
      <w:r w:rsidR="00D9139B" w:rsidRPr="002142B8">
        <w:rPr>
          <w:rFonts w:ascii="Georgia" w:eastAsia="Georgia" w:hAnsi="Georgia" w:cs="Times New Roman"/>
          <w:sz w:val="20"/>
          <w:szCs w:val="20"/>
          <w:lang w:val="lt-LT"/>
        </w:rPr>
        <w:t>mokumo</w:t>
      </w:r>
      <w:r w:rsidRPr="002142B8">
        <w:rPr>
          <w:rFonts w:ascii="Georgia" w:eastAsia="Georgia" w:hAnsi="Georgia" w:cs="Times New Roman"/>
          <w:sz w:val="20"/>
          <w:szCs w:val="20"/>
          <w:lang w:val="lt-LT"/>
        </w:rPr>
        <w:t xml:space="preserve"> problemų (pradelsti atsiskaitymai, bloga kreditavimo istorija, nepagrįstas planuojamas projekto atsipirkimas);</w:t>
      </w:r>
    </w:p>
    <w:p w14:paraId="33934BC1" w14:textId="77777777" w:rsidR="005A0219" w:rsidRPr="002142B8" w:rsidRDefault="005A0219" w:rsidP="00162BF5">
      <w:pPr>
        <w:numPr>
          <w:ilvl w:val="0"/>
          <w:numId w:val="32"/>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lastRenderedPageBreak/>
        <w:t>įmonė nepagrindžia prašomo finansavimo poreikio (be to, prognozuojamas pinigų srautas paskolai aptarnauti yra nepakankamas).</w:t>
      </w:r>
    </w:p>
    <w:p w14:paraId="34CE07BA"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Taip pat buvo pabrėžta, kad finansavimas savivaldybėms ar valstybės ir savivaldybių valdomoms įstaigoms/įmonėms nesuteikiamas dėl jų blogos finansinė padėties. Tarp priežasčių paminėti šie atvejai: šios įmonės dirba nuostolingai, pastoviai didėja jų įsipareigojimai, jos negeneruoja pakankamo pinigų srauto įsipareigojimams aptarnauti).</w:t>
      </w:r>
    </w:p>
    <w:p w14:paraId="5F0B3187"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Tarp priežasčių, kurias bankai nurodė kaip svarbiausias paskolai suteikti savivaldybėms ar valstybės ir savivaldybių valdomoms įstaigoms/įmonėms, yra šios:</w:t>
      </w:r>
    </w:p>
    <w:p w14:paraId="4B77E268" w14:textId="77777777" w:rsidR="005A0219" w:rsidRPr="002142B8" w:rsidRDefault="005A0219" w:rsidP="00162BF5">
      <w:pPr>
        <w:numPr>
          <w:ilvl w:val="0"/>
          <w:numId w:val="36"/>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pareiškėjo finansinė padėtis (turto, įsipareigojimų dydis, turto kokybė; jo piniginiai srautai ir gebėjimas aptarnauti paskolą);</w:t>
      </w:r>
    </w:p>
    <w:p w14:paraId="51358BDE" w14:textId="77777777" w:rsidR="005A0219" w:rsidRPr="002142B8" w:rsidRDefault="005A0219" w:rsidP="00162BF5">
      <w:pPr>
        <w:numPr>
          <w:ilvl w:val="0"/>
          <w:numId w:val="36"/>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pareiškėjo patikimumas bei jo mokumo istorija;</w:t>
      </w:r>
    </w:p>
    <w:p w14:paraId="0E43A68F" w14:textId="77777777" w:rsidR="005A0219" w:rsidRPr="002142B8" w:rsidRDefault="005A0219" w:rsidP="00162BF5">
      <w:pPr>
        <w:numPr>
          <w:ilvl w:val="0"/>
          <w:numId w:val="36"/>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pareiškėjo pateikiama informacija apie ketinamą įgyvendinti projektą, finansavimo poreikį, jo panaudojimo tikslingumą, finansinius srautus, atsipirkimo rodiklius.</w:t>
      </w:r>
    </w:p>
    <w:p w14:paraId="5459666F"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Banko taikomi kriterijai ir rodikliai viešosios infrastruktūros projektų finansavimui priklauso nuo pareiškėjo patikimumo, finansinio pajėgumo prisiimti kredito riziką:</w:t>
      </w:r>
    </w:p>
    <w:p w14:paraId="04BB89CB" w14:textId="77777777" w:rsidR="005A0219" w:rsidRPr="002142B8" w:rsidRDefault="005A0219" w:rsidP="00162BF5">
      <w:pPr>
        <w:numPr>
          <w:ilvl w:val="0"/>
          <w:numId w:val="34"/>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pareiškėjo skolų aptarnavimo rodikliai turi būti pakankami, leidžiantys saugiai aptarnauti prisiimtus finansinius įsipareigojimus nustatytais terminais;</w:t>
      </w:r>
    </w:p>
    <w:p w14:paraId="29A1DF94" w14:textId="77777777" w:rsidR="005A0219" w:rsidRPr="002142B8" w:rsidRDefault="005A0219" w:rsidP="00162BF5">
      <w:pPr>
        <w:numPr>
          <w:ilvl w:val="0"/>
          <w:numId w:val="34"/>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paskolos aptarnavimo laikotarpis turi būti protingų terminų, saugiai trumpesnis nei finansuojamo objekto nusidėvėjimo laikotarpis;</w:t>
      </w:r>
    </w:p>
    <w:p w14:paraId="420AF866" w14:textId="77777777" w:rsidR="005A0219" w:rsidRPr="002142B8" w:rsidRDefault="005A0219" w:rsidP="00162BF5">
      <w:pPr>
        <w:numPr>
          <w:ilvl w:val="0"/>
          <w:numId w:val="34"/>
        </w:num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savivaldybių skolinimo apimtys turi atitikti įstatymo patvirtintus skolinimosi limitus ir kt.</w:t>
      </w:r>
    </w:p>
    <w:p w14:paraId="39E82D68"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Bankas, suteikdamas paskolas savivaldybėms, vykdo savivaldybių reitingavimą. Reitingavimo sistema apima savivaldybių demografinę situaciją, makroekonomines tendencijas, biudžetų surinkimo rodiklius, pradelstų skolų teikėjams dydžius, skolų santykius su biudžetu bei šių rodiklių tendencijas ir kt.</w:t>
      </w:r>
    </w:p>
    <w:p w14:paraId="1B22CC25"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Komercinių bankų skatinimo priemonės</w:t>
      </w:r>
    </w:p>
    <w:p w14:paraId="20FE675C"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Komerciniai bankai apklausoje nurodė, kad jų dalyvavimą projektų finansavime paskatintų tokių finansinių priemonių ar instrumentų taikymas, kurios leistų sumažinti ar visiškai panaikintų bankų prisiimamą riziką. </w:t>
      </w:r>
    </w:p>
    <w:p w14:paraId="5ACFE59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Pažymėtina, kad tarptautinių finansinių institucijų dalyvavimą projektų finansavime komerciniai bankai mato kaip svarbų kriterijų, nes tokios institucijos dalyvavimas jų nuomone sumažina politinę riziką, bet pirmenybę jie atiduotų atitinkamo dydžio administravimo mokesčio gavimui. Jeigu renovacijos projektai būtų bendrai finansuojami bankų ir ES struktūrinių fondų lėšomis, tai dalis bankų vertintų palankiai, bet tai nebūtų, jų nuomone, pati efektyviausia skatinimo priemonė.</w:t>
      </w:r>
    </w:p>
    <w:p w14:paraId="74A7183C"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Bankų nuomone, projektų finansavimą paskatintų papildomų priemonių, kurios yra skirtos projekto kokybei užtikrinti ir rizikai sumažinti, taikymas ir su tuo susijusių išlaidų kompensavimas. Šios priemonės galėtų apimti įvairias technines ekspertizes, papildomų specialistų pritraukimą (kai jie yra reikalingi specifinio pobūdžio projektuose) ir kitus elementus projekto įgyvendinimo metu, kurie yra būtini projekto kokybės lygio užtikrinimui. Šių kokybės užtikrinimo priemonių taikymas ir jų išlaidų kompensavimas tampa svarbūs, kai projekto grąža nėra užtikrinta. Be to, šių finansinių priemonių administravimas turėtų būti efektyvus ir nesukurti papildomos administracinės naštos bankams.</w:t>
      </w:r>
    </w:p>
    <w:p w14:paraId="49599BD9" w14:textId="77777777" w:rsidR="005A0219" w:rsidRPr="002142B8" w:rsidRDefault="005A0219" w:rsidP="005A0219">
      <w:pPr>
        <w:spacing w:before="140" w:after="140" w:line="240" w:lineRule="auto"/>
        <w:rPr>
          <w:rFonts w:ascii="Georgia" w:eastAsia="Times New Roman" w:hAnsi="Georgia" w:cs="Times New Roman"/>
          <w:i/>
          <w:sz w:val="20"/>
          <w:szCs w:val="24"/>
          <w:lang w:val="lt-LT" w:eastAsia="en-GB"/>
        </w:rPr>
      </w:pPr>
      <w:r w:rsidRPr="002142B8">
        <w:rPr>
          <w:rFonts w:ascii="Georgia" w:eastAsia="Times New Roman" w:hAnsi="Georgia" w:cs="Times New Roman"/>
          <w:i/>
          <w:sz w:val="20"/>
          <w:szCs w:val="24"/>
          <w:lang w:val="lt-LT" w:eastAsia="en-GB"/>
        </w:rPr>
        <w:t>Individualios garantijos ir kitos finansinės priemonės</w:t>
      </w:r>
    </w:p>
    <w:p w14:paraId="0DBCBCF6"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Komerciniai bankai taip pat svarstytų paskolų suteikimą projektų įgyvendinimui, jeigu jiems būtų suteiktos individualios garantijos už paskolų gavėjus. Tai (t.y., valstybės ar kitų valstybinių institucijų garantijų suteikimas) būtų tinkamiausia bankams finansinė priemonė, kad jie galėtų teikti finansavimą projektams. Ši priemonė jiems leistų sumažinti jų prisiimamą riziką. Bet tuomet bankai norėtų žinoti konkrečias suteikiamų garantijų sąlygas ir suteikiamos garantijos dydį. Antra pagal aktualumą finansinė priemonė, kurį nurodė bankai, yra bendras projektų finansavimas, proporcingai dalijantis rizika su vyriausybės paskirta bei valstybės kontroliuojama finansų įstaiga. Įdomu, kad ši priemonė pagal teikiamą svarbą aplenkė tokią priemonę kaip portfelinių garantijų teikimas už banko valdomą viešosios infrastruktūros projektų paskolų gavėjų portfelį. Savo ruožtu būtina pabrėžti, kad </w:t>
      </w:r>
      <w:r w:rsidRPr="002142B8">
        <w:rPr>
          <w:rFonts w:ascii="Georgia" w:eastAsia="Georgia" w:hAnsi="Georgia" w:cs="Times New Roman"/>
          <w:sz w:val="20"/>
          <w:szCs w:val="20"/>
          <w:lang w:val="lt-LT"/>
        </w:rPr>
        <w:lastRenderedPageBreak/>
        <w:t>bankai apklausos metu nurodė viešosios infrastruktūros projektų kreditavimo palūkanų subsidijas kaip jiems mažiausiai svarbią finansinę priemonę.</w:t>
      </w:r>
    </w:p>
    <w:p w14:paraId="3AA1469E" w14:textId="77777777" w:rsidR="005A0219" w:rsidRPr="002142B8" w:rsidRDefault="005A0219" w:rsidP="005A0219">
      <w:pPr>
        <w:spacing w:after="160" w:line="240" w:lineRule="auto"/>
        <w:rPr>
          <w:rFonts w:ascii="Georgia" w:eastAsia="Georgia" w:hAnsi="Georgia" w:cs="Arial Unicode MS"/>
          <w:b/>
          <w:i/>
          <w:sz w:val="24"/>
          <w:szCs w:val="20"/>
          <w:lang w:val="lt-LT"/>
        </w:rPr>
      </w:pPr>
      <w:r w:rsidRPr="002142B8">
        <w:rPr>
          <w:rFonts w:ascii="Georgia" w:eastAsia="Georgia" w:hAnsi="Georgia" w:cs="Arial Unicode MS"/>
          <w:b/>
          <w:i/>
          <w:sz w:val="24"/>
          <w:szCs w:val="20"/>
          <w:lang w:val="lt-LT"/>
        </w:rPr>
        <w:t>Tarptautinių finansų institucijų finansavimas</w:t>
      </w:r>
    </w:p>
    <w:p w14:paraId="581EE953"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Tarptautinės finansų institucijos yra vienas iš labai patikimų, galimai didelės apimties finansavimo šaltinių. Šio vertinimo atlikimo metu buvo nagrinėjama Europos investicijų banko (EIB), Europos plėtros ir rekonstrukcijos banko (EPRB), Šiaurės investicijų banko ir Europos tarybos vystymo banko pateikta ir viešai prieinama informacija. Visos šios institucijos finansavimą projektams teikia vadovaudamosi savo investavimo gairėmis bei strategijomis, todėl kiekvienos iš šių institucijų finansavimas skiriasi tiek pagal siūlomas sąlygas, tiek pagal remiamas sritis. </w:t>
      </w:r>
    </w:p>
    <w:p w14:paraId="34E9EB65"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Šiuo metu finansavimą savo lėšomis energijos efektyvumo didinimo programose teikianti institucija yra tik viena – EPRB, su kuria 2017 m. gegužės 10 d. VIPA pasirašė sutartį siekiant pritraukti papildomus 50 mln. eurų užtikrinant daugiabučių namų modernizavimo fondo (DNMF) veiklos tęstinumą. </w:t>
      </w:r>
    </w:p>
    <w:p w14:paraId="0CF85E28" w14:textId="77777777" w:rsidR="005A0219" w:rsidRPr="002142B8" w:rsidRDefault="005A0219" w:rsidP="005A0219">
      <w:pPr>
        <w:spacing w:after="160" w:line="240" w:lineRule="auto"/>
        <w:rPr>
          <w:rFonts w:ascii="Georgia" w:eastAsia="Georgia" w:hAnsi="Georgia" w:cs="Arial Unicode MS"/>
          <w:b/>
          <w:i/>
          <w:sz w:val="24"/>
          <w:szCs w:val="20"/>
          <w:lang w:val="lt-LT"/>
        </w:rPr>
      </w:pPr>
      <w:r w:rsidRPr="002142B8">
        <w:rPr>
          <w:rFonts w:ascii="Georgia" w:eastAsia="Georgia" w:hAnsi="Georgia" w:cs="Arial Unicode MS"/>
          <w:b/>
          <w:i/>
          <w:sz w:val="24"/>
          <w:szCs w:val="20"/>
          <w:lang w:val="lt-LT"/>
        </w:rPr>
        <w:t>Kitos lėšos</w:t>
      </w:r>
    </w:p>
    <w:p w14:paraId="2F40DD8E" w14:textId="77777777"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Šioje pasiūlos analizės dalyje yra apžvelgiami likę finansavimo šaltiniai, kurie galėtų būti naudojami energijos efektyvumo projektų finansavimui. Pagrinde tai Klimato kaitos programa, kuri 2007-2013 m. periodu buvo lėšų šaltinis teikti subsidijas už pasiektus didelius energijos sutaupymus (ne mažiau kaip 40 proc.) po projektų įgyvendinimo. </w:t>
      </w:r>
    </w:p>
    <w:p w14:paraId="66804CD4" w14:textId="6BBBD60F" w:rsidR="005A0219" w:rsidRPr="002142B8" w:rsidRDefault="005A0219" w:rsidP="005A0219">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KPMG studijoje nurodoma, kad planuojamos metinės savivaldybių ir Lietuvos geležinkelių disponuojamos apšvietimo sistemos atnaujinimo išlaidos sudaro apie 1,8 mln. EUR per metus, t.y. apie 12,7 mln. EUR per visą programavimo periodą. Be to, tikėtina, kad savivaldybių viešieji pastatai, siekdami įgyvendinti pastatų modernizavimo projektus, galėtų </w:t>
      </w:r>
      <w:r w:rsidRPr="002142B8">
        <w:rPr>
          <w:rFonts w:ascii="Georgia" w:eastAsia="Georgia" w:hAnsi="Georgia" w:cs="Times New Roman"/>
          <w:b/>
          <w:sz w:val="20"/>
          <w:szCs w:val="20"/>
          <w:lang w:val="lt-LT"/>
        </w:rPr>
        <w:t>prisidėti apie 5 proc. savomis lėšomis</w:t>
      </w:r>
      <w:r w:rsidRPr="002142B8">
        <w:rPr>
          <w:rFonts w:ascii="Georgia" w:eastAsia="Georgia" w:hAnsi="Georgia" w:cs="Times New Roman"/>
          <w:sz w:val="20"/>
          <w:szCs w:val="20"/>
          <w:lang w:val="lt-LT"/>
        </w:rPr>
        <w:t xml:space="preserve">. Darant prielaidą, kad bus finansuojama visų savivaldybių viešųjų pastatų renovacija (t.y. 260,7 mln. EUR paklausa), nuosavos lėšos galėtų sudaryti apie 13,0 mln. EUR. </w:t>
      </w:r>
    </w:p>
    <w:p w14:paraId="200FE66D" w14:textId="2F916741" w:rsidR="00CF6E71" w:rsidRPr="002142B8" w:rsidRDefault="00CF6E71" w:rsidP="005A0219">
      <w:pPr>
        <w:spacing w:after="160" w:line="240" w:lineRule="auto"/>
        <w:jc w:val="both"/>
        <w:rPr>
          <w:rFonts w:ascii="Georgia" w:eastAsia="Georgia" w:hAnsi="Georgia" w:cs="Times New Roman"/>
          <w:i/>
          <w:sz w:val="20"/>
          <w:szCs w:val="20"/>
          <w:lang w:val="lt-LT"/>
        </w:rPr>
      </w:pPr>
      <w:r w:rsidRPr="002142B8">
        <w:rPr>
          <w:rFonts w:ascii="Georgia" w:eastAsia="Georgia" w:hAnsi="Georgia" w:cs="Times New Roman"/>
          <w:i/>
          <w:sz w:val="20"/>
          <w:szCs w:val="20"/>
          <w:lang w:val="lt-LT"/>
        </w:rPr>
        <w:t>Savivaldybių galimybės skolintis ir finansinė būklė</w:t>
      </w:r>
    </w:p>
    <w:p w14:paraId="68CFA3E3" w14:textId="77777777" w:rsidR="00CF6E71" w:rsidRPr="002142B8" w:rsidRDefault="00CF6E71" w:rsidP="00CF6E71">
      <w:pPr>
        <w:shd w:val="clear" w:color="auto" w:fill="FFFFFF"/>
        <w:spacing w:before="100" w:beforeAutospacing="1" w:after="100" w:afterAutospacing="1"/>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Savivaldybių skolos yra trumpalaikės ir ilgalaikės. Trumpalaikes paskolas savivaldybės gali imti apyvartinių lėšų laikinam trūkumui padengti ir privalo grąžinti iki tų pačių metų pabaigos. Ilgalaikės paskolos – savivaldybių pasiskolintos lėšos investicijų projektams finansuoti. Šios skolos ne tik apskaitomos kaip savivaldybių biudžetų deficitas, bet ir įskaičiuojamos į Lietuvos viešųjų finansų deficitą bei valstybės skolą.</w:t>
      </w:r>
    </w:p>
    <w:p w14:paraId="00CF2F4F" w14:textId="5AD69D9D" w:rsidR="00CF6E71" w:rsidRPr="002142B8" w:rsidRDefault="00CF6E71" w:rsidP="00CF6E71">
      <w:pPr>
        <w:shd w:val="clear" w:color="auto" w:fill="FFFFFF"/>
        <w:spacing w:before="100" w:beforeAutospacing="1" w:after="100" w:afterAutospacing="1"/>
        <w:jc w:val="both"/>
        <w:rPr>
          <w:rFonts w:ascii="Georgia" w:hAnsi="Georgia" w:cs="Georgia"/>
          <w:sz w:val="20"/>
          <w:szCs w:val="20"/>
          <w:lang w:val="lt-LT"/>
        </w:rPr>
      </w:pPr>
      <w:r w:rsidRPr="002142B8">
        <w:rPr>
          <w:rFonts w:ascii="Georgia" w:hAnsi="Georgia" w:cs="Georgia"/>
          <w:sz w:val="20"/>
          <w:szCs w:val="20"/>
          <w:lang w:val="lt-LT"/>
        </w:rPr>
        <w:t>Lietuvos teisės aktai pakankamai griežtai reglamentuoja savivaldybių skolinimąsi. Kiekvienais metais Lietuvos Respublikos Seimas, tvirtindamas Finansinių rodiklių įstatymą bei savivaldybių biudžetus, nustato ir jų skolinimosi limitus. Savivaldybės skola negali viršyti 70 procentų, Vilniaus</w:t>
      </w:r>
      <w:r w:rsidR="00022769" w:rsidRPr="002142B8">
        <w:rPr>
          <w:rFonts w:ascii="Georgia" w:hAnsi="Georgia" w:cs="Georgia"/>
          <w:sz w:val="20"/>
          <w:szCs w:val="20"/>
          <w:lang w:val="lt-LT"/>
        </w:rPr>
        <w:t xml:space="preserve"> miesto savivaldybės</w:t>
      </w:r>
      <w:r w:rsidRPr="002142B8">
        <w:rPr>
          <w:rFonts w:ascii="Georgia" w:hAnsi="Georgia" w:cs="Georgia"/>
          <w:sz w:val="20"/>
          <w:szCs w:val="20"/>
          <w:lang w:val="lt-LT"/>
        </w:rPr>
        <w:t xml:space="preserve"> – 130 procentų, prognozuojamų savivaldybės biudžeto pajamų ir valstybės biudžeto bendrosios dotacijos kompensacijų savivaldybės biudžetui pajamų mažėjimui kompensuoti sumos (skola – 0,7 * [pajamos + dotacija]), kuri vidutiniškai sudaro kiek daugiau nei pusę visų savivaldybių biudžetų pajamų</w:t>
      </w:r>
      <w:r w:rsidRPr="002142B8">
        <w:rPr>
          <w:rStyle w:val="Puslapioinaosnuoroda"/>
          <w:rFonts w:ascii="Georgia" w:hAnsi="Georgia" w:cs="Georgia"/>
          <w:sz w:val="20"/>
          <w:szCs w:val="20"/>
          <w:lang w:val="lt-LT"/>
        </w:rPr>
        <w:footnoteReference w:id="41"/>
      </w:r>
      <w:r w:rsidRPr="002142B8">
        <w:rPr>
          <w:rFonts w:ascii="Georgia" w:hAnsi="Georgia" w:cs="Georgia"/>
          <w:sz w:val="20"/>
          <w:szCs w:val="20"/>
          <w:lang w:val="lt-LT"/>
        </w:rPr>
        <w:t>.</w:t>
      </w:r>
    </w:p>
    <w:p w14:paraId="27569622" w14:textId="77777777" w:rsidR="00CF6E71" w:rsidRPr="002142B8" w:rsidRDefault="00CF6E71" w:rsidP="00CF6E71">
      <w:pPr>
        <w:shd w:val="clear" w:color="auto" w:fill="FFFFFF"/>
        <w:spacing w:before="100" w:beforeAutospacing="1" w:after="100" w:afterAutospacing="1"/>
        <w:jc w:val="both"/>
        <w:rPr>
          <w:rFonts w:ascii="Georgia" w:hAnsi="Georgia" w:cs="Georgia"/>
          <w:sz w:val="20"/>
          <w:szCs w:val="20"/>
          <w:lang w:val="lt-LT"/>
        </w:rPr>
      </w:pPr>
      <w:r w:rsidRPr="002142B8">
        <w:rPr>
          <w:rFonts w:ascii="Georgia" w:hAnsi="Georgia" w:cs="Georgia"/>
          <w:sz w:val="20"/>
          <w:szCs w:val="20"/>
          <w:lang w:val="lt-LT"/>
        </w:rPr>
        <w:t xml:space="preserve">Savivaldybės, kurių skola sudaro daugiau kaip 40 procentų  2016 metais gali skolintis projektams, finansuojamiems iš Europos Sąjungos ir kitos tarptautinės finansinės paramos, įgyvendinti, energijos vartojimo efektyvumo didinimo projektams, savivaldybių įgyvendinamiems pagal Vyriausybės patvirtintas programas, valstybės investicijų 2016–2018 metų programoje 2016 metams numatytiems investicijų projektams įgyvendinti, paimtoms paskoloms grąžinti </w:t>
      </w:r>
      <w:r w:rsidRPr="002142B8">
        <w:rPr>
          <w:rStyle w:val="Puslapioinaosnuoroda"/>
          <w:rFonts w:ascii="Georgia" w:hAnsi="Georgia" w:cs="Georgia"/>
          <w:sz w:val="20"/>
          <w:szCs w:val="20"/>
          <w:lang w:val="lt-LT"/>
        </w:rPr>
        <w:footnoteReference w:id="42"/>
      </w:r>
      <w:r w:rsidRPr="002142B8">
        <w:rPr>
          <w:rFonts w:ascii="Georgia" w:hAnsi="Georgia" w:cs="Georgia"/>
          <w:sz w:val="20"/>
          <w:szCs w:val="20"/>
          <w:lang w:val="lt-LT"/>
        </w:rPr>
        <w:t>.</w:t>
      </w:r>
    </w:p>
    <w:p w14:paraId="3FCA652D" w14:textId="77777777" w:rsidR="00CF6E71" w:rsidRPr="002142B8" w:rsidRDefault="00CF6E71" w:rsidP="00CF6E71">
      <w:pPr>
        <w:shd w:val="clear" w:color="auto" w:fill="FFFFFF"/>
        <w:spacing w:before="100" w:beforeAutospacing="1" w:after="100" w:afterAutospacing="1"/>
        <w:jc w:val="both"/>
        <w:rPr>
          <w:rFonts w:ascii="Georgia" w:hAnsi="Georgia" w:cs="Georgia"/>
          <w:sz w:val="20"/>
          <w:szCs w:val="20"/>
          <w:lang w:val="lt-LT"/>
        </w:rPr>
      </w:pPr>
      <w:r w:rsidRPr="002142B8">
        <w:rPr>
          <w:rFonts w:ascii="Georgia" w:hAnsi="Georgia" w:cs="Georgia"/>
          <w:sz w:val="20"/>
          <w:szCs w:val="20"/>
          <w:lang w:val="lt-LT"/>
        </w:rPr>
        <w:lastRenderedPageBreak/>
        <w:t xml:space="preserve">Absoliuti dauguma ilgalaikių paskolų imama ESI fondų remiamiems projektams savivaldybėse bendrai finansuoti. </w:t>
      </w:r>
    </w:p>
    <w:p w14:paraId="529857FC" w14:textId="77777777" w:rsidR="00CF6E71" w:rsidRPr="002142B8" w:rsidRDefault="00CF6E71" w:rsidP="00CF6E71">
      <w:pPr>
        <w:shd w:val="clear" w:color="auto" w:fill="FFFFFF"/>
        <w:spacing w:before="100" w:beforeAutospacing="1" w:after="100" w:afterAutospacing="1"/>
        <w:jc w:val="both"/>
        <w:rPr>
          <w:rFonts w:ascii="Georgia" w:hAnsi="Georgia" w:cs="Georgia"/>
          <w:sz w:val="20"/>
          <w:szCs w:val="20"/>
          <w:lang w:val="lt-LT"/>
        </w:rPr>
      </w:pPr>
      <w:r w:rsidRPr="002142B8">
        <w:rPr>
          <w:rFonts w:ascii="Georgia" w:hAnsi="Georgia" w:cs="Georgia"/>
          <w:sz w:val="20"/>
          <w:szCs w:val="20"/>
          <w:lang w:val="lt-LT"/>
        </w:rPr>
        <w:t xml:space="preserve">Beveik visuose savivaldybėse skolos mažėjo dėl išaugusių savivaldybių savarankiškų pajamų. Jei 2013-2014 m. savivaldybių pajamų dalis nacionaliniame biudžete sudarė 16,8 ir 19,2 procento, tai 2015-2016 m. ji išaugo iki 20,5 ir 21,5 procentų </w:t>
      </w:r>
      <w:r w:rsidRPr="002142B8">
        <w:rPr>
          <w:rStyle w:val="Puslapioinaosnuoroda"/>
          <w:rFonts w:ascii="Georgia" w:hAnsi="Georgia" w:cs="Georgia"/>
          <w:sz w:val="20"/>
          <w:szCs w:val="20"/>
          <w:lang w:val="lt-LT"/>
        </w:rPr>
        <w:footnoteReference w:id="43"/>
      </w:r>
      <w:r w:rsidRPr="002142B8">
        <w:rPr>
          <w:rFonts w:ascii="Georgia" w:hAnsi="Georgia" w:cs="Georgia"/>
          <w:sz w:val="20"/>
          <w:szCs w:val="20"/>
          <w:lang w:val="lt-LT"/>
        </w:rPr>
        <w:t>.</w:t>
      </w:r>
    </w:p>
    <w:p w14:paraId="39743E9B" w14:textId="77975233" w:rsidR="00CF6E71" w:rsidRPr="005A1A99" w:rsidRDefault="00CF6E71" w:rsidP="00CF6E71">
      <w:pPr>
        <w:pStyle w:val="Antrat"/>
        <w:jc w:val="both"/>
        <w:rPr>
          <w:b w:val="0"/>
          <w:i/>
          <w:lang w:val="lt-LT"/>
        </w:rPr>
      </w:pPr>
      <w:bookmarkStart w:id="101" w:name="_Toc507939146"/>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24</w:t>
      </w:r>
      <w:r w:rsidRPr="005A1A99">
        <w:rPr>
          <w:b w:val="0"/>
          <w:i/>
          <w:lang w:val="lt-LT"/>
        </w:rPr>
        <w:fldChar w:fldCharType="end"/>
      </w:r>
      <w:r w:rsidRPr="005A1A99">
        <w:rPr>
          <w:b w:val="0"/>
          <w:i/>
          <w:lang w:val="lt-LT"/>
        </w:rPr>
        <w:t>. Savivaldybių skolinimosi padėtis 2017</w:t>
      </w:r>
      <w:r w:rsidR="00B93A44">
        <w:rPr>
          <w:b w:val="0"/>
          <w:i/>
          <w:lang w:val="lt-LT"/>
        </w:rPr>
        <w:t>-09-30 d.</w:t>
      </w:r>
      <w:bookmarkEnd w:id="101"/>
    </w:p>
    <w:tbl>
      <w:tblPr>
        <w:tblStyle w:val="LightList-Accent21"/>
        <w:tblW w:w="9507" w:type="dxa"/>
        <w:tblLook w:val="04A0" w:firstRow="1" w:lastRow="0" w:firstColumn="1" w:lastColumn="0" w:noHBand="0" w:noVBand="1"/>
      </w:tblPr>
      <w:tblGrid>
        <w:gridCol w:w="1819"/>
        <w:gridCol w:w="1842"/>
        <w:gridCol w:w="1843"/>
        <w:gridCol w:w="1843"/>
        <w:gridCol w:w="1843"/>
        <w:gridCol w:w="317"/>
      </w:tblGrid>
      <w:tr w:rsidR="00C77CF5" w:rsidRPr="002142B8" w14:paraId="26D2FE2E" w14:textId="77777777" w:rsidTr="00B93A44">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9" w:type="dxa"/>
            <w:hideMark/>
          </w:tcPr>
          <w:p w14:paraId="3B9294E7" w14:textId="06C72239" w:rsidR="00CF6E71" w:rsidRPr="002142B8" w:rsidRDefault="005C0239" w:rsidP="00691E4D">
            <w:pPr>
              <w:jc w:val="center"/>
              <w:rPr>
                <w:rFonts w:ascii="Georgia" w:eastAsia="Times New Roman" w:hAnsi="Georgia" w:cs="Calibri"/>
                <w:b w:val="0"/>
                <w:bCs w:val="0"/>
                <w:sz w:val="20"/>
                <w:szCs w:val="20"/>
              </w:rPr>
            </w:pPr>
            <w:r>
              <w:rPr>
                <w:rFonts w:ascii="Georgia" w:eastAsia="Times New Roman" w:hAnsi="Georgia" w:cs="Calibri"/>
                <w:b w:val="0"/>
                <w:bCs w:val="0"/>
                <w:sz w:val="20"/>
                <w:szCs w:val="20"/>
              </w:rPr>
              <w:t>Savivaldybė</w:t>
            </w:r>
          </w:p>
        </w:tc>
        <w:tc>
          <w:tcPr>
            <w:tcW w:w="1842" w:type="dxa"/>
            <w:hideMark/>
          </w:tcPr>
          <w:p w14:paraId="01673E89" w14:textId="334EB1FA" w:rsidR="00CF6E71" w:rsidRPr="002142B8"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2142B8">
              <w:rPr>
                <w:rFonts w:ascii="Georgia" w:eastAsia="Times New Roman" w:hAnsi="Georgia" w:cs="Calibri"/>
                <w:sz w:val="20"/>
                <w:szCs w:val="20"/>
              </w:rPr>
              <w:t xml:space="preserve">Skolos riba </w:t>
            </w:r>
            <w:r w:rsidR="00F3780B" w:rsidRPr="002142B8">
              <w:rPr>
                <w:rFonts w:ascii="Georgia" w:eastAsia="Times New Roman" w:hAnsi="Georgia" w:cs="Calibri"/>
                <w:sz w:val="20"/>
                <w:szCs w:val="20"/>
              </w:rPr>
              <w:br/>
            </w:r>
            <w:r w:rsidRPr="002142B8">
              <w:rPr>
                <w:rFonts w:ascii="Georgia" w:eastAsia="Times New Roman" w:hAnsi="Georgia" w:cs="Calibri"/>
                <w:sz w:val="20"/>
                <w:szCs w:val="20"/>
              </w:rPr>
              <w:t>proc.</w:t>
            </w:r>
          </w:p>
        </w:tc>
        <w:tc>
          <w:tcPr>
            <w:tcW w:w="1843" w:type="dxa"/>
            <w:hideMark/>
          </w:tcPr>
          <w:p w14:paraId="70D6AE5C" w14:textId="67E21A29" w:rsidR="00CF6E71" w:rsidRPr="002142B8" w:rsidRDefault="00CF6E71" w:rsidP="00B93A44">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2142B8">
              <w:rPr>
                <w:rFonts w:ascii="Georgia" w:eastAsia="Times New Roman" w:hAnsi="Georgia" w:cs="Calibri"/>
                <w:sz w:val="20"/>
                <w:szCs w:val="20"/>
              </w:rPr>
              <w:t xml:space="preserve">Pajamos tūkst. </w:t>
            </w:r>
            <w:r w:rsidR="00B93A44">
              <w:rPr>
                <w:rFonts w:ascii="Georgia" w:eastAsia="Times New Roman" w:hAnsi="Georgia" w:cs="Calibri"/>
                <w:sz w:val="20"/>
                <w:szCs w:val="20"/>
              </w:rPr>
              <w:t>eurų</w:t>
            </w:r>
            <w:r w:rsidR="00B93A44" w:rsidRPr="002142B8">
              <w:rPr>
                <w:rFonts w:ascii="Georgia" w:eastAsia="Times New Roman" w:hAnsi="Georgia" w:cs="Calibri"/>
                <w:sz w:val="20"/>
                <w:szCs w:val="20"/>
              </w:rPr>
              <w:t xml:space="preserve"> </w:t>
            </w:r>
          </w:p>
        </w:tc>
        <w:tc>
          <w:tcPr>
            <w:tcW w:w="1843" w:type="dxa"/>
            <w:hideMark/>
          </w:tcPr>
          <w:p w14:paraId="76EC0026" w14:textId="77777777" w:rsidR="00CF6E71" w:rsidRPr="002142B8"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2142B8">
              <w:rPr>
                <w:rFonts w:ascii="Georgia" w:eastAsia="Times New Roman" w:hAnsi="Georgia" w:cs="Calibri"/>
                <w:sz w:val="20"/>
                <w:szCs w:val="20"/>
              </w:rPr>
              <w:t>Skola</w:t>
            </w:r>
          </w:p>
        </w:tc>
        <w:tc>
          <w:tcPr>
            <w:tcW w:w="1843" w:type="dxa"/>
            <w:hideMark/>
          </w:tcPr>
          <w:p w14:paraId="56CE996E" w14:textId="77777777" w:rsidR="00CF6E71" w:rsidRPr="002142B8" w:rsidRDefault="00CF6E71" w:rsidP="0063781D">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r w:rsidRPr="002142B8">
              <w:rPr>
                <w:rFonts w:ascii="Georgia" w:eastAsia="Times New Roman" w:hAnsi="Georgia" w:cs="Calibri"/>
                <w:sz w:val="20"/>
                <w:szCs w:val="20"/>
              </w:rPr>
              <w:t xml:space="preserve">Proc. </w:t>
            </w:r>
          </w:p>
        </w:tc>
        <w:tc>
          <w:tcPr>
            <w:tcW w:w="317" w:type="dxa"/>
            <w:noWrap/>
            <w:hideMark/>
          </w:tcPr>
          <w:p w14:paraId="4EE0F2E4" w14:textId="77777777" w:rsidR="00CF6E71" w:rsidRPr="002142B8" w:rsidRDefault="00CF6E71" w:rsidP="00691E4D">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w:b w:val="0"/>
                <w:bCs w:val="0"/>
                <w:sz w:val="20"/>
                <w:szCs w:val="20"/>
              </w:rPr>
            </w:pPr>
          </w:p>
        </w:tc>
      </w:tr>
      <w:tr w:rsidR="00C77CF5" w:rsidRPr="002142B8" w14:paraId="0B115985" w14:textId="77777777" w:rsidTr="00B93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076DED07" w14:textId="4FC40E78" w:rsidR="00CF6E71" w:rsidRPr="002142B8" w:rsidRDefault="00CF6E71" w:rsidP="00691E4D">
            <w:pPr>
              <w:jc w:val="center"/>
              <w:rPr>
                <w:rFonts w:ascii="Georgia" w:eastAsia="Times New Roman" w:hAnsi="Georgia" w:cs="Calibri"/>
                <w:color w:val="000000"/>
                <w:sz w:val="20"/>
                <w:szCs w:val="20"/>
              </w:rPr>
            </w:pPr>
            <w:r w:rsidRPr="002142B8">
              <w:rPr>
                <w:rFonts w:ascii="Georgia" w:eastAsia="Times New Roman" w:hAnsi="Georgia" w:cs="Calibri"/>
                <w:color w:val="000000"/>
                <w:sz w:val="20"/>
                <w:szCs w:val="20"/>
              </w:rPr>
              <w:t>Vilni</w:t>
            </w:r>
            <w:r w:rsidR="005C0239">
              <w:rPr>
                <w:rFonts w:ascii="Georgia" w:eastAsia="Times New Roman" w:hAnsi="Georgia" w:cs="Calibri"/>
                <w:color w:val="000000"/>
                <w:sz w:val="20"/>
                <w:szCs w:val="20"/>
              </w:rPr>
              <w:t>a</w:t>
            </w:r>
            <w:r w:rsidRPr="002142B8">
              <w:rPr>
                <w:rFonts w:ascii="Georgia" w:eastAsia="Times New Roman" w:hAnsi="Georgia" w:cs="Calibri"/>
                <w:color w:val="000000"/>
                <w:sz w:val="20"/>
                <w:szCs w:val="20"/>
              </w:rPr>
              <w:t>us</w:t>
            </w:r>
            <w:r w:rsidR="005C0239">
              <w:rPr>
                <w:rFonts w:ascii="Georgia" w:eastAsia="Times New Roman" w:hAnsi="Georgia" w:cs="Calibri"/>
                <w:color w:val="000000"/>
                <w:sz w:val="20"/>
                <w:szCs w:val="20"/>
              </w:rPr>
              <w:t xml:space="preserve"> m.</w:t>
            </w:r>
          </w:p>
        </w:tc>
        <w:tc>
          <w:tcPr>
            <w:tcW w:w="1842" w:type="dxa"/>
            <w:hideMark/>
          </w:tcPr>
          <w:p w14:paraId="1F2ACF81"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130%</w:t>
            </w:r>
          </w:p>
        </w:tc>
        <w:tc>
          <w:tcPr>
            <w:tcW w:w="1843" w:type="dxa"/>
            <w:hideMark/>
          </w:tcPr>
          <w:p w14:paraId="486756EA" w14:textId="356F2FA2"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288</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416</w:t>
            </w:r>
          </w:p>
        </w:tc>
        <w:tc>
          <w:tcPr>
            <w:tcW w:w="1843" w:type="dxa"/>
            <w:hideMark/>
          </w:tcPr>
          <w:p w14:paraId="3F7E1AB0" w14:textId="05833771"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238</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977</w:t>
            </w:r>
          </w:p>
        </w:tc>
        <w:tc>
          <w:tcPr>
            <w:tcW w:w="1843" w:type="dxa"/>
            <w:hideMark/>
          </w:tcPr>
          <w:p w14:paraId="63D296F2"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82,9</w:t>
            </w:r>
          </w:p>
        </w:tc>
        <w:tc>
          <w:tcPr>
            <w:tcW w:w="317" w:type="dxa"/>
            <w:hideMark/>
          </w:tcPr>
          <w:p w14:paraId="20F5A6EB" w14:textId="77777777" w:rsidR="00CF6E71" w:rsidRPr="002142B8"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171750AF" w14:textId="77777777" w:rsidTr="00B93A44">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33A3F61E" w14:textId="3C3A5C96" w:rsidR="00CF6E71" w:rsidRPr="002142B8" w:rsidRDefault="005C0239" w:rsidP="00691E4D">
            <w:pPr>
              <w:jc w:val="center"/>
              <w:rPr>
                <w:rFonts w:ascii="Georgia" w:eastAsia="Times New Roman" w:hAnsi="Georgia" w:cs="Calibri"/>
                <w:color w:val="000000"/>
                <w:sz w:val="20"/>
                <w:szCs w:val="20"/>
              </w:rPr>
            </w:pPr>
            <w:r>
              <w:rPr>
                <w:rFonts w:ascii="Georgia" w:eastAsia="Times New Roman" w:hAnsi="Georgia" w:cs="Calibri"/>
                <w:color w:val="000000"/>
                <w:sz w:val="20"/>
                <w:szCs w:val="20"/>
              </w:rPr>
              <w:t>Kauno m.</w:t>
            </w:r>
          </w:p>
        </w:tc>
        <w:tc>
          <w:tcPr>
            <w:tcW w:w="1842" w:type="dxa"/>
            <w:hideMark/>
          </w:tcPr>
          <w:p w14:paraId="3425BC95" w14:textId="77777777"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70%</w:t>
            </w:r>
          </w:p>
        </w:tc>
        <w:tc>
          <w:tcPr>
            <w:tcW w:w="1843" w:type="dxa"/>
            <w:hideMark/>
          </w:tcPr>
          <w:p w14:paraId="26C0783F" w14:textId="15F29882"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158</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120</w:t>
            </w:r>
          </w:p>
        </w:tc>
        <w:tc>
          <w:tcPr>
            <w:tcW w:w="1843" w:type="dxa"/>
            <w:hideMark/>
          </w:tcPr>
          <w:p w14:paraId="40D1D3BE" w14:textId="16D17E62"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49</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579</w:t>
            </w:r>
          </w:p>
        </w:tc>
        <w:tc>
          <w:tcPr>
            <w:tcW w:w="1843" w:type="dxa"/>
            <w:hideMark/>
          </w:tcPr>
          <w:p w14:paraId="4CB4E51B" w14:textId="77777777"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31,4</w:t>
            </w:r>
          </w:p>
        </w:tc>
        <w:tc>
          <w:tcPr>
            <w:tcW w:w="317" w:type="dxa"/>
            <w:hideMark/>
          </w:tcPr>
          <w:p w14:paraId="52C628C8" w14:textId="77777777" w:rsidR="00CF6E71" w:rsidRPr="002142B8"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2E86DC95" w14:textId="77777777" w:rsidTr="00B93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747EFCBF" w14:textId="78943415" w:rsidR="00CF6E71" w:rsidRPr="002142B8" w:rsidRDefault="005C0239" w:rsidP="00691E4D">
            <w:pPr>
              <w:jc w:val="center"/>
              <w:rPr>
                <w:rFonts w:ascii="Georgia" w:eastAsia="Times New Roman" w:hAnsi="Georgia" w:cs="Calibri"/>
                <w:color w:val="000000"/>
                <w:sz w:val="20"/>
                <w:szCs w:val="20"/>
              </w:rPr>
            </w:pPr>
            <w:r>
              <w:rPr>
                <w:rFonts w:ascii="Georgia" w:eastAsia="Times New Roman" w:hAnsi="Georgia" w:cs="Calibri"/>
                <w:color w:val="000000"/>
                <w:sz w:val="20"/>
                <w:szCs w:val="20"/>
              </w:rPr>
              <w:t>Klaipėdos m.</w:t>
            </w:r>
          </w:p>
        </w:tc>
        <w:tc>
          <w:tcPr>
            <w:tcW w:w="1842" w:type="dxa"/>
            <w:hideMark/>
          </w:tcPr>
          <w:p w14:paraId="46B32DE9"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70%</w:t>
            </w:r>
          </w:p>
        </w:tc>
        <w:tc>
          <w:tcPr>
            <w:tcW w:w="1843" w:type="dxa"/>
            <w:hideMark/>
          </w:tcPr>
          <w:p w14:paraId="62F52DAB" w14:textId="7DEA3031"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88</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204</w:t>
            </w:r>
          </w:p>
        </w:tc>
        <w:tc>
          <w:tcPr>
            <w:tcW w:w="1843" w:type="dxa"/>
            <w:hideMark/>
          </w:tcPr>
          <w:p w14:paraId="72E5D3C8" w14:textId="1C47C9A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9</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469</w:t>
            </w:r>
          </w:p>
        </w:tc>
        <w:tc>
          <w:tcPr>
            <w:tcW w:w="1843" w:type="dxa"/>
            <w:hideMark/>
          </w:tcPr>
          <w:p w14:paraId="75FA979D"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10,7</w:t>
            </w:r>
          </w:p>
        </w:tc>
        <w:tc>
          <w:tcPr>
            <w:tcW w:w="317" w:type="dxa"/>
            <w:hideMark/>
          </w:tcPr>
          <w:p w14:paraId="29975AE5" w14:textId="77777777" w:rsidR="00CF6E71" w:rsidRPr="002142B8"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52D7B986" w14:textId="77777777" w:rsidTr="00B93A44">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06C90E5C" w14:textId="3CCE80EB" w:rsidR="00CF6E71" w:rsidRPr="002142B8" w:rsidRDefault="005C0239" w:rsidP="00691E4D">
            <w:pPr>
              <w:jc w:val="center"/>
              <w:rPr>
                <w:rFonts w:ascii="Georgia" w:eastAsia="Times New Roman" w:hAnsi="Georgia" w:cs="Calibri"/>
                <w:color w:val="000000"/>
                <w:sz w:val="20"/>
                <w:szCs w:val="20"/>
              </w:rPr>
            </w:pPr>
            <w:r>
              <w:rPr>
                <w:rFonts w:ascii="Georgia" w:eastAsia="Times New Roman" w:hAnsi="Georgia" w:cs="Calibri"/>
                <w:color w:val="000000"/>
                <w:sz w:val="20"/>
                <w:szCs w:val="20"/>
              </w:rPr>
              <w:t>Šiaulių m.</w:t>
            </w:r>
          </w:p>
        </w:tc>
        <w:tc>
          <w:tcPr>
            <w:tcW w:w="1842" w:type="dxa"/>
            <w:hideMark/>
          </w:tcPr>
          <w:p w14:paraId="6A3884CF" w14:textId="77777777"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70%</w:t>
            </w:r>
          </w:p>
        </w:tc>
        <w:tc>
          <w:tcPr>
            <w:tcW w:w="1843" w:type="dxa"/>
            <w:hideMark/>
          </w:tcPr>
          <w:p w14:paraId="154BEB8B" w14:textId="090FDD45"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51</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072</w:t>
            </w:r>
          </w:p>
        </w:tc>
        <w:tc>
          <w:tcPr>
            <w:tcW w:w="1843" w:type="dxa"/>
            <w:hideMark/>
          </w:tcPr>
          <w:p w14:paraId="1C97EE05" w14:textId="40A84C20"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533</w:t>
            </w:r>
          </w:p>
        </w:tc>
        <w:tc>
          <w:tcPr>
            <w:tcW w:w="1843" w:type="dxa"/>
            <w:hideMark/>
          </w:tcPr>
          <w:p w14:paraId="0B92E3FA" w14:textId="77777777"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14,7</w:t>
            </w:r>
          </w:p>
        </w:tc>
        <w:tc>
          <w:tcPr>
            <w:tcW w:w="317" w:type="dxa"/>
            <w:hideMark/>
          </w:tcPr>
          <w:p w14:paraId="1D409D1A" w14:textId="77777777" w:rsidR="00CF6E71" w:rsidRPr="002142B8"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2B71C445" w14:textId="77777777" w:rsidTr="00B93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38F523AB" w14:textId="4CBDE167" w:rsidR="00CF6E71" w:rsidRPr="002142B8" w:rsidRDefault="005C0239" w:rsidP="00691E4D">
            <w:pPr>
              <w:jc w:val="center"/>
              <w:rPr>
                <w:rFonts w:ascii="Georgia" w:eastAsia="Times New Roman" w:hAnsi="Georgia" w:cs="Calibri"/>
                <w:color w:val="000000"/>
                <w:sz w:val="20"/>
                <w:szCs w:val="20"/>
              </w:rPr>
            </w:pPr>
            <w:r>
              <w:rPr>
                <w:rFonts w:ascii="Georgia" w:eastAsia="Times New Roman" w:hAnsi="Georgia" w:cs="Calibri"/>
                <w:color w:val="000000"/>
                <w:sz w:val="20"/>
                <w:szCs w:val="20"/>
              </w:rPr>
              <w:t>Panevėžio m.</w:t>
            </w:r>
          </w:p>
        </w:tc>
        <w:tc>
          <w:tcPr>
            <w:tcW w:w="1842" w:type="dxa"/>
            <w:hideMark/>
          </w:tcPr>
          <w:p w14:paraId="2F6636BB"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70%</w:t>
            </w:r>
          </w:p>
        </w:tc>
        <w:tc>
          <w:tcPr>
            <w:tcW w:w="1843" w:type="dxa"/>
            <w:hideMark/>
          </w:tcPr>
          <w:p w14:paraId="7F4E7514" w14:textId="137D39F9"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41</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384</w:t>
            </w:r>
          </w:p>
        </w:tc>
        <w:tc>
          <w:tcPr>
            <w:tcW w:w="1843" w:type="dxa"/>
            <w:hideMark/>
          </w:tcPr>
          <w:p w14:paraId="7FEE759A" w14:textId="4625D0D6"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739</w:t>
            </w:r>
          </w:p>
        </w:tc>
        <w:tc>
          <w:tcPr>
            <w:tcW w:w="1843" w:type="dxa"/>
            <w:hideMark/>
          </w:tcPr>
          <w:p w14:paraId="7A22802A"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18,7</w:t>
            </w:r>
          </w:p>
        </w:tc>
        <w:tc>
          <w:tcPr>
            <w:tcW w:w="317" w:type="dxa"/>
            <w:hideMark/>
          </w:tcPr>
          <w:p w14:paraId="189BC8C4" w14:textId="77777777" w:rsidR="00CF6E71" w:rsidRPr="002142B8"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3FB6A5D6" w14:textId="77777777" w:rsidTr="00B93A44">
        <w:trPr>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46836654" w14:textId="2ED80826" w:rsidR="00CF6E71" w:rsidRPr="002142B8" w:rsidRDefault="005C0239" w:rsidP="00691E4D">
            <w:pPr>
              <w:jc w:val="center"/>
              <w:rPr>
                <w:rFonts w:ascii="Georgia" w:eastAsia="Times New Roman" w:hAnsi="Georgia" w:cs="Calibri"/>
                <w:color w:val="000000"/>
                <w:sz w:val="20"/>
                <w:szCs w:val="20"/>
              </w:rPr>
            </w:pPr>
            <w:r>
              <w:rPr>
                <w:rFonts w:ascii="Georgia" w:eastAsia="Times New Roman" w:hAnsi="Georgia" w:cs="Calibri"/>
                <w:color w:val="000000"/>
                <w:sz w:val="20"/>
                <w:szCs w:val="20"/>
              </w:rPr>
              <w:t>Kitos savivaldybės</w:t>
            </w:r>
          </w:p>
        </w:tc>
        <w:tc>
          <w:tcPr>
            <w:tcW w:w="1842" w:type="dxa"/>
            <w:hideMark/>
          </w:tcPr>
          <w:p w14:paraId="39F9877F" w14:textId="77777777"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70%</w:t>
            </w:r>
          </w:p>
        </w:tc>
        <w:tc>
          <w:tcPr>
            <w:tcW w:w="1843" w:type="dxa"/>
            <w:hideMark/>
          </w:tcPr>
          <w:p w14:paraId="34CFEAF4" w14:textId="33C9713E"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771</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873</w:t>
            </w:r>
          </w:p>
        </w:tc>
        <w:tc>
          <w:tcPr>
            <w:tcW w:w="1843" w:type="dxa"/>
            <w:hideMark/>
          </w:tcPr>
          <w:p w14:paraId="277567FC" w14:textId="520A26A6" w:rsidR="00CF6E71" w:rsidRPr="002142B8" w:rsidRDefault="00CF6E71"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238</w:t>
            </w:r>
            <w:r w:rsidR="0018041C" w:rsidRPr="002142B8">
              <w:rPr>
                <w:rFonts w:ascii="Georgia" w:eastAsia="Times New Roman" w:hAnsi="Georgia" w:cs="Calibri"/>
                <w:color w:val="000000"/>
                <w:sz w:val="20"/>
                <w:szCs w:val="20"/>
              </w:rPr>
              <w:t xml:space="preserve"> </w:t>
            </w:r>
            <w:r w:rsidRPr="002142B8">
              <w:rPr>
                <w:rFonts w:ascii="Georgia" w:eastAsia="Times New Roman" w:hAnsi="Georgia" w:cs="Calibri"/>
                <w:color w:val="000000"/>
                <w:sz w:val="20"/>
                <w:szCs w:val="20"/>
              </w:rPr>
              <w:t>539</w:t>
            </w:r>
          </w:p>
        </w:tc>
        <w:tc>
          <w:tcPr>
            <w:tcW w:w="1843" w:type="dxa"/>
            <w:hideMark/>
          </w:tcPr>
          <w:p w14:paraId="5E23041D" w14:textId="6A7980F3" w:rsidR="00CF6E71" w:rsidRPr="002142B8" w:rsidRDefault="00F3780B" w:rsidP="006378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30,9</w:t>
            </w:r>
          </w:p>
        </w:tc>
        <w:tc>
          <w:tcPr>
            <w:tcW w:w="317" w:type="dxa"/>
            <w:hideMark/>
          </w:tcPr>
          <w:p w14:paraId="0061B703" w14:textId="77777777" w:rsidR="00CF6E71" w:rsidRPr="002142B8" w:rsidRDefault="00CF6E71" w:rsidP="00691E4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r w:rsidR="00C77CF5" w:rsidRPr="002142B8" w14:paraId="7476DBF3" w14:textId="77777777" w:rsidTr="00B93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9" w:type="dxa"/>
            <w:hideMark/>
          </w:tcPr>
          <w:p w14:paraId="5D04E1FA" w14:textId="5254D187" w:rsidR="00CF6E71" w:rsidRPr="002142B8" w:rsidRDefault="00F3780B" w:rsidP="00691E4D">
            <w:pPr>
              <w:jc w:val="center"/>
              <w:rPr>
                <w:rFonts w:ascii="Georgia" w:eastAsia="Times New Roman" w:hAnsi="Georgia" w:cs="Calibri"/>
                <w:b w:val="0"/>
                <w:color w:val="000000"/>
                <w:sz w:val="20"/>
                <w:szCs w:val="20"/>
              </w:rPr>
            </w:pPr>
            <w:r w:rsidRPr="002142B8">
              <w:rPr>
                <w:rFonts w:ascii="Georgia" w:eastAsia="Times New Roman" w:hAnsi="Georgia" w:cs="Calibri"/>
                <w:color w:val="000000"/>
                <w:sz w:val="20"/>
                <w:szCs w:val="20"/>
              </w:rPr>
              <w:t>Iš viso</w:t>
            </w:r>
          </w:p>
        </w:tc>
        <w:tc>
          <w:tcPr>
            <w:tcW w:w="1842" w:type="dxa"/>
            <w:hideMark/>
          </w:tcPr>
          <w:p w14:paraId="1F5E16E1" w14:textId="77777777"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2142B8">
              <w:rPr>
                <w:rFonts w:ascii="Georgia" w:eastAsia="Times New Roman" w:hAnsi="Georgia" w:cs="Calibri"/>
                <w:b/>
                <w:color w:val="000000"/>
                <w:sz w:val="20"/>
                <w:szCs w:val="20"/>
              </w:rPr>
              <w:t> </w:t>
            </w:r>
          </w:p>
        </w:tc>
        <w:tc>
          <w:tcPr>
            <w:tcW w:w="1843" w:type="dxa"/>
            <w:hideMark/>
          </w:tcPr>
          <w:p w14:paraId="77A06E28" w14:textId="12CAB8DC"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2142B8">
              <w:rPr>
                <w:rFonts w:ascii="Georgia" w:eastAsia="Times New Roman" w:hAnsi="Georgia" w:cs="Calibri"/>
                <w:b/>
                <w:color w:val="000000"/>
                <w:sz w:val="20"/>
                <w:szCs w:val="20"/>
              </w:rPr>
              <w:t>1</w:t>
            </w:r>
            <w:r w:rsidR="0018041C" w:rsidRPr="002142B8">
              <w:rPr>
                <w:rFonts w:ascii="Georgia" w:eastAsia="Times New Roman" w:hAnsi="Georgia" w:cs="Calibri"/>
                <w:b/>
                <w:color w:val="000000"/>
                <w:sz w:val="20"/>
                <w:szCs w:val="20"/>
              </w:rPr>
              <w:t xml:space="preserve"> </w:t>
            </w:r>
            <w:r w:rsidRPr="002142B8">
              <w:rPr>
                <w:rFonts w:ascii="Georgia" w:eastAsia="Times New Roman" w:hAnsi="Georgia" w:cs="Calibri"/>
                <w:b/>
                <w:color w:val="000000"/>
                <w:sz w:val="20"/>
                <w:szCs w:val="20"/>
              </w:rPr>
              <w:t>399</w:t>
            </w:r>
            <w:r w:rsidR="0018041C" w:rsidRPr="002142B8">
              <w:rPr>
                <w:rFonts w:ascii="Georgia" w:eastAsia="Times New Roman" w:hAnsi="Georgia" w:cs="Calibri"/>
                <w:b/>
                <w:color w:val="000000"/>
                <w:sz w:val="20"/>
                <w:szCs w:val="20"/>
              </w:rPr>
              <w:t xml:space="preserve"> </w:t>
            </w:r>
            <w:r w:rsidRPr="002142B8">
              <w:rPr>
                <w:rFonts w:ascii="Georgia" w:eastAsia="Times New Roman" w:hAnsi="Georgia" w:cs="Calibri"/>
                <w:b/>
                <w:color w:val="000000"/>
                <w:sz w:val="20"/>
                <w:szCs w:val="20"/>
              </w:rPr>
              <w:t>069</w:t>
            </w:r>
          </w:p>
        </w:tc>
        <w:tc>
          <w:tcPr>
            <w:tcW w:w="1843" w:type="dxa"/>
            <w:hideMark/>
          </w:tcPr>
          <w:p w14:paraId="60AEEC1D" w14:textId="0622947C"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2142B8">
              <w:rPr>
                <w:rFonts w:ascii="Georgia" w:eastAsia="Times New Roman" w:hAnsi="Georgia" w:cs="Calibri"/>
                <w:b/>
                <w:color w:val="000000"/>
                <w:sz w:val="20"/>
                <w:szCs w:val="20"/>
              </w:rPr>
              <w:t>551</w:t>
            </w:r>
            <w:r w:rsidR="0018041C" w:rsidRPr="002142B8">
              <w:rPr>
                <w:rFonts w:ascii="Georgia" w:eastAsia="Times New Roman" w:hAnsi="Georgia" w:cs="Calibri"/>
                <w:b/>
                <w:color w:val="000000"/>
                <w:sz w:val="20"/>
                <w:szCs w:val="20"/>
              </w:rPr>
              <w:t xml:space="preserve"> </w:t>
            </w:r>
            <w:r w:rsidRPr="002142B8">
              <w:rPr>
                <w:rFonts w:ascii="Georgia" w:eastAsia="Times New Roman" w:hAnsi="Georgia" w:cs="Calibri"/>
                <w:b/>
                <w:color w:val="000000"/>
                <w:sz w:val="20"/>
                <w:szCs w:val="20"/>
              </w:rPr>
              <w:t>835</w:t>
            </w:r>
          </w:p>
        </w:tc>
        <w:tc>
          <w:tcPr>
            <w:tcW w:w="1843" w:type="dxa"/>
            <w:hideMark/>
          </w:tcPr>
          <w:p w14:paraId="31A510D8" w14:textId="488C8E0C" w:rsidR="00CF6E71" w:rsidRPr="002142B8" w:rsidRDefault="00CF6E71" w:rsidP="006378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b/>
                <w:color w:val="000000"/>
                <w:sz w:val="20"/>
                <w:szCs w:val="20"/>
              </w:rPr>
            </w:pPr>
            <w:r w:rsidRPr="002142B8">
              <w:rPr>
                <w:rFonts w:ascii="Georgia" w:eastAsia="Times New Roman" w:hAnsi="Georgia" w:cs="Calibri"/>
                <w:b/>
                <w:color w:val="000000"/>
                <w:sz w:val="20"/>
                <w:szCs w:val="20"/>
              </w:rPr>
              <w:t>39</w:t>
            </w:r>
            <w:r w:rsidR="00F3780B" w:rsidRPr="002142B8">
              <w:rPr>
                <w:rFonts w:ascii="Georgia" w:eastAsia="Times New Roman" w:hAnsi="Georgia" w:cs="Calibri"/>
                <w:b/>
                <w:color w:val="000000"/>
                <w:sz w:val="20"/>
                <w:szCs w:val="20"/>
              </w:rPr>
              <w:t>,4</w:t>
            </w:r>
          </w:p>
        </w:tc>
        <w:tc>
          <w:tcPr>
            <w:tcW w:w="317" w:type="dxa"/>
            <w:hideMark/>
          </w:tcPr>
          <w:p w14:paraId="2483EF0F" w14:textId="77777777" w:rsidR="00CF6E71" w:rsidRPr="002142B8" w:rsidRDefault="00CF6E71" w:rsidP="00691E4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0"/>
                <w:szCs w:val="20"/>
              </w:rPr>
            </w:pPr>
            <w:r w:rsidRPr="002142B8">
              <w:rPr>
                <w:rFonts w:ascii="Georgia" w:eastAsia="Times New Roman" w:hAnsi="Georgia" w:cs="Calibri"/>
                <w:color w:val="000000"/>
                <w:sz w:val="20"/>
                <w:szCs w:val="20"/>
              </w:rPr>
              <w:t> </w:t>
            </w:r>
          </w:p>
        </w:tc>
      </w:tr>
    </w:tbl>
    <w:p w14:paraId="0EE100C0" w14:textId="2927CF31" w:rsidR="00CF6E71" w:rsidRPr="002142B8" w:rsidRDefault="00CF6E71" w:rsidP="00CF6E71">
      <w:pPr>
        <w:pStyle w:val="Antrat"/>
        <w:jc w:val="both"/>
        <w:rPr>
          <w:b w:val="0"/>
          <w:i/>
          <w:lang w:val="lt-LT"/>
        </w:rPr>
      </w:pPr>
      <w:r w:rsidRPr="002142B8">
        <w:rPr>
          <w:b w:val="0"/>
          <w:i/>
          <w:lang w:val="lt-LT"/>
        </w:rPr>
        <w:t xml:space="preserve">Šaltinis: </w:t>
      </w:r>
      <w:r w:rsidR="00BB79B7">
        <w:rPr>
          <w:b w:val="0"/>
          <w:i/>
          <w:lang w:val="lt-LT"/>
        </w:rPr>
        <w:t>F</w:t>
      </w:r>
      <w:r w:rsidRPr="002142B8">
        <w:rPr>
          <w:b w:val="0"/>
          <w:i/>
          <w:lang w:val="lt-LT"/>
        </w:rPr>
        <w:t xml:space="preserve">inansų ministerijos duomenys, sudaryta autorių </w:t>
      </w:r>
      <w:r w:rsidRPr="002142B8">
        <w:rPr>
          <w:rStyle w:val="Puslapioinaosnuoroda"/>
          <w:b w:val="0"/>
          <w:i/>
          <w:lang w:val="lt-LT"/>
        </w:rPr>
        <w:footnoteReference w:id="44"/>
      </w:r>
      <w:r w:rsidRPr="002142B8">
        <w:rPr>
          <w:b w:val="0"/>
          <w:i/>
          <w:lang w:val="lt-LT"/>
        </w:rPr>
        <w:t xml:space="preserve">. </w:t>
      </w:r>
    </w:p>
    <w:p w14:paraId="783300BA" w14:textId="68E688CF" w:rsidR="00CF6E71" w:rsidRPr="002142B8" w:rsidRDefault="00CF6E71" w:rsidP="00CF6E71">
      <w:pPr>
        <w:spacing w:after="160" w:line="240" w:lineRule="auto"/>
        <w:jc w:val="both"/>
        <w:rPr>
          <w:rFonts w:ascii="Georgia" w:eastAsia="Georgia" w:hAnsi="Georgia" w:cs="Times New Roman"/>
          <w:sz w:val="20"/>
          <w:szCs w:val="20"/>
          <w:lang w:val="lt-LT"/>
        </w:rPr>
      </w:pPr>
      <w:r w:rsidRPr="002142B8">
        <w:rPr>
          <w:rFonts w:ascii="Georgia" w:hAnsi="Georgia" w:cs="Georgia"/>
          <w:sz w:val="20"/>
          <w:szCs w:val="20"/>
          <w:lang w:val="lt-LT"/>
        </w:rPr>
        <w:t>Įvertinus savivaldybių finansinę padėtį bei galimybes skolintis, pažymėtina, kad pagal savivaldybėms nustatytus skolinimosi limitus, savivaldybės dar turi pajėgumų skolintis. Taip pat tikėtina, kad įgyvendinant energijos efektyvumo projektus, galutinis rezultatas savivaldybėms neturėtų padaryti esminės įtakos, kadangi padidėjus skolai sumažės energijos kaštai, iš kurių sutaupymų padengiamos skolos įmokos.</w:t>
      </w:r>
    </w:p>
    <w:p w14:paraId="25B603FF" w14:textId="77777777" w:rsidR="005A0219" w:rsidRPr="002142B8" w:rsidRDefault="005A0219" w:rsidP="005A0219">
      <w:pPr>
        <w:keepNext/>
        <w:keepLines/>
        <w:numPr>
          <w:ilvl w:val="3"/>
          <w:numId w:val="2"/>
        </w:numPr>
        <w:spacing w:before="200" w:after="0" w:line="240" w:lineRule="auto"/>
        <w:ind w:hanging="1440"/>
        <w:outlineLvl w:val="1"/>
        <w:rPr>
          <w:rFonts w:ascii="Georgia" w:eastAsia="Times New Roman" w:hAnsi="Georgia" w:cs="Arial Unicode MS"/>
          <w:b/>
          <w:i/>
          <w:color w:val="821A1A"/>
          <w:sz w:val="32"/>
          <w:szCs w:val="26"/>
          <w:lang w:val="lt-LT"/>
        </w:rPr>
      </w:pPr>
      <w:bookmarkStart w:id="102" w:name="_Toc25589902"/>
      <w:r w:rsidRPr="002142B8">
        <w:rPr>
          <w:rFonts w:ascii="Georgia" w:eastAsia="Times New Roman" w:hAnsi="Georgia" w:cs="Arial Unicode MS"/>
          <w:b/>
          <w:i/>
          <w:color w:val="821A1A"/>
          <w:sz w:val="32"/>
          <w:szCs w:val="26"/>
          <w:lang w:val="lt-LT"/>
        </w:rPr>
        <w:t>Finansavimo pasiūlos apibendrinimas</w:t>
      </w:r>
      <w:bookmarkEnd w:id="102"/>
    </w:p>
    <w:p w14:paraId="52C407DB" w14:textId="77777777" w:rsidR="005A0219" w:rsidRPr="002142B8" w:rsidRDefault="005A0219" w:rsidP="005A0219">
      <w:pPr>
        <w:spacing w:after="160" w:line="240" w:lineRule="auto"/>
        <w:rPr>
          <w:rFonts w:ascii="Georgia" w:eastAsia="Georgia" w:hAnsi="Georgia" w:cs="Arial Unicode MS"/>
          <w:sz w:val="20"/>
          <w:szCs w:val="20"/>
          <w:lang w:val="lt-LT"/>
        </w:rPr>
      </w:pPr>
    </w:p>
    <w:p w14:paraId="456E3B91" w14:textId="601DA848" w:rsidR="005A0219" w:rsidRPr="005A1A99" w:rsidRDefault="005A0219" w:rsidP="005B31C6">
      <w:pPr>
        <w:pStyle w:val="Antrat"/>
        <w:jc w:val="both"/>
        <w:rPr>
          <w:b w:val="0"/>
          <w:i/>
          <w:lang w:val="lt-LT"/>
        </w:rPr>
      </w:pPr>
      <w:bookmarkStart w:id="103" w:name="_Toc507939147"/>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25</w:t>
      </w:r>
      <w:r w:rsidRPr="005A1A99">
        <w:rPr>
          <w:b w:val="0"/>
          <w:i/>
          <w:lang w:val="lt-LT"/>
        </w:rPr>
        <w:fldChar w:fldCharType="end"/>
      </w:r>
      <w:r w:rsidRPr="005A1A99">
        <w:rPr>
          <w:b w:val="0"/>
          <w:i/>
          <w:lang w:val="lt-LT"/>
        </w:rPr>
        <w:t xml:space="preserve">. </w:t>
      </w:r>
      <w:r w:rsidR="003B6539" w:rsidRPr="005A1A99">
        <w:rPr>
          <w:b w:val="0"/>
          <w:i/>
          <w:lang w:val="lt-LT"/>
        </w:rPr>
        <w:t>Finansavimo pasiūla</w:t>
      </w:r>
      <w:r w:rsidRPr="005A1A99">
        <w:rPr>
          <w:b w:val="0"/>
          <w:i/>
          <w:lang w:val="lt-LT"/>
        </w:rPr>
        <w:t xml:space="preserve"> </w:t>
      </w:r>
      <w:r w:rsidR="003B6539" w:rsidRPr="005A1A99">
        <w:rPr>
          <w:b w:val="0"/>
          <w:i/>
          <w:lang w:val="lt-LT"/>
        </w:rPr>
        <w:t xml:space="preserve">2017 </w:t>
      </w:r>
      <w:r w:rsidRPr="005A1A99">
        <w:rPr>
          <w:b w:val="0"/>
          <w:i/>
          <w:lang w:val="lt-LT"/>
        </w:rPr>
        <w:t>m.</w:t>
      </w:r>
      <w:bookmarkEnd w:id="103"/>
    </w:p>
    <w:tbl>
      <w:tblPr>
        <w:tblW w:w="9560" w:type="dxa"/>
        <w:tblLook w:val="04A0" w:firstRow="1" w:lastRow="0" w:firstColumn="1" w:lastColumn="0" w:noHBand="0" w:noVBand="1"/>
      </w:tblPr>
      <w:tblGrid>
        <w:gridCol w:w="2260"/>
        <w:gridCol w:w="1860"/>
        <w:gridCol w:w="3880"/>
        <w:gridCol w:w="1560"/>
      </w:tblGrid>
      <w:tr w:rsidR="005A0219" w:rsidRPr="002142B8" w14:paraId="773B41FA" w14:textId="77777777" w:rsidTr="005B31C6">
        <w:trPr>
          <w:trHeight w:val="1380"/>
        </w:trPr>
        <w:tc>
          <w:tcPr>
            <w:tcW w:w="2260" w:type="dxa"/>
            <w:tcBorders>
              <w:top w:val="single" w:sz="8" w:space="0" w:color="D62E1C"/>
              <w:left w:val="nil"/>
              <w:bottom w:val="nil"/>
              <w:right w:val="nil"/>
            </w:tcBorders>
            <w:shd w:val="clear" w:color="000000" w:fill="D62E1C"/>
            <w:vAlign w:val="center"/>
            <w:hideMark/>
          </w:tcPr>
          <w:p w14:paraId="30F00FCE" w14:textId="77777777" w:rsidR="005A0219" w:rsidRPr="002142B8"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Galimi pasiūlos finansavimo šaltiniai</w:t>
            </w:r>
          </w:p>
        </w:tc>
        <w:tc>
          <w:tcPr>
            <w:tcW w:w="1860" w:type="dxa"/>
            <w:tcBorders>
              <w:top w:val="single" w:sz="8" w:space="0" w:color="D62E1C"/>
              <w:left w:val="nil"/>
              <w:bottom w:val="nil"/>
              <w:right w:val="single" w:sz="8" w:space="0" w:color="D62E1C"/>
            </w:tcBorders>
            <w:shd w:val="clear" w:color="000000" w:fill="D62E1C"/>
            <w:vAlign w:val="center"/>
            <w:hideMark/>
          </w:tcPr>
          <w:p w14:paraId="049B1B6B" w14:textId="77444E75" w:rsidR="005A0219" w:rsidRPr="002142B8" w:rsidRDefault="005A0219" w:rsidP="00B93A44">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 xml:space="preserve">Investicijų pasiūla pagal finansavimo šaltinius, mln. </w:t>
            </w:r>
            <w:r w:rsidR="00B93A44">
              <w:rPr>
                <w:rFonts w:ascii="Georgia" w:eastAsia="Times New Roman" w:hAnsi="Georgia" w:cs="Times New Roman"/>
                <w:b/>
                <w:bCs/>
                <w:color w:val="FFFFFF"/>
                <w:sz w:val="20"/>
                <w:szCs w:val="20"/>
                <w:lang w:val="lt-LT" w:eastAsia="lt-LT"/>
              </w:rPr>
              <w:t>eurų</w:t>
            </w:r>
          </w:p>
        </w:tc>
        <w:tc>
          <w:tcPr>
            <w:tcW w:w="3880" w:type="dxa"/>
            <w:tcBorders>
              <w:top w:val="nil"/>
              <w:left w:val="nil"/>
              <w:bottom w:val="nil"/>
              <w:right w:val="nil"/>
            </w:tcBorders>
            <w:shd w:val="clear" w:color="000000" w:fill="D62E1C"/>
            <w:vAlign w:val="center"/>
            <w:hideMark/>
          </w:tcPr>
          <w:p w14:paraId="4D779995" w14:textId="77777777" w:rsidR="005A0219" w:rsidRPr="002142B8"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Paaiškinimai</w:t>
            </w:r>
          </w:p>
        </w:tc>
        <w:tc>
          <w:tcPr>
            <w:tcW w:w="1560" w:type="dxa"/>
            <w:tcBorders>
              <w:top w:val="single" w:sz="8" w:space="0" w:color="D62E1C"/>
              <w:left w:val="nil"/>
              <w:bottom w:val="nil"/>
              <w:right w:val="nil"/>
            </w:tcBorders>
            <w:shd w:val="clear" w:color="000000" w:fill="D62E1C"/>
            <w:vAlign w:val="center"/>
            <w:hideMark/>
          </w:tcPr>
          <w:p w14:paraId="004BCE70" w14:textId="1282DF89" w:rsidR="005A0219" w:rsidRPr="002142B8" w:rsidRDefault="005A0219" w:rsidP="00B93A44">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 xml:space="preserve">Investicijų pasiūla, mln. </w:t>
            </w:r>
            <w:r w:rsidR="00B93A44">
              <w:rPr>
                <w:rFonts w:ascii="Georgia" w:eastAsia="Times New Roman" w:hAnsi="Georgia" w:cs="Times New Roman"/>
                <w:b/>
                <w:bCs/>
                <w:color w:val="FFFFFF"/>
                <w:sz w:val="20"/>
                <w:szCs w:val="20"/>
                <w:lang w:val="lt-LT" w:eastAsia="lt-LT"/>
              </w:rPr>
              <w:t>eurų</w:t>
            </w:r>
          </w:p>
        </w:tc>
      </w:tr>
      <w:tr w:rsidR="005A0219" w:rsidRPr="002142B8" w14:paraId="3D2AFC4B" w14:textId="77777777" w:rsidTr="005B31C6">
        <w:trPr>
          <w:trHeight w:val="315"/>
        </w:trPr>
        <w:tc>
          <w:tcPr>
            <w:tcW w:w="4120" w:type="dxa"/>
            <w:gridSpan w:val="2"/>
            <w:tcBorders>
              <w:top w:val="single" w:sz="8" w:space="0" w:color="D62E1C"/>
              <w:left w:val="single" w:sz="8" w:space="0" w:color="D62E1C"/>
              <w:bottom w:val="nil"/>
              <w:right w:val="nil"/>
            </w:tcBorders>
            <w:shd w:val="clear" w:color="auto" w:fill="auto"/>
            <w:noWrap/>
            <w:vAlign w:val="center"/>
            <w:hideMark/>
          </w:tcPr>
          <w:p w14:paraId="375F02DE" w14:textId="77777777" w:rsidR="005A0219" w:rsidRPr="002142B8" w:rsidRDefault="005A0219" w:rsidP="005A0219">
            <w:pPr>
              <w:spacing w:after="0" w:line="240" w:lineRule="auto"/>
              <w:rPr>
                <w:rFonts w:ascii="Georgia" w:eastAsia="Times New Roman" w:hAnsi="Georgia" w:cs="Times New Roman"/>
                <w:b/>
                <w:bCs/>
                <w:sz w:val="20"/>
                <w:szCs w:val="20"/>
                <w:lang w:val="lt-LT" w:eastAsia="lt-LT"/>
              </w:rPr>
            </w:pPr>
            <w:r w:rsidRPr="002142B8">
              <w:rPr>
                <w:rFonts w:ascii="Georgia" w:eastAsia="Times New Roman" w:hAnsi="Georgia" w:cs="Times New Roman"/>
                <w:b/>
                <w:bCs/>
                <w:sz w:val="20"/>
                <w:szCs w:val="20"/>
                <w:lang w:val="lt-LT" w:eastAsia="lt-LT"/>
              </w:rPr>
              <w:t>Daugiabučių modernizavimas</w:t>
            </w:r>
          </w:p>
        </w:tc>
        <w:tc>
          <w:tcPr>
            <w:tcW w:w="3880" w:type="dxa"/>
            <w:tcBorders>
              <w:top w:val="single" w:sz="8" w:space="0" w:color="D62E1C"/>
              <w:left w:val="nil"/>
              <w:bottom w:val="nil"/>
              <w:right w:val="nil"/>
            </w:tcBorders>
            <w:shd w:val="clear" w:color="auto" w:fill="auto"/>
            <w:vAlign w:val="center"/>
            <w:hideMark/>
          </w:tcPr>
          <w:p w14:paraId="52FDC7DA" w14:textId="77777777" w:rsidR="005A0219" w:rsidRPr="002142B8"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 </w:t>
            </w:r>
          </w:p>
        </w:tc>
        <w:tc>
          <w:tcPr>
            <w:tcW w:w="1560" w:type="dxa"/>
            <w:tcBorders>
              <w:top w:val="nil"/>
              <w:left w:val="nil"/>
              <w:bottom w:val="single" w:sz="8" w:space="0" w:color="D62E1C"/>
              <w:right w:val="single" w:sz="4" w:space="0" w:color="D62E1C"/>
            </w:tcBorders>
            <w:shd w:val="clear" w:color="auto" w:fill="auto"/>
            <w:vAlign w:val="center"/>
            <w:hideMark/>
          </w:tcPr>
          <w:p w14:paraId="6CE8E1CA" w14:textId="77777777" w:rsidR="005A0219" w:rsidRPr="002142B8" w:rsidRDefault="005A0219" w:rsidP="005A0219">
            <w:pPr>
              <w:spacing w:after="0" w:line="240" w:lineRule="auto"/>
              <w:jc w:val="center"/>
              <w:rPr>
                <w:rFonts w:ascii="Georgia" w:eastAsia="Times New Roman" w:hAnsi="Georgia" w:cs="Times New Roman"/>
                <w:b/>
                <w:bCs/>
                <w:color w:val="FFFFFF"/>
                <w:sz w:val="20"/>
                <w:szCs w:val="20"/>
                <w:lang w:val="lt-LT" w:eastAsia="lt-LT"/>
              </w:rPr>
            </w:pPr>
            <w:r w:rsidRPr="002142B8">
              <w:rPr>
                <w:rFonts w:ascii="Georgia" w:eastAsia="Times New Roman" w:hAnsi="Georgia" w:cs="Times New Roman"/>
                <w:b/>
                <w:bCs/>
                <w:color w:val="FFFFFF"/>
                <w:sz w:val="20"/>
                <w:szCs w:val="20"/>
                <w:lang w:val="lt-LT" w:eastAsia="lt-LT"/>
              </w:rPr>
              <w:t> </w:t>
            </w:r>
          </w:p>
        </w:tc>
      </w:tr>
      <w:tr w:rsidR="005A0219" w:rsidRPr="002142B8" w14:paraId="311A651A" w14:textId="77777777" w:rsidTr="005B31C6">
        <w:trPr>
          <w:trHeight w:val="1290"/>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351D911A"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Komerciniai bankai</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4A5473B4" w14:textId="77A7143D"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141</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6</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24E79164"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Papildomai pritrauktos privačios lėšos per Jessica FF (80 mln.), 2017 m. pasirašyta sutartis su EPRB (50 mln. eurų) ir komercinius bankus (11,6 mln.)</w:t>
            </w:r>
          </w:p>
        </w:tc>
        <w:tc>
          <w:tcPr>
            <w:tcW w:w="1560" w:type="dxa"/>
            <w:vMerge w:val="restart"/>
            <w:tcBorders>
              <w:top w:val="nil"/>
              <w:left w:val="nil"/>
              <w:bottom w:val="single" w:sz="8" w:space="0" w:color="D62E1C"/>
              <w:right w:val="single" w:sz="4" w:space="0" w:color="D62E1C"/>
            </w:tcBorders>
            <w:shd w:val="clear" w:color="auto" w:fill="auto"/>
            <w:vAlign w:val="center"/>
            <w:hideMark/>
          </w:tcPr>
          <w:p w14:paraId="62C16A5D" w14:textId="5FC05508"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283</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6</w:t>
            </w:r>
          </w:p>
        </w:tc>
      </w:tr>
      <w:tr w:rsidR="005A0219" w:rsidRPr="002142B8" w14:paraId="50CE5452" w14:textId="77777777" w:rsidTr="00655668">
        <w:trPr>
          <w:trHeight w:val="1035"/>
        </w:trPr>
        <w:tc>
          <w:tcPr>
            <w:tcW w:w="2260" w:type="dxa"/>
            <w:tcBorders>
              <w:top w:val="nil"/>
              <w:left w:val="single" w:sz="8" w:space="0" w:color="C00000"/>
              <w:bottom w:val="nil"/>
              <w:right w:val="nil"/>
            </w:tcBorders>
            <w:shd w:val="clear" w:color="auto" w:fill="auto"/>
            <w:vAlign w:val="center"/>
            <w:hideMark/>
          </w:tcPr>
          <w:p w14:paraId="5CA55ED3"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ESI fondų lėšos</w:t>
            </w:r>
          </w:p>
        </w:tc>
        <w:tc>
          <w:tcPr>
            <w:tcW w:w="1860" w:type="dxa"/>
            <w:tcBorders>
              <w:top w:val="nil"/>
              <w:left w:val="nil"/>
              <w:bottom w:val="nil"/>
              <w:right w:val="single" w:sz="8" w:space="0" w:color="D62E1C"/>
            </w:tcBorders>
            <w:shd w:val="clear" w:color="auto" w:fill="auto"/>
            <w:vAlign w:val="center"/>
            <w:hideMark/>
          </w:tcPr>
          <w:p w14:paraId="4F33B053" w14:textId="708AEAE5"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132</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0</w:t>
            </w:r>
          </w:p>
        </w:tc>
        <w:tc>
          <w:tcPr>
            <w:tcW w:w="3880" w:type="dxa"/>
            <w:tcBorders>
              <w:top w:val="nil"/>
              <w:left w:val="nil"/>
              <w:bottom w:val="single" w:sz="8" w:space="0" w:color="D62E1C"/>
              <w:right w:val="single" w:sz="8" w:space="0" w:color="D62E1C"/>
            </w:tcBorders>
            <w:shd w:val="clear" w:color="auto" w:fill="auto"/>
            <w:vAlign w:val="center"/>
            <w:hideMark/>
          </w:tcPr>
          <w:p w14:paraId="0D003AAB" w14:textId="1C624EFA" w:rsidR="005A0219" w:rsidRPr="002142B8" w:rsidRDefault="005A0219" w:rsidP="009A48DB">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xml:space="preserve">DNMF lėšos buvo pilnai išnaudotos iki 2016 m. </w:t>
            </w:r>
            <w:r w:rsidR="009A48DB" w:rsidRPr="002142B8">
              <w:rPr>
                <w:rFonts w:ascii="Georgia" w:eastAsia="Times New Roman" w:hAnsi="Georgia" w:cs="Times New Roman"/>
                <w:color w:val="000000"/>
                <w:sz w:val="20"/>
                <w:szCs w:val="20"/>
                <w:lang w:val="lt-LT" w:eastAsia="lt-LT"/>
              </w:rPr>
              <w:t xml:space="preserve">pabaigos, </w:t>
            </w:r>
            <w:r w:rsidRPr="002142B8">
              <w:rPr>
                <w:rFonts w:ascii="Georgia" w:eastAsia="Times New Roman" w:hAnsi="Georgia" w:cs="Times New Roman"/>
                <w:color w:val="000000"/>
                <w:sz w:val="20"/>
                <w:szCs w:val="20"/>
                <w:lang w:val="lt-LT" w:eastAsia="lt-LT"/>
              </w:rPr>
              <w:t xml:space="preserve">todėl čia neįtraukiamos. Liko JESSICA FF neišnaudotos lėšos (42 mln.) ir RPF (90 </w:t>
            </w:r>
            <w:r w:rsidRPr="002142B8">
              <w:rPr>
                <w:rFonts w:ascii="Georgia" w:eastAsia="Times New Roman" w:hAnsi="Georgia" w:cs="Times New Roman"/>
                <w:color w:val="000000"/>
                <w:sz w:val="20"/>
                <w:szCs w:val="20"/>
                <w:lang w:val="lt-LT" w:eastAsia="lt-LT"/>
              </w:rPr>
              <w:lastRenderedPageBreak/>
              <w:t>mln.)</w:t>
            </w:r>
          </w:p>
        </w:tc>
        <w:tc>
          <w:tcPr>
            <w:tcW w:w="1560" w:type="dxa"/>
            <w:vMerge/>
            <w:tcBorders>
              <w:top w:val="nil"/>
              <w:left w:val="nil"/>
              <w:bottom w:val="single" w:sz="8" w:space="0" w:color="D62E1C"/>
              <w:right w:val="single" w:sz="4" w:space="0" w:color="D62E1C"/>
            </w:tcBorders>
            <w:shd w:val="clear" w:color="auto" w:fill="auto"/>
            <w:vAlign w:val="center"/>
            <w:hideMark/>
          </w:tcPr>
          <w:p w14:paraId="5CD775C8"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2142B8" w14:paraId="4D67658D" w14:textId="77777777" w:rsidTr="00655668">
        <w:trPr>
          <w:trHeight w:val="103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16859F64"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lastRenderedPageBreak/>
              <w:t>RPF grįžusios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1F406B63" w14:textId="027C82FF"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10</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0</w:t>
            </w:r>
          </w:p>
        </w:tc>
        <w:tc>
          <w:tcPr>
            <w:tcW w:w="3880" w:type="dxa"/>
            <w:tcBorders>
              <w:top w:val="nil"/>
              <w:left w:val="nil"/>
              <w:bottom w:val="single" w:sz="8" w:space="0" w:color="D62E1C"/>
              <w:right w:val="single" w:sz="8" w:space="0" w:color="D62E1C"/>
            </w:tcBorders>
            <w:shd w:val="clear" w:color="auto" w:fill="auto"/>
            <w:vAlign w:val="center"/>
            <w:hideMark/>
          </w:tcPr>
          <w:p w14:paraId="05648751" w14:textId="7DBA309F" w:rsidR="005A0219" w:rsidRPr="002142B8" w:rsidRDefault="005A0219" w:rsidP="009A48DB">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xml:space="preserve">Iš pirmo laikotarpio grįžusios JESSICA lėšos. Kitos grįžusios lėšos (pvz. iš DNMF) nebus prieinamos iki 2023 m. </w:t>
            </w:r>
            <w:r w:rsidR="009A48DB" w:rsidRPr="002142B8">
              <w:rPr>
                <w:rFonts w:ascii="Georgia" w:eastAsia="Times New Roman" w:hAnsi="Georgia" w:cs="Times New Roman"/>
                <w:color w:val="000000"/>
                <w:sz w:val="20"/>
                <w:szCs w:val="20"/>
                <w:lang w:val="lt-LT" w:eastAsia="lt-LT"/>
              </w:rPr>
              <w:t xml:space="preserve">pabaigos, </w:t>
            </w:r>
            <w:r w:rsidRPr="002142B8">
              <w:rPr>
                <w:rFonts w:ascii="Georgia" w:eastAsia="Times New Roman" w:hAnsi="Georgia" w:cs="Times New Roman"/>
                <w:color w:val="000000"/>
                <w:sz w:val="20"/>
                <w:szCs w:val="20"/>
                <w:lang w:val="lt-LT" w:eastAsia="lt-LT"/>
              </w:rPr>
              <w:t>todėl čia neįtraukiamos.</w:t>
            </w:r>
          </w:p>
        </w:tc>
        <w:tc>
          <w:tcPr>
            <w:tcW w:w="1560" w:type="dxa"/>
            <w:vMerge/>
            <w:tcBorders>
              <w:top w:val="nil"/>
              <w:left w:val="nil"/>
              <w:bottom w:val="single" w:sz="8" w:space="0" w:color="D62E1C"/>
              <w:right w:val="single" w:sz="4" w:space="0" w:color="D62E1C"/>
            </w:tcBorders>
            <w:shd w:val="clear" w:color="auto" w:fill="auto"/>
            <w:vAlign w:val="center"/>
            <w:hideMark/>
          </w:tcPr>
          <w:p w14:paraId="7CA7D370"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r w:rsidR="003B6539" w:rsidRPr="002142B8" w14:paraId="257AE73B" w14:textId="77777777" w:rsidTr="00A355B1">
        <w:trPr>
          <w:trHeight w:val="315"/>
        </w:trPr>
        <w:tc>
          <w:tcPr>
            <w:tcW w:w="9560" w:type="dxa"/>
            <w:gridSpan w:val="4"/>
            <w:tcBorders>
              <w:top w:val="nil"/>
              <w:left w:val="single" w:sz="8" w:space="0" w:color="D62E1C"/>
              <w:bottom w:val="nil"/>
              <w:right w:val="single" w:sz="4" w:space="0" w:color="D62E1C"/>
            </w:tcBorders>
            <w:shd w:val="clear" w:color="auto" w:fill="auto"/>
            <w:noWrap/>
            <w:vAlign w:val="center"/>
            <w:hideMark/>
          </w:tcPr>
          <w:p w14:paraId="5C6B8FDD" w14:textId="7331B256" w:rsidR="003B6539" w:rsidRPr="002142B8" w:rsidRDefault="003B653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b/>
                <w:bCs/>
                <w:color w:val="000000"/>
                <w:sz w:val="20"/>
                <w:szCs w:val="20"/>
                <w:lang w:val="lt-LT" w:eastAsia="lt-LT"/>
              </w:rPr>
              <w:t>Savivaldybių pastatų modernizavimas</w:t>
            </w:r>
          </w:p>
        </w:tc>
      </w:tr>
      <w:tr w:rsidR="005A0219" w:rsidRPr="002142B8" w14:paraId="7E13F462" w14:textId="77777777" w:rsidTr="005B31C6">
        <w:trPr>
          <w:trHeight w:val="915"/>
        </w:trPr>
        <w:tc>
          <w:tcPr>
            <w:tcW w:w="2260" w:type="dxa"/>
            <w:tcBorders>
              <w:top w:val="single" w:sz="8" w:space="0" w:color="D62E1C"/>
              <w:left w:val="single" w:sz="8" w:space="0" w:color="C00000"/>
              <w:bottom w:val="nil"/>
              <w:right w:val="nil"/>
            </w:tcBorders>
            <w:shd w:val="clear" w:color="auto" w:fill="auto"/>
            <w:vAlign w:val="center"/>
            <w:hideMark/>
          </w:tcPr>
          <w:p w14:paraId="77058305"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Komerciniai bankai</w:t>
            </w:r>
          </w:p>
        </w:tc>
        <w:tc>
          <w:tcPr>
            <w:tcW w:w="1860" w:type="dxa"/>
            <w:tcBorders>
              <w:top w:val="single" w:sz="8" w:space="0" w:color="D62E1C"/>
              <w:left w:val="nil"/>
              <w:bottom w:val="nil"/>
              <w:right w:val="single" w:sz="8" w:space="0" w:color="D62E1C"/>
            </w:tcBorders>
            <w:shd w:val="clear" w:color="auto" w:fill="auto"/>
            <w:vAlign w:val="center"/>
            <w:hideMark/>
          </w:tcPr>
          <w:p w14:paraId="298046B0" w14:textId="6AE8489C"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0</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0</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392488C2"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xml:space="preserve">Šiuo metu bankai neteikia paskolų savivaldybių pastatų modernizavimui dėl šių finansinės situacijos. </w:t>
            </w:r>
          </w:p>
        </w:tc>
        <w:tc>
          <w:tcPr>
            <w:tcW w:w="1560" w:type="dxa"/>
            <w:vMerge w:val="restart"/>
            <w:tcBorders>
              <w:top w:val="nil"/>
              <w:left w:val="single" w:sz="8" w:space="0" w:color="D62E1C"/>
              <w:bottom w:val="single" w:sz="8" w:space="0" w:color="C00000"/>
              <w:right w:val="single" w:sz="4" w:space="0" w:color="D62E1C"/>
            </w:tcBorders>
            <w:shd w:val="clear" w:color="auto" w:fill="auto"/>
            <w:vAlign w:val="center"/>
            <w:hideMark/>
          </w:tcPr>
          <w:p w14:paraId="499F4481" w14:textId="7CBC4325" w:rsidR="005A0219" w:rsidRPr="002142B8" w:rsidRDefault="00B93A44" w:rsidP="005A0219">
            <w:pPr>
              <w:spacing w:after="0" w:line="240" w:lineRule="auto"/>
              <w:jc w:val="center"/>
              <w:rPr>
                <w:rFonts w:ascii="Georgia" w:eastAsia="Times New Roman" w:hAnsi="Georgia" w:cs="Times New Roman"/>
                <w:color w:val="000000"/>
                <w:sz w:val="20"/>
                <w:szCs w:val="20"/>
                <w:lang w:val="lt-LT" w:eastAsia="lt-LT"/>
              </w:rPr>
            </w:pPr>
            <w:r>
              <w:rPr>
                <w:rFonts w:ascii="Georgia" w:eastAsia="Times New Roman" w:hAnsi="Georgia" w:cs="Times New Roman"/>
                <w:color w:val="000000"/>
                <w:sz w:val="20"/>
                <w:szCs w:val="20"/>
                <w:lang w:val="lt-LT" w:eastAsia="lt-LT"/>
              </w:rPr>
              <w:t>17,3</w:t>
            </w:r>
          </w:p>
        </w:tc>
      </w:tr>
      <w:tr w:rsidR="005A0219" w:rsidRPr="002142B8" w14:paraId="3F7753F9" w14:textId="77777777" w:rsidTr="005B31C6">
        <w:trPr>
          <w:trHeight w:val="52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5E93468A"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ESI fondų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53060E8C" w14:textId="01286268"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17</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3</w:t>
            </w:r>
          </w:p>
        </w:tc>
        <w:tc>
          <w:tcPr>
            <w:tcW w:w="3880" w:type="dxa"/>
            <w:tcBorders>
              <w:top w:val="nil"/>
              <w:left w:val="nil"/>
              <w:bottom w:val="single" w:sz="8" w:space="0" w:color="D62E1C"/>
              <w:right w:val="single" w:sz="8" w:space="0" w:color="D62E1C"/>
            </w:tcBorders>
            <w:shd w:val="clear" w:color="auto" w:fill="auto"/>
            <w:vAlign w:val="center"/>
            <w:hideMark/>
          </w:tcPr>
          <w:p w14:paraId="2A68F8B6"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Savivaldybių pastatų fondas kaip nurodyta Veiksmų programoje.</w:t>
            </w:r>
          </w:p>
        </w:tc>
        <w:tc>
          <w:tcPr>
            <w:tcW w:w="1560" w:type="dxa"/>
            <w:vMerge/>
            <w:tcBorders>
              <w:top w:val="nil"/>
              <w:left w:val="single" w:sz="8" w:space="0" w:color="D62E1C"/>
              <w:bottom w:val="single" w:sz="8" w:space="0" w:color="C00000"/>
              <w:right w:val="single" w:sz="4" w:space="0" w:color="D62E1C"/>
            </w:tcBorders>
            <w:vAlign w:val="center"/>
            <w:hideMark/>
          </w:tcPr>
          <w:p w14:paraId="181A2E85"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2142B8" w14:paraId="1B3942CA" w14:textId="77777777" w:rsidTr="005B31C6">
        <w:trPr>
          <w:trHeight w:val="315"/>
        </w:trPr>
        <w:tc>
          <w:tcPr>
            <w:tcW w:w="2260" w:type="dxa"/>
            <w:tcBorders>
              <w:top w:val="nil"/>
              <w:left w:val="single" w:sz="8" w:space="0" w:color="D62E1C"/>
              <w:bottom w:val="single" w:sz="8" w:space="0" w:color="C00000"/>
              <w:right w:val="nil"/>
            </w:tcBorders>
            <w:shd w:val="clear" w:color="auto" w:fill="auto"/>
            <w:noWrap/>
            <w:vAlign w:val="center"/>
            <w:hideMark/>
          </w:tcPr>
          <w:p w14:paraId="31244332" w14:textId="77777777" w:rsidR="005A0219" w:rsidRPr="002142B8" w:rsidRDefault="005A0219" w:rsidP="005A0219">
            <w:pPr>
              <w:spacing w:after="0" w:line="240" w:lineRule="auto"/>
              <w:rPr>
                <w:rFonts w:ascii="Georgia" w:eastAsia="Times New Roman" w:hAnsi="Georgia" w:cs="Times New Roman"/>
                <w:b/>
                <w:bCs/>
                <w:color w:val="000000"/>
                <w:sz w:val="20"/>
                <w:szCs w:val="20"/>
                <w:lang w:val="lt-LT" w:eastAsia="lt-LT"/>
              </w:rPr>
            </w:pPr>
            <w:r w:rsidRPr="002142B8">
              <w:rPr>
                <w:rFonts w:ascii="Georgia" w:eastAsia="Times New Roman" w:hAnsi="Georgia" w:cs="Times New Roman"/>
                <w:b/>
                <w:bCs/>
                <w:color w:val="000000"/>
                <w:sz w:val="20"/>
                <w:szCs w:val="20"/>
                <w:lang w:val="lt-LT" w:eastAsia="lt-LT"/>
              </w:rPr>
              <w:t>Centrinės valdžios pastatų modernizavimas</w:t>
            </w:r>
          </w:p>
        </w:tc>
        <w:tc>
          <w:tcPr>
            <w:tcW w:w="1860" w:type="dxa"/>
            <w:tcBorders>
              <w:top w:val="nil"/>
              <w:left w:val="nil"/>
              <w:bottom w:val="single" w:sz="8" w:space="0" w:color="D62E1C"/>
              <w:right w:val="nil"/>
            </w:tcBorders>
            <w:shd w:val="clear" w:color="auto" w:fill="auto"/>
            <w:vAlign w:val="center"/>
            <w:hideMark/>
          </w:tcPr>
          <w:p w14:paraId="573292FB"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w:t>
            </w:r>
          </w:p>
        </w:tc>
        <w:tc>
          <w:tcPr>
            <w:tcW w:w="3880" w:type="dxa"/>
            <w:tcBorders>
              <w:top w:val="nil"/>
              <w:left w:val="nil"/>
              <w:bottom w:val="single" w:sz="8" w:space="0" w:color="D62E1C"/>
              <w:right w:val="nil"/>
            </w:tcBorders>
            <w:shd w:val="clear" w:color="auto" w:fill="auto"/>
            <w:vAlign w:val="center"/>
            <w:hideMark/>
          </w:tcPr>
          <w:p w14:paraId="4A3D7B67" w14:textId="77777777"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w:t>
            </w:r>
          </w:p>
        </w:tc>
        <w:tc>
          <w:tcPr>
            <w:tcW w:w="1560" w:type="dxa"/>
            <w:tcBorders>
              <w:top w:val="nil"/>
              <w:left w:val="nil"/>
              <w:bottom w:val="single" w:sz="8" w:space="0" w:color="D62E1C"/>
              <w:right w:val="single" w:sz="4" w:space="0" w:color="D62E1C"/>
            </w:tcBorders>
            <w:shd w:val="clear" w:color="auto" w:fill="auto"/>
            <w:vAlign w:val="center"/>
            <w:hideMark/>
          </w:tcPr>
          <w:p w14:paraId="33B3FE8D"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w:t>
            </w:r>
          </w:p>
        </w:tc>
      </w:tr>
      <w:tr w:rsidR="005A0219" w:rsidRPr="002142B8" w14:paraId="6734F3AA" w14:textId="77777777" w:rsidTr="005B31C6">
        <w:trPr>
          <w:trHeight w:val="1545"/>
        </w:trPr>
        <w:tc>
          <w:tcPr>
            <w:tcW w:w="2260" w:type="dxa"/>
            <w:tcBorders>
              <w:top w:val="nil"/>
              <w:left w:val="single" w:sz="8" w:space="0" w:color="C00000"/>
              <w:bottom w:val="single" w:sz="8" w:space="0" w:color="D62E1C"/>
              <w:right w:val="nil"/>
            </w:tcBorders>
            <w:shd w:val="clear" w:color="auto" w:fill="auto"/>
            <w:vAlign w:val="center"/>
            <w:hideMark/>
          </w:tcPr>
          <w:p w14:paraId="7EC3F182"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Komerciniai bankai</w:t>
            </w:r>
          </w:p>
        </w:tc>
        <w:tc>
          <w:tcPr>
            <w:tcW w:w="1860" w:type="dxa"/>
            <w:tcBorders>
              <w:top w:val="nil"/>
              <w:left w:val="nil"/>
              <w:bottom w:val="single" w:sz="8" w:space="0" w:color="D62E1C"/>
              <w:right w:val="single" w:sz="8" w:space="0" w:color="D62E1C"/>
            </w:tcBorders>
            <w:shd w:val="clear" w:color="auto" w:fill="auto"/>
            <w:vAlign w:val="center"/>
            <w:hideMark/>
          </w:tcPr>
          <w:p w14:paraId="3E14F5EC" w14:textId="7B6DCD3D"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15</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7</w:t>
            </w:r>
          </w:p>
        </w:tc>
        <w:tc>
          <w:tcPr>
            <w:tcW w:w="3880" w:type="dxa"/>
            <w:tcBorders>
              <w:top w:val="nil"/>
              <w:left w:val="nil"/>
              <w:bottom w:val="single" w:sz="8" w:space="0" w:color="D62E1C"/>
              <w:right w:val="single" w:sz="8" w:space="0" w:color="D62E1C"/>
            </w:tcBorders>
            <w:shd w:val="clear" w:color="auto" w:fill="auto"/>
            <w:vAlign w:val="center"/>
            <w:hideMark/>
          </w:tcPr>
          <w:p w14:paraId="452B3594"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Remiantis Priemonių įgyvendinimo planu (PIP), ENEF fonde turi būti pritraukta ne mažiau nei 19 mln. eurų privačių investicijų. Jos padalinamos tarp centrinės valdžios ir gatvių apšvietimo projektų tokia pat proporcija kaip ir ESI lėšos fonde.</w:t>
            </w:r>
          </w:p>
        </w:tc>
        <w:tc>
          <w:tcPr>
            <w:tcW w:w="1560" w:type="dxa"/>
            <w:vMerge w:val="restart"/>
            <w:tcBorders>
              <w:top w:val="nil"/>
              <w:left w:val="single" w:sz="8" w:space="0" w:color="D62E1C"/>
              <w:bottom w:val="single" w:sz="8" w:space="0" w:color="D62E1C"/>
              <w:right w:val="single" w:sz="8" w:space="0" w:color="C00000"/>
            </w:tcBorders>
            <w:shd w:val="clear" w:color="auto" w:fill="auto"/>
            <w:vAlign w:val="center"/>
            <w:hideMark/>
          </w:tcPr>
          <w:p w14:paraId="25B33640" w14:textId="3E6784C0"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109</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8</w:t>
            </w:r>
          </w:p>
        </w:tc>
      </w:tr>
      <w:tr w:rsidR="005A0219" w:rsidRPr="002142B8" w14:paraId="6544936E" w14:textId="77777777" w:rsidTr="005B31C6">
        <w:trPr>
          <w:trHeight w:val="1290"/>
        </w:trPr>
        <w:tc>
          <w:tcPr>
            <w:tcW w:w="2260" w:type="dxa"/>
            <w:tcBorders>
              <w:top w:val="nil"/>
              <w:left w:val="single" w:sz="8" w:space="0" w:color="C00000"/>
              <w:bottom w:val="single" w:sz="8" w:space="0" w:color="D62E1C"/>
              <w:right w:val="nil"/>
            </w:tcBorders>
            <w:shd w:val="clear" w:color="auto" w:fill="auto"/>
            <w:vAlign w:val="center"/>
            <w:hideMark/>
          </w:tcPr>
          <w:p w14:paraId="7574A65C"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ESI fondų lėšos</w:t>
            </w:r>
          </w:p>
        </w:tc>
        <w:tc>
          <w:tcPr>
            <w:tcW w:w="1860" w:type="dxa"/>
            <w:tcBorders>
              <w:top w:val="nil"/>
              <w:left w:val="nil"/>
              <w:bottom w:val="single" w:sz="8" w:space="0" w:color="C00000"/>
              <w:right w:val="single" w:sz="8" w:space="0" w:color="D62E1C"/>
            </w:tcBorders>
            <w:shd w:val="clear" w:color="auto" w:fill="auto"/>
            <w:vAlign w:val="center"/>
            <w:hideMark/>
          </w:tcPr>
          <w:p w14:paraId="171EFCF4" w14:textId="245C84E8"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94</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1</w:t>
            </w:r>
          </w:p>
        </w:tc>
        <w:tc>
          <w:tcPr>
            <w:tcW w:w="3880" w:type="dxa"/>
            <w:tcBorders>
              <w:top w:val="nil"/>
              <w:left w:val="nil"/>
              <w:bottom w:val="single" w:sz="8" w:space="0" w:color="D62E1C"/>
              <w:right w:val="single" w:sz="8" w:space="0" w:color="D62E1C"/>
            </w:tcBorders>
            <w:shd w:val="clear" w:color="auto" w:fill="auto"/>
            <w:vAlign w:val="center"/>
            <w:hideMark/>
          </w:tcPr>
          <w:p w14:paraId="1ADAD4EA" w14:textId="54937C36" w:rsidR="005A0219" w:rsidRPr="002142B8" w:rsidRDefault="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"Valstybei nuosavybės teise priklausančių pastatų atnaujinimas" priemonės lėšos (</w:t>
            </w:r>
            <w:r w:rsidR="00925979" w:rsidRPr="002142B8">
              <w:rPr>
                <w:rFonts w:ascii="Georgia" w:eastAsia="Times New Roman" w:hAnsi="Georgia" w:cs="Times New Roman"/>
                <w:color w:val="000000"/>
                <w:sz w:val="20"/>
                <w:szCs w:val="20"/>
                <w:lang w:val="lt-LT" w:eastAsia="lt-LT"/>
              </w:rPr>
              <w:t xml:space="preserve">28,9 </w:t>
            </w:r>
            <w:r w:rsidRPr="002142B8">
              <w:rPr>
                <w:rFonts w:ascii="Georgia" w:eastAsia="Times New Roman" w:hAnsi="Georgia" w:cs="Times New Roman"/>
                <w:color w:val="000000"/>
                <w:sz w:val="20"/>
                <w:szCs w:val="20"/>
                <w:lang w:val="lt-LT" w:eastAsia="lt-LT"/>
              </w:rPr>
              <w:t xml:space="preserve">mln. eurų) naudojamos per grąžinamąją subsidiją ir ENEF paskolų finansinė priemonė (65,16 mln. eurų) </w:t>
            </w:r>
          </w:p>
        </w:tc>
        <w:tc>
          <w:tcPr>
            <w:tcW w:w="1560" w:type="dxa"/>
            <w:vMerge/>
            <w:tcBorders>
              <w:top w:val="nil"/>
              <w:left w:val="single" w:sz="8" w:space="0" w:color="D62E1C"/>
              <w:bottom w:val="single" w:sz="8" w:space="0" w:color="D62E1C"/>
              <w:right w:val="single" w:sz="8" w:space="0" w:color="C00000"/>
            </w:tcBorders>
            <w:vAlign w:val="center"/>
            <w:hideMark/>
          </w:tcPr>
          <w:p w14:paraId="5826D84B"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2142B8" w14:paraId="3507BCF2" w14:textId="77777777" w:rsidTr="005B31C6">
        <w:trPr>
          <w:trHeight w:val="315"/>
        </w:trPr>
        <w:tc>
          <w:tcPr>
            <w:tcW w:w="2260" w:type="dxa"/>
            <w:tcBorders>
              <w:top w:val="single" w:sz="4" w:space="0" w:color="D62E1C"/>
              <w:left w:val="single" w:sz="8" w:space="0" w:color="D62E1C"/>
              <w:bottom w:val="nil"/>
              <w:right w:val="nil"/>
            </w:tcBorders>
            <w:shd w:val="clear" w:color="auto" w:fill="auto"/>
            <w:noWrap/>
            <w:vAlign w:val="center"/>
            <w:hideMark/>
          </w:tcPr>
          <w:p w14:paraId="12D8C92B" w14:textId="77777777" w:rsidR="005A0219" w:rsidRPr="002142B8" w:rsidRDefault="005A0219" w:rsidP="005A0219">
            <w:pPr>
              <w:spacing w:after="0" w:line="240" w:lineRule="auto"/>
              <w:rPr>
                <w:rFonts w:ascii="Georgia" w:eastAsia="Times New Roman" w:hAnsi="Georgia" w:cs="Times New Roman"/>
                <w:b/>
                <w:bCs/>
                <w:color w:val="000000"/>
                <w:sz w:val="20"/>
                <w:szCs w:val="20"/>
                <w:lang w:val="lt-LT" w:eastAsia="lt-LT"/>
              </w:rPr>
            </w:pPr>
            <w:r w:rsidRPr="002142B8">
              <w:rPr>
                <w:rFonts w:ascii="Georgia" w:eastAsia="Times New Roman" w:hAnsi="Georgia" w:cs="Times New Roman"/>
                <w:b/>
                <w:bCs/>
                <w:color w:val="000000"/>
                <w:sz w:val="20"/>
                <w:szCs w:val="20"/>
                <w:lang w:val="lt-LT" w:eastAsia="lt-LT"/>
              </w:rPr>
              <w:t>Gatvių apšvietimo modernizavimas</w:t>
            </w:r>
          </w:p>
        </w:tc>
        <w:tc>
          <w:tcPr>
            <w:tcW w:w="1860" w:type="dxa"/>
            <w:tcBorders>
              <w:top w:val="single" w:sz="4" w:space="0" w:color="D62E1C"/>
              <w:left w:val="nil"/>
              <w:bottom w:val="nil"/>
              <w:right w:val="nil"/>
            </w:tcBorders>
            <w:shd w:val="clear" w:color="auto" w:fill="auto"/>
            <w:vAlign w:val="center"/>
            <w:hideMark/>
          </w:tcPr>
          <w:p w14:paraId="21AA20CF" w14:textId="77777777" w:rsidR="005A0219" w:rsidRPr="002142B8" w:rsidRDefault="005A0219" w:rsidP="005A0219">
            <w:pPr>
              <w:spacing w:after="0" w:line="240" w:lineRule="auto"/>
              <w:rPr>
                <w:rFonts w:ascii="Georgia" w:eastAsia="Times New Roman" w:hAnsi="Georgia" w:cs="Times New Roman"/>
                <w:b/>
                <w:bCs/>
                <w:color w:val="000000"/>
                <w:sz w:val="20"/>
                <w:szCs w:val="20"/>
                <w:lang w:val="lt-LT" w:eastAsia="lt-LT"/>
              </w:rPr>
            </w:pPr>
          </w:p>
        </w:tc>
        <w:tc>
          <w:tcPr>
            <w:tcW w:w="3880" w:type="dxa"/>
            <w:tcBorders>
              <w:top w:val="single" w:sz="4" w:space="0" w:color="D62E1C"/>
              <w:left w:val="nil"/>
              <w:bottom w:val="nil"/>
              <w:right w:val="nil"/>
            </w:tcBorders>
            <w:shd w:val="clear" w:color="auto" w:fill="auto"/>
            <w:vAlign w:val="center"/>
            <w:hideMark/>
          </w:tcPr>
          <w:p w14:paraId="16B962CB" w14:textId="77777777" w:rsidR="005A0219" w:rsidRPr="002142B8" w:rsidRDefault="005A0219" w:rsidP="005A0219">
            <w:pPr>
              <w:spacing w:after="0" w:line="240" w:lineRule="auto"/>
              <w:rPr>
                <w:rFonts w:ascii="Times New Roman" w:eastAsia="Times New Roman" w:hAnsi="Times New Roman" w:cs="Times New Roman"/>
                <w:sz w:val="20"/>
                <w:szCs w:val="20"/>
                <w:lang w:val="lt-LT" w:eastAsia="lt-LT"/>
              </w:rPr>
            </w:pPr>
          </w:p>
        </w:tc>
        <w:tc>
          <w:tcPr>
            <w:tcW w:w="1560" w:type="dxa"/>
            <w:tcBorders>
              <w:top w:val="single" w:sz="4" w:space="0" w:color="D62E1C"/>
              <w:left w:val="nil"/>
              <w:bottom w:val="single" w:sz="8" w:space="0" w:color="D62E1C"/>
              <w:right w:val="single" w:sz="4" w:space="0" w:color="D62E1C"/>
            </w:tcBorders>
            <w:shd w:val="clear" w:color="auto" w:fill="auto"/>
            <w:vAlign w:val="center"/>
            <w:hideMark/>
          </w:tcPr>
          <w:p w14:paraId="610FC50F"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 </w:t>
            </w:r>
          </w:p>
        </w:tc>
      </w:tr>
      <w:tr w:rsidR="005A0219" w:rsidRPr="002142B8" w14:paraId="0A460738" w14:textId="77777777" w:rsidTr="005B31C6">
        <w:trPr>
          <w:trHeight w:val="870"/>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04E86A5B"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Komerciniai bankai</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6344E1C0" w14:textId="0C6372E1"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0</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0</w:t>
            </w:r>
          </w:p>
        </w:tc>
        <w:tc>
          <w:tcPr>
            <w:tcW w:w="3880" w:type="dxa"/>
            <w:tcBorders>
              <w:top w:val="single" w:sz="8" w:space="0" w:color="D62E1C"/>
              <w:left w:val="nil"/>
              <w:bottom w:val="single" w:sz="8" w:space="0" w:color="D62E1C"/>
              <w:right w:val="single" w:sz="8" w:space="0" w:color="D62E1C"/>
            </w:tcBorders>
            <w:shd w:val="clear" w:color="auto" w:fill="auto"/>
            <w:vAlign w:val="center"/>
            <w:hideMark/>
          </w:tcPr>
          <w:p w14:paraId="64956188"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Šiuo metu nėra informacijos, kad bankai teiktų finansavimą gatvių apšvietimo modernizavimui</w:t>
            </w:r>
          </w:p>
        </w:tc>
        <w:tc>
          <w:tcPr>
            <w:tcW w:w="1560" w:type="dxa"/>
            <w:vMerge w:val="restart"/>
            <w:tcBorders>
              <w:top w:val="nil"/>
              <w:left w:val="single" w:sz="8" w:space="0" w:color="D62E1C"/>
              <w:bottom w:val="single" w:sz="8" w:space="0" w:color="D62E1C"/>
              <w:right w:val="single" w:sz="4" w:space="0" w:color="D62E1C"/>
            </w:tcBorders>
            <w:shd w:val="clear" w:color="auto" w:fill="auto"/>
            <w:noWrap/>
            <w:vAlign w:val="center"/>
            <w:hideMark/>
          </w:tcPr>
          <w:p w14:paraId="51CB95FE" w14:textId="5E3AD6DC"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18</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0</w:t>
            </w:r>
          </w:p>
        </w:tc>
      </w:tr>
      <w:tr w:rsidR="005A0219" w:rsidRPr="002142B8" w14:paraId="064DF3B9" w14:textId="77777777" w:rsidTr="005B31C6">
        <w:trPr>
          <w:trHeight w:val="525"/>
        </w:trPr>
        <w:tc>
          <w:tcPr>
            <w:tcW w:w="2260" w:type="dxa"/>
            <w:tcBorders>
              <w:top w:val="nil"/>
              <w:left w:val="single" w:sz="8" w:space="0" w:color="C00000"/>
              <w:bottom w:val="nil"/>
              <w:right w:val="nil"/>
            </w:tcBorders>
            <w:shd w:val="clear" w:color="auto" w:fill="auto"/>
            <w:vAlign w:val="center"/>
            <w:hideMark/>
          </w:tcPr>
          <w:p w14:paraId="3B8FAFEF"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ESI fondų parama</w:t>
            </w:r>
          </w:p>
        </w:tc>
        <w:tc>
          <w:tcPr>
            <w:tcW w:w="1860" w:type="dxa"/>
            <w:tcBorders>
              <w:top w:val="nil"/>
              <w:left w:val="nil"/>
              <w:bottom w:val="nil"/>
              <w:right w:val="single" w:sz="8" w:space="0" w:color="D62E1C"/>
            </w:tcBorders>
            <w:shd w:val="clear" w:color="auto" w:fill="auto"/>
            <w:vAlign w:val="center"/>
            <w:hideMark/>
          </w:tcPr>
          <w:p w14:paraId="125D2D55" w14:textId="1251ADCF"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14</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5</w:t>
            </w:r>
          </w:p>
        </w:tc>
        <w:tc>
          <w:tcPr>
            <w:tcW w:w="3880" w:type="dxa"/>
            <w:tcBorders>
              <w:top w:val="nil"/>
              <w:left w:val="nil"/>
              <w:bottom w:val="single" w:sz="8" w:space="0" w:color="D62E1C"/>
              <w:right w:val="single" w:sz="8" w:space="0" w:color="D62E1C"/>
            </w:tcBorders>
            <w:shd w:val="clear" w:color="auto" w:fill="auto"/>
            <w:vAlign w:val="center"/>
            <w:hideMark/>
          </w:tcPr>
          <w:p w14:paraId="1BA0D0A0" w14:textId="3CCA4223"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ENEF garantijos priemonė gatvių apšvietimui (14</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 xml:space="preserve">5 mln. </w:t>
            </w:r>
            <w:r w:rsidR="0018041C" w:rsidRPr="002142B8">
              <w:rPr>
                <w:rFonts w:ascii="Georgia" w:eastAsia="Times New Roman" w:hAnsi="Georgia" w:cs="Times New Roman"/>
                <w:color w:val="000000"/>
                <w:sz w:val="20"/>
                <w:szCs w:val="20"/>
                <w:lang w:val="lt-LT" w:eastAsia="lt-LT"/>
              </w:rPr>
              <w:t>e</w:t>
            </w:r>
            <w:r w:rsidRPr="002142B8">
              <w:rPr>
                <w:rFonts w:ascii="Georgia" w:eastAsia="Times New Roman" w:hAnsi="Georgia" w:cs="Times New Roman"/>
                <w:color w:val="000000"/>
                <w:sz w:val="20"/>
                <w:szCs w:val="20"/>
                <w:lang w:val="lt-LT" w:eastAsia="lt-LT"/>
              </w:rPr>
              <w:t>urų)</w:t>
            </w:r>
          </w:p>
        </w:tc>
        <w:tc>
          <w:tcPr>
            <w:tcW w:w="1560" w:type="dxa"/>
            <w:vMerge/>
            <w:tcBorders>
              <w:top w:val="nil"/>
              <w:left w:val="single" w:sz="8" w:space="0" w:color="D62E1C"/>
              <w:bottom w:val="single" w:sz="8" w:space="0" w:color="D62E1C"/>
              <w:right w:val="single" w:sz="4" w:space="0" w:color="D62E1C"/>
            </w:tcBorders>
            <w:vAlign w:val="center"/>
            <w:hideMark/>
          </w:tcPr>
          <w:p w14:paraId="03704D31"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r w:rsidR="005A0219" w:rsidRPr="002142B8" w14:paraId="6DB44C69" w14:textId="77777777" w:rsidTr="005B31C6">
        <w:trPr>
          <w:trHeight w:val="1035"/>
        </w:trPr>
        <w:tc>
          <w:tcPr>
            <w:tcW w:w="2260" w:type="dxa"/>
            <w:tcBorders>
              <w:top w:val="single" w:sz="8" w:space="0" w:color="D62E1C"/>
              <w:left w:val="single" w:sz="8" w:space="0" w:color="C00000"/>
              <w:bottom w:val="single" w:sz="8" w:space="0" w:color="D62E1C"/>
              <w:right w:val="nil"/>
            </w:tcBorders>
            <w:shd w:val="clear" w:color="auto" w:fill="auto"/>
            <w:vAlign w:val="center"/>
            <w:hideMark/>
          </w:tcPr>
          <w:p w14:paraId="778BA60B"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Nuosavos lėšos</w:t>
            </w:r>
          </w:p>
        </w:tc>
        <w:tc>
          <w:tcPr>
            <w:tcW w:w="1860" w:type="dxa"/>
            <w:tcBorders>
              <w:top w:val="single" w:sz="8" w:space="0" w:color="D62E1C"/>
              <w:left w:val="nil"/>
              <w:bottom w:val="single" w:sz="8" w:space="0" w:color="D62E1C"/>
              <w:right w:val="single" w:sz="8" w:space="0" w:color="D62E1C"/>
            </w:tcBorders>
            <w:shd w:val="clear" w:color="auto" w:fill="auto"/>
            <w:vAlign w:val="center"/>
            <w:hideMark/>
          </w:tcPr>
          <w:p w14:paraId="436DE9C9" w14:textId="365803B8" w:rsidR="005A0219" w:rsidRPr="002142B8" w:rsidRDefault="005A0219" w:rsidP="005A0219">
            <w:pPr>
              <w:spacing w:after="0" w:line="240" w:lineRule="auto"/>
              <w:jc w:val="center"/>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3</w:t>
            </w:r>
            <w:r w:rsidR="0018041C" w:rsidRPr="002142B8">
              <w:rPr>
                <w:rFonts w:ascii="Georgia" w:eastAsia="Times New Roman" w:hAnsi="Georgia" w:cs="Times New Roman"/>
                <w:color w:val="000000"/>
                <w:sz w:val="20"/>
                <w:szCs w:val="20"/>
                <w:lang w:val="lt-LT" w:eastAsia="lt-LT"/>
              </w:rPr>
              <w:t>,</w:t>
            </w:r>
            <w:r w:rsidRPr="002142B8">
              <w:rPr>
                <w:rFonts w:ascii="Georgia" w:eastAsia="Times New Roman" w:hAnsi="Georgia" w:cs="Times New Roman"/>
                <w:color w:val="000000"/>
                <w:sz w:val="20"/>
                <w:szCs w:val="20"/>
                <w:lang w:val="lt-LT" w:eastAsia="lt-LT"/>
              </w:rPr>
              <w:t>5</w:t>
            </w:r>
          </w:p>
        </w:tc>
        <w:tc>
          <w:tcPr>
            <w:tcW w:w="3880" w:type="dxa"/>
            <w:tcBorders>
              <w:top w:val="nil"/>
              <w:left w:val="nil"/>
              <w:bottom w:val="single" w:sz="8" w:space="0" w:color="D62E1C"/>
              <w:right w:val="single" w:sz="8" w:space="0" w:color="D62E1C"/>
            </w:tcBorders>
            <w:shd w:val="clear" w:color="auto" w:fill="auto"/>
            <w:vAlign w:val="center"/>
            <w:hideMark/>
          </w:tcPr>
          <w:p w14:paraId="6AAE8C2C"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r w:rsidRPr="002142B8">
              <w:rPr>
                <w:rFonts w:ascii="Georgia" w:eastAsia="Times New Roman" w:hAnsi="Georgia" w:cs="Times New Roman"/>
                <w:color w:val="000000"/>
                <w:sz w:val="20"/>
                <w:szCs w:val="20"/>
                <w:lang w:val="lt-LT" w:eastAsia="lt-LT"/>
              </w:rPr>
              <w:t>Darome prielaidą, jog iš privačiai pritrauktų ENEF lėšų bus proporcingai atnaujinami centrinės valdžios pastatai ir gatvių apšvietimas.</w:t>
            </w:r>
          </w:p>
        </w:tc>
        <w:tc>
          <w:tcPr>
            <w:tcW w:w="1560" w:type="dxa"/>
            <w:vMerge/>
            <w:tcBorders>
              <w:top w:val="nil"/>
              <w:left w:val="single" w:sz="8" w:space="0" w:color="D62E1C"/>
              <w:bottom w:val="single" w:sz="8" w:space="0" w:color="D62E1C"/>
              <w:right w:val="single" w:sz="4" w:space="0" w:color="D62E1C"/>
            </w:tcBorders>
            <w:vAlign w:val="center"/>
            <w:hideMark/>
          </w:tcPr>
          <w:p w14:paraId="4544711D" w14:textId="77777777" w:rsidR="005A0219" w:rsidRPr="002142B8" w:rsidRDefault="005A0219" w:rsidP="005A0219">
            <w:pPr>
              <w:spacing w:after="0" w:line="240" w:lineRule="auto"/>
              <w:rPr>
                <w:rFonts w:ascii="Georgia" w:eastAsia="Times New Roman" w:hAnsi="Georgia" w:cs="Times New Roman"/>
                <w:color w:val="000000"/>
                <w:sz w:val="20"/>
                <w:szCs w:val="20"/>
                <w:lang w:val="lt-LT" w:eastAsia="lt-LT"/>
              </w:rPr>
            </w:pPr>
          </w:p>
        </w:tc>
      </w:tr>
    </w:tbl>
    <w:p w14:paraId="38E4410B" w14:textId="6CCABB28" w:rsidR="005A0219" w:rsidRDefault="005A0219" w:rsidP="005A0219">
      <w:pPr>
        <w:spacing w:after="160" w:line="240" w:lineRule="auto"/>
        <w:jc w:val="both"/>
        <w:rPr>
          <w:rFonts w:ascii="Georgia" w:eastAsia="Georgia" w:hAnsi="Georgia" w:cs="Arial Unicode MS"/>
          <w:i/>
          <w:iCs/>
          <w:color w:val="821A1A"/>
          <w:sz w:val="20"/>
          <w:szCs w:val="18"/>
          <w:lang w:val="lt-LT"/>
        </w:rPr>
      </w:pPr>
      <w:r w:rsidRPr="002142B8">
        <w:rPr>
          <w:rFonts w:ascii="Georgia" w:eastAsia="Georgia" w:hAnsi="Georgia" w:cs="Arial Unicode MS"/>
          <w:i/>
          <w:iCs/>
          <w:color w:val="821A1A"/>
          <w:sz w:val="20"/>
          <w:szCs w:val="18"/>
          <w:lang w:val="lt-LT"/>
        </w:rPr>
        <w:t>Šaltinis: sudaryta autorių</w:t>
      </w:r>
    </w:p>
    <w:p w14:paraId="387AD528" w14:textId="1842EEE1" w:rsidR="00BB79B7" w:rsidRDefault="00BB79B7">
      <w:pPr>
        <w:rPr>
          <w:rFonts w:ascii="Georgia" w:eastAsia="Georgia" w:hAnsi="Georgia" w:cs="Arial Unicode MS"/>
          <w:i/>
          <w:iCs/>
          <w:color w:val="821A1A"/>
          <w:sz w:val="20"/>
          <w:szCs w:val="18"/>
          <w:lang w:val="lt-LT"/>
        </w:rPr>
      </w:pPr>
      <w:r>
        <w:rPr>
          <w:rFonts w:ascii="Georgia" w:eastAsia="Georgia" w:hAnsi="Georgia" w:cs="Arial Unicode MS"/>
          <w:i/>
          <w:iCs/>
          <w:color w:val="821A1A"/>
          <w:sz w:val="20"/>
          <w:szCs w:val="18"/>
          <w:lang w:val="lt-LT"/>
        </w:rPr>
        <w:br w:type="page"/>
      </w:r>
    </w:p>
    <w:p w14:paraId="27A0283A" w14:textId="77777777" w:rsidR="005A0219" w:rsidRPr="002142B8" w:rsidRDefault="005A0219" w:rsidP="0063781D">
      <w:pPr>
        <w:pStyle w:val="Antrat2"/>
        <w:numPr>
          <w:ilvl w:val="1"/>
          <w:numId w:val="69"/>
        </w:numPr>
        <w:ind w:left="709"/>
        <w:rPr>
          <w:rFonts w:eastAsia="Times New Roman"/>
          <w:b w:val="0"/>
          <w:lang w:val="lt-LT"/>
        </w:rPr>
      </w:pPr>
      <w:bookmarkStart w:id="104" w:name="_Toc25589903"/>
      <w:r w:rsidRPr="002142B8">
        <w:rPr>
          <w:rFonts w:eastAsia="Times New Roman"/>
          <w:lang w:val="lt-LT"/>
        </w:rPr>
        <w:lastRenderedPageBreak/>
        <w:t>Investicijų trūkumo įvertinimas</w:t>
      </w:r>
      <w:bookmarkEnd w:id="104"/>
    </w:p>
    <w:p w14:paraId="4633FBC2" w14:textId="77777777" w:rsidR="005A0219" w:rsidRPr="002142B8" w:rsidRDefault="005A0219" w:rsidP="005A0219">
      <w:pPr>
        <w:spacing w:after="160" w:line="240" w:lineRule="auto"/>
        <w:rPr>
          <w:rFonts w:ascii="Georgia" w:eastAsia="Georgia" w:hAnsi="Georgia" w:cs="Arial Unicode MS"/>
          <w:i/>
          <w:iCs/>
          <w:color w:val="821A1A"/>
          <w:sz w:val="20"/>
          <w:szCs w:val="18"/>
          <w:lang w:val="lt-LT"/>
        </w:rPr>
      </w:pPr>
      <w:bookmarkStart w:id="105" w:name="_Ref399857008"/>
      <w:bookmarkStart w:id="106" w:name="_Toc455735519"/>
    </w:p>
    <w:p w14:paraId="534E0E47" w14:textId="3E58C456" w:rsidR="005A0219" w:rsidRPr="002142B8" w:rsidRDefault="005A0219" w:rsidP="005A0219">
      <w:pPr>
        <w:spacing w:after="120" w:line="240" w:lineRule="auto"/>
        <w:rPr>
          <w:rFonts w:ascii="Georgia" w:eastAsia="Georgia" w:hAnsi="Georgia" w:cs="Arial Unicode MS"/>
          <w:i/>
          <w:iCs/>
          <w:color w:val="821A1A"/>
          <w:sz w:val="20"/>
          <w:szCs w:val="18"/>
          <w:lang w:val="lt-LT"/>
        </w:rPr>
      </w:pPr>
      <w:bookmarkStart w:id="107" w:name="_Toc507939148"/>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26</w:t>
      </w:r>
      <w:r w:rsidRPr="002142B8">
        <w:rPr>
          <w:rFonts w:ascii="Georgia" w:eastAsia="Georgia" w:hAnsi="Georgia" w:cs="Arial Unicode MS"/>
          <w:i/>
          <w:iCs/>
          <w:color w:val="821A1A"/>
          <w:sz w:val="20"/>
          <w:szCs w:val="18"/>
          <w:lang w:val="lt-LT"/>
        </w:rPr>
        <w:fldChar w:fldCharType="end"/>
      </w:r>
      <w:bookmarkEnd w:id="105"/>
      <w:r w:rsidRPr="002142B8">
        <w:rPr>
          <w:rFonts w:ascii="Georgia" w:eastAsia="Georgia" w:hAnsi="Georgia" w:cs="Arial Unicode MS"/>
          <w:i/>
          <w:iCs/>
          <w:color w:val="821A1A"/>
          <w:sz w:val="20"/>
          <w:szCs w:val="18"/>
          <w:lang w:val="lt-LT"/>
        </w:rPr>
        <w:t xml:space="preserve">. </w:t>
      </w:r>
      <w:r w:rsidRPr="002142B8">
        <w:rPr>
          <w:rFonts w:ascii="Georgia" w:eastAsia="Georgia" w:hAnsi="Georgia" w:cs="Arial Unicode MS"/>
          <w:i/>
          <w:iCs/>
          <w:color w:val="821A1A"/>
          <w:sz w:val="20"/>
          <w:szCs w:val="20"/>
          <w:lang w:val="lt-LT"/>
        </w:rPr>
        <w:t>Rinkos investicijų trūkumo įvertinimo duomenys</w:t>
      </w:r>
      <w:bookmarkEnd w:id="106"/>
      <w:bookmarkEnd w:id="107"/>
    </w:p>
    <w:tbl>
      <w:tblPr>
        <w:tblStyle w:val="LightList-Accent21"/>
        <w:tblW w:w="5000" w:type="pct"/>
        <w:tblLook w:val="04A0" w:firstRow="1" w:lastRow="0" w:firstColumn="1" w:lastColumn="0" w:noHBand="0" w:noVBand="1"/>
      </w:tblPr>
      <w:tblGrid>
        <w:gridCol w:w="2310"/>
        <w:gridCol w:w="2310"/>
        <w:gridCol w:w="2311"/>
        <w:gridCol w:w="2311"/>
      </w:tblGrid>
      <w:tr w:rsidR="00CB4D9D" w:rsidRPr="002142B8" w14:paraId="33908B09" w14:textId="77777777" w:rsidTr="00F9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D62E1C"/>
              <w:left w:val="single" w:sz="8" w:space="0" w:color="D62E1C"/>
              <w:bottom w:val="nil"/>
              <w:right w:val="nil"/>
            </w:tcBorders>
            <w:hideMark/>
          </w:tcPr>
          <w:p w14:paraId="74869A99" w14:textId="77777777" w:rsidR="005A0219" w:rsidRPr="002142B8" w:rsidRDefault="005A0219" w:rsidP="00655668">
            <w:pPr>
              <w:ind w:left="17"/>
              <w:contextualSpacing/>
              <w:rPr>
                <w:rFonts w:ascii="Georgia" w:eastAsia="Georgia" w:hAnsi="Georgia" w:cs="Arial Unicode MS"/>
                <w:sz w:val="20"/>
                <w:szCs w:val="20"/>
              </w:rPr>
            </w:pPr>
            <w:r w:rsidRPr="002142B8">
              <w:rPr>
                <w:rFonts w:ascii="Georgia" w:eastAsia="Georgia" w:hAnsi="Georgia" w:cs="Arial Unicode MS"/>
                <w:sz w:val="20"/>
                <w:szCs w:val="20"/>
              </w:rPr>
              <w:t>Infrastruktūros tipas</w:t>
            </w:r>
          </w:p>
        </w:tc>
        <w:tc>
          <w:tcPr>
            <w:tcW w:w="1250" w:type="pct"/>
            <w:tcBorders>
              <w:top w:val="single" w:sz="8" w:space="0" w:color="D62E1C"/>
              <w:left w:val="nil"/>
              <w:bottom w:val="nil"/>
              <w:right w:val="nil"/>
            </w:tcBorders>
            <w:hideMark/>
          </w:tcPr>
          <w:p w14:paraId="6AE5D37E" w14:textId="43FE0D33" w:rsidR="005A0219" w:rsidRPr="002142B8" w:rsidRDefault="005A0219" w:rsidP="00B93A44">
            <w:pPr>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Investicijų paklausa, mln. </w:t>
            </w:r>
            <w:r w:rsidR="00B93A44">
              <w:rPr>
                <w:rFonts w:ascii="Georgia" w:eastAsia="Georgia" w:hAnsi="Georgia" w:cs="Arial Unicode MS"/>
                <w:sz w:val="20"/>
                <w:szCs w:val="20"/>
              </w:rPr>
              <w:t>eurų</w:t>
            </w:r>
            <w:r w:rsidR="00B93A44" w:rsidRPr="002142B8">
              <w:rPr>
                <w:rFonts w:ascii="Georgia" w:eastAsia="Georgia" w:hAnsi="Georgia" w:cs="Arial Unicode MS"/>
                <w:sz w:val="20"/>
                <w:szCs w:val="20"/>
              </w:rPr>
              <w:t xml:space="preserve"> </w:t>
            </w:r>
          </w:p>
        </w:tc>
        <w:tc>
          <w:tcPr>
            <w:tcW w:w="1250" w:type="pct"/>
            <w:tcBorders>
              <w:top w:val="single" w:sz="8" w:space="0" w:color="D62E1C"/>
              <w:left w:val="nil"/>
              <w:bottom w:val="nil"/>
              <w:right w:val="nil"/>
            </w:tcBorders>
            <w:hideMark/>
          </w:tcPr>
          <w:p w14:paraId="0DEF88FB" w14:textId="044D30C7" w:rsidR="005A0219" w:rsidRPr="002142B8" w:rsidRDefault="005A0219" w:rsidP="00B93A44">
            <w:pPr>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Investicijų pasiūla, mln. </w:t>
            </w:r>
            <w:r w:rsidR="00B93A44">
              <w:rPr>
                <w:rFonts w:ascii="Georgia" w:eastAsia="Georgia" w:hAnsi="Georgia" w:cs="Arial Unicode MS"/>
                <w:sz w:val="20"/>
                <w:szCs w:val="20"/>
              </w:rPr>
              <w:t>eurų</w:t>
            </w:r>
            <w:r w:rsidR="00B93A44" w:rsidRPr="002142B8">
              <w:rPr>
                <w:rFonts w:ascii="Georgia" w:eastAsia="Georgia" w:hAnsi="Georgia" w:cs="Arial Unicode MS"/>
                <w:sz w:val="20"/>
                <w:szCs w:val="20"/>
              </w:rPr>
              <w:t xml:space="preserve"> </w:t>
            </w:r>
          </w:p>
        </w:tc>
        <w:tc>
          <w:tcPr>
            <w:tcW w:w="1250" w:type="pct"/>
            <w:tcBorders>
              <w:top w:val="single" w:sz="8" w:space="0" w:color="D62E1C"/>
              <w:left w:val="nil"/>
              <w:bottom w:val="nil"/>
              <w:right w:val="single" w:sz="8" w:space="0" w:color="D62E1C"/>
            </w:tcBorders>
            <w:hideMark/>
          </w:tcPr>
          <w:p w14:paraId="3966B091" w14:textId="2054EE34" w:rsidR="005A0219" w:rsidRPr="002142B8" w:rsidRDefault="005A0219" w:rsidP="00B93A44">
            <w:pPr>
              <w:ind w:left="26" w:firstLine="24"/>
              <w:contextualSpacing/>
              <w:jc w:val="right"/>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 xml:space="preserve">Investicijų trūkumas, mln. </w:t>
            </w:r>
            <w:r w:rsidR="00B93A44">
              <w:rPr>
                <w:rFonts w:ascii="Georgia" w:eastAsia="Georgia" w:hAnsi="Georgia" w:cs="Arial Unicode MS"/>
                <w:sz w:val="20"/>
                <w:szCs w:val="20"/>
              </w:rPr>
              <w:t>eurų</w:t>
            </w:r>
            <w:r w:rsidR="00B93A44" w:rsidRPr="002142B8">
              <w:rPr>
                <w:rFonts w:ascii="Georgia" w:eastAsia="Georgia" w:hAnsi="Georgia" w:cs="Arial Unicode MS"/>
                <w:sz w:val="20"/>
                <w:szCs w:val="20"/>
              </w:rPr>
              <w:t xml:space="preserve"> </w:t>
            </w:r>
          </w:p>
        </w:tc>
      </w:tr>
      <w:tr w:rsidR="005A0219" w:rsidRPr="002142B8" w14:paraId="6BF32FF0"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4B32A260" w14:textId="77777777" w:rsidR="005A0219" w:rsidRPr="002142B8" w:rsidRDefault="005A0219" w:rsidP="00655668">
            <w:pPr>
              <w:ind w:left="17"/>
              <w:contextualSpacing/>
              <w:rPr>
                <w:rFonts w:ascii="Georgia" w:eastAsia="Georgia" w:hAnsi="Georgia" w:cs="Arial Unicode MS"/>
                <w:b w:val="0"/>
                <w:sz w:val="20"/>
                <w:szCs w:val="20"/>
              </w:rPr>
            </w:pPr>
            <w:r w:rsidRPr="002142B8">
              <w:rPr>
                <w:rFonts w:ascii="Georgia" w:eastAsia="Georgia" w:hAnsi="Georgia" w:cs="Arial Unicode MS"/>
                <w:b w:val="0"/>
                <w:sz w:val="20"/>
                <w:szCs w:val="20"/>
              </w:rPr>
              <w:t>Centrinės valdžios pastatų modernizavimas</w:t>
            </w:r>
          </w:p>
        </w:tc>
        <w:tc>
          <w:tcPr>
            <w:tcW w:w="0" w:type="pct"/>
            <w:tcBorders>
              <w:left w:val="nil"/>
              <w:right w:val="nil"/>
            </w:tcBorders>
            <w:shd w:val="clear" w:color="auto" w:fill="auto"/>
            <w:vAlign w:val="center"/>
          </w:tcPr>
          <w:p w14:paraId="708C0900" w14:textId="77777777" w:rsidR="005A0219" w:rsidRPr="002142B8"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610,3</w:t>
            </w:r>
          </w:p>
        </w:tc>
        <w:tc>
          <w:tcPr>
            <w:tcW w:w="0" w:type="pct"/>
            <w:tcBorders>
              <w:left w:val="nil"/>
              <w:right w:val="nil"/>
            </w:tcBorders>
            <w:shd w:val="clear" w:color="auto" w:fill="auto"/>
            <w:vAlign w:val="center"/>
          </w:tcPr>
          <w:p w14:paraId="474233D2" w14:textId="77777777" w:rsidR="005A0219" w:rsidRPr="002142B8"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109,8</w:t>
            </w:r>
          </w:p>
        </w:tc>
        <w:tc>
          <w:tcPr>
            <w:tcW w:w="0" w:type="pct"/>
            <w:tcBorders>
              <w:left w:val="nil"/>
            </w:tcBorders>
            <w:shd w:val="clear" w:color="auto" w:fill="auto"/>
            <w:vAlign w:val="center"/>
          </w:tcPr>
          <w:p w14:paraId="51CACBA4" w14:textId="77777777" w:rsidR="005A0219" w:rsidRPr="002142B8" w:rsidRDefault="005A0219" w:rsidP="005A0219">
            <w:pPr>
              <w:ind w:left="26" w:firstLine="24"/>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500,5</w:t>
            </w:r>
          </w:p>
        </w:tc>
      </w:tr>
      <w:tr w:rsidR="00CB4D9D" w:rsidRPr="002142B8" w14:paraId="7A2DAAC2" w14:textId="77777777" w:rsidTr="00C007FE">
        <w:trPr>
          <w:trHeight w:val="590"/>
        </w:trPr>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D62E1C"/>
              <w:bottom w:val="nil"/>
              <w:right w:val="nil"/>
            </w:tcBorders>
            <w:hideMark/>
          </w:tcPr>
          <w:p w14:paraId="6B82F076" w14:textId="77777777" w:rsidR="005A0219" w:rsidRPr="002142B8" w:rsidRDefault="005A0219" w:rsidP="00655668">
            <w:pPr>
              <w:ind w:left="17"/>
              <w:contextualSpacing/>
              <w:rPr>
                <w:rFonts w:ascii="Georgia" w:eastAsia="Georgia" w:hAnsi="Georgia" w:cs="Arial Unicode MS"/>
                <w:b w:val="0"/>
                <w:sz w:val="20"/>
                <w:szCs w:val="20"/>
              </w:rPr>
            </w:pPr>
            <w:r w:rsidRPr="002142B8">
              <w:rPr>
                <w:rFonts w:ascii="Georgia" w:eastAsia="Georgia" w:hAnsi="Georgia" w:cs="Arial Unicode MS"/>
                <w:b w:val="0"/>
                <w:sz w:val="20"/>
                <w:szCs w:val="20"/>
              </w:rPr>
              <w:t>Savivaldybės pastatų modernizavimas</w:t>
            </w:r>
          </w:p>
        </w:tc>
        <w:tc>
          <w:tcPr>
            <w:tcW w:w="1250" w:type="pct"/>
            <w:tcBorders>
              <w:top w:val="nil"/>
              <w:left w:val="nil"/>
              <w:bottom w:val="single" w:sz="8" w:space="0" w:color="D62E1C"/>
              <w:right w:val="nil"/>
            </w:tcBorders>
            <w:shd w:val="clear" w:color="auto" w:fill="auto"/>
            <w:vAlign w:val="center"/>
          </w:tcPr>
          <w:p w14:paraId="194FDCD3" w14:textId="77777777" w:rsidR="005A0219" w:rsidRPr="002142B8" w:rsidRDefault="005A0219"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298,6</w:t>
            </w:r>
          </w:p>
        </w:tc>
        <w:tc>
          <w:tcPr>
            <w:tcW w:w="1250" w:type="pct"/>
            <w:tcBorders>
              <w:top w:val="nil"/>
              <w:left w:val="nil"/>
              <w:bottom w:val="nil"/>
              <w:right w:val="nil"/>
            </w:tcBorders>
            <w:shd w:val="clear" w:color="auto" w:fill="auto"/>
            <w:vAlign w:val="center"/>
          </w:tcPr>
          <w:p w14:paraId="27D74B2B" w14:textId="7543054C" w:rsidR="005A0219" w:rsidRPr="002142B8" w:rsidRDefault="00B93A44"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Pr>
                <w:rFonts w:ascii="Georgia" w:eastAsia="Georgia" w:hAnsi="Georgia" w:cs="Arial Unicode MS"/>
                <w:color w:val="000000"/>
                <w:sz w:val="20"/>
                <w:szCs w:val="20"/>
              </w:rPr>
              <w:t>17,3</w:t>
            </w:r>
          </w:p>
        </w:tc>
        <w:tc>
          <w:tcPr>
            <w:tcW w:w="1250" w:type="pct"/>
            <w:tcBorders>
              <w:top w:val="nil"/>
              <w:left w:val="nil"/>
              <w:bottom w:val="single" w:sz="8" w:space="0" w:color="D62E1C"/>
              <w:right w:val="single" w:sz="8" w:space="0" w:color="D62E1C"/>
            </w:tcBorders>
            <w:shd w:val="clear" w:color="auto" w:fill="auto"/>
            <w:vAlign w:val="center"/>
          </w:tcPr>
          <w:p w14:paraId="096B7329" w14:textId="272F2E98" w:rsidR="005A0219" w:rsidRPr="002142B8" w:rsidRDefault="00B93A44" w:rsidP="005A0219">
            <w:pPr>
              <w:ind w:left="26" w:firstLine="24"/>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Pr>
                <w:rFonts w:ascii="Georgia" w:eastAsia="Georgia" w:hAnsi="Georgia" w:cs="Arial Unicode MS"/>
                <w:color w:val="000000"/>
                <w:sz w:val="20"/>
                <w:szCs w:val="20"/>
              </w:rPr>
              <w:t>281,3</w:t>
            </w:r>
          </w:p>
        </w:tc>
      </w:tr>
      <w:tr w:rsidR="005A0219" w:rsidRPr="002142B8" w14:paraId="6F849E2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44FCBD87" w14:textId="77777777" w:rsidR="005A0219" w:rsidRPr="002142B8" w:rsidRDefault="005A0219" w:rsidP="00655668">
            <w:pPr>
              <w:ind w:left="17"/>
              <w:contextualSpacing/>
              <w:rPr>
                <w:rFonts w:ascii="Georgia" w:eastAsia="Georgia" w:hAnsi="Georgia" w:cs="Arial Unicode MS"/>
                <w:b w:val="0"/>
                <w:sz w:val="20"/>
                <w:szCs w:val="20"/>
              </w:rPr>
            </w:pPr>
            <w:r w:rsidRPr="002142B8">
              <w:rPr>
                <w:rFonts w:ascii="Georgia" w:eastAsia="Georgia" w:hAnsi="Georgia" w:cs="Arial Unicode MS"/>
                <w:b w:val="0"/>
                <w:sz w:val="20"/>
                <w:szCs w:val="20"/>
              </w:rPr>
              <w:t>Daugiabučių modernizavimas</w:t>
            </w:r>
          </w:p>
        </w:tc>
        <w:tc>
          <w:tcPr>
            <w:tcW w:w="0" w:type="pct"/>
            <w:tcBorders>
              <w:top w:val="nil"/>
              <w:left w:val="nil"/>
              <w:right w:val="nil"/>
            </w:tcBorders>
            <w:shd w:val="clear" w:color="auto" w:fill="auto"/>
            <w:vAlign w:val="center"/>
          </w:tcPr>
          <w:p w14:paraId="2EFFB0FF" w14:textId="77777777" w:rsidR="005A0219" w:rsidRPr="002142B8"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1 063,4</w:t>
            </w:r>
          </w:p>
        </w:tc>
        <w:tc>
          <w:tcPr>
            <w:tcW w:w="0" w:type="pct"/>
            <w:tcBorders>
              <w:left w:val="nil"/>
              <w:right w:val="nil"/>
            </w:tcBorders>
            <w:shd w:val="clear" w:color="auto" w:fill="auto"/>
            <w:vAlign w:val="center"/>
          </w:tcPr>
          <w:p w14:paraId="2235EF05" w14:textId="77777777" w:rsidR="005A0219" w:rsidRPr="002142B8" w:rsidRDefault="005A0219" w:rsidP="005A0219">
            <w:pPr>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283,6</w:t>
            </w:r>
          </w:p>
        </w:tc>
        <w:tc>
          <w:tcPr>
            <w:tcW w:w="0" w:type="pct"/>
            <w:tcBorders>
              <w:top w:val="nil"/>
              <w:left w:val="nil"/>
            </w:tcBorders>
            <w:shd w:val="clear" w:color="auto" w:fill="auto"/>
            <w:vAlign w:val="center"/>
          </w:tcPr>
          <w:p w14:paraId="0A1F5821" w14:textId="77777777" w:rsidR="005A0219" w:rsidRPr="002142B8" w:rsidRDefault="005A0219" w:rsidP="005A0219">
            <w:pPr>
              <w:ind w:left="26" w:firstLine="24"/>
              <w:contextualSpacing/>
              <w:jc w:val="right"/>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779,8</w:t>
            </w:r>
          </w:p>
        </w:tc>
      </w:tr>
      <w:tr w:rsidR="005A0219" w:rsidRPr="002142B8" w14:paraId="4B918A46"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single" w:sz="8" w:space="0" w:color="D62E1C"/>
              <w:right w:val="nil"/>
            </w:tcBorders>
            <w:hideMark/>
          </w:tcPr>
          <w:p w14:paraId="4DB38EBD" w14:textId="77777777" w:rsidR="005A0219" w:rsidRPr="002142B8" w:rsidRDefault="005A0219" w:rsidP="00655668">
            <w:pPr>
              <w:ind w:left="17"/>
              <w:contextualSpacing/>
              <w:rPr>
                <w:rFonts w:ascii="Georgia" w:eastAsia="Georgia" w:hAnsi="Georgia" w:cs="Arial Unicode MS"/>
                <w:b w:val="0"/>
                <w:sz w:val="20"/>
                <w:szCs w:val="20"/>
              </w:rPr>
            </w:pPr>
            <w:r w:rsidRPr="002142B8">
              <w:rPr>
                <w:rFonts w:ascii="Georgia" w:eastAsia="Georgia" w:hAnsi="Georgia" w:cs="Arial Unicode MS"/>
                <w:b w:val="0"/>
                <w:sz w:val="20"/>
                <w:szCs w:val="20"/>
              </w:rPr>
              <w:t>Gatvių apšvietimo tinklo modernizavimas</w:t>
            </w:r>
          </w:p>
        </w:tc>
        <w:tc>
          <w:tcPr>
            <w:tcW w:w="0" w:type="pct"/>
            <w:tcBorders>
              <w:top w:val="nil"/>
              <w:left w:val="nil"/>
              <w:bottom w:val="single" w:sz="8" w:space="0" w:color="D62E1C"/>
              <w:right w:val="nil"/>
            </w:tcBorders>
            <w:shd w:val="clear" w:color="auto" w:fill="auto"/>
            <w:vAlign w:val="center"/>
          </w:tcPr>
          <w:p w14:paraId="7C77C365" w14:textId="5BE98266" w:rsidR="005A0219" w:rsidRPr="002142B8" w:rsidRDefault="00190AA0">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119</w:t>
            </w:r>
            <w:r w:rsidR="005A0219" w:rsidRPr="002142B8">
              <w:rPr>
                <w:rFonts w:ascii="Georgia" w:eastAsia="Georgia" w:hAnsi="Georgia" w:cs="Arial Unicode MS"/>
                <w:color w:val="000000"/>
                <w:sz w:val="20"/>
                <w:szCs w:val="20"/>
              </w:rPr>
              <w:t>,</w:t>
            </w:r>
            <w:r w:rsidRPr="002142B8">
              <w:rPr>
                <w:rFonts w:ascii="Georgia" w:eastAsia="Georgia" w:hAnsi="Georgia" w:cs="Arial Unicode MS"/>
                <w:color w:val="000000"/>
                <w:sz w:val="20"/>
                <w:szCs w:val="20"/>
              </w:rPr>
              <w:t>4</w:t>
            </w:r>
          </w:p>
        </w:tc>
        <w:tc>
          <w:tcPr>
            <w:tcW w:w="0" w:type="pct"/>
            <w:tcBorders>
              <w:top w:val="nil"/>
              <w:left w:val="nil"/>
              <w:bottom w:val="single" w:sz="8" w:space="0" w:color="D62E1C"/>
              <w:right w:val="nil"/>
            </w:tcBorders>
            <w:shd w:val="clear" w:color="auto" w:fill="auto"/>
            <w:vAlign w:val="center"/>
          </w:tcPr>
          <w:p w14:paraId="198FF89F" w14:textId="77777777" w:rsidR="005A0219" w:rsidRPr="002142B8" w:rsidRDefault="005A0219" w:rsidP="005A0219">
            <w:pPr>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18,0</w:t>
            </w:r>
          </w:p>
        </w:tc>
        <w:tc>
          <w:tcPr>
            <w:tcW w:w="0" w:type="pct"/>
            <w:tcBorders>
              <w:top w:val="nil"/>
              <w:left w:val="nil"/>
              <w:bottom w:val="single" w:sz="8" w:space="0" w:color="D62E1C"/>
              <w:right w:val="single" w:sz="8" w:space="0" w:color="D62E1C"/>
            </w:tcBorders>
            <w:shd w:val="clear" w:color="auto" w:fill="auto"/>
            <w:vAlign w:val="center"/>
          </w:tcPr>
          <w:p w14:paraId="4341BA36" w14:textId="30BE781A" w:rsidR="005A0219" w:rsidRPr="002142B8" w:rsidRDefault="00190AA0">
            <w:pPr>
              <w:ind w:left="26" w:firstLine="24"/>
              <w:contextualSpacing/>
              <w:jc w:val="right"/>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color w:val="000000"/>
                <w:sz w:val="20"/>
                <w:szCs w:val="20"/>
              </w:rPr>
              <w:t>101</w:t>
            </w:r>
            <w:r w:rsidR="005A0219" w:rsidRPr="002142B8">
              <w:rPr>
                <w:rFonts w:ascii="Georgia" w:eastAsia="Georgia" w:hAnsi="Georgia" w:cs="Arial Unicode MS"/>
                <w:color w:val="000000"/>
                <w:sz w:val="20"/>
                <w:szCs w:val="20"/>
              </w:rPr>
              <w:t>,</w:t>
            </w:r>
            <w:r w:rsidRPr="002142B8">
              <w:rPr>
                <w:rFonts w:ascii="Georgia" w:eastAsia="Georgia" w:hAnsi="Georgia" w:cs="Arial Unicode MS"/>
                <w:color w:val="000000"/>
                <w:sz w:val="20"/>
                <w:szCs w:val="20"/>
              </w:rPr>
              <w:t>4</w:t>
            </w:r>
          </w:p>
        </w:tc>
      </w:tr>
    </w:tbl>
    <w:p w14:paraId="29728569" w14:textId="77777777" w:rsidR="005A0219" w:rsidRPr="002142B8" w:rsidRDefault="005A0219" w:rsidP="005A0219">
      <w:pPr>
        <w:spacing w:before="120" w:after="120" w:line="240" w:lineRule="auto"/>
        <w:jc w:val="both"/>
        <w:rPr>
          <w:rFonts w:ascii="Georgia" w:eastAsia="Georgia" w:hAnsi="Georgia" w:cs="Arial Unicode MS"/>
          <w:b/>
          <w:iCs/>
          <w:color w:val="821A1A"/>
          <w:sz w:val="20"/>
          <w:szCs w:val="18"/>
          <w:lang w:val="lt-LT"/>
        </w:rPr>
      </w:pPr>
      <w:r w:rsidRPr="002142B8">
        <w:rPr>
          <w:rFonts w:ascii="Georgia" w:eastAsia="Georgia" w:hAnsi="Georgia" w:cs="Arial Unicode MS"/>
          <w:i/>
          <w:iCs/>
          <w:color w:val="821A1A"/>
          <w:sz w:val="20"/>
          <w:szCs w:val="18"/>
          <w:lang w:val="lt-LT"/>
        </w:rPr>
        <w:t>Šaltinis: sudaryta autorių</w:t>
      </w:r>
    </w:p>
    <w:p w14:paraId="0047B757" w14:textId="77777777" w:rsidR="005A0219" w:rsidRPr="002142B8" w:rsidRDefault="005A0219" w:rsidP="005A0219">
      <w:pPr>
        <w:spacing w:after="160" w:line="240" w:lineRule="auto"/>
        <w:rPr>
          <w:rFonts w:ascii="Georgia" w:eastAsia="Georgia" w:hAnsi="Georgia" w:cs="Arial Unicode MS"/>
          <w:sz w:val="20"/>
          <w:szCs w:val="20"/>
          <w:lang w:val="lt-LT"/>
        </w:rPr>
      </w:pPr>
    </w:p>
    <w:p w14:paraId="5A5142CB" w14:textId="77777777" w:rsidR="005A0219" w:rsidRPr="002142B8" w:rsidRDefault="005A0219" w:rsidP="0063781D">
      <w:pPr>
        <w:pStyle w:val="Antrat2"/>
        <w:numPr>
          <w:ilvl w:val="1"/>
          <w:numId w:val="69"/>
        </w:numPr>
        <w:ind w:left="709"/>
        <w:rPr>
          <w:rFonts w:eastAsia="Times New Roman"/>
          <w:b w:val="0"/>
          <w:lang w:val="lt-LT"/>
        </w:rPr>
      </w:pPr>
      <w:bookmarkStart w:id="108" w:name="_Toc25589904"/>
      <w:r w:rsidRPr="002142B8">
        <w:rPr>
          <w:rFonts w:eastAsia="Times New Roman"/>
          <w:lang w:val="lt-LT"/>
        </w:rPr>
        <w:t>Rinkos gyvybingumo ir investicijų trūkumo susidarymo priežasčių analizė</w:t>
      </w:r>
      <w:bookmarkEnd w:id="108"/>
      <w:r w:rsidRPr="002142B8">
        <w:rPr>
          <w:rFonts w:eastAsia="Times New Roman"/>
          <w:lang w:val="lt-LT"/>
        </w:rPr>
        <w:t xml:space="preserve"> </w:t>
      </w:r>
    </w:p>
    <w:p w14:paraId="7A7C5CCE" w14:textId="77777777" w:rsidR="005A0219" w:rsidRPr="002142B8" w:rsidRDefault="005A0219" w:rsidP="005A0219">
      <w:pPr>
        <w:spacing w:after="160" w:line="240" w:lineRule="auto"/>
        <w:jc w:val="both"/>
        <w:rPr>
          <w:rFonts w:ascii="Georgia" w:eastAsia="Georgia" w:hAnsi="Georgia" w:cs="Arial"/>
          <w:sz w:val="20"/>
          <w:szCs w:val="20"/>
          <w:lang w:val="lt-LT"/>
        </w:rPr>
      </w:pPr>
    </w:p>
    <w:p w14:paraId="10014B1E" w14:textId="77777777" w:rsidR="005A0219" w:rsidRPr="002142B8" w:rsidRDefault="005A0219" w:rsidP="005A0219">
      <w:pPr>
        <w:spacing w:after="160" w:line="240" w:lineRule="auto"/>
        <w:jc w:val="both"/>
        <w:rPr>
          <w:rFonts w:ascii="Georgia" w:eastAsia="Georgia" w:hAnsi="Georgia" w:cs="Arial"/>
          <w:sz w:val="20"/>
          <w:szCs w:val="20"/>
          <w:lang w:val="lt-LT"/>
        </w:rPr>
      </w:pPr>
      <w:r w:rsidRPr="002142B8">
        <w:rPr>
          <w:rFonts w:ascii="Georgia" w:eastAsia="Georgia" w:hAnsi="Georgia" w:cs="Arial"/>
          <w:sz w:val="20"/>
          <w:szCs w:val="20"/>
          <w:lang w:val="lt-LT"/>
        </w:rPr>
        <w:t xml:space="preserve">Šio skyriaus tikslas – įvertinti įvairias priežastis, dėl kurių rinkoje egzistuojantys finansavimo šaltiniai pilnai nepadengia esančios investicijų paklausos. Rinkos nepakankamumo priežastys gali būti labai įvairios, susijusios tiek su paklausos, tiek su pasiūlos puse, taip pat susijusios su pačių projektų esme, pavyzdžiui, gyvybingumo stokos problemos. Dėl šių atsiradusių priežasčių nėra įgyvendinami/pasiekiami energijos taupymo tikslai be valstybės įsikišimo (t.y. jeigu projektai būtų finansuojami tik iš rinkoje esančių finansavimo šaltinių), tačiau ir viešųjų išteklių padengti susidariusiems investicijų poreikiams nepakanka.  </w:t>
      </w:r>
    </w:p>
    <w:p w14:paraId="1CAB702E" w14:textId="77777777" w:rsidR="005A0219" w:rsidRPr="002142B8" w:rsidRDefault="005A0219" w:rsidP="005A0219">
      <w:pPr>
        <w:spacing w:after="160" w:line="240" w:lineRule="auto"/>
        <w:jc w:val="both"/>
        <w:rPr>
          <w:rFonts w:ascii="Georgia" w:eastAsia="Georgia" w:hAnsi="Georgia" w:cs="Arial"/>
          <w:sz w:val="20"/>
          <w:szCs w:val="20"/>
          <w:lang w:val="lt-LT"/>
        </w:rPr>
      </w:pPr>
      <w:r w:rsidRPr="002142B8">
        <w:rPr>
          <w:rFonts w:ascii="Georgia" w:eastAsia="Georgia" w:hAnsi="Georgia" w:cs="Arial"/>
          <w:sz w:val="20"/>
          <w:szCs w:val="20"/>
          <w:lang w:val="lt-LT"/>
        </w:rPr>
        <w:t xml:space="preserve">Šiame skyriuje aptariama, dėl kokių priežasčių susidaro lentelėje identifikuoti rinkos trūkumai energijos efektyvumo projektų finansavimui.  </w:t>
      </w:r>
    </w:p>
    <w:p w14:paraId="77FB439D" w14:textId="2B99B468" w:rsidR="005A0219" w:rsidRPr="002142B8" w:rsidRDefault="005A0219" w:rsidP="005A0219">
      <w:pPr>
        <w:spacing w:after="120" w:line="240" w:lineRule="auto"/>
        <w:rPr>
          <w:rFonts w:ascii="Georgia" w:eastAsia="Georgia" w:hAnsi="Georgia" w:cs="Arial Unicode MS"/>
          <w:i/>
          <w:iCs/>
          <w:color w:val="821A1A"/>
          <w:sz w:val="20"/>
          <w:szCs w:val="18"/>
          <w:lang w:val="lt-LT"/>
        </w:rPr>
      </w:pPr>
      <w:bookmarkStart w:id="109" w:name="_Toc507939149"/>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27</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Arial Unicode MS"/>
          <w:i/>
          <w:iCs/>
          <w:color w:val="821A1A"/>
          <w:sz w:val="20"/>
          <w:szCs w:val="20"/>
          <w:lang w:val="lt-LT"/>
        </w:rPr>
        <w:t>Rinkos gyvybingumo ir investicijų trūkumo priežastys ir jų aprašymas</w:t>
      </w:r>
      <w:bookmarkEnd w:id="109"/>
    </w:p>
    <w:tbl>
      <w:tblPr>
        <w:tblStyle w:val="LightList-Accent21"/>
        <w:tblW w:w="9180" w:type="dxa"/>
        <w:tblLook w:val="04A0" w:firstRow="1" w:lastRow="0" w:firstColumn="1" w:lastColumn="0" w:noHBand="0" w:noVBand="1"/>
      </w:tblPr>
      <w:tblGrid>
        <w:gridCol w:w="2287"/>
        <w:gridCol w:w="6893"/>
      </w:tblGrid>
      <w:tr w:rsidR="005A0219" w:rsidRPr="002142B8" w14:paraId="74DEE81D"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7D5DD2FF"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Priežastis</w:t>
            </w:r>
          </w:p>
        </w:tc>
        <w:tc>
          <w:tcPr>
            <w:tcW w:w="6893" w:type="dxa"/>
          </w:tcPr>
          <w:p w14:paraId="13746F4F" w14:textId="77777777" w:rsidR="005A0219" w:rsidRPr="002142B8" w:rsidRDefault="005A0219" w:rsidP="00E23406">
            <w:pPr>
              <w:cnfStyle w:val="100000000000" w:firstRow="1"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r w:rsidRPr="002142B8">
              <w:rPr>
                <w:rFonts w:ascii="Georgia" w:eastAsia="Georgia" w:hAnsi="Georgia" w:cs="Arial Unicode MS"/>
                <w:i/>
                <w:sz w:val="20"/>
                <w:szCs w:val="20"/>
              </w:rPr>
              <w:t>Aprašymas</w:t>
            </w:r>
          </w:p>
        </w:tc>
      </w:tr>
      <w:tr w:rsidR="005A0219" w:rsidRPr="002142B8" w14:paraId="4609ABBF"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267B8624"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Neapmokestinamos taršos įtaka</w:t>
            </w:r>
          </w:p>
        </w:tc>
        <w:tc>
          <w:tcPr>
            <w:tcW w:w="6893" w:type="dxa"/>
          </w:tcPr>
          <w:p w14:paraId="6BD5D23E"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Viena iš labai svarbių rinkos trūkumo susidarymo priežasčių, kylančių iš paklausos, t.y. projektų, pusės, yra tai, kad aplinkosauginiai ir socialiniai kaštai, tokie kaip taršos, šiltnamio efektą sukeliančių dujų emisijos, išteklių išeikvojimo, geopolitinės priklausomybės, nėra atspindėti energijos kainodaroje. Energijos vartotojai savo sprendimus ir pasirinkimą grindžia atsižvelgiant į energijos kainą, kuri yra mažesnė nei visi kiti visuomenės patiriami kaštai. Elektros kaina namų ūkiams yra viena mažiausių Europoje, o remiantis Eurostato duomenimis, energijos suvartojimo šiltnamio efektą sukeliančių dujų emisijos pastaraisiais metais buvo vienos didžiausių Europoje. Tai parodo, kad iš tiesų egzistuoja neigiamas minėtų išorinių veiksnių poveikis. </w:t>
            </w:r>
          </w:p>
          <w:p w14:paraId="04EF7316"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Aplinkosauginiai veiksniai, kurie nėra padengiami energijos kainos dalimi, sukuria energijos perteklinį vartojimą bei nepakankamas investicijas į energijos efektyvumą ir turto išsaugojimą, be to, energijos vartotojai renkasi pigesnę energijos rūšį vietoje ekologiškesnių, tačiau brangesnių energijos šaltinių bei energijos efektyvumo priemonių diegimo.</w:t>
            </w:r>
          </w:p>
          <w:p w14:paraId="711ECF75" w14:textId="77777777" w:rsidR="005A0219" w:rsidRPr="002142B8" w:rsidRDefault="005A0219" w:rsidP="00E23406">
            <w:pPr>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10F67F06"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7C0E9C1E"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Asimetrinė informacija</w:t>
            </w:r>
          </w:p>
        </w:tc>
        <w:tc>
          <w:tcPr>
            <w:tcW w:w="6893" w:type="dxa"/>
          </w:tcPr>
          <w:p w14:paraId="57883404"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Asimetrinė informacija pasireiškia tuomet, kai vartotojai, pardavėjai, gamintojai, politikai, finansuotojai turi nepakankamos arba neteisingos informacijos apie energijos efektyvumo projektų savybes ir teikiamas </w:t>
            </w:r>
            <w:r w:rsidRPr="002142B8">
              <w:rPr>
                <w:rFonts w:ascii="Georgia" w:eastAsia="Georgia" w:hAnsi="Georgia" w:cs="Arial"/>
                <w:sz w:val="20"/>
                <w:szCs w:val="20"/>
              </w:rPr>
              <w:lastRenderedPageBreak/>
              <w:t xml:space="preserve">galimybes. Energijos vartotojai dažnai neturi efektyvios praktikos bei nežino apie egzistuojančias technologijas energijos taupymui. Viena iš tokios informacijos trūkumo susidarymo priežasčių yra energetinio išprusimo, mokymų ir tuo pačiu motyvacijos trūkumas, kurie taip pat prisideda prie nepakankamų investicijų į energijos efektyvumo priemones.  </w:t>
            </w:r>
          </w:p>
          <w:p w14:paraId="1F4066E1"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Energijos vartojimo efektyvumo srityje potencialūs projektų vykdytojai – energiją vartojantys fiziniai ir juridiniai asmenys. Fiziniai asmenys, kurie yra galutiniai naudos gavėjai daugiabučių modernizavimo projektuose, dažnai neišmano energinio efektyvumo priemonių įdiegimo naudos, bendras sutarimas tarp daugiabučio namo gyventojų gali būti ilgas, o kartais ir neįgyvendinamas procesas. Daugiabučių namų gyventojai dėl daugelio priežasčių turi žemą motyvaciją inicijuoti energijos efektyvumo projektus.</w:t>
            </w:r>
          </w:p>
          <w:p w14:paraId="04B78F06" w14:textId="77777777" w:rsidR="005A0219" w:rsidRPr="002142B8" w:rsidRDefault="005A0219" w:rsidP="00E23406">
            <w:pPr>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1EDB9EB3"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B73B23D"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lastRenderedPageBreak/>
              <w:t>Didelės rizikos</w:t>
            </w:r>
          </w:p>
        </w:tc>
        <w:tc>
          <w:tcPr>
            <w:tcW w:w="6893" w:type="dxa"/>
          </w:tcPr>
          <w:p w14:paraId="0089BCAF"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Investuotojams nepriimtinos rizikos dažnai yra trukdis investicijoms. Energijos efektyvumo srityje pagrindinės rizikos yra šios: realių energijos sutaupymų rizika, statybos darbų rizika, energijos kainų kitimo rizika, bendros ekonominės situacijos rizika, valstybinės politikos tęstinumo rizika, juridinio asmens, kuris vartoja energiją ir iš sutaupymų apmoka investicijas, rizika, viešųjų pastatų reikalingumo rizika, ir kt. </w:t>
            </w:r>
          </w:p>
          <w:p w14:paraId="3F1835FA"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tc>
      </w:tr>
      <w:tr w:rsidR="005A0219" w:rsidRPr="002142B8" w14:paraId="04BF89E7"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6A640707"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Vartotojų elgsenos ypatumai</w:t>
            </w:r>
          </w:p>
        </w:tc>
        <w:tc>
          <w:tcPr>
            <w:tcW w:w="6893" w:type="dxa"/>
          </w:tcPr>
          <w:p w14:paraId="1A6E74C2"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Neracionalus vartotojų elgesys energijos efektyvumo srityje vis dar labai smarkiai paplitęs, o bendras visuomenės suvokimas energijos taupymo ir energijos efektyvumo svarbos klausimu dar nėra susiformavęs. Taip pat žemo finansinio išprusimo energijos vartotojai dažnai neteisingai įvertina suvartotiną energiją bei investicijų atsipirkimo laikotarpį ir toliau yra labiau linkę vengti investicijų ir toliau mokėti daugiau už suvartotą energiją. Nuo 2013 metų pradžios, kuomet Aplinkos ministerija ėmėsi radikalių skatinimo priemonių daugiabučių renovacijai, daugiabučių namų gyventojų požiūris ėmė keistis; tačiau vis dėlto nėra nustatyta, ar vartotojų požiūris į energijos efektyvumo investicijas iš tiesų ėmė keistis, ar vartotojai suskubo pasinaudoti Aplinkos ministerijos įvestomis subsidijomis už pasiektus rezultatus, kuri bendrai siekė net iki 40 proc.</w:t>
            </w:r>
          </w:p>
          <w:p w14:paraId="1A81E875"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1F4B81C5"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31A1BA4"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Projektų atsiperkamumo laikotarpis</w:t>
            </w:r>
          </w:p>
        </w:tc>
        <w:tc>
          <w:tcPr>
            <w:tcW w:w="6893" w:type="dxa"/>
          </w:tcPr>
          <w:p w14:paraId="5BA3294F"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Dažnu atveju tiek daugiabučiai, tiek viešieji pastatai yra ne pačios prasčiausios būklės, nes subjektai savais pajėgumais stengiasi įdiegti tam tikras energijos efektyvumo priemones, pavyzdžiui, keičia langus, duris. Atitinkamai planuojant kapitalinę pastato renovaciją ilgėja atsipirkimo laikas, kadangi langų pakeitimas, durų pakeitimas yra vienos iš efektyviausių energijos efektyvumo priemonių. Projekto atsipirkimo laikas dažniausiai viršija 10-15 metų. Atsižvelgiant į komercinių bankų apklausų metu surinktą informaciją, komerciniai bankai investicines paskolas teikia ne ilgesniam nei 10 metų laikotarpiui. Paskolos trukmė yra trumpesnė nei projekto atsipirkimo laikas, todėl arba komerciniai bankai tokios paskolos neteiks, arba paskolą imantis subjektas turės rasti papildomų lėšų šaltinių paskolos aptarnavimui, kadangi energijos kaštų sutaupymų tam nepakaks. </w:t>
            </w:r>
          </w:p>
          <w:p w14:paraId="1D74A786"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tc>
      </w:tr>
      <w:tr w:rsidR="005A0219" w:rsidRPr="002142B8" w14:paraId="7C58254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2EBE1DFC"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Žemas subjektų finansinis pajėgumas</w:t>
            </w:r>
          </w:p>
        </w:tc>
        <w:tc>
          <w:tcPr>
            <w:tcW w:w="6893" w:type="dxa"/>
          </w:tcPr>
          <w:p w14:paraId="4E9127F5"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Šioje analizėje vertinamų energijos efektyvumo projektų vykdytojai – daugiabučių namų gyventojai ar bendrijos turi ribotas galimybes skolintis arba to daryti nenori. Pavyzdžiui, gyventojų nenoras skolintis buvo viena iš pagrindinių priežasčių, kodėl 2009 m. sukūrus JESSICA KF ir sudarius visas galimybes skolintis lengvatinėmis sąlygomis lūžis daugiabučių renovacijoje neįvyko. </w:t>
            </w:r>
          </w:p>
          <w:p w14:paraId="31B6D2EC"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4DC6774F" w14:textId="1A68803A"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Savivaldybėms įstatyminėje bazėje yra nustatyti skolinimosi limitai, todėl galimybės kreiptis paskolos labai priklauso nuo išnaudotų skolinimosi limitų. Dali</w:t>
            </w:r>
            <w:r w:rsidR="0018041C" w:rsidRPr="002142B8">
              <w:rPr>
                <w:rFonts w:ascii="Georgia" w:eastAsia="Georgia" w:hAnsi="Georgia" w:cs="Arial"/>
                <w:sz w:val="20"/>
                <w:szCs w:val="20"/>
              </w:rPr>
              <w:t>e</w:t>
            </w:r>
            <w:r w:rsidRPr="002142B8">
              <w:rPr>
                <w:rFonts w:ascii="Georgia" w:eastAsia="Georgia" w:hAnsi="Georgia" w:cs="Arial"/>
                <w:sz w:val="20"/>
                <w:szCs w:val="20"/>
              </w:rPr>
              <w:t>s savivaldybių finansin</w:t>
            </w:r>
            <w:r w:rsidR="0018041C" w:rsidRPr="002142B8">
              <w:rPr>
                <w:rFonts w:ascii="Georgia" w:eastAsia="Georgia" w:hAnsi="Georgia" w:cs="Arial"/>
                <w:sz w:val="20"/>
                <w:szCs w:val="20"/>
              </w:rPr>
              <w:t>ė</w:t>
            </w:r>
            <w:r w:rsidRPr="002142B8">
              <w:rPr>
                <w:rFonts w:ascii="Georgia" w:eastAsia="Georgia" w:hAnsi="Georgia" w:cs="Arial"/>
                <w:sz w:val="20"/>
                <w:szCs w:val="20"/>
              </w:rPr>
              <w:t xml:space="preserve"> būkl</w:t>
            </w:r>
            <w:r w:rsidR="0018041C" w:rsidRPr="002142B8">
              <w:rPr>
                <w:rFonts w:ascii="Georgia" w:eastAsia="Georgia" w:hAnsi="Georgia" w:cs="Arial"/>
                <w:sz w:val="20"/>
                <w:szCs w:val="20"/>
              </w:rPr>
              <w:t>ė labai prasta</w:t>
            </w:r>
            <w:r w:rsidRPr="002142B8">
              <w:rPr>
                <w:rFonts w:ascii="Georgia" w:eastAsia="Georgia" w:hAnsi="Georgia" w:cs="Arial"/>
                <w:sz w:val="20"/>
                <w:szCs w:val="20"/>
              </w:rPr>
              <w:t xml:space="preserve">, todėl komerciniai bankai neskolina šioms savivaldybėms. Centrinė valdžia turi santykinai lengvesnį priėjimą prie vietinių ar išorinių finansavimo šaltinių, tačiau centrinės valdžios skolinimasis daro tiesioginę įtaką valstybės skolai ir </w:t>
            </w:r>
            <w:r w:rsidRPr="002142B8">
              <w:rPr>
                <w:rFonts w:ascii="Georgia" w:eastAsia="Georgia" w:hAnsi="Georgia" w:cs="Arial"/>
                <w:sz w:val="20"/>
                <w:szCs w:val="20"/>
              </w:rPr>
              <w:lastRenderedPageBreak/>
              <w:t>valstybės biudžeto deficitui, o šie rodikliai turi atitikti ES nustatytus Mastrichto kriterijus, todėl reikalingas itin atsakingas centrinės valdžios skolinimasis bei finansų kontrolė.</w:t>
            </w:r>
          </w:p>
          <w:p w14:paraId="51DBE7CB"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1307B456"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C9AAFB1"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lastRenderedPageBreak/>
              <w:t>Užstato reikalavimas</w:t>
            </w:r>
          </w:p>
        </w:tc>
        <w:tc>
          <w:tcPr>
            <w:tcW w:w="6893" w:type="dxa"/>
          </w:tcPr>
          <w:p w14:paraId="3552FB3C"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Kliento kreditingumas yra pagrindinis aspektas, kurį vertina finansuotojai prieš suteikdami finansavimą, o projekto pinigų srautų vertinimas yra antraeilis. Taip yra todėl, kad tikslų pinigų srautų vertinimą atlikti prieš projekto įgyvendinimą yra sudėtinga. Kai skolinimas vykdomas turto pagrindu, o ne pinigų srautų pagrindu, galioja viena bendra taisyklė. Skolinant turto pagrindu bankas reikalauja užstato (kuris gali būti net iki 200% paskolos vertės). Tačiau viešųjų pastatų projektų atveju dėl teisinių ar kitų apribojimų nėra turto, kuris gali būti naudojama kaip užstatas. LR Valstybės ir savivaldybių turto valdymo, naudojimo ir disponavimo juo įstatyme nustatyta, kad savivaldybės negali įkeisti savo turto, todėl komerciniai bankai neturi galimybės teikiamą paskolą garantuoti nekilnojamuoju turtu.</w:t>
            </w:r>
          </w:p>
          <w:p w14:paraId="4B7CEFC8"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34EF1772"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299DF134"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Nepakankama viešųjų projektų vykdytojų motyvacija</w:t>
            </w:r>
          </w:p>
        </w:tc>
        <w:tc>
          <w:tcPr>
            <w:tcW w:w="6893" w:type="dxa"/>
          </w:tcPr>
          <w:p w14:paraId="2B3B26F1"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r w:rsidRPr="002142B8">
              <w:rPr>
                <w:rFonts w:ascii="Georgia" w:eastAsia="Georgia" w:hAnsi="Georgia" w:cs="Arial Unicode MS"/>
                <w:sz w:val="20"/>
                <w:szCs w:val="20"/>
              </w:rPr>
              <w:t>Dar viena rinkos problema yra susijusi su projektų vykdytojų – valstybės institucijų ir savivaldybių – motyvacijos stoka. Pagal galiojantį teisinį reglamentavimą, valstybės institucijos (biudžetinės įstaigos) ir savivaldybių viešųjų pastatų bei gatvių apšvietimo tinklų valdytojai neturi teisės laisvai disponuoti iš valstybės ar savivaldybės biudžeto skiriamais asignavimais, todėl net ir sutaupius tam tikrą kiekį lėšų, sutaupymo faktas nėra pajaučiamas. Tai veda prie motyvacijos taupyti energiją stokos, kadangi trūksta tiesioginio sutaupymų matymo. Biudžeto paskirstymo ir lėšų pervedimo tvarka aptariama prie reglamentavimo apribojimų žemiau.</w:t>
            </w:r>
          </w:p>
          <w:p w14:paraId="1751B73B"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sz w:val="20"/>
                <w:szCs w:val="20"/>
              </w:rPr>
            </w:pPr>
          </w:p>
        </w:tc>
      </w:tr>
      <w:tr w:rsidR="005A0219" w:rsidRPr="002142B8" w14:paraId="1B7DBD45"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53632F0E"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Augančios statybos darbų kainos</w:t>
            </w:r>
          </w:p>
        </w:tc>
        <w:tc>
          <w:tcPr>
            <w:tcW w:w="6893" w:type="dxa"/>
          </w:tcPr>
          <w:p w14:paraId="1F11003C" w14:textId="05F1AAFF"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Augančios statybos darbų kainos daro įtaką energijos efektyvumo projektų planavimui ir įgyvendinimui, kadangi augančios statybos darbų kainos didina investicijas ir taip prailgina projektų atsiperkamumo laikotarpį. Remiantis Statistikos departamento naujausiais duomenimis, pastatų remonto kainų indeksas 2010-2017 m. laikotarpiu nuolat augo. 2017 m. rugsėjo mėn. indekso reikšmė siekė 129,25, tuo tarpu 2010 m. sausio mėn. – 98,23. </w:t>
            </w:r>
            <w:r w:rsidR="0018041C" w:rsidRPr="002142B8">
              <w:rPr>
                <w:rFonts w:ascii="Georgia" w:eastAsia="Georgia" w:hAnsi="Georgia" w:cs="Arial"/>
                <w:sz w:val="20"/>
                <w:szCs w:val="20"/>
              </w:rPr>
              <w:t>P</w:t>
            </w:r>
            <w:r w:rsidRPr="002142B8">
              <w:rPr>
                <w:rFonts w:ascii="Georgia" w:eastAsia="Georgia" w:hAnsi="Georgia" w:cs="Arial"/>
                <w:sz w:val="20"/>
                <w:szCs w:val="20"/>
              </w:rPr>
              <w:t xml:space="preserve">er šį laikotarpį pastatų remonto sąnaudų kainos pakilo 32 proc. arba 4 proc. kasmet. Atsižvelgiant į dabartinį Lietuvos makroekonominį klimatą ir infliaciją, tikėtina, jog ši tendencija išsilaikys. </w:t>
            </w:r>
          </w:p>
          <w:p w14:paraId="6A42B099"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5B903DD7"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1D2B1D2"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Darbo jėga statybų sektoriuje</w:t>
            </w:r>
          </w:p>
        </w:tc>
        <w:tc>
          <w:tcPr>
            <w:tcW w:w="6893" w:type="dxa"/>
          </w:tcPr>
          <w:p w14:paraId="4AFC9024"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Remiantis statistiniais duomenimis, per pastaruosius 3 metus nedarbas statybų sektoriuje gerokai sumažėjo ir beveik pasiekė prieš krizę buvusį lygį. Tai lėmė emigracija, darbuotojų persikvalifikavimas ir atsigaunančios statybų įmonės. Dėl paspartėjusio gyvenamųjų namų renovavimo ir statybų sektoriuje prasidėjusio atsigavimo darbuotojų pasiūla ir paklausa po truputį didėja. </w:t>
            </w:r>
          </w:p>
          <w:p w14:paraId="5632A086"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6F4520A6"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Augant pastatų renovavimo paklausai, sumažėjęs statybininkų skaičius gali tapti nemaža problema. Toks kvalifikuotos darbo jėgos trūkumas gali lemti mažesnę renovavimo kokybę, nesugebėjimą įgyvendinti projektų laiku, išaugusius darbo užmokesčio kaštus ir bendras projekto sąnaudas. Buvo konstatuota, kad tai gali pareikalauti papildomo laiko statybos įmonėms prisitaikyti prie padidėjusios paklausos pastatų renovacijos sektoriuje. Be to, tikėtinas statybos darbų kainų padidėjimas esant išaugusiai paklausai. </w:t>
            </w:r>
          </w:p>
          <w:p w14:paraId="4A0276B1"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09B3AEAC"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7A13D44"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Reikalavimai savivaldybių įmonių pajėgumams</w:t>
            </w:r>
          </w:p>
        </w:tc>
        <w:tc>
          <w:tcPr>
            <w:tcW w:w="6893" w:type="dxa"/>
          </w:tcPr>
          <w:p w14:paraId="0FB84394"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Daugiabučių namų renovacijos finansavimo modelis, paskolas teikiant daugiabučių namų savininkų naudai, iškėlė naują klausimą - ar savivaldybių įmonės turi būtinus gebėjimus įgyvendinti ir administruoti renovacijos projektus viso miesto mastu. Savivaldybių įmonės tampa atsakingos už visą renovacijos ciklą - renovacijos projektų rengimas, viešieji pirkimai, sutartis su rangovu, sutartis dėl renovacijos paskolų, butų savininkų mokėjimų administravimas, ir t.t. </w:t>
            </w:r>
          </w:p>
          <w:p w14:paraId="2B05517E"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Pasirinktos savivaldybių įmonės pagrinde yra kelių tipų - specialiai įsteigtos </w:t>
            </w:r>
            <w:r w:rsidRPr="002142B8">
              <w:rPr>
                <w:rFonts w:ascii="Georgia" w:eastAsia="Georgia" w:hAnsi="Georgia" w:cs="Arial"/>
                <w:sz w:val="20"/>
                <w:szCs w:val="20"/>
              </w:rPr>
              <w:lastRenderedPageBreak/>
              <w:t xml:space="preserve">arba paskirtos viešosios įstaigos (apie 31,6%), šiuo metu veikiantys administratoriai (apie 58%), centrinio šildymo įmonės (apie 5,2%) ir vandens tiekimo įmonės (apie 5,2%). </w:t>
            </w:r>
          </w:p>
          <w:p w14:paraId="0614289E"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4E66E0B5" w14:textId="77777777" w:rsidR="005A0219" w:rsidRPr="002142B8" w:rsidRDefault="005A0219" w:rsidP="0061566A">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Šiuo metu BETA vykdo specialius mokymus savivaldybių įmonėms apie naujausius teisinio reglamentavimo pakeitimus, finansų valdymą, viešuosius pirkimus ir kt. BETA taip pat parengė programinę įrangą, kuri bus prieinama savivaldybių įmonėms ir palengvins butų savininkų mokėjimų ir gautos valstybės paramos administravimą. Be to, BETA šiuo metu stiprina savo padalinius, esančių regionuose, siekiant užtikrinti, kad techninė pagalba būtų labiau prieinama visose savivaldybėse.</w:t>
            </w:r>
          </w:p>
          <w:p w14:paraId="5BC75924"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2A7E3C2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D40A1E0"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lastRenderedPageBreak/>
              <w:t xml:space="preserve">Renovacijos kokybės kontrolė </w:t>
            </w:r>
          </w:p>
        </w:tc>
        <w:tc>
          <w:tcPr>
            <w:tcW w:w="6893" w:type="dxa"/>
          </w:tcPr>
          <w:p w14:paraId="438EDA5A"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Vienas iš svarbiausių rūpesčių butų savininkams yra renovacijos darbų kokybė. Remiantis studija</w:t>
            </w:r>
            <w:r w:rsidRPr="002142B8">
              <w:rPr>
                <w:rFonts w:ascii="Georgia" w:eastAsia="Georgia" w:hAnsi="Georgia" w:cs="Arial"/>
                <w:color w:val="000000"/>
                <w:sz w:val="20"/>
                <w:szCs w:val="20"/>
                <w:vertAlign w:val="superscript"/>
              </w:rPr>
              <w:footnoteReference w:id="45"/>
            </w:r>
            <w:r w:rsidRPr="002142B8">
              <w:rPr>
                <w:rFonts w:ascii="Georgia" w:eastAsia="Georgia" w:hAnsi="Georgia" w:cs="Arial"/>
                <w:sz w:val="20"/>
                <w:szCs w:val="20"/>
              </w:rPr>
              <w:t>, kurią užsakė Lietuvos šilumos tiekėjų asociacija, rizika, kad renovacijos darbai gali būti atliekami netinkamai, buvo nustatyta kaip aukšta.</w:t>
            </w:r>
          </w:p>
          <w:p w14:paraId="5A5B8F94"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Valstybinė teritorijų planavimo ir statybos inspekcija paskelbė, kad renovacijos darbų kontrolė bus atliekama per netikėtus apsilankymus renovuojamuose objektuose. Siekiant užtikrinti kuo geresnę darbų kokybę, kiekvienas renovuojamas namas turi turėti techninį prižiūrėtoją, kuriems renovacijos procese tenka didelė atsakomybė, todėl ir dėmesys jų veiklai ypatingas. Pastarojo veiklą tikrina ne tik renovuojamo namo gyventojai, bet ir Valstybinė teritorijų planavimo ir statybos inspekcija (VTPSI) prie Aplinkos ministerijos ir Būsto energijos taupymo agentūra (BETA).</w:t>
            </w:r>
          </w:p>
          <w:p w14:paraId="059FF54A"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6491C729"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Vykdant renovaciją statybos techninės priežiūros tikslas – ne tik patikrinti, kaip laikomasi bendrų teisės aktų nuostatų, bet ir įvertinti, ar tinkamai įgyvendinami konkretaus pastato detalizuoti projekto sprendiniai, kaip taikomi normatyvinių statybos techninių dokumentų reikalavimai, kaip vykdomos statybos produktų gamintojo rekomendacijos.</w:t>
            </w:r>
          </w:p>
          <w:p w14:paraId="47926156" w14:textId="77777777" w:rsidR="005A0219" w:rsidRPr="002142B8" w:rsidRDefault="005A0219" w:rsidP="0061566A">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p w14:paraId="55ACFA3B" w14:textId="77777777" w:rsidR="005A0219" w:rsidRPr="002142B8" w:rsidRDefault="005A0219" w:rsidP="00807B3C">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Siekiant, kad kontrolė būtų efektyvi, atvykę į statybvietę tikrintojai turi rasti visus reikalingus dokumentus ir darbų priežiūrą vykdančius statybos dalyvius. Dėl to techniniams prižiūrėtojams nustatyta prievolė, atsižvelgiant į numatomus vykdyti darbus, parengti, suderinti su užsakovu ir pateikti VTPSI ir BETA pastatų tikrinimo grafikus. Grafikas turi būti sudaromas ne trumpesniam kaip savaitės laikotarpiui nurodant tikslų laiką, kada techniniai prižiūrėtojai planuoja tikrinti renovuojamus namus ir atliekamus darbus.</w:t>
            </w:r>
          </w:p>
          <w:p w14:paraId="6808890A" w14:textId="77777777" w:rsidR="005A0219" w:rsidRPr="002142B8" w:rsidRDefault="005A0219" w:rsidP="0063781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6B4993C1"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47D6266A" w14:textId="77777777" w:rsidR="005A0219" w:rsidRPr="002142B8" w:rsidRDefault="005A0219" w:rsidP="005A0219">
            <w:pPr>
              <w:rPr>
                <w:rFonts w:ascii="Georgia" w:eastAsia="Georgia" w:hAnsi="Georgia" w:cs="Arial Unicode MS"/>
                <w:i/>
                <w:sz w:val="20"/>
                <w:szCs w:val="20"/>
              </w:rPr>
            </w:pPr>
            <w:r w:rsidRPr="002142B8">
              <w:rPr>
                <w:rFonts w:ascii="Georgia" w:eastAsia="Georgia" w:hAnsi="Georgia" w:cs="Arial Unicode MS"/>
                <w:i/>
                <w:sz w:val="20"/>
                <w:szCs w:val="20"/>
              </w:rPr>
              <w:t>Poveikis centrinio šildymo sistemoms</w:t>
            </w:r>
          </w:p>
        </w:tc>
        <w:tc>
          <w:tcPr>
            <w:tcW w:w="6893" w:type="dxa"/>
          </w:tcPr>
          <w:p w14:paraId="7D8C9B94"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Plačios apimties renovacijos miestuose gali turėti poveikį centrinės šildymo gamybos ir tiekimo sistemoms dėl sparčiai sumažėjusio šilumos energijos suvartojimo. Nacionalinėje energetinės nepriklausomybės strategijoje yra nustatyta, kad dėl daugiabučių namų renovacijos iki 2020 metų šilumos suvartojimas sumažės apie 30-40%. </w:t>
            </w:r>
          </w:p>
          <w:p w14:paraId="16396C43"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33FB049B"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Remiantis Lietuvos šilumos tiekėjų asociacijos nuomone, nors dėl daugiabučių namų renovacijos šilumos energijos suvartojimas turėtų sumažėti, šildymo kainos neturėtų žymiai išaugti, nes kiekvienais metais auga naujų šilumos vartotojų skaičius. Panaši pozicija taip pat buvo palaikoma ir Lietuvos energetikos konsultantų asociacijos.</w:t>
            </w:r>
          </w:p>
          <w:p w14:paraId="3FEC85FA" w14:textId="77777777" w:rsidR="005A0219" w:rsidRPr="002142B8" w:rsidRDefault="005A0219" w:rsidP="0061566A">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 </w:t>
            </w:r>
          </w:p>
          <w:p w14:paraId="6FDC8F39" w14:textId="77777777" w:rsidR="005A0219" w:rsidRPr="002142B8" w:rsidRDefault="005A0219" w:rsidP="00807B3C">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Nepaisant to, didelės apimties renovacija miestuose turėtų būti diskutuojama ir derinama su šilumos tiekimo įmonėmis, kad jos galėtų planuoti reikiamas investicijas į infrastruktūrą.</w:t>
            </w:r>
          </w:p>
          <w:p w14:paraId="7B6F81E1" w14:textId="77777777" w:rsidR="005A0219" w:rsidRPr="002142B8"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7FD67E75" w14:textId="77777777" w:rsidR="005A0219" w:rsidRPr="002142B8"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 xml:space="preserve">BETA prognozuoja, kad šiuo metu planuojama plačios apimties renovacija </w:t>
            </w:r>
            <w:r w:rsidRPr="002142B8">
              <w:rPr>
                <w:rFonts w:ascii="Georgia" w:eastAsia="Georgia" w:hAnsi="Georgia" w:cs="Arial"/>
                <w:sz w:val="20"/>
                <w:szCs w:val="20"/>
              </w:rPr>
              <w:lastRenderedPageBreak/>
              <w:t>neturėtų turėti didelės įtakos šilumos energijos suvartojimo sumažėjimui ir šis klausimas turėtų būti keliamas planuojant tolesnę renovaciją nuo 2018 metų. Buvo rekomenduota visose savivaldybėse apsvarstyti ir aptarti šiuos klausimus su vietos šilumos tiekėjais, siekiant palengvinti reikiamų koregavimų įdiegimą centrinėse šildymo sistemose.</w:t>
            </w:r>
          </w:p>
          <w:p w14:paraId="62BE5A18" w14:textId="77777777" w:rsidR="005A0219" w:rsidRPr="002142B8" w:rsidRDefault="005A0219" w:rsidP="003C0878">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p>
          <w:p w14:paraId="3B9333D8" w14:textId="77777777" w:rsidR="005A0219" w:rsidRPr="002142B8" w:rsidRDefault="005A0219" w:rsidP="0063781D">
            <w:pPr>
              <w:keepNext/>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i/>
                <w:sz w:val="20"/>
                <w:szCs w:val="20"/>
              </w:rPr>
            </w:pPr>
            <w:r w:rsidRPr="002142B8">
              <w:rPr>
                <w:rFonts w:ascii="Georgia" w:eastAsia="Georgia" w:hAnsi="Georgia" w:cs="Arial"/>
                <w:i/>
                <w:sz w:val="20"/>
                <w:szCs w:val="20"/>
              </w:rPr>
              <w:t xml:space="preserve">Projekto vykdytojas gali nuspręsti pasikliauti „greitais ir pigiais“ sprendimais ignoruodamas pastato renovavimo poreikius </w:t>
            </w:r>
          </w:p>
          <w:p w14:paraId="1938B93E"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Atlikus visapusišką pastatų renovavimą ne tik sutaupoma daugiausia energijos, bet ir užtikrinamos komfortiškos sąlygos, pagerinama pastato išorinė būklė, padidinama pastato vertė. Todėl jei projekto vykdytojas renkasi visapusiškai nerenovuoti viešosios paskirties pastato ir pasikliauna „greitais ir pigiais“ sprendimais, gali būti nepasiektas tikėtinas rezultatas.</w:t>
            </w:r>
          </w:p>
          <w:p w14:paraId="302735D9" w14:textId="77777777" w:rsidR="005A0219" w:rsidRPr="002142B8" w:rsidRDefault="005A0219" w:rsidP="0063781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128E8FE2"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00B64FB9" w14:textId="77777777" w:rsidR="005A0219" w:rsidRPr="002142B8" w:rsidRDefault="005A0219" w:rsidP="005A0219">
            <w:pPr>
              <w:keepNext/>
              <w:rPr>
                <w:rFonts w:ascii="Georgia" w:eastAsia="Georgia" w:hAnsi="Georgia" w:cs="Arial"/>
                <w:i/>
                <w:sz w:val="20"/>
                <w:szCs w:val="20"/>
              </w:rPr>
            </w:pPr>
            <w:r w:rsidRPr="002142B8">
              <w:rPr>
                <w:rFonts w:ascii="Georgia" w:eastAsia="Georgia" w:hAnsi="Georgia" w:cs="Arial"/>
                <w:i/>
                <w:sz w:val="20"/>
                <w:szCs w:val="20"/>
              </w:rPr>
              <w:lastRenderedPageBreak/>
              <w:t>Pastatų savininkų nepagrįsti lūkesčiai dėl šildymo energijos taupymo</w:t>
            </w:r>
          </w:p>
        </w:tc>
        <w:tc>
          <w:tcPr>
            <w:tcW w:w="6893" w:type="dxa"/>
          </w:tcPr>
          <w:p w14:paraId="6D1D2261"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Jei pastatas priskiriamas F, E ar D kategorijai, tai nebūtinai reiškia, kad jo galimybės sutaupyti šilumą yra didelės. Priskiriant pastatą energinio efektyvumo klasei, būna vertinamas ne tik šilumos, bet ir elektros energijos suvartojimas. Pavyzdžiui, ligoninė su mechanine vėdinimo sistema, elektriniais karšto vandens ruošimo boileriais gali būti priskirta D ar net E klasei, bet šilumos kiekis, suvartojamas 1 m</w:t>
            </w:r>
            <w:r w:rsidRPr="002142B8">
              <w:rPr>
                <w:rFonts w:ascii="Georgia" w:eastAsia="Georgia" w:hAnsi="Georgia" w:cs="Arial"/>
                <w:sz w:val="20"/>
                <w:szCs w:val="20"/>
                <w:vertAlign w:val="superscript"/>
              </w:rPr>
              <w:t>2</w:t>
            </w:r>
            <w:r w:rsidRPr="002142B8">
              <w:rPr>
                <w:rFonts w:ascii="Georgia" w:eastAsia="Georgia" w:hAnsi="Georgia" w:cs="Arial"/>
                <w:sz w:val="20"/>
                <w:szCs w:val="20"/>
              </w:rPr>
              <w:t>, gali būti nedidelis. Šiuo atveju sutaupytos šilumos kiekis taip pat bus nedidelis.</w:t>
            </w:r>
          </w:p>
          <w:p w14:paraId="11BCC998"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Unicode MS"/>
                <w:i/>
                <w:sz w:val="20"/>
                <w:szCs w:val="20"/>
              </w:rPr>
            </w:pPr>
          </w:p>
        </w:tc>
      </w:tr>
      <w:tr w:rsidR="005A0219" w:rsidRPr="002142B8" w14:paraId="3300FBBA"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02328568" w14:textId="77777777" w:rsidR="005A0219" w:rsidRPr="002142B8" w:rsidRDefault="005A0219" w:rsidP="005A0219">
            <w:pPr>
              <w:keepNext/>
              <w:rPr>
                <w:rFonts w:ascii="Georgia" w:eastAsia="Georgia" w:hAnsi="Georgia" w:cs="Arial"/>
                <w:i/>
                <w:sz w:val="20"/>
                <w:szCs w:val="20"/>
              </w:rPr>
            </w:pPr>
            <w:r w:rsidRPr="002142B8">
              <w:rPr>
                <w:rFonts w:ascii="Georgia" w:eastAsia="Georgia" w:hAnsi="Georgia" w:cs="Arial"/>
                <w:i/>
                <w:sz w:val="20"/>
                <w:szCs w:val="20"/>
              </w:rPr>
              <w:t xml:space="preserve">Trumpalaikių paskolų refinansavimo galimybės </w:t>
            </w:r>
          </w:p>
        </w:tc>
        <w:tc>
          <w:tcPr>
            <w:tcW w:w="6893" w:type="dxa"/>
          </w:tcPr>
          <w:p w14:paraId="67349203"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w:sz w:val="20"/>
                <w:szCs w:val="20"/>
              </w:rPr>
            </w:pPr>
            <w:r w:rsidRPr="002142B8">
              <w:rPr>
                <w:rFonts w:ascii="Georgia" w:eastAsia="Georgia" w:hAnsi="Georgia" w:cs="Arial"/>
                <w:sz w:val="20"/>
                <w:szCs w:val="20"/>
              </w:rPr>
              <w:t>Viena pagrindinių komercinių bankų išskiriamų kliūčių yra neapibrėžtumas dėl to, ar pasibaigus projekto įgyvendinimui paskolos gavėjas turės galimybę refinansuoti trumpalaikę paskolą. Tokių mechanizmų nebuvimas sukurs papildomų sunkumų norint gauti trumpalaikį finansavimą.</w:t>
            </w:r>
          </w:p>
          <w:p w14:paraId="66D275E0" w14:textId="77777777" w:rsidR="005A0219" w:rsidRPr="002142B8" w:rsidRDefault="005A0219" w:rsidP="00E23406">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Arial Unicode MS"/>
                <w:i/>
                <w:sz w:val="20"/>
                <w:szCs w:val="20"/>
              </w:rPr>
            </w:pPr>
          </w:p>
        </w:tc>
      </w:tr>
      <w:tr w:rsidR="005A0219" w:rsidRPr="002142B8" w14:paraId="4AC32BA5" w14:textId="77777777" w:rsidTr="0063781D">
        <w:tc>
          <w:tcPr>
            <w:cnfStyle w:val="001000000000" w:firstRow="0" w:lastRow="0" w:firstColumn="1" w:lastColumn="0" w:oddVBand="0" w:evenVBand="0" w:oddHBand="0" w:evenHBand="0" w:firstRowFirstColumn="0" w:firstRowLastColumn="0" w:lastRowFirstColumn="0" w:lastRowLastColumn="0"/>
            <w:tcW w:w="2287" w:type="dxa"/>
          </w:tcPr>
          <w:p w14:paraId="47C5D0E2" w14:textId="77777777" w:rsidR="005A0219" w:rsidRPr="002142B8" w:rsidRDefault="005A0219" w:rsidP="005A0219">
            <w:pPr>
              <w:keepNext/>
              <w:rPr>
                <w:rFonts w:ascii="Georgia" w:eastAsia="Georgia" w:hAnsi="Georgia" w:cs="Arial"/>
                <w:i/>
                <w:sz w:val="20"/>
                <w:szCs w:val="20"/>
              </w:rPr>
            </w:pPr>
            <w:r w:rsidRPr="002142B8">
              <w:rPr>
                <w:rFonts w:ascii="Georgia" w:eastAsia="Georgia" w:hAnsi="Georgia" w:cs="Arial"/>
                <w:i/>
                <w:sz w:val="20"/>
                <w:szCs w:val="20"/>
              </w:rPr>
              <w:t>Per maža projektų apimtis ir rizikos pasidalijimas</w:t>
            </w:r>
          </w:p>
        </w:tc>
        <w:tc>
          <w:tcPr>
            <w:tcW w:w="6893" w:type="dxa"/>
          </w:tcPr>
          <w:p w14:paraId="0AEB3E6E"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Pastatų renovacijos pavieniai projektai TFI yra per mažos apimties, be to, šios institucijos nefinansuoja 100 proc. projekto vertės, taip išvengdamos visos rizikos prisiėmimo bei pritraukdamos papildomų lėšų ir kompetencijų projekto finansavimui:</w:t>
            </w:r>
          </w:p>
          <w:p w14:paraId="7DC6AAA5" w14:textId="77777777" w:rsidR="005A0219" w:rsidRPr="002142B8" w:rsidRDefault="005A0219" w:rsidP="0063781D">
            <w:pPr>
              <w:numPr>
                <w:ilvl w:val="0"/>
                <w:numId w:val="33"/>
              </w:numPr>
              <w:ind w:firstLine="0"/>
              <w:contextualSpacing/>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i/>
                <w:sz w:val="20"/>
                <w:szCs w:val="20"/>
              </w:rPr>
              <w:t>Europos plėtros ir rekonstrukcijos bankas</w:t>
            </w:r>
            <w:r w:rsidRPr="002142B8">
              <w:rPr>
                <w:rFonts w:ascii="Georgia" w:eastAsia="Georgia" w:hAnsi="Georgia" w:cs="Times New Roman"/>
                <w:sz w:val="20"/>
                <w:szCs w:val="20"/>
              </w:rPr>
              <w:t>. Vienam projektui nėra skiriamas didesnis finansavimas nei 35 proc. viso projekto išlaidų; finansavimo dydis ne mažesnis nei 5 mln. eurų;</w:t>
            </w:r>
          </w:p>
          <w:p w14:paraId="498D6DFB" w14:textId="77777777" w:rsidR="005A0219" w:rsidRPr="002142B8" w:rsidRDefault="005A0219" w:rsidP="0063781D">
            <w:pPr>
              <w:numPr>
                <w:ilvl w:val="0"/>
                <w:numId w:val="33"/>
              </w:numPr>
              <w:ind w:firstLine="0"/>
              <w:contextualSpacing/>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i/>
                <w:sz w:val="20"/>
                <w:szCs w:val="20"/>
              </w:rPr>
              <w:t>Europos investicijų bankas</w:t>
            </w:r>
            <w:r w:rsidRPr="002142B8">
              <w:rPr>
                <w:rFonts w:ascii="Georgia" w:eastAsia="Georgia" w:hAnsi="Georgia" w:cs="Times New Roman"/>
                <w:sz w:val="20"/>
                <w:szCs w:val="20"/>
              </w:rPr>
              <w:t>. Vienam projektui nėra skiriamas didesnis finansavimas nei 50 proc. viso projekto išlaidų; finansavimo dydis ne mažesnis nei 25 mln. eurų; jeigu projektas yra mažesnės apimties, finansavimas gali būti teikiamas per finansinius tarpininkus;</w:t>
            </w:r>
          </w:p>
          <w:p w14:paraId="51C121B4" w14:textId="77777777" w:rsidR="005A0219" w:rsidRPr="002142B8" w:rsidRDefault="005A0219" w:rsidP="0063781D">
            <w:pPr>
              <w:numPr>
                <w:ilvl w:val="0"/>
                <w:numId w:val="33"/>
              </w:numPr>
              <w:spacing w:after="120"/>
              <w:ind w:left="714" w:firstLine="0"/>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i/>
                <w:sz w:val="20"/>
                <w:szCs w:val="20"/>
              </w:rPr>
              <w:t>Šiaurės investicijų bankas</w:t>
            </w:r>
            <w:r w:rsidRPr="002142B8">
              <w:rPr>
                <w:rFonts w:ascii="Georgia" w:eastAsia="Georgia" w:hAnsi="Georgia" w:cs="Times New Roman"/>
                <w:sz w:val="20"/>
                <w:szCs w:val="20"/>
              </w:rPr>
              <w:t>. Vienam projektui nėra skiriamas didesnis finansavimas nei 50 proc. viso projekto išlaidų; finansavimo dydis ne mažesnis nei 5 mln. eurų.</w:t>
            </w:r>
          </w:p>
          <w:p w14:paraId="7936E954"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Atsižvelgiant į tai, tikėtina, kad nė viena tarptautinė finansų institucija nefinansuotų pavienių pastatų energijos efektyvumo projektų dėl per mažos jų apimties. Tačiau didžiųjų miestų gatvių apšvietimo projektai yra pakankamos apimties, kad pavieniai projektai potencialiai galėtų būti finansuojami tarptautinių finansų institucijų. Vis dėlto šioje pasiūlos analizėje konkreti finansavimo apimtis, kurią galėtų skirti gatvių apšvietimo modernizavimui tarptautinės finansų institucijos, nėra nurodoma dėl informacijos stokos. </w:t>
            </w:r>
          </w:p>
          <w:p w14:paraId="4AA22DC8" w14:textId="77777777" w:rsidR="005A0219" w:rsidRPr="002142B8" w:rsidRDefault="005A0219" w:rsidP="00E23406">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Arial"/>
                <w:sz w:val="20"/>
                <w:szCs w:val="20"/>
              </w:rPr>
            </w:pPr>
          </w:p>
        </w:tc>
      </w:tr>
    </w:tbl>
    <w:p w14:paraId="3C6E388D" w14:textId="77777777" w:rsidR="005A0219" w:rsidRPr="002142B8" w:rsidRDefault="005A0219" w:rsidP="005A0219">
      <w:pPr>
        <w:spacing w:after="160" w:line="240" w:lineRule="auto"/>
        <w:jc w:val="both"/>
        <w:rPr>
          <w:rFonts w:ascii="Georgia" w:eastAsia="Georgia" w:hAnsi="Georgia" w:cs="Arial Unicode MS"/>
          <w:b/>
          <w:iCs/>
          <w:color w:val="821A1A"/>
          <w:sz w:val="20"/>
          <w:szCs w:val="18"/>
          <w:lang w:val="lt-LT"/>
        </w:rPr>
      </w:pPr>
      <w:r w:rsidRPr="002142B8">
        <w:rPr>
          <w:rFonts w:ascii="Georgia" w:eastAsia="Georgia" w:hAnsi="Georgia" w:cs="Arial Unicode MS"/>
          <w:i/>
          <w:iCs/>
          <w:color w:val="821A1A"/>
          <w:sz w:val="20"/>
          <w:szCs w:val="18"/>
          <w:lang w:val="lt-LT"/>
        </w:rPr>
        <w:t>Šaltinis: sudaryta autorių</w:t>
      </w:r>
    </w:p>
    <w:p w14:paraId="482E9C1B" w14:textId="77777777" w:rsidR="00662169" w:rsidRPr="002142B8" w:rsidRDefault="00662169" w:rsidP="00662169">
      <w:pPr>
        <w:rPr>
          <w:rFonts w:ascii="Georgia" w:hAnsi="Georgia"/>
          <w:i/>
          <w:sz w:val="20"/>
          <w:lang w:val="lt-LT"/>
        </w:rPr>
      </w:pPr>
      <w:bookmarkStart w:id="110" w:name="_Hlk496653808"/>
      <w:r w:rsidRPr="002142B8">
        <w:rPr>
          <w:rFonts w:ascii="Georgia" w:hAnsi="Georgia"/>
          <w:i/>
          <w:sz w:val="20"/>
          <w:lang w:val="lt-LT"/>
        </w:rPr>
        <w:t xml:space="preserve">ESCO modelis </w:t>
      </w:r>
    </w:p>
    <w:p w14:paraId="3F2784E9" w14:textId="77777777" w:rsidR="00662169" w:rsidRPr="002142B8" w:rsidRDefault="00662169" w:rsidP="00662169">
      <w:pPr>
        <w:jc w:val="both"/>
        <w:rPr>
          <w:rFonts w:ascii="Georgia" w:hAnsi="Georgia"/>
          <w:sz w:val="20"/>
          <w:lang w:val="lt-LT"/>
        </w:rPr>
      </w:pPr>
      <w:r w:rsidRPr="002142B8">
        <w:rPr>
          <w:rFonts w:ascii="Georgia" w:hAnsi="Georgia"/>
          <w:sz w:val="20"/>
          <w:lang w:val="lt-LT"/>
        </w:rPr>
        <w:t xml:space="preserve">ESCO tai energetinių paslaugų bendrovė (angl. Energy Service Company), kuri sudarydama Energetinių paslaugų sutartį (angl. Energy Performance Contract) su pastato valdytoju investuoja į pastato energinio efektyvumo priemones ir per sutarties galiojimo laikotarpį iš būsimų energijos </w:t>
      </w:r>
      <w:r w:rsidRPr="002142B8">
        <w:rPr>
          <w:rFonts w:ascii="Georgia" w:hAnsi="Georgia"/>
          <w:sz w:val="20"/>
          <w:lang w:val="lt-LT"/>
        </w:rPr>
        <w:lastRenderedPageBreak/>
        <w:t>sutaupymų padengia patirtas investicijas. Šio modelio esmė – didžiausias energijos sutaupymų efektas nepatiriant didelių pradinių investicijų naštos.</w:t>
      </w:r>
    </w:p>
    <w:p w14:paraId="6A22B4F6" w14:textId="77777777" w:rsidR="00662169" w:rsidRPr="002142B8" w:rsidRDefault="00662169" w:rsidP="00662169">
      <w:pPr>
        <w:jc w:val="center"/>
        <w:rPr>
          <w:rFonts w:ascii="Georgia" w:hAnsi="Georgia"/>
          <w:sz w:val="20"/>
          <w:lang w:val="lt-LT"/>
        </w:rPr>
      </w:pPr>
      <w:r w:rsidRPr="002142B8">
        <w:rPr>
          <w:noProof/>
          <w:lang w:val="lt-LT" w:eastAsia="lt-LT"/>
        </w:rPr>
        <w:drawing>
          <wp:inline distT="0" distB="0" distL="0" distR="0" wp14:anchorId="72E1CF14" wp14:editId="6E18782A">
            <wp:extent cx="4079019" cy="3108960"/>
            <wp:effectExtent l="0" t="0" r="0" b="0"/>
            <wp:docPr id="11" name="Paveikslėlis 7" descr="C:\Users\rolandas.marcinkevicius.VIPA\Desktop\ESCO modelis 2 - Kopija.png"/>
            <wp:cNvGraphicFramePr/>
            <a:graphic xmlns:a="http://schemas.openxmlformats.org/drawingml/2006/main">
              <a:graphicData uri="http://schemas.openxmlformats.org/drawingml/2006/picture">
                <pic:pic xmlns:pic="http://schemas.openxmlformats.org/drawingml/2006/picture">
                  <pic:nvPicPr>
                    <pic:cNvPr id="2" name="Paveikslėlis 2" descr="C:\Users\rolandas.marcinkevicius.VIPA\Desktop\ESCO modelis 2 - Kopija.png"/>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082155" cy="3111350"/>
                    </a:xfrm>
                    <a:prstGeom prst="rect">
                      <a:avLst/>
                    </a:prstGeom>
                    <a:noFill/>
                    <a:ln>
                      <a:noFill/>
                    </a:ln>
                  </pic:spPr>
                </pic:pic>
              </a:graphicData>
            </a:graphic>
          </wp:inline>
        </w:drawing>
      </w:r>
    </w:p>
    <w:p w14:paraId="508524CC" w14:textId="22DAA9DB" w:rsidR="00662169" w:rsidRPr="002142B8" w:rsidRDefault="00662169" w:rsidP="00662169">
      <w:pPr>
        <w:pStyle w:val="Antrat"/>
        <w:rPr>
          <w:lang w:val="lt-LT"/>
        </w:rPr>
      </w:pPr>
      <w:bookmarkStart w:id="111" w:name="_Toc507939265"/>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6</w:t>
      </w:r>
      <w:r w:rsidRPr="002142B8">
        <w:rPr>
          <w:lang w:val="lt-LT"/>
        </w:rPr>
        <w:fldChar w:fldCharType="end"/>
      </w:r>
      <w:r w:rsidRPr="002142B8">
        <w:rPr>
          <w:lang w:val="lt-LT"/>
        </w:rPr>
        <w:t xml:space="preserve">. </w:t>
      </w:r>
      <w:r w:rsidRPr="002142B8">
        <w:rPr>
          <w:rFonts w:eastAsia="Times New Roman"/>
          <w:szCs w:val="20"/>
          <w:lang w:val="lt-LT" w:eastAsia="lt-LT"/>
        </w:rPr>
        <w:t>ESCO modelio schema</w:t>
      </w:r>
      <w:bookmarkEnd w:id="111"/>
    </w:p>
    <w:p w14:paraId="1EE18160" w14:textId="77777777" w:rsidR="00662169" w:rsidRPr="002142B8" w:rsidRDefault="00662169" w:rsidP="00662169">
      <w:pPr>
        <w:jc w:val="both"/>
        <w:rPr>
          <w:rFonts w:ascii="Georgia" w:hAnsi="Georgia"/>
          <w:sz w:val="20"/>
          <w:lang w:val="lt-LT"/>
        </w:rPr>
      </w:pPr>
    </w:p>
    <w:p w14:paraId="4C2CFC7E" w14:textId="77777777" w:rsidR="00662169" w:rsidRPr="002142B8" w:rsidRDefault="00662169" w:rsidP="00662169">
      <w:pPr>
        <w:jc w:val="both"/>
        <w:rPr>
          <w:rFonts w:ascii="Georgia" w:hAnsi="Georgia"/>
          <w:b/>
          <w:sz w:val="20"/>
          <w:lang w:val="lt-LT"/>
        </w:rPr>
      </w:pPr>
      <w:r w:rsidRPr="002142B8">
        <w:rPr>
          <w:rFonts w:ascii="Georgia" w:hAnsi="Georgia"/>
          <w:b/>
          <w:sz w:val="20"/>
          <w:lang w:val="lt-LT"/>
        </w:rPr>
        <w:t>ESCO modelio taikymas centrinės valdžios viešiesiems pastatams</w:t>
      </w:r>
    </w:p>
    <w:p w14:paraId="74DF4596" w14:textId="77777777" w:rsidR="00662169" w:rsidRPr="002142B8" w:rsidRDefault="00662169" w:rsidP="00662169">
      <w:pPr>
        <w:jc w:val="both"/>
        <w:rPr>
          <w:rFonts w:ascii="Georgia" w:hAnsi="Georgia"/>
          <w:sz w:val="20"/>
          <w:lang w:val="lt-LT"/>
        </w:rPr>
      </w:pPr>
      <w:r w:rsidRPr="002142B8">
        <w:rPr>
          <w:rFonts w:ascii="Georgia" w:hAnsi="Georgia"/>
          <w:sz w:val="20"/>
          <w:lang w:val="lt-LT"/>
        </w:rPr>
        <w:t xml:space="preserve">Centrinės valdžios viešiesiems pastatams šis modelis galėtų būti taikomas dėl to, kad teisiškai biudžetinėms įstaigoms tiesiogiai negali būti teikiamos paskolos. Šio modelio atveju pastato valdytojui taip pat nereikia rūpintis projekto įgyvendinimu ir finansavimu, viską savo rizika atlieka ESCO kompanija, kuri projektą įgyvendina ieškodama geriausio techninio sprendimo bei panaudodama savo žinias, patirtį bei naujausias technologijas. </w:t>
      </w:r>
    </w:p>
    <w:p w14:paraId="347D8733" w14:textId="77777777" w:rsidR="00662169" w:rsidRPr="002142B8" w:rsidRDefault="00662169" w:rsidP="00662169">
      <w:pPr>
        <w:jc w:val="both"/>
        <w:rPr>
          <w:rFonts w:ascii="Georgia" w:hAnsi="Georgia"/>
          <w:sz w:val="20"/>
          <w:lang w:val="lt-LT"/>
        </w:rPr>
      </w:pPr>
      <w:r w:rsidRPr="002142B8">
        <w:rPr>
          <w:rFonts w:ascii="Georgia" w:hAnsi="Georgia"/>
          <w:sz w:val="20"/>
          <w:lang w:val="lt-LT"/>
        </w:rPr>
        <w:t>Šio modelio įgyvendinimo atveju ESCO kompanija butų atrenkama įvykdžius viešąjį pirkimą, po kurio viešojo pastato valdytojas ir ESCO kompanija pasirašytų energetinių paslaugų sutartį. Šios sutarties pagrindinis elementas – garantuotas energijos sutaupymas pastate įdiegus energiją taupančias priemones.</w:t>
      </w:r>
    </w:p>
    <w:p w14:paraId="4EB8852B" w14:textId="77777777" w:rsidR="00662169" w:rsidRPr="002142B8" w:rsidRDefault="00662169" w:rsidP="00662169">
      <w:pPr>
        <w:jc w:val="center"/>
        <w:rPr>
          <w:rFonts w:ascii="Georgia" w:hAnsi="Georgia"/>
          <w:sz w:val="20"/>
          <w:lang w:val="lt-LT"/>
        </w:rPr>
      </w:pPr>
      <w:r w:rsidRPr="002142B8">
        <w:rPr>
          <w:rFonts w:ascii="Georgia" w:hAnsi="Georgia"/>
          <w:noProof/>
          <w:sz w:val="20"/>
          <w:lang w:val="lt-LT" w:eastAsia="lt-LT"/>
        </w:rPr>
        <w:drawing>
          <wp:inline distT="0" distB="0" distL="0" distR="0" wp14:anchorId="28998658" wp14:editId="3BC6D5C0">
            <wp:extent cx="3686175" cy="2516524"/>
            <wp:effectExtent l="0" t="0" r="0" b="0"/>
            <wp:docPr id="14" name="Picture 14" descr="C:\Users\vciapas003\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ciapas003\Downloads\image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3530" cy="2521545"/>
                    </a:xfrm>
                    <a:prstGeom prst="rect">
                      <a:avLst/>
                    </a:prstGeom>
                    <a:noFill/>
                    <a:ln>
                      <a:noFill/>
                    </a:ln>
                  </pic:spPr>
                </pic:pic>
              </a:graphicData>
            </a:graphic>
          </wp:inline>
        </w:drawing>
      </w:r>
    </w:p>
    <w:p w14:paraId="17D9B411" w14:textId="7D049C48" w:rsidR="00662169" w:rsidRPr="002142B8" w:rsidRDefault="00662169" w:rsidP="00662169">
      <w:pPr>
        <w:pStyle w:val="Antrat"/>
        <w:rPr>
          <w:lang w:val="lt-LT"/>
        </w:rPr>
      </w:pPr>
      <w:bookmarkStart w:id="112" w:name="_Toc507939266"/>
      <w:r w:rsidRPr="002142B8">
        <w:rPr>
          <w:lang w:val="lt-LT"/>
        </w:rPr>
        <w:lastRenderedPageBreak/>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7</w:t>
      </w:r>
      <w:r w:rsidRPr="002142B8">
        <w:rPr>
          <w:lang w:val="lt-LT"/>
        </w:rPr>
        <w:fldChar w:fldCharType="end"/>
      </w:r>
      <w:r w:rsidRPr="002142B8">
        <w:rPr>
          <w:lang w:val="lt-LT"/>
        </w:rPr>
        <w:t xml:space="preserve">. </w:t>
      </w:r>
      <w:r w:rsidRPr="002142B8">
        <w:rPr>
          <w:rFonts w:eastAsia="Times New Roman"/>
          <w:szCs w:val="20"/>
          <w:lang w:val="lt-LT" w:eastAsia="lt-LT"/>
        </w:rPr>
        <w:t>ESCO modelio naudos pasiskirstymas</w:t>
      </w:r>
      <w:bookmarkEnd w:id="112"/>
    </w:p>
    <w:p w14:paraId="2ABAECED" w14:textId="326177BF" w:rsidR="00917572" w:rsidRPr="002142B8" w:rsidRDefault="00662169" w:rsidP="00302F74">
      <w:pPr>
        <w:jc w:val="both"/>
        <w:rPr>
          <w:rFonts w:ascii="Georgia" w:hAnsi="Georgia"/>
          <w:sz w:val="20"/>
          <w:lang w:val="lt-LT"/>
        </w:rPr>
      </w:pPr>
      <w:r w:rsidRPr="002142B8">
        <w:rPr>
          <w:rFonts w:ascii="Georgia" w:hAnsi="Georgia"/>
          <w:sz w:val="20"/>
          <w:lang w:val="lt-LT"/>
        </w:rPr>
        <w:t xml:space="preserve">Pagrindinis šio modelio privalumas yra tai, kad ESCO kompanijos prisiima riziką, kad energijos sutaupymai po renovacijos tikrai bus pasiekti. Taip pat, pagal naujausius </w:t>
      </w:r>
      <w:r w:rsidR="0018041C" w:rsidRPr="002142B8">
        <w:rPr>
          <w:rFonts w:ascii="Georgia" w:hAnsi="Georgia"/>
          <w:sz w:val="20"/>
          <w:lang w:val="lt-LT"/>
        </w:rPr>
        <w:t xml:space="preserve">Eurostato </w:t>
      </w:r>
      <w:r w:rsidRPr="002142B8">
        <w:rPr>
          <w:rFonts w:ascii="Georgia" w:hAnsi="Georgia"/>
          <w:sz w:val="20"/>
          <w:lang w:val="lt-LT"/>
        </w:rPr>
        <w:t>išaiškinimus, įgyvendinant renovacijos projektus per ESCO modelį patiriamos kapitalinės išlaidos neįsiskaičiuoja į valstybės ar savivaldybių skolą.</w:t>
      </w:r>
    </w:p>
    <w:p w14:paraId="6B7C4A5E" w14:textId="70E461B5" w:rsidR="005A0219" w:rsidRPr="002142B8" w:rsidRDefault="005A0219" w:rsidP="005A0219">
      <w:pPr>
        <w:keepNext/>
        <w:spacing w:after="160" w:line="240" w:lineRule="auto"/>
        <w:rPr>
          <w:rFonts w:ascii="Georgia" w:eastAsia="Georgia" w:hAnsi="Georgia" w:cs="Arial Unicode MS"/>
          <w:i/>
          <w:sz w:val="24"/>
          <w:szCs w:val="20"/>
          <w:lang w:val="lt-LT"/>
        </w:rPr>
      </w:pPr>
      <w:r w:rsidRPr="002142B8">
        <w:rPr>
          <w:rFonts w:ascii="Georgia" w:eastAsia="Georgia" w:hAnsi="Georgia" w:cs="Arial Unicode MS"/>
          <w:i/>
          <w:sz w:val="24"/>
          <w:szCs w:val="20"/>
          <w:lang w:val="lt-LT"/>
        </w:rPr>
        <w:t xml:space="preserve">ESCO modelio įgyvendinimo rinkoje barjerai </w:t>
      </w:r>
    </w:p>
    <w:bookmarkEnd w:id="110"/>
    <w:p w14:paraId="1A3DED7D" w14:textId="73310878" w:rsidR="005A0219" w:rsidRPr="002142B8" w:rsidRDefault="005A0219" w:rsidP="005A0219">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ESCO modelis – vienas iš būdų sumažinti susidariusius finansavimo trūkumus, kadangi, pagal paplitusią ESCO modelio įgyvendinimo praktiką, ESCO kompanija pati pasirūpina investicijų finansavimu, projekto įgyvendinimu ir rezultatų priežiūra. ESCO kompanija investicijas gali finansuoti nuosavomis, motininės įmonės, skolintomis lėšomis. ESCO kompanija – tradiciškai privati kompanija, todėl privataus kapitalo įmonėms prieiga prie įvairų finansavimo šaltinių gali būti paprastesnė, dėl to, kad įmonės neturi apribojimų skolintis. ESCO kompanija turi pakankamas kompetencijas įgyvendinti tokius projektus ir pan. Taigi ESCO modelis – vienas iš būdų pasiekti geresnius rezultatus. </w:t>
      </w:r>
    </w:p>
    <w:p w14:paraId="63842784" w14:textId="781130F1" w:rsidR="009648EB" w:rsidRPr="002142B8" w:rsidRDefault="009648EB" w:rsidP="009648EB">
      <w:pPr>
        <w:jc w:val="both"/>
        <w:rPr>
          <w:rFonts w:ascii="Georgia" w:hAnsi="Georgia"/>
          <w:sz w:val="20"/>
          <w:szCs w:val="20"/>
          <w:lang w:val="lt-LT"/>
        </w:rPr>
      </w:pPr>
      <w:r w:rsidRPr="002142B8">
        <w:rPr>
          <w:rFonts w:ascii="Georgia" w:hAnsi="Georgia"/>
          <w:sz w:val="20"/>
          <w:szCs w:val="20"/>
          <w:lang w:val="lt-LT"/>
        </w:rPr>
        <w:t xml:space="preserve">Pastebima, jog ESCO rinka Lietuvoje dar nėra susiformavusi. Nėra ne tik oficialaus </w:t>
      </w:r>
      <w:r w:rsidR="0018041C" w:rsidRPr="002142B8">
        <w:rPr>
          <w:rFonts w:ascii="Georgia" w:hAnsi="Georgia"/>
          <w:sz w:val="20"/>
          <w:szCs w:val="20"/>
          <w:lang w:val="lt-LT"/>
        </w:rPr>
        <w:t>ESCO</w:t>
      </w:r>
      <w:r w:rsidRPr="002142B8">
        <w:rPr>
          <w:rFonts w:ascii="Georgia" w:hAnsi="Georgia"/>
          <w:sz w:val="20"/>
          <w:szCs w:val="20"/>
          <w:lang w:val="lt-LT"/>
        </w:rPr>
        <w:t xml:space="preserve"> įmonių sąrašo, tačiau ir aiškių bendrų kriterijų pagal kuriuos įmonės galėtų būti priskirtos ESCO tipui. Dauguma įmonių, kurias labiausiai domina energijos taupymo paslaugų teikimas yra finansiškai nepajėgios, o pajėgiausi</w:t>
      </w:r>
      <w:r w:rsidR="0018041C" w:rsidRPr="002142B8">
        <w:rPr>
          <w:rFonts w:ascii="Georgia" w:hAnsi="Georgia"/>
          <w:sz w:val="20"/>
          <w:szCs w:val="20"/>
          <w:lang w:val="lt-LT"/>
        </w:rPr>
        <w:t>o</w:t>
      </w:r>
      <w:r w:rsidRPr="002142B8">
        <w:rPr>
          <w:rFonts w:ascii="Georgia" w:hAnsi="Georgia"/>
          <w:sz w:val="20"/>
          <w:szCs w:val="20"/>
          <w:lang w:val="lt-LT"/>
        </w:rPr>
        <w:t xml:space="preserve">s </w:t>
      </w:r>
      <w:r w:rsidR="0018041C" w:rsidRPr="002142B8">
        <w:rPr>
          <w:rFonts w:ascii="Georgia" w:hAnsi="Georgia"/>
          <w:sz w:val="20"/>
          <w:szCs w:val="20"/>
          <w:lang w:val="lt-LT"/>
        </w:rPr>
        <w:t xml:space="preserve">veikia </w:t>
      </w:r>
      <w:r w:rsidRPr="002142B8">
        <w:rPr>
          <w:rFonts w:ascii="Georgia" w:hAnsi="Georgia"/>
          <w:sz w:val="20"/>
          <w:szCs w:val="20"/>
          <w:lang w:val="lt-LT"/>
        </w:rPr>
        <w:t xml:space="preserve">medžiagų ir įrangos pardavimo, statybų ir energijos tiekimo sektoriuose. Iki šiol nėra nei vieno sėkmingai įgyvendinto ESCO projekto, komerciniai bankai nėra susipažinę su tokio modelio veikimu ir rizikomis bei nenori skolinti, nėra iki galo sutvarkyta teisinė bazė, atsipirkimo laikotarpis dažniausiai per ilgas, o per paskutinius ketverius metus mažėjančios vidutinės šilumos kainos šį laikotarpį prailgina dar labiau arba iš viso paverčia pastatų renovavimo projektus ekonomiškai negyvybingais.   </w:t>
      </w:r>
    </w:p>
    <w:p w14:paraId="5FECCD3E" w14:textId="77777777" w:rsidR="009648EB" w:rsidRPr="002142B8" w:rsidRDefault="009648EB" w:rsidP="009648EB">
      <w:pPr>
        <w:jc w:val="both"/>
        <w:rPr>
          <w:rFonts w:ascii="Georgia" w:hAnsi="Georgia"/>
          <w:sz w:val="20"/>
          <w:szCs w:val="20"/>
          <w:lang w:val="lt-LT"/>
        </w:rPr>
      </w:pPr>
      <w:r w:rsidRPr="002142B8">
        <w:rPr>
          <w:rFonts w:ascii="Georgia" w:hAnsi="Georgia"/>
          <w:sz w:val="20"/>
          <w:szCs w:val="20"/>
          <w:lang w:val="lt-LT"/>
        </w:rPr>
        <w:t xml:space="preserve">Vertinant ESCO rinkos perspektyvas Lietuvoje ir ESCO įmonių prisidėjimą renovuojant viešuosius pastatus tenka konstatuoti, jog per ateinančius kelerius metus rinka geriausiu atveju gali tik pradėti formuotis, o įsibėgės tik nuo 2020 metų. Pagrindiniu tokio įsibėgėjimo veiksniu laikomas esamos praktikos formavimasis, teisinės bazės parengimas ir viešųjų pastatų valdytojų motyvacija įgyvendinant renovacijos projektus. </w:t>
      </w:r>
    </w:p>
    <w:p w14:paraId="015423C7" w14:textId="19AFC11A" w:rsidR="005A0219" w:rsidRPr="002142B8" w:rsidRDefault="005A0219" w:rsidP="005A0219">
      <w:pPr>
        <w:spacing w:after="160" w:line="240" w:lineRule="auto"/>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Vertinant ESCO rinkos nepakankamumą galima išskirti keletą papildomų šios problemos susidarymo priežasčių:</w:t>
      </w:r>
    </w:p>
    <w:p w14:paraId="13ED2877" w14:textId="77777777" w:rsidR="005A0219" w:rsidRPr="002142B8"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2142B8">
        <w:rPr>
          <w:rFonts w:ascii="Georgia" w:eastAsia="Georgia" w:hAnsi="Georgia" w:cs="Arial Unicode MS"/>
          <w:i/>
          <w:sz w:val="20"/>
          <w:szCs w:val="20"/>
          <w:lang w:val="lt-LT"/>
        </w:rPr>
        <w:t>Mažos apimties projektai</w:t>
      </w:r>
    </w:p>
    <w:p w14:paraId="0C36264A" w14:textId="77777777" w:rsidR="005A0219" w:rsidRPr="002142B8" w:rsidRDefault="005A0219" w:rsidP="005A0219">
      <w:pPr>
        <w:spacing w:after="160" w:line="240" w:lineRule="auto"/>
        <w:ind w:left="720"/>
        <w:jc w:val="both"/>
        <w:rPr>
          <w:rFonts w:ascii="Georgia" w:eastAsia="Georgia" w:hAnsi="Georgia" w:cs="Arial Unicode MS"/>
          <w:i/>
          <w:sz w:val="20"/>
          <w:szCs w:val="20"/>
          <w:lang w:val="lt-LT"/>
        </w:rPr>
      </w:pPr>
      <w:r w:rsidRPr="002142B8">
        <w:rPr>
          <w:rFonts w:ascii="Georgia" w:eastAsia="Georgia" w:hAnsi="Georgia" w:cs="Arial Unicode MS"/>
          <w:sz w:val="20"/>
          <w:szCs w:val="20"/>
          <w:lang w:val="lt-LT"/>
        </w:rPr>
        <w:t>ESCO kompanijoms yra sudėtinga įgyvendinti mažos apimties projektus, nes jos turi investuoti daugiau laiko ir išteklių.</w:t>
      </w:r>
    </w:p>
    <w:p w14:paraId="1467A7AF" w14:textId="77777777" w:rsidR="005A0219" w:rsidRPr="002142B8"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2142B8">
        <w:rPr>
          <w:rFonts w:ascii="Georgia" w:eastAsia="Georgia" w:hAnsi="Georgia" w:cs="Arial Unicode MS"/>
          <w:i/>
          <w:sz w:val="20"/>
          <w:szCs w:val="20"/>
          <w:lang w:val="lt-LT"/>
        </w:rPr>
        <w:t>Centralizuoto šilumos tiekimo įmonių galimybės teikti ESCO paslaugas ir šilumos ūkio sektoriaus reglamentavimas</w:t>
      </w:r>
    </w:p>
    <w:p w14:paraId="6798A8A5" w14:textId="77777777" w:rsidR="005A0219" w:rsidRPr="002142B8" w:rsidRDefault="005A0219" w:rsidP="005A0219">
      <w:pPr>
        <w:spacing w:after="160" w:line="240" w:lineRule="auto"/>
        <w:ind w:left="709"/>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Pagal rinkoje susiklosčiusią praktiką, ESCO paslaugos pastatuose apima pastato šildymo įrengimų ir karšto vandens sistemų atnaujinimą bei techninę priežiūrą. Vadovaujantis LR šilumos ūkio įstatymo 20 straipsnio 2 dalies nuostata „</w:t>
      </w:r>
      <w:r w:rsidRPr="002142B8">
        <w:rPr>
          <w:rFonts w:ascii="Georgia" w:eastAsia="Georgia" w:hAnsi="Georgia" w:cs="Arial Unicode MS"/>
          <w:i/>
          <w:sz w:val="20"/>
          <w:szCs w:val="20"/>
          <w:lang w:val="lt-LT"/>
        </w:rPr>
        <w:t>Pastato šildymo ir karšto vandens sistemos prižiūrėtoju (eksploatuotoju) negali būti šilumos tiekėjas ar asmenys, susiję su šilumos tiekėju darbo santykiais, ar šilumai gaminti naudojamo kuro, šilumos tiekimo veiklai naudojamų apskaitos prietaisų gamintojai, taip pat asmenys, kurie verčiasi šilumai gaminti naudojamo kuro didmenine ar mažmenine prekyba, ar asmenys, kartu su išvardytais asmenimis priklausantys susijusių ūkio subjektų grupei pagal Konkurencijos įstatymą“</w:t>
      </w:r>
      <w:r w:rsidRPr="002142B8">
        <w:rPr>
          <w:rFonts w:ascii="Georgia" w:eastAsia="Georgia" w:hAnsi="Georgia" w:cs="Arial Unicode MS"/>
          <w:sz w:val="20"/>
          <w:szCs w:val="20"/>
          <w:lang w:val="lt-LT"/>
        </w:rPr>
        <w:t>. Atsižvelgiant į šį reglamentavimą, ESCO neturi teisės sudaryti šilumos tiekimo sutarčių ir pastatų savininkams pateikti sąskaitas už šilumos energijos tiekimo paslaugas ir į jas įtraukti savo maržą. Tokiu būdu dalis potencialių ESCO eliminuojama iš rinkos dėl teisinės bazės sukuriamų apribojimų.</w:t>
      </w:r>
    </w:p>
    <w:p w14:paraId="668AAFBF" w14:textId="77777777" w:rsidR="005A0219" w:rsidRPr="002142B8" w:rsidRDefault="005A0219" w:rsidP="00162BF5">
      <w:pPr>
        <w:numPr>
          <w:ilvl w:val="0"/>
          <w:numId w:val="72"/>
        </w:numPr>
        <w:spacing w:after="120" w:line="240" w:lineRule="auto"/>
        <w:contextualSpacing/>
        <w:jc w:val="both"/>
        <w:rPr>
          <w:rFonts w:ascii="Georgia" w:eastAsia="Georgia" w:hAnsi="Georgia" w:cs="Arial Unicode MS"/>
          <w:i/>
          <w:sz w:val="20"/>
          <w:szCs w:val="20"/>
          <w:lang w:val="lt-LT"/>
        </w:rPr>
      </w:pPr>
      <w:r w:rsidRPr="002142B8">
        <w:rPr>
          <w:rFonts w:ascii="Georgia" w:eastAsia="Georgia" w:hAnsi="Georgia" w:cs="Arial Unicode MS"/>
          <w:i/>
          <w:sz w:val="20"/>
          <w:szCs w:val="20"/>
          <w:lang w:val="lt-LT"/>
        </w:rPr>
        <w:t>Nėra vienos gatvių apšvietimo įrangos duomenų bazės</w:t>
      </w:r>
    </w:p>
    <w:p w14:paraId="718526D3" w14:textId="70DD705C" w:rsidR="005A0219" w:rsidRPr="002142B8" w:rsidRDefault="005A0219" w:rsidP="005A0219">
      <w:pPr>
        <w:spacing w:after="160" w:line="240" w:lineRule="auto"/>
        <w:ind w:left="709"/>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Lietuva neturi vienos duomenų bazės, kurioje būtų pateikta informacija apie gatvių apšvietimo įrangą, atskirus tinklo elementus, jų palaikymo ir eksploatavimo sąnaudas. Duomenis apie gatvių apšvietimo tinklą tvarko nemažai įmonių. Dėl duomenų stokos bei </w:t>
      </w:r>
      <w:r w:rsidRPr="002142B8">
        <w:rPr>
          <w:rFonts w:ascii="Georgia" w:eastAsia="Georgia" w:hAnsi="Georgia" w:cs="Arial Unicode MS"/>
          <w:sz w:val="20"/>
          <w:szCs w:val="20"/>
          <w:lang w:val="lt-LT"/>
        </w:rPr>
        <w:lastRenderedPageBreak/>
        <w:t xml:space="preserve">sudėtingo surinkimo trūksta skaidrumo bei informacijos apie infrastruktūros būklę, o </w:t>
      </w:r>
      <w:r w:rsidR="00FB6F18" w:rsidRPr="002142B8">
        <w:rPr>
          <w:rFonts w:ascii="Georgia" w:eastAsia="Georgia" w:hAnsi="Georgia" w:cs="Arial Unicode MS"/>
          <w:sz w:val="20"/>
          <w:szCs w:val="20"/>
          <w:lang w:val="lt-LT"/>
        </w:rPr>
        <w:t xml:space="preserve">ESCO </w:t>
      </w:r>
      <w:r w:rsidRPr="002142B8">
        <w:rPr>
          <w:rFonts w:ascii="Georgia" w:eastAsia="Georgia" w:hAnsi="Georgia" w:cs="Arial Unicode MS"/>
          <w:sz w:val="20"/>
          <w:szCs w:val="20"/>
          <w:lang w:val="lt-LT"/>
        </w:rPr>
        <w:t xml:space="preserve">įmonės turi mažiau galimybių naudotis duomenimis priimdamos sprendimus ankstyvose projektų stadijose. Vienas iš </w:t>
      </w:r>
      <w:r w:rsidR="000D3530" w:rsidRPr="002142B8">
        <w:rPr>
          <w:rFonts w:ascii="Georgia" w:eastAsia="Georgia" w:hAnsi="Georgia" w:cs="Arial Unicode MS"/>
          <w:sz w:val="20"/>
          <w:szCs w:val="20"/>
          <w:lang w:val="lt-LT"/>
        </w:rPr>
        <w:t>sprendimų</w:t>
      </w:r>
      <w:r w:rsidRPr="002142B8">
        <w:rPr>
          <w:rFonts w:ascii="Georgia" w:eastAsia="Georgia" w:hAnsi="Georgia" w:cs="Arial Unicode MS"/>
          <w:sz w:val="20"/>
          <w:szCs w:val="20"/>
          <w:lang w:val="lt-LT"/>
        </w:rPr>
        <w:t xml:space="preserve"> galėtų būti reikalavimas visoms gatvių apšvietimo tinklų įmonėms teikti duomenis į jau veikiančią centrinės valdžios pastatų duomenų bazę.</w:t>
      </w:r>
    </w:p>
    <w:p w14:paraId="1C2F50D6" w14:textId="7A2C6151" w:rsidR="005A0219" w:rsidRPr="002142B8" w:rsidRDefault="005A0219" w:rsidP="005A0219">
      <w:pPr>
        <w:tabs>
          <w:tab w:val="left" w:pos="284"/>
        </w:tabs>
        <w:spacing w:after="160" w:line="240" w:lineRule="auto"/>
        <w:ind w:left="709"/>
        <w:jc w:val="both"/>
        <w:rPr>
          <w:rFonts w:ascii="Georgia" w:eastAsia="Georgia" w:hAnsi="Georgia" w:cs="Arial Unicode MS"/>
          <w:sz w:val="20"/>
          <w:szCs w:val="20"/>
          <w:lang w:val="lt-LT"/>
        </w:rPr>
      </w:pPr>
      <w:r w:rsidRPr="002142B8">
        <w:rPr>
          <w:rFonts w:ascii="Georgia" w:eastAsia="Georgia" w:hAnsi="Georgia" w:cs="Arial Unicode MS"/>
          <w:sz w:val="20"/>
          <w:szCs w:val="20"/>
          <w:lang w:val="lt-LT"/>
        </w:rPr>
        <w:t xml:space="preserve">Neseniai įvesta ir pradėta naudoti Valstybės turto informacinė paieškos sistema (toliau - VTIPS) leido 2017 m. pirmą kartą suskaičiuoti ir įvertinti valstybės valdomą nekilnojamąjį turtą. Šioje duomenų bazėje pradėta kaupti tokia informacija kaip pastatų laisvas ir naudingas plotas, komunalinės išlaidos už šildymą, elektrą ir vandenį, darbuotojų skaičius ir pan. Ši informacija tikėtina paspartins </w:t>
      </w:r>
      <w:r w:rsidR="00FB6F18" w:rsidRPr="002142B8">
        <w:rPr>
          <w:rFonts w:ascii="Georgia" w:eastAsia="Georgia" w:hAnsi="Georgia" w:cs="Arial Unicode MS"/>
          <w:sz w:val="20"/>
          <w:szCs w:val="20"/>
          <w:lang w:val="lt-LT"/>
        </w:rPr>
        <w:t xml:space="preserve">ESCO </w:t>
      </w:r>
      <w:r w:rsidRPr="002142B8">
        <w:rPr>
          <w:rFonts w:ascii="Georgia" w:eastAsia="Georgia" w:hAnsi="Georgia" w:cs="Arial Unicode MS"/>
          <w:sz w:val="20"/>
          <w:szCs w:val="20"/>
          <w:lang w:val="lt-LT"/>
        </w:rPr>
        <w:t xml:space="preserve">rinkos įsibėgėjimą, nes patikimų faktinių duomenų prieinamumas skaičiuojant potencialius energijos sutaupymus yra labai svarbus priimant sprendimus dalyvauti renovacijos projektuose ar ne. </w:t>
      </w:r>
    </w:p>
    <w:p w14:paraId="5E3CCFAC" w14:textId="21522D8C" w:rsidR="00662169" w:rsidRPr="002142B8" w:rsidRDefault="00662169">
      <w:pPr>
        <w:rPr>
          <w:rFonts w:ascii="Arial" w:eastAsia="Georgia" w:hAnsi="Arial" w:cs="Arial"/>
          <w:i/>
          <w:sz w:val="20"/>
          <w:szCs w:val="20"/>
          <w:lang w:val="lt-LT"/>
        </w:rPr>
      </w:pPr>
      <w:r w:rsidRPr="002142B8">
        <w:rPr>
          <w:rFonts w:ascii="Arial" w:eastAsia="Georgia" w:hAnsi="Arial" w:cs="Arial"/>
          <w:i/>
          <w:sz w:val="20"/>
          <w:szCs w:val="20"/>
          <w:lang w:val="lt-LT"/>
        </w:rPr>
        <w:br w:type="page"/>
      </w:r>
    </w:p>
    <w:p w14:paraId="2D787D74" w14:textId="462A525A" w:rsidR="00D51F4C" w:rsidRPr="002142B8" w:rsidRDefault="00D51F4C" w:rsidP="00162BF5">
      <w:pPr>
        <w:pStyle w:val="Antrat1"/>
        <w:numPr>
          <w:ilvl w:val="0"/>
          <w:numId w:val="19"/>
        </w:numPr>
        <w:spacing w:after="200"/>
        <w:ind w:left="635" w:right="340" w:hanging="567"/>
        <w:rPr>
          <w:lang w:val="lt-LT"/>
        </w:rPr>
      </w:pPr>
      <w:bookmarkStart w:id="113" w:name="_Toc25589905"/>
      <w:r w:rsidRPr="002142B8">
        <w:rPr>
          <w:lang w:val="lt-LT"/>
        </w:rPr>
        <w:lastRenderedPageBreak/>
        <w:t xml:space="preserve">Papildomų privačių </w:t>
      </w:r>
      <w:r w:rsidR="00E718A5" w:rsidRPr="002142B8">
        <w:rPr>
          <w:lang w:val="lt-LT"/>
        </w:rPr>
        <w:t xml:space="preserve">ir viešųjų </w:t>
      </w:r>
      <w:r w:rsidRPr="002142B8">
        <w:rPr>
          <w:lang w:val="lt-LT"/>
        </w:rPr>
        <w:t>lėšų pritraukimas</w:t>
      </w:r>
      <w:bookmarkEnd w:id="113"/>
    </w:p>
    <w:p w14:paraId="4D780C9E" w14:textId="35C2D076" w:rsidR="00E718A5" w:rsidRPr="002142B8" w:rsidRDefault="00E718A5" w:rsidP="00F91954">
      <w:pPr>
        <w:jc w:val="both"/>
        <w:rPr>
          <w:rFonts w:ascii="Georgia" w:hAnsi="Georgia"/>
          <w:sz w:val="20"/>
          <w:szCs w:val="20"/>
          <w:lang w:val="lt-LT"/>
        </w:rPr>
      </w:pPr>
      <w:r w:rsidRPr="002142B8">
        <w:rPr>
          <w:rFonts w:ascii="Georgia" w:hAnsi="Georgia"/>
          <w:sz w:val="20"/>
          <w:szCs w:val="20"/>
          <w:lang w:val="lt-LT"/>
        </w:rPr>
        <w:t xml:space="preserve">Remiantis EK patvirtintomis finansinių priemonių ex-ante metodikos gairėmis, šioje dalyje </w:t>
      </w:r>
      <w:r w:rsidR="005A6B5F" w:rsidRPr="002142B8">
        <w:rPr>
          <w:rFonts w:ascii="Georgia" w:hAnsi="Georgia"/>
          <w:sz w:val="20"/>
          <w:szCs w:val="20"/>
          <w:lang w:val="lt-LT"/>
        </w:rPr>
        <w:t>vertinamos</w:t>
      </w:r>
      <w:r w:rsidRPr="002142B8">
        <w:rPr>
          <w:rFonts w:ascii="Georgia" w:hAnsi="Georgia"/>
          <w:sz w:val="20"/>
          <w:szCs w:val="20"/>
          <w:lang w:val="lt-LT"/>
        </w:rPr>
        <w:t xml:space="preserve"> galimyb</w:t>
      </w:r>
      <w:r w:rsidR="005A6B5F" w:rsidRPr="002142B8">
        <w:rPr>
          <w:rFonts w:ascii="Georgia" w:hAnsi="Georgia"/>
          <w:sz w:val="20"/>
          <w:szCs w:val="20"/>
          <w:lang w:val="lt-LT"/>
        </w:rPr>
        <w:t>ė</w:t>
      </w:r>
      <w:r w:rsidRPr="002142B8">
        <w:rPr>
          <w:rFonts w:ascii="Georgia" w:hAnsi="Georgia"/>
          <w:sz w:val="20"/>
          <w:szCs w:val="20"/>
          <w:lang w:val="lt-LT"/>
        </w:rPr>
        <w:t>s pritraukti papildom</w:t>
      </w:r>
      <w:r w:rsidR="005A6B5F" w:rsidRPr="002142B8">
        <w:rPr>
          <w:rFonts w:ascii="Georgia" w:hAnsi="Georgia"/>
          <w:sz w:val="20"/>
          <w:szCs w:val="20"/>
          <w:lang w:val="lt-LT"/>
        </w:rPr>
        <w:t>ų</w:t>
      </w:r>
      <w:r w:rsidRPr="002142B8">
        <w:rPr>
          <w:rFonts w:ascii="Georgia" w:hAnsi="Georgia"/>
          <w:sz w:val="20"/>
          <w:szCs w:val="20"/>
          <w:lang w:val="lt-LT"/>
        </w:rPr>
        <w:t xml:space="preserve"> lėš</w:t>
      </w:r>
      <w:r w:rsidR="005A6B5F" w:rsidRPr="002142B8">
        <w:rPr>
          <w:rFonts w:ascii="Georgia" w:hAnsi="Georgia"/>
          <w:sz w:val="20"/>
          <w:szCs w:val="20"/>
          <w:lang w:val="lt-LT"/>
        </w:rPr>
        <w:t>ų</w:t>
      </w:r>
      <w:r w:rsidRPr="002142B8">
        <w:rPr>
          <w:rFonts w:ascii="Georgia" w:hAnsi="Georgia"/>
          <w:sz w:val="20"/>
          <w:szCs w:val="20"/>
          <w:lang w:val="lt-LT"/>
        </w:rPr>
        <w:t xml:space="preserve"> iš privataus ir viešojo sektori</w:t>
      </w:r>
      <w:r w:rsidR="005A6B5F" w:rsidRPr="002142B8">
        <w:rPr>
          <w:rFonts w:ascii="Georgia" w:hAnsi="Georgia"/>
          <w:sz w:val="20"/>
          <w:szCs w:val="20"/>
          <w:lang w:val="lt-LT"/>
        </w:rPr>
        <w:t>ų</w:t>
      </w:r>
      <w:r w:rsidR="00F57ECC" w:rsidRPr="002142B8">
        <w:rPr>
          <w:rFonts w:ascii="Georgia" w:hAnsi="Georgia"/>
          <w:sz w:val="20"/>
          <w:szCs w:val="20"/>
          <w:lang w:val="lt-LT"/>
        </w:rPr>
        <w:t xml:space="preserve">. Atliekant tokį vertinimą </w:t>
      </w:r>
      <w:r w:rsidR="005A6B5F" w:rsidRPr="002142B8">
        <w:rPr>
          <w:rFonts w:ascii="Georgia" w:hAnsi="Georgia"/>
          <w:sz w:val="20"/>
          <w:szCs w:val="20"/>
          <w:lang w:val="lt-LT"/>
        </w:rPr>
        <w:t>siekiama</w:t>
      </w:r>
      <w:r w:rsidRPr="002142B8">
        <w:rPr>
          <w:rFonts w:ascii="Georgia" w:hAnsi="Georgia"/>
          <w:sz w:val="20"/>
          <w:szCs w:val="20"/>
          <w:lang w:val="lt-LT"/>
        </w:rPr>
        <w:t xml:space="preserve"> </w:t>
      </w:r>
      <w:r w:rsidR="00F57ECC" w:rsidRPr="002142B8">
        <w:rPr>
          <w:rFonts w:ascii="Georgia" w:hAnsi="Georgia"/>
          <w:sz w:val="20"/>
          <w:szCs w:val="20"/>
          <w:lang w:val="lt-LT"/>
        </w:rPr>
        <w:t>atsakyti</w:t>
      </w:r>
      <w:r w:rsidRPr="002142B8">
        <w:rPr>
          <w:rFonts w:ascii="Georgia" w:hAnsi="Georgia"/>
          <w:sz w:val="20"/>
          <w:szCs w:val="20"/>
          <w:lang w:val="lt-LT"/>
        </w:rPr>
        <w:t xml:space="preserve"> į </w:t>
      </w:r>
      <w:r w:rsidR="00F57ECC" w:rsidRPr="002142B8">
        <w:rPr>
          <w:rFonts w:ascii="Georgia" w:hAnsi="Georgia"/>
          <w:sz w:val="20"/>
          <w:szCs w:val="20"/>
          <w:lang w:val="lt-LT"/>
        </w:rPr>
        <w:t>du pagrindinius</w:t>
      </w:r>
      <w:r w:rsidRPr="002142B8">
        <w:rPr>
          <w:rFonts w:ascii="Georgia" w:hAnsi="Georgia"/>
          <w:sz w:val="20"/>
          <w:szCs w:val="20"/>
          <w:lang w:val="lt-LT"/>
        </w:rPr>
        <w:t xml:space="preserve"> klausimus:</w:t>
      </w:r>
    </w:p>
    <w:p w14:paraId="2CD38544" w14:textId="30993EFD" w:rsidR="00F57ECC" w:rsidRPr="002142B8" w:rsidRDefault="00F57ECC" w:rsidP="00F91954">
      <w:pPr>
        <w:pStyle w:val="Sraopastraipa"/>
        <w:numPr>
          <w:ilvl w:val="0"/>
          <w:numId w:val="75"/>
        </w:numPr>
        <w:jc w:val="both"/>
        <w:rPr>
          <w:rFonts w:ascii="Georgia" w:hAnsi="Georgia"/>
          <w:sz w:val="20"/>
          <w:szCs w:val="20"/>
          <w:lang w:val="lt-LT"/>
        </w:rPr>
      </w:pPr>
      <w:r w:rsidRPr="002142B8">
        <w:rPr>
          <w:rFonts w:ascii="Georgia" w:hAnsi="Georgia"/>
          <w:sz w:val="20"/>
          <w:szCs w:val="20"/>
          <w:lang w:val="lt-LT"/>
        </w:rPr>
        <w:t>Ar yra tinkamų privataus sektoriaus finansavimo šaltinių, kuriuos galima būtų panaudoti įgyvendinant finansinę priemonę? ir</w:t>
      </w:r>
    </w:p>
    <w:p w14:paraId="067B5430" w14:textId="183FE1CC" w:rsidR="00F57ECC" w:rsidRPr="002142B8" w:rsidRDefault="00F57ECC" w:rsidP="00F91954">
      <w:pPr>
        <w:pStyle w:val="Sraopastraipa"/>
        <w:numPr>
          <w:ilvl w:val="0"/>
          <w:numId w:val="75"/>
        </w:numPr>
        <w:jc w:val="both"/>
        <w:rPr>
          <w:rFonts w:ascii="Georgia" w:hAnsi="Georgia"/>
          <w:sz w:val="20"/>
          <w:szCs w:val="20"/>
          <w:lang w:val="lt-LT"/>
        </w:rPr>
      </w:pPr>
      <w:r w:rsidRPr="002142B8">
        <w:rPr>
          <w:rFonts w:ascii="Georgia" w:hAnsi="Georgia"/>
          <w:sz w:val="20"/>
          <w:szCs w:val="20"/>
          <w:lang w:val="lt-LT"/>
        </w:rPr>
        <w:t>Ar yra prieinamų viešųjų lėšų, įskaitant valstybės ir ES paramą, projektams energetikos efektyvumo srityje</w:t>
      </w:r>
      <w:r w:rsidR="005A6B5F" w:rsidRPr="002142B8">
        <w:rPr>
          <w:rFonts w:ascii="Georgia" w:hAnsi="Georgia"/>
          <w:sz w:val="20"/>
          <w:szCs w:val="20"/>
          <w:lang w:val="lt-LT"/>
        </w:rPr>
        <w:t>,</w:t>
      </w:r>
      <w:r w:rsidRPr="002142B8">
        <w:rPr>
          <w:rFonts w:ascii="Georgia" w:hAnsi="Georgia"/>
          <w:sz w:val="20"/>
          <w:szCs w:val="20"/>
          <w:lang w:val="lt-LT"/>
        </w:rPr>
        <w:t xml:space="preserve"> kurios šiuo metu nėra naudojamos?</w:t>
      </w:r>
    </w:p>
    <w:p w14:paraId="78E4EB11" w14:textId="1B51E0DF" w:rsidR="00E718A5" w:rsidRPr="002142B8" w:rsidRDefault="00F57ECC" w:rsidP="00F91954">
      <w:pPr>
        <w:jc w:val="both"/>
        <w:rPr>
          <w:rFonts w:ascii="Georgia" w:hAnsi="Georgia"/>
          <w:sz w:val="20"/>
          <w:szCs w:val="20"/>
          <w:lang w:val="lt-LT"/>
        </w:rPr>
      </w:pPr>
      <w:r w:rsidRPr="002142B8">
        <w:rPr>
          <w:rFonts w:ascii="Georgia" w:hAnsi="Georgia"/>
          <w:sz w:val="20"/>
          <w:szCs w:val="20"/>
          <w:lang w:val="lt-LT"/>
        </w:rPr>
        <w:t>Žemiau esančiuose skyriuose visų pirma identifikuojamos ir analizuojamos galimybės pritraukti privačias lėšas finansuojant daugiabučių, viešųjų pastatų ir gatvių apšvietimo atnaujinimo projektus</w:t>
      </w:r>
      <w:r w:rsidR="009718DC" w:rsidRPr="002142B8">
        <w:rPr>
          <w:rFonts w:ascii="Georgia" w:hAnsi="Georgia"/>
          <w:sz w:val="20"/>
          <w:szCs w:val="20"/>
          <w:lang w:val="lt-LT"/>
        </w:rPr>
        <w:t>, o</w:t>
      </w:r>
      <w:r w:rsidR="005A6B5F" w:rsidRPr="002142B8">
        <w:rPr>
          <w:rFonts w:ascii="Georgia" w:hAnsi="Georgia"/>
          <w:sz w:val="20"/>
          <w:szCs w:val="20"/>
          <w:lang w:val="lt-LT"/>
        </w:rPr>
        <w:t xml:space="preserve"> vėliau vertinami papildomų lėšų pritraukimo lygiai, rizikos kapitalų fondo galimybės pritraukti papildomų lėšų bei apžvelgiama galimybė panaudoti grįžtančias lėšas pagal Reglamento </w:t>
      </w:r>
      <w:r w:rsidR="004B109C">
        <w:rPr>
          <w:rFonts w:ascii="Georgia" w:hAnsi="Georgia"/>
          <w:sz w:val="20"/>
          <w:szCs w:val="20"/>
          <w:lang w:val="lt-LT"/>
        </w:rPr>
        <w:t xml:space="preserve"> Nr. 1303/2013 nuostatas.</w:t>
      </w:r>
      <w:r w:rsidRPr="002142B8">
        <w:rPr>
          <w:rFonts w:ascii="Georgia" w:hAnsi="Georgia"/>
          <w:sz w:val="20"/>
          <w:szCs w:val="20"/>
          <w:lang w:val="lt-LT"/>
        </w:rPr>
        <w:t xml:space="preserve">   </w:t>
      </w:r>
    </w:p>
    <w:p w14:paraId="5AE92004" w14:textId="0764FABC" w:rsidR="00C66C28" w:rsidRPr="002142B8" w:rsidRDefault="00F55A2A" w:rsidP="00162BF5">
      <w:pPr>
        <w:pStyle w:val="Antrat2"/>
        <w:numPr>
          <w:ilvl w:val="1"/>
          <w:numId w:val="19"/>
        </w:numPr>
        <w:spacing w:after="120"/>
        <w:ind w:left="709"/>
        <w:rPr>
          <w:rFonts w:ascii="Georgia" w:hAnsi="Georgia"/>
          <w:i/>
          <w:lang w:val="lt-LT"/>
        </w:rPr>
      </w:pPr>
      <w:bookmarkStart w:id="114" w:name="_Toc25589906"/>
      <w:r w:rsidRPr="002142B8">
        <w:rPr>
          <w:rFonts w:ascii="Georgia" w:hAnsi="Georgia"/>
          <w:i/>
          <w:lang w:val="lt-LT"/>
        </w:rPr>
        <w:t>L</w:t>
      </w:r>
      <w:r w:rsidR="00884B93" w:rsidRPr="002142B8">
        <w:rPr>
          <w:rFonts w:ascii="Georgia" w:hAnsi="Georgia"/>
          <w:i/>
          <w:lang w:val="lt-LT"/>
        </w:rPr>
        <w:t xml:space="preserve">ėšų </w:t>
      </w:r>
      <w:r w:rsidR="00D51F4C" w:rsidRPr="002142B8">
        <w:rPr>
          <w:rFonts w:ascii="Georgia" w:hAnsi="Georgia"/>
          <w:i/>
          <w:lang w:val="lt-LT"/>
        </w:rPr>
        <w:t>šaltinių identifikavimas</w:t>
      </w:r>
      <w:bookmarkEnd w:id="114"/>
    </w:p>
    <w:tbl>
      <w:tblPr>
        <w:tblStyle w:val="LightList-Accent21"/>
        <w:tblW w:w="0" w:type="auto"/>
        <w:tblLook w:val="04A0" w:firstRow="1" w:lastRow="0" w:firstColumn="1" w:lastColumn="0" w:noHBand="0" w:noVBand="1"/>
      </w:tblPr>
      <w:tblGrid>
        <w:gridCol w:w="2660"/>
        <w:gridCol w:w="6582"/>
      </w:tblGrid>
      <w:tr w:rsidR="00F57ECC" w:rsidRPr="002142B8" w14:paraId="2EB6088A" w14:textId="77777777" w:rsidTr="00364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29124F5" w14:textId="6377259F" w:rsidR="00F57ECC" w:rsidRPr="002142B8" w:rsidRDefault="00F57ECC" w:rsidP="00D51F4C">
            <w:pPr>
              <w:pStyle w:val="Pagrindinistekstas"/>
              <w:rPr>
                <w:lang w:val="lt-LT"/>
              </w:rPr>
            </w:pPr>
            <w:r w:rsidRPr="002142B8">
              <w:rPr>
                <w:lang w:val="lt-LT"/>
              </w:rPr>
              <w:t>Papildomi finansavimo šaltiniai</w:t>
            </w:r>
          </w:p>
        </w:tc>
        <w:tc>
          <w:tcPr>
            <w:tcW w:w="6582" w:type="dxa"/>
          </w:tcPr>
          <w:p w14:paraId="2543A24C" w14:textId="0BD7A6C5" w:rsidR="00F57ECC" w:rsidRPr="002142B8" w:rsidRDefault="00F57ECC" w:rsidP="00D51F4C">
            <w:pPr>
              <w:pStyle w:val="Pagrindinistekstas"/>
              <w:cnfStyle w:val="100000000000" w:firstRow="1" w:lastRow="0" w:firstColumn="0" w:lastColumn="0" w:oddVBand="0" w:evenVBand="0" w:oddHBand="0" w:evenHBand="0" w:firstRowFirstColumn="0" w:firstRowLastColumn="0" w:lastRowFirstColumn="0" w:lastRowLastColumn="0"/>
              <w:rPr>
                <w:lang w:val="lt-LT"/>
              </w:rPr>
            </w:pPr>
            <w:r w:rsidRPr="002142B8">
              <w:rPr>
                <w:lang w:val="lt-LT"/>
              </w:rPr>
              <w:t>Trumpas aprašymas</w:t>
            </w:r>
          </w:p>
        </w:tc>
      </w:tr>
      <w:tr w:rsidR="00F57ECC" w:rsidRPr="002142B8" w14:paraId="2984307F"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8726230" w14:textId="27AB4A17" w:rsidR="00F57ECC" w:rsidRPr="002142B8" w:rsidRDefault="00F57ECC" w:rsidP="00F57ECC">
            <w:pPr>
              <w:pStyle w:val="Pagrindinistekstas"/>
              <w:rPr>
                <w:b w:val="0"/>
                <w:lang w:val="lt-LT"/>
              </w:rPr>
            </w:pPr>
            <w:r w:rsidRPr="002142B8">
              <w:rPr>
                <w:b w:val="0"/>
                <w:lang w:val="lt-LT"/>
              </w:rPr>
              <w:t xml:space="preserve">Kitos valstybės paramos programos </w:t>
            </w:r>
          </w:p>
        </w:tc>
        <w:tc>
          <w:tcPr>
            <w:tcW w:w="6582" w:type="dxa"/>
          </w:tcPr>
          <w:p w14:paraId="772D8CEC" w14:textId="4703C0D3" w:rsidR="00F57ECC" w:rsidRPr="002142B8" w:rsidRDefault="009064B6" w:rsidP="00860DE5">
            <w:pPr>
              <w:pStyle w:val="Pagrindinistekstas"/>
              <w:cnfStyle w:val="000000100000" w:firstRow="0" w:lastRow="0" w:firstColumn="0" w:lastColumn="0" w:oddVBand="0" w:evenVBand="0" w:oddHBand="1" w:evenHBand="0" w:firstRowFirstColumn="0" w:firstRowLastColumn="0" w:lastRowFirstColumn="0" w:lastRowLastColumn="0"/>
              <w:rPr>
                <w:lang w:val="lt-LT"/>
              </w:rPr>
            </w:pPr>
            <w:r w:rsidRPr="002142B8">
              <w:rPr>
                <w:lang w:val="lt-LT"/>
              </w:rPr>
              <w:t xml:space="preserve">Vienintelis toks finansavimo šaltinis yra </w:t>
            </w:r>
            <w:r w:rsidR="00860DE5">
              <w:rPr>
                <w:lang w:val="lt-LT"/>
              </w:rPr>
              <w:t>Klimato kaitos specialioji programa</w:t>
            </w:r>
            <w:r w:rsidRPr="002142B8">
              <w:rPr>
                <w:lang w:val="lt-LT"/>
              </w:rPr>
              <w:t xml:space="preserve">, administruojama Aplinkos </w:t>
            </w:r>
            <w:r w:rsidR="00860DE5">
              <w:rPr>
                <w:lang w:val="lt-LT"/>
              </w:rPr>
              <w:t>m</w:t>
            </w:r>
            <w:r w:rsidRPr="002142B8">
              <w:rPr>
                <w:lang w:val="lt-LT"/>
              </w:rPr>
              <w:t>inisterijos.</w:t>
            </w:r>
            <w:r w:rsidR="00F57ECC" w:rsidRPr="002142B8">
              <w:rPr>
                <w:lang w:val="lt-LT"/>
              </w:rPr>
              <w:t xml:space="preserve">  </w:t>
            </w:r>
          </w:p>
        </w:tc>
      </w:tr>
      <w:tr w:rsidR="00F57ECC" w:rsidRPr="002142B8" w14:paraId="428CCDA1" w14:textId="77777777" w:rsidTr="003640CE">
        <w:tc>
          <w:tcPr>
            <w:cnfStyle w:val="001000000000" w:firstRow="0" w:lastRow="0" w:firstColumn="1" w:lastColumn="0" w:oddVBand="0" w:evenVBand="0" w:oddHBand="0" w:evenHBand="0" w:firstRowFirstColumn="0" w:firstRowLastColumn="0" w:lastRowFirstColumn="0" w:lastRowLastColumn="0"/>
            <w:tcW w:w="2660" w:type="dxa"/>
          </w:tcPr>
          <w:p w14:paraId="4F454E3B" w14:textId="5F803FC2" w:rsidR="00F57ECC" w:rsidRPr="002142B8" w:rsidRDefault="009064B6" w:rsidP="00D51F4C">
            <w:pPr>
              <w:pStyle w:val="Pagrindinistekstas"/>
              <w:rPr>
                <w:b w:val="0"/>
                <w:lang w:val="lt-LT"/>
              </w:rPr>
            </w:pPr>
            <w:r w:rsidRPr="002142B8">
              <w:rPr>
                <w:b w:val="0"/>
                <w:lang w:val="lt-LT"/>
              </w:rPr>
              <w:t>ES programos</w:t>
            </w:r>
          </w:p>
        </w:tc>
        <w:tc>
          <w:tcPr>
            <w:tcW w:w="6582" w:type="dxa"/>
          </w:tcPr>
          <w:p w14:paraId="30D6FBF6" w14:textId="5853B3EE" w:rsidR="009064B6" w:rsidRPr="002142B8" w:rsidRDefault="009064B6" w:rsidP="009064B6">
            <w:pPr>
              <w:pStyle w:val="Pagrindinistekstas"/>
              <w:cnfStyle w:val="000000000000" w:firstRow="0" w:lastRow="0" w:firstColumn="0" w:lastColumn="0" w:oddVBand="0" w:evenVBand="0" w:oddHBand="0" w:evenHBand="0" w:firstRowFirstColumn="0" w:firstRowLastColumn="0" w:lastRowFirstColumn="0" w:lastRowLastColumn="0"/>
              <w:rPr>
                <w:lang w:val="lt-LT"/>
              </w:rPr>
            </w:pPr>
            <w:r w:rsidRPr="002142B8">
              <w:rPr>
                <w:lang w:val="lt-LT"/>
              </w:rPr>
              <w:t xml:space="preserve">Europos infrastruktūros priemonė (angl. CEF), Pažangi energetika Europai (angl. IEE), Horizontas 2020, EBI-ELENA, KfW-ELENA, LIFE+Programa (2014-2020), “Marguerite” fondas, </w:t>
            </w:r>
          </w:p>
        </w:tc>
      </w:tr>
      <w:tr w:rsidR="00F57ECC" w:rsidRPr="002142B8" w14:paraId="36AF6021"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EB97B59" w14:textId="5866CF84" w:rsidR="00F57ECC" w:rsidRPr="002142B8" w:rsidRDefault="009064B6" w:rsidP="00D51F4C">
            <w:pPr>
              <w:pStyle w:val="Pagrindinistekstas"/>
              <w:rPr>
                <w:b w:val="0"/>
                <w:lang w:val="lt-LT"/>
              </w:rPr>
            </w:pPr>
            <w:r w:rsidRPr="002142B8">
              <w:rPr>
                <w:b w:val="0"/>
                <w:lang w:val="lt-LT"/>
              </w:rPr>
              <w:t>Privatus sektorius</w:t>
            </w:r>
          </w:p>
        </w:tc>
        <w:tc>
          <w:tcPr>
            <w:tcW w:w="6582" w:type="dxa"/>
          </w:tcPr>
          <w:p w14:paraId="1CBDC15A" w14:textId="27EB6E6C" w:rsidR="009064B6" w:rsidRPr="002142B8" w:rsidRDefault="00C66C28" w:rsidP="008D15C2">
            <w:pPr>
              <w:pStyle w:val="Pagrindinistekstas"/>
              <w:cnfStyle w:val="000000100000" w:firstRow="0" w:lastRow="0" w:firstColumn="0" w:lastColumn="0" w:oddVBand="0" w:evenVBand="0" w:oddHBand="1" w:evenHBand="0" w:firstRowFirstColumn="0" w:firstRowLastColumn="0" w:lastRowFirstColumn="0" w:lastRowLastColumn="0"/>
              <w:rPr>
                <w:lang w:val="lt-LT"/>
              </w:rPr>
            </w:pPr>
            <w:r w:rsidRPr="002142B8">
              <w:rPr>
                <w:lang w:val="lt-LT"/>
              </w:rPr>
              <w:t xml:space="preserve">Tolimesniuose skyriuose detaliau analizuojamos </w:t>
            </w:r>
            <w:r w:rsidR="009064B6" w:rsidRPr="002142B8">
              <w:rPr>
                <w:lang w:val="lt-LT"/>
              </w:rPr>
              <w:t>Tarptautinės finansinės institucijos (EPRB, ŠIB, EIB)</w:t>
            </w:r>
            <w:r w:rsidR="00520021" w:rsidRPr="002142B8">
              <w:rPr>
                <w:lang w:val="lt-LT"/>
              </w:rPr>
              <w:t xml:space="preserve">, </w:t>
            </w:r>
            <w:r w:rsidR="00F53EEF" w:rsidRPr="002142B8">
              <w:rPr>
                <w:lang w:val="lt-LT"/>
              </w:rPr>
              <w:t xml:space="preserve">ESCO, </w:t>
            </w:r>
            <w:r w:rsidR="00520021" w:rsidRPr="002142B8">
              <w:rPr>
                <w:lang w:val="lt-LT"/>
              </w:rPr>
              <w:t xml:space="preserve">komerciniai bankai, </w:t>
            </w:r>
            <w:r w:rsidRPr="002142B8">
              <w:rPr>
                <w:lang w:val="lt-LT"/>
              </w:rPr>
              <w:t xml:space="preserve">aptariami šiuo metu veikiantys </w:t>
            </w:r>
            <w:r w:rsidR="00520021" w:rsidRPr="002142B8">
              <w:rPr>
                <w:lang w:val="lt-LT"/>
              </w:rPr>
              <w:t>i</w:t>
            </w:r>
            <w:r w:rsidR="009064B6" w:rsidRPr="002142B8">
              <w:rPr>
                <w:lang w:val="lt-LT"/>
              </w:rPr>
              <w:t>nfrastruktūros fondai</w:t>
            </w:r>
            <w:r w:rsidRPr="002142B8">
              <w:rPr>
                <w:lang w:val="lt-LT"/>
              </w:rPr>
              <w:t xml:space="preserve"> investuojantys į energetikos efektyvumo sritį, kuri yra šios ex-ante vertinimo objektas</w:t>
            </w:r>
            <w:r w:rsidR="00520021" w:rsidRPr="002142B8">
              <w:rPr>
                <w:lang w:val="lt-LT"/>
              </w:rPr>
              <w:t xml:space="preserve">. </w:t>
            </w:r>
          </w:p>
        </w:tc>
      </w:tr>
      <w:tr w:rsidR="002811A4" w:rsidRPr="002142B8" w14:paraId="20522F48" w14:textId="77777777" w:rsidTr="003640CE">
        <w:tc>
          <w:tcPr>
            <w:cnfStyle w:val="001000000000" w:firstRow="0" w:lastRow="0" w:firstColumn="1" w:lastColumn="0" w:oddVBand="0" w:evenVBand="0" w:oddHBand="0" w:evenHBand="0" w:firstRowFirstColumn="0" w:firstRowLastColumn="0" w:lastRowFirstColumn="0" w:lastRowLastColumn="0"/>
            <w:tcW w:w="2660" w:type="dxa"/>
          </w:tcPr>
          <w:p w14:paraId="2FF1E457" w14:textId="148911D2" w:rsidR="002811A4" w:rsidRPr="002142B8" w:rsidRDefault="002811A4" w:rsidP="00D51F4C">
            <w:pPr>
              <w:pStyle w:val="Pagrindinistekstas"/>
              <w:rPr>
                <w:b w:val="0"/>
                <w:lang w:val="lt-LT"/>
              </w:rPr>
            </w:pPr>
            <w:r w:rsidRPr="002142B8">
              <w:rPr>
                <w:b w:val="0"/>
                <w:lang w:val="lt-LT"/>
              </w:rPr>
              <w:t>Grįžtančios lėšos</w:t>
            </w:r>
          </w:p>
        </w:tc>
        <w:tc>
          <w:tcPr>
            <w:tcW w:w="6582" w:type="dxa"/>
          </w:tcPr>
          <w:p w14:paraId="6DD1AFCD" w14:textId="468F910D" w:rsidR="002811A4" w:rsidRPr="002142B8" w:rsidRDefault="002811A4" w:rsidP="002811A4">
            <w:pPr>
              <w:pStyle w:val="Pagrindinistekstas"/>
              <w:cnfStyle w:val="000000000000" w:firstRow="0" w:lastRow="0" w:firstColumn="0" w:lastColumn="0" w:oddVBand="0" w:evenVBand="0" w:oddHBand="0" w:evenHBand="0" w:firstRowFirstColumn="0" w:firstRowLastColumn="0" w:lastRowFirstColumn="0" w:lastRowLastColumn="0"/>
              <w:rPr>
                <w:lang w:val="lt-LT"/>
              </w:rPr>
            </w:pPr>
            <w:r w:rsidRPr="002142B8">
              <w:rPr>
                <w:lang w:val="lt-LT"/>
              </w:rPr>
              <w:t xml:space="preserve">Lėšos grįžusios per finansines priemones įgyvendintas ankstesniame laikotarpyje, pvz. JESSICA KF, DNMF ir kt. </w:t>
            </w:r>
          </w:p>
        </w:tc>
      </w:tr>
    </w:tbl>
    <w:p w14:paraId="5BCA8EC1" w14:textId="108DAA0F" w:rsidR="00390E64" w:rsidRPr="002142B8" w:rsidRDefault="00F57ECC" w:rsidP="00D51F4C">
      <w:pPr>
        <w:pStyle w:val="Pagrindinistekstas"/>
        <w:rPr>
          <w:i/>
          <w:lang w:val="lt-LT"/>
        </w:rPr>
      </w:pPr>
      <w:r w:rsidRPr="002142B8">
        <w:rPr>
          <w:i/>
          <w:lang w:val="lt-LT"/>
        </w:rPr>
        <w:t>Šaltinis: sudaryta autorių</w:t>
      </w:r>
    </w:p>
    <w:p w14:paraId="33EBA1C3" w14:textId="54E24A2D" w:rsidR="00F55A2A" w:rsidRPr="002142B8" w:rsidRDefault="00F55A2A"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15" w:name="_Toc25589907"/>
      <w:r w:rsidRPr="002142B8">
        <w:rPr>
          <w:rFonts w:ascii="Georgia" w:eastAsia="Times New Roman" w:hAnsi="Georgia" w:cs="Arial Unicode MS"/>
          <w:b/>
          <w:i/>
          <w:color w:val="821A1A"/>
          <w:sz w:val="32"/>
          <w:szCs w:val="26"/>
          <w:lang w:val="lt-LT"/>
        </w:rPr>
        <w:t>Kitos valstybės paramos programos</w:t>
      </w:r>
      <w:bookmarkEnd w:id="115"/>
    </w:p>
    <w:p w14:paraId="44E32C5C" w14:textId="344E6978" w:rsidR="00F27409" w:rsidRPr="002142B8" w:rsidRDefault="00F27409" w:rsidP="00F27409">
      <w:pPr>
        <w:jc w:val="both"/>
        <w:rPr>
          <w:rFonts w:ascii="Georgia" w:hAnsi="Georgia"/>
          <w:sz w:val="20"/>
          <w:szCs w:val="20"/>
          <w:lang w:val="lt-LT"/>
        </w:rPr>
      </w:pPr>
      <w:r w:rsidRPr="002142B8">
        <w:rPr>
          <w:rFonts w:ascii="Georgia" w:hAnsi="Georgia"/>
          <w:sz w:val="20"/>
          <w:szCs w:val="20"/>
          <w:lang w:val="lt-LT"/>
        </w:rPr>
        <w:t xml:space="preserve">Vienintelis papildomas finansavimo šaltinis šioje grupėje yra </w:t>
      </w:r>
      <w:r w:rsidRPr="00860DE5">
        <w:rPr>
          <w:rFonts w:ascii="Georgia" w:hAnsi="Georgia"/>
          <w:sz w:val="20"/>
          <w:szCs w:val="20"/>
          <w:lang w:val="lt-LT"/>
        </w:rPr>
        <w:t>Klimato kaitos specialioji programa</w:t>
      </w:r>
      <w:r w:rsidR="002811A4" w:rsidRPr="00860DE5">
        <w:rPr>
          <w:rFonts w:ascii="Georgia" w:hAnsi="Georgia"/>
          <w:sz w:val="20"/>
          <w:szCs w:val="20"/>
          <w:lang w:val="lt-LT"/>
        </w:rPr>
        <w:t>.</w:t>
      </w:r>
      <w:r w:rsidRPr="002142B8">
        <w:rPr>
          <w:rFonts w:ascii="Georgia" w:hAnsi="Georgia"/>
          <w:sz w:val="20"/>
          <w:szCs w:val="20"/>
          <w:lang w:val="lt-LT"/>
        </w:rPr>
        <w:t xml:space="preserve"> </w:t>
      </w:r>
    </w:p>
    <w:p w14:paraId="6F3ABF1D" w14:textId="56F6608F" w:rsidR="00F27409" w:rsidRPr="002142B8" w:rsidRDefault="00F27409" w:rsidP="00F27409">
      <w:pPr>
        <w:jc w:val="both"/>
        <w:rPr>
          <w:rFonts w:ascii="Georgia" w:hAnsi="Georgia"/>
          <w:b/>
          <w:sz w:val="20"/>
          <w:szCs w:val="20"/>
          <w:lang w:val="lt-LT"/>
        </w:rPr>
      </w:pPr>
      <w:r w:rsidRPr="002142B8">
        <w:rPr>
          <w:rFonts w:ascii="Georgia" w:hAnsi="Georgia"/>
          <w:b/>
          <w:sz w:val="20"/>
          <w:szCs w:val="20"/>
          <w:lang w:val="lt-LT"/>
        </w:rPr>
        <w:t>Klimato kaitos specialioji programa</w:t>
      </w:r>
    </w:p>
    <w:p w14:paraId="3BC2A21D" w14:textId="77777777" w:rsidR="00F27409" w:rsidRPr="002142B8" w:rsidRDefault="00F27409" w:rsidP="00F27409">
      <w:pPr>
        <w:jc w:val="both"/>
        <w:rPr>
          <w:rFonts w:ascii="Georgia" w:hAnsi="Georgia"/>
          <w:sz w:val="20"/>
          <w:szCs w:val="20"/>
          <w:lang w:val="lt-LT"/>
        </w:rPr>
      </w:pPr>
      <w:r w:rsidRPr="002142B8">
        <w:rPr>
          <w:rFonts w:ascii="Georgia" w:hAnsi="Georgia"/>
          <w:sz w:val="20"/>
          <w:szCs w:val="20"/>
          <w:lang w:val="lt-LT"/>
        </w:rPr>
        <w:t>Valstybės paramos daugiabučiams namams atnaujinti (modernizuoti) teikimo ir daugiabučių namų atnaujinimo (modernizavimo) projektų įgyvendinimo priežiūros taisyklėse numatyta, kad Klimato kaitos programos lėšomis paramos daugiabučių namų modernizavimo projektams dydis bus nustatomas tokia tvarka:</w:t>
      </w:r>
    </w:p>
    <w:p w14:paraId="34D1FFA3" w14:textId="77777777" w:rsidR="00F27409" w:rsidRPr="002142B8" w:rsidRDefault="00F27409" w:rsidP="00F27409">
      <w:pPr>
        <w:jc w:val="both"/>
        <w:rPr>
          <w:rFonts w:ascii="Georgia" w:hAnsi="Georgia"/>
          <w:sz w:val="20"/>
          <w:szCs w:val="20"/>
          <w:lang w:val="lt-LT"/>
        </w:rPr>
      </w:pPr>
      <w:r w:rsidRPr="002142B8">
        <w:rPr>
          <w:rFonts w:ascii="Georgia" w:hAnsi="Georgia"/>
          <w:sz w:val="20"/>
          <w:szCs w:val="20"/>
          <w:lang w:val="lt-LT"/>
        </w:rPr>
        <w:t xml:space="preserve">„Daugiabučio namo butų ir kitų patalpų savininkams, nuo 2015 m. sausio 1 d. parengusiems ir įgyvendinantiems daugiabučio namo atnaujinimo (modernizavimo) projektą, Klimato kaitos </w:t>
      </w:r>
      <w:r w:rsidRPr="002142B8">
        <w:rPr>
          <w:rFonts w:ascii="Georgia" w:hAnsi="Georgia"/>
          <w:sz w:val="20"/>
          <w:szCs w:val="20"/>
          <w:lang w:val="lt-LT"/>
        </w:rPr>
        <w:lastRenderedPageBreak/>
        <w:t>specialiosios programos lėšomis teikiama papildoma valstybės parama – kompensuojama ši investicijų, tenkančių Programos priede nurodytoms energinį efektyvumą didinančioms priemonėms, jeigu įgyvendinus projektą pasiekiama ne mažesnė kaip C pastato energinio naudingumo klasė ir skaičiuojamosios šiluminės energijos sąnaudos sumažinamos ne mažiau kaip 40 procentų, palyginti su skaičiuojamosiomis šiluminės energijos sąnaudomis iki atnaujinimo (modernizavimo) projekto įgyvendinimo, dalis:</w:t>
      </w:r>
    </w:p>
    <w:p w14:paraId="7748E687" w14:textId="77777777" w:rsidR="00F27409" w:rsidRPr="002142B8" w:rsidRDefault="00F27409" w:rsidP="00F27409">
      <w:pPr>
        <w:jc w:val="both"/>
        <w:rPr>
          <w:rFonts w:ascii="Georgia" w:hAnsi="Georgia"/>
          <w:sz w:val="20"/>
          <w:szCs w:val="20"/>
          <w:lang w:val="lt-LT"/>
        </w:rPr>
      </w:pPr>
      <w:r w:rsidRPr="002142B8">
        <w:rPr>
          <w:rFonts w:ascii="Georgia" w:hAnsi="Georgia"/>
          <w:sz w:val="20"/>
          <w:szCs w:val="20"/>
          <w:lang w:val="lt-LT"/>
        </w:rPr>
        <w:t>2.7.1.1. 20 procentų, jeigu daugiabučio namo atnaujinimo (modernizavimo) projektas įgyvendintas iki 2017 m. gruodžio 31 dienos;</w:t>
      </w:r>
    </w:p>
    <w:p w14:paraId="42C0D2D6" w14:textId="77777777" w:rsidR="00F27409" w:rsidRPr="002142B8" w:rsidRDefault="00F27409" w:rsidP="00F27409">
      <w:pPr>
        <w:jc w:val="both"/>
        <w:rPr>
          <w:rFonts w:ascii="Georgia" w:hAnsi="Georgia"/>
          <w:sz w:val="20"/>
          <w:szCs w:val="20"/>
          <w:lang w:val="lt-LT"/>
        </w:rPr>
      </w:pPr>
      <w:r w:rsidRPr="002142B8">
        <w:rPr>
          <w:rFonts w:ascii="Georgia" w:hAnsi="Georgia"/>
          <w:sz w:val="20"/>
          <w:szCs w:val="20"/>
          <w:lang w:val="lt-LT"/>
        </w:rPr>
        <w:t>2.7.1.2. 15 procentų, jeigu daugiabučio namo atnaujinimo (modernizavimo) projektas įgyvendintas po 2017 m. gruodžio 31 d., bet ne vėliau kaip iki 2020 m. gruodžio 31 dienos.“</w:t>
      </w:r>
    </w:p>
    <w:p w14:paraId="08448BB9" w14:textId="58E0616E" w:rsidR="00F55A2A" w:rsidRPr="002142B8" w:rsidRDefault="00F27409" w:rsidP="00F27409">
      <w:pPr>
        <w:jc w:val="both"/>
        <w:rPr>
          <w:rFonts w:ascii="Georgia" w:hAnsi="Georgia"/>
          <w:sz w:val="20"/>
          <w:szCs w:val="20"/>
          <w:lang w:val="lt-LT"/>
        </w:rPr>
      </w:pPr>
      <w:r w:rsidRPr="002142B8">
        <w:rPr>
          <w:rFonts w:ascii="Georgia" w:hAnsi="Georgia"/>
          <w:sz w:val="20"/>
          <w:szCs w:val="20"/>
          <w:lang w:val="lt-LT"/>
        </w:rPr>
        <w:t xml:space="preserve">Kaip matoma iš pakoreguoto valstybės paramos daugiabučių namų modernizavimui teikimo taisyklių, valstybės parama yra palaipsniui mažinama. Taip pat pastebima, jog pagal 2017 m. gegužės 26 d. įsakymą Nr. D1-450 </w:t>
      </w:r>
      <w:r w:rsidR="000631BF" w:rsidRPr="002142B8">
        <w:rPr>
          <w:rFonts w:ascii="Georgia" w:hAnsi="Georgia"/>
          <w:sz w:val="20"/>
          <w:szCs w:val="20"/>
          <w:lang w:val="lt-LT"/>
        </w:rPr>
        <w:t>„</w:t>
      </w:r>
      <w:r w:rsidRPr="002142B8">
        <w:rPr>
          <w:rFonts w:ascii="Georgia" w:hAnsi="Georgia"/>
          <w:sz w:val="20"/>
          <w:szCs w:val="20"/>
          <w:lang w:val="lt-LT"/>
        </w:rPr>
        <w:t>Klimato kaitos specialiosios programos lėšų naudojimo 2017 m. sąmatą detalizuojantis planas</w:t>
      </w:r>
      <w:r w:rsidR="000631BF" w:rsidRPr="002142B8">
        <w:rPr>
          <w:rFonts w:ascii="Georgia" w:hAnsi="Georgia"/>
          <w:sz w:val="20"/>
          <w:szCs w:val="20"/>
          <w:lang w:val="lt-LT"/>
        </w:rPr>
        <w:t>“</w:t>
      </w:r>
      <w:r w:rsidRPr="002142B8">
        <w:rPr>
          <w:rFonts w:ascii="Georgia" w:hAnsi="Georgia"/>
          <w:sz w:val="20"/>
          <w:szCs w:val="20"/>
          <w:lang w:val="lt-LT"/>
        </w:rPr>
        <w:t xml:space="preserve"> nustato valstybės planuojamą paramą daugiabučių atnaujinimui 2017 m. lygią 31,6 mln. eurų, iš kurių tikėtina, jog 71,5% bus išmokėta. Daroma prielaida, jog pasiūlos analizėje gali būti įtraukti tik 31,6 mln. eurų visam 2017-2023 metų laikotarpiui. Šios lėšos tikėtina padės greičiau išmokėti renovacijos paskolas finansiniams tarpininkams ir bus reinvestuojamos į kitus atnaujinimo projektus.</w:t>
      </w:r>
    </w:p>
    <w:p w14:paraId="19008545" w14:textId="3AEAE7C6" w:rsidR="00F55A2A" w:rsidRPr="002142B8" w:rsidRDefault="00F55A2A"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16" w:name="_Toc25589908"/>
      <w:r w:rsidRPr="002142B8">
        <w:rPr>
          <w:rFonts w:ascii="Georgia" w:eastAsia="Times New Roman" w:hAnsi="Georgia" w:cs="Arial Unicode MS"/>
          <w:b/>
          <w:i/>
          <w:color w:val="821A1A"/>
          <w:sz w:val="32"/>
          <w:szCs w:val="26"/>
          <w:lang w:val="lt-LT"/>
        </w:rPr>
        <w:t>ES programos</w:t>
      </w:r>
      <w:bookmarkEnd w:id="116"/>
    </w:p>
    <w:tbl>
      <w:tblPr>
        <w:tblStyle w:val="LightList-Accent21"/>
        <w:tblW w:w="0" w:type="auto"/>
        <w:tblLook w:val="04A0" w:firstRow="1" w:lastRow="0" w:firstColumn="1" w:lastColumn="0" w:noHBand="0" w:noVBand="1"/>
      </w:tblPr>
      <w:tblGrid>
        <w:gridCol w:w="2943"/>
        <w:gridCol w:w="6299"/>
      </w:tblGrid>
      <w:tr w:rsidR="00F27409" w:rsidRPr="002142B8" w14:paraId="375CDAED" w14:textId="77777777" w:rsidTr="00364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7A31D1" w14:textId="33940037" w:rsidR="00F27409" w:rsidRPr="002142B8" w:rsidRDefault="00F27409" w:rsidP="00F55A2A">
            <w:pPr>
              <w:jc w:val="both"/>
              <w:rPr>
                <w:rFonts w:ascii="Georgia" w:hAnsi="Georgia"/>
                <w:sz w:val="20"/>
                <w:szCs w:val="20"/>
              </w:rPr>
            </w:pPr>
            <w:r w:rsidRPr="002142B8">
              <w:rPr>
                <w:rFonts w:ascii="Georgia" w:hAnsi="Georgia"/>
                <w:sz w:val="20"/>
                <w:szCs w:val="20"/>
              </w:rPr>
              <w:t>ES programa</w:t>
            </w:r>
          </w:p>
        </w:tc>
        <w:tc>
          <w:tcPr>
            <w:tcW w:w="6299" w:type="dxa"/>
          </w:tcPr>
          <w:p w14:paraId="50D5DBC4" w14:textId="510FD1E7" w:rsidR="00F27409" w:rsidRPr="002142B8" w:rsidRDefault="00F27409" w:rsidP="00F55A2A">
            <w:pPr>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Aprašymas</w:t>
            </w:r>
          </w:p>
        </w:tc>
      </w:tr>
      <w:tr w:rsidR="00F27409" w:rsidRPr="002142B8" w14:paraId="0B75AEEB"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477F15" w14:textId="4EC5F451" w:rsidR="00F27409" w:rsidRPr="002142B8" w:rsidRDefault="00F27409" w:rsidP="00984ACE">
            <w:pPr>
              <w:rPr>
                <w:rFonts w:ascii="Georgia" w:hAnsi="Georgia"/>
                <w:b w:val="0"/>
                <w:sz w:val="20"/>
                <w:szCs w:val="20"/>
              </w:rPr>
            </w:pPr>
            <w:r w:rsidRPr="002142B8">
              <w:rPr>
                <w:rFonts w:ascii="Georgia" w:hAnsi="Georgia"/>
                <w:b w:val="0"/>
                <w:sz w:val="20"/>
                <w:szCs w:val="20"/>
              </w:rPr>
              <w:t>Europos infrastruktūros tinklų priemonė (angl. Connecting Europe facility )</w:t>
            </w:r>
          </w:p>
        </w:tc>
        <w:tc>
          <w:tcPr>
            <w:tcW w:w="6299" w:type="dxa"/>
          </w:tcPr>
          <w:p w14:paraId="6483DB68" w14:textId="77777777" w:rsidR="00F27409" w:rsidRPr="002142B8" w:rsidRDefault="00984ACE" w:rsidP="00984ACE">
            <w:pPr>
              <w:keepNex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 xml:space="preserve">CEF buvo įsteigta Bendruoju nuostatų reglamentu, kuriame nustatytos sąlygos, metodai ir procedūros kaip teikiama ES parama transeuropiniams tinklams, bendro intereso projektams transporto, energetikos ir telekomunikacijų sektoriuose. Bendras finansavimo paketas 2014-2020 metais sudaro 30,44 mlrd. eurų, iš kurių 5,35 mlrd.  eurų skirta energetikos sektoriui. Bendrajame nuostatų reglamente  finansinės priemonės aiškiai minimos kaip įgyvendinimo metodas CEF  ištekliams taip skatinant esminį privataus sektoriaus ir finansinių institucijų dalyvavimą investuojant į infrastruktūrą, remiantis nuostatomis, kad daugeliu atvejų, esant nepakankamam investavimui ar rinkos nepakankamumo situacijoje gali būti efektyviau spręsti finansiniais instrumentais, o ne dotacijomis </w:t>
            </w:r>
            <w:r w:rsidRPr="002142B8">
              <w:rPr>
                <w:rStyle w:val="Puslapioinaosnuoroda"/>
                <w:rFonts w:ascii="Georgia" w:hAnsi="Georgia" w:cs="Arial"/>
                <w:sz w:val="20"/>
                <w:szCs w:val="20"/>
              </w:rPr>
              <w:footnoteReference w:id="46"/>
            </w:r>
            <w:r w:rsidRPr="002142B8">
              <w:rPr>
                <w:rFonts w:ascii="Georgia" w:hAnsi="Georgia" w:cs="Arial"/>
                <w:sz w:val="20"/>
                <w:szCs w:val="20"/>
              </w:rPr>
              <w:t>.</w:t>
            </w:r>
          </w:p>
          <w:p w14:paraId="51E2F8F5" w14:textId="70F0E4BB" w:rsidR="00984ACE" w:rsidRPr="002142B8" w:rsidRDefault="00984ACE" w:rsidP="00984ACE">
            <w:pPr>
              <w:keepNex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p>
        </w:tc>
      </w:tr>
      <w:tr w:rsidR="00F27409" w:rsidRPr="002142B8" w14:paraId="055F1341"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3CC41C0D" w14:textId="232D23EA" w:rsidR="00F27409" w:rsidRPr="002142B8" w:rsidRDefault="00984ACE" w:rsidP="00984ACE">
            <w:pPr>
              <w:rPr>
                <w:rFonts w:ascii="Georgia" w:hAnsi="Georgia"/>
                <w:b w:val="0"/>
                <w:sz w:val="20"/>
                <w:szCs w:val="20"/>
              </w:rPr>
            </w:pPr>
            <w:r w:rsidRPr="002142B8">
              <w:rPr>
                <w:rFonts w:ascii="Georgia" w:hAnsi="Georgia"/>
                <w:b w:val="0"/>
                <w:sz w:val="20"/>
                <w:szCs w:val="20"/>
              </w:rPr>
              <w:t>Pažangi energetika Europai (angl. Intelligent Energy-Europe)</w:t>
            </w:r>
          </w:p>
        </w:tc>
        <w:tc>
          <w:tcPr>
            <w:tcW w:w="6299" w:type="dxa"/>
          </w:tcPr>
          <w:p w14:paraId="6CE73E98" w14:textId="77777777" w:rsidR="00F27409" w:rsidRPr="002142B8"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 xml:space="preserve">IEE programa buvo sudaryta 2007-2013 metų programavimo laikotarpiu su tikslu šalinti netechnologines kliūtis energijos efektyvumo didinimo rinkų įsisavinimui. 2014-2020 metų periodu ši programa buvo sujungta su Horizon 2020, kurio tikslas išlieka ir toliau kurti palankias rinkos sąlygas, formuojant politiką ir įgyvendinimą, ruošiant pagrindus investicijoms, žinių įgijimas ir gebėjimų formavimas, suinteresuotų šalių informavimas ir įsipareigojimų skatinimas energijos efektyvumo didinimo srityje. </w:t>
            </w:r>
          </w:p>
          <w:p w14:paraId="4A74FEC8" w14:textId="7AE98D86" w:rsidR="00984ACE" w:rsidRPr="002142B8"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r w:rsidR="00F27409" w:rsidRPr="002142B8" w14:paraId="79FAFFE2"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B725ADD" w14:textId="50ECBA86" w:rsidR="00F27409" w:rsidRPr="002142B8" w:rsidRDefault="00984ACE" w:rsidP="00984ACE">
            <w:pPr>
              <w:rPr>
                <w:rFonts w:ascii="Georgia" w:hAnsi="Georgia"/>
                <w:b w:val="0"/>
                <w:sz w:val="20"/>
                <w:szCs w:val="20"/>
              </w:rPr>
            </w:pPr>
            <w:r w:rsidRPr="002142B8">
              <w:rPr>
                <w:rFonts w:ascii="Georgia" w:hAnsi="Georgia"/>
                <w:b w:val="0"/>
                <w:sz w:val="20"/>
                <w:szCs w:val="20"/>
              </w:rPr>
              <w:t>Horizontas 2020</w:t>
            </w:r>
          </w:p>
        </w:tc>
        <w:tc>
          <w:tcPr>
            <w:tcW w:w="6299" w:type="dxa"/>
          </w:tcPr>
          <w:p w14:paraId="5A763B49" w14:textId="0663B193" w:rsidR="00F27409" w:rsidRPr="002142B8" w:rsidRDefault="00984ACE"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Horizon</w:t>
            </w:r>
            <w:r w:rsidR="0018041C" w:rsidRPr="002142B8">
              <w:rPr>
                <w:rFonts w:ascii="Georgia" w:hAnsi="Georgia" w:cs="Arial"/>
                <w:sz w:val="20"/>
                <w:szCs w:val="20"/>
              </w:rPr>
              <w:t>tas</w:t>
            </w:r>
            <w:r w:rsidRPr="002142B8">
              <w:rPr>
                <w:rFonts w:ascii="Georgia" w:hAnsi="Georgia" w:cs="Arial"/>
                <w:sz w:val="20"/>
                <w:szCs w:val="20"/>
              </w:rPr>
              <w:t xml:space="preserve"> 2020 yra pagrindinė ES programa skirta tyrimams ir inovacijoms ir bus vykdoma 2014-2020 metais, o jos biudžetas – virš 77 mlrd. eurų. Horizon</w:t>
            </w:r>
            <w:r w:rsidR="0018041C" w:rsidRPr="002142B8">
              <w:rPr>
                <w:rFonts w:ascii="Georgia" w:hAnsi="Georgia" w:cs="Arial"/>
                <w:sz w:val="20"/>
                <w:szCs w:val="20"/>
              </w:rPr>
              <w:t>tas</w:t>
            </w:r>
            <w:r w:rsidRPr="002142B8">
              <w:rPr>
                <w:rFonts w:ascii="Georgia" w:hAnsi="Georgia" w:cs="Arial"/>
                <w:sz w:val="20"/>
                <w:szCs w:val="20"/>
              </w:rPr>
              <w:t xml:space="preserve"> 2020 likęs biudžetas 3 metų (2018, 2019 ir 2020) yra 37,1 mlrd. eurų </w:t>
            </w:r>
            <w:r w:rsidRPr="002142B8">
              <w:rPr>
                <w:rStyle w:val="Puslapioinaosnuoroda"/>
                <w:rFonts w:ascii="Georgia" w:hAnsi="Georgia" w:cs="Arial"/>
                <w:sz w:val="20"/>
                <w:szCs w:val="20"/>
              </w:rPr>
              <w:footnoteReference w:id="47"/>
            </w:r>
            <w:r w:rsidRPr="002142B8">
              <w:rPr>
                <w:rFonts w:ascii="Georgia" w:hAnsi="Georgia" w:cs="Arial"/>
                <w:sz w:val="20"/>
                <w:szCs w:val="20"/>
              </w:rPr>
              <w:t>.</w:t>
            </w:r>
          </w:p>
          <w:p w14:paraId="5D14973E" w14:textId="2BF11318" w:rsidR="00984ACE" w:rsidRPr="002142B8" w:rsidRDefault="00984ACE"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p>
        </w:tc>
      </w:tr>
      <w:tr w:rsidR="00F27409" w:rsidRPr="002142B8" w14:paraId="3C54F1B5"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2D37838E" w14:textId="2209E80F" w:rsidR="00F27409" w:rsidRPr="002142B8" w:rsidRDefault="00984ACE" w:rsidP="00984ACE">
            <w:pPr>
              <w:rPr>
                <w:rFonts w:ascii="Georgia" w:hAnsi="Georgia"/>
                <w:b w:val="0"/>
                <w:sz w:val="20"/>
                <w:szCs w:val="20"/>
              </w:rPr>
            </w:pPr>
            <w:r w:rsidRPr="002142B8">
              <w:rPr>
                <w:rFonts w:ascii="Georgia" w:hAnsi="Georgia"/>
                <w:b w:val="0"/>
                <w:sz w:val="20"/>
                <w:szCs w:val="20"/>
              </w:rPr>
              <w:lastRenderedPageBreak/>
              <w:t>EIB ELENA</w:t>
            </w:r>
          </w:p>
        </w:tc>
        <w:tc>
          <w:tcPr>
            <w:tcW w:w="6299" w:type="dxa"/>
          </w:tcPr>
          <w:p w14:paraId="61F12935" w14:textId="77777777" w:rsidR="00984ACE" w:rsidRPr="002142B8"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 xml:space="preserve">EIB-ELENA buvo sukurta Europos komisijos ir EIB iniciatyva kaip dalis IEE programos, kuri buvo sujungta su Horizon 2020. Bendras EIB-ELENA tikslas padėti perėjimui nuo veiksmų plano parengimo iki didelės apimties investicijų įgyvendinimo, paprastai viršijančių 50 mln. eurų sumą. </w:t>
            </w:r>
          </w:p>
          <w:p w14:paraId="45BE9B34" w14:textId="77777777" w:rsidR="00F27409" w:rsidRPr="002142B8" w:rsidRDefault="00F27409"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F27409" w:rsidRPr="002142B8" w14:paraId="3054A0C7"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1C98219" w14:textId="1C949389" w:rsidR="00F27409" w:rsidRPr="002142B8" w:rsidRDefault="00984ACE" w:rsidP="00984ACE">
            <w:pPr>
              <w:rPr>
                <w:rFonts w:ascii="Georgia" w:hAnsi="Georgia"/>
                <w:b w:val="0"/>
                <w:sz w:val="20"/>
                <w:szCs w:val="20"/>
              </w:rPr>
            </w:pPr>
            <w:r w:rsidRPr="002142B8">
              <w:rPr>
                <w:rFonts w:ascii="Georgia" w:hAnsi="Georgia"/>
                <w:b w:val="0"/>
                <w:sz w:val="20"/>
                <w:szCs w:val="20"/>
              </w:rPr>
              <w:t>KfW-ELENA</w:t>
            </w:r>
          </w:p>
        </w:tc>
        <w:tc>
          <w:tcPr>
            <w:tcW w:w="6299" w:type="dxa"/>
          </w:tcPr>
          <w:p w14:paraId="585A7F6E" w14:textId="77777777" w:rsidR="00984ACE" w:rsidRPr="002142B8"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Nuo 2011 metų KfW-ELENA suteikią papildomą pagalbą prie jau esančio ELENA su tikslu mobilizuoti/apjungti tvarias investicijas mažų ir vidutinių dydžių savivaldybių investicijas ir kur įmanoma ESCO kai suma neviršija 50 mln. eurų.</w:t>
            </w:r>
          </w:p>
          <w:p w14:paraId="4A90CEA6" w14:textId="77777777" w:rsidR="00F27409" w:rsidRPr="002142B8" w:rsidRDefault="00F27409" w:rsidP="00F55A2A">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F27409" w:rsidRPr="002142B8" w14:paraId="3F1D8156"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39A8D067" w14:textId="3EA19B8B" w:rsidR="00F27409" w:rsidRPr="002142B8" w:rsidRDefault="00984ACE" w:rsidP="00984ACE">
            <w:pPr>
              <w:rPr>
                <w:rFonts w:ascii="Georgia" w:hAnsi="Georgia"/>
                <w:b w:val="0"/>
                <w:sz w:val="20"/>
                <w:szCs w:val="20"/>
              </w:rPr>
            </w:pPr>
            <w:r w:rsidRPr="002142B8">
              <w:rPr>
                <w:rFonts w:ascii="Georgia" w:hAnsi="Georgia"/>
                <w:b w:val="0"/>
                <w:sz w:val="20"/>
                <w:szCs w:val="20"/>
              </w:rPr>
              <w:t>LIFE+ programa (2014-2020)</w:t>
            </w:r>
          </w:p>
        </w:tc>
        <w:tc>
          <w:tcPr>
            <w:tcW w:w="6299" w:type="dxa"/>
          </w:tcPr>
          <w:p w14:paraId="32CCF28E" w14:textId="77777777" w:rsidR="00984ACE" w:rsidRPr="002142B8"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Naujoji LIFE programa turi dvi programos kryptis – aplinkai ir klimato kaitai. Klimato kaitos programos kryptis apima tokias sritis kaip klimato kaitos sušvelninimas, prisitaikymas prie klimato kaitos ir klimato valdymo bei informavimo. Vadovaujantis Bendrųjų nuostatų reglamento nuostatomis LIFE programos lėšos gali būti skiriamos kaip garantijos, skelbiant viešuosius konkursus ir per finansinius instrumentus 2014-2020 metų periodu.</w:t>
            </w:r>
          </w:p>
          <w:p w14:paraId="1C4FDEA8" w14:textId="77777777" w:rsidR="00F27409" w:rsidRPr="002142B8" w:rsidRDefault="00F27409"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F27409" w:rsidRPr="002142B8" w14:paraId="346ACE26" w14:textId="77777777" w:rsidTr="00364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9F7A3D2" w14:textId="63393D7B" w:rsidR="00F27409" w:rsidRPr="002142B8" w:rsidRDefault="00984ACE" w:rsidP="00984ACE">
            <w:pPr>
              <w:rPr>
                <w:rFonts w:ascii="Georgia" w:hAnsi="Georgia"/>
                <w:b w:val="0"/>
                <w:sz w:val="20"/>
                <w:szCs w:val="20"/>
              </w:rPr>
            </w:pPr>
            <w:r w:rsidRPr="002142B8">
              <w:rPr>
                <w:rFonts w:ascii="Georgia" w:hAnsi="Georgia"/>
                <w:b w:val="0"/>
                <w:sz w:val="20"/>
                <w:szCs w:val="20"/>
              </w:rPr>
              <w:t>Marguerite fondas</w:t>
            </w:r>
          </w:p>
        </w:tc>
        <w:tc>
          <w:tcPr>
            <w:tcW w:w="6299" w:type="dxa"/>
          </w:tcPr>
          <w:p w14:paraId="09C96F24" w14:textId="77777777" w:rsidR="00984ACE" w:rsidRPr="002142B8"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Europos infrastruktūros fondas skirtas ilgo laikotarpio instituciniams investuotojams finansuoti projektų įgyvendinimą transporto, energetikos, klimato ir atsinaujinančių šaltinių srityse investuojant į akcinį kapitalą.</w:t>
            </w:r>
          </w:p>
          <w:p w14:paraId="5B796D4F" w14:textId="3F30FB2F" w:rsidR="00F27409" w:rsidRPr="002142B8"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Platesnis pritrauktų privačių lėšų apimties aprašymas, šioje e</w:t>
            </w:r>
            <w:r w:rsidR="00300FF4" w:rsidRPr="002142B8">
              <w:rPr>
                <w:rFonts w:ascii="Georgia" w:hAnsi="Georgia" w:cs="Arial"/>
                <w:sz w:val="20"/>
                <w:szCs w:val="20"/>
              </w:rPr>
              <w:t>x-ante</w:t>
            </w:r>
            <w:r w:rsidRPr="002142B8">
              <w:rPr>
                <w:rFonts w:ascii="Georgia" w:hAnsi="Georgia" w:cs="Arial"/>
                <w:sz w:val="20"/>
                <w:szCs w:val="20"/>
              </w:rPr>
              <w:t xml:space="preserve"> analizuojamoms sritims identifikuotas šio vertinimo 2.2.2 punkte</w:t>
            </w:r>
          </w:p>
          <w:p w14:paraId="5C54987D" w14:textId="6E5F5CD6" w:rsidR="00984ACE" w:rsidRPr="002142B8" w:rsidRDefault="00984ACE" w:rsidP="00984AC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984ACE" w:rsidRPr="002142B8" w14:paraId="3F21DF84" w14:textId="77777777" w:rsidTr="003640CE">
        <w:tc>
          <w:tcPr>
            <w:cnfStyle w:val="001000000000" w:firstRow="0" w:lastRow="0" w:firstColumn="1" w:lastColumn="0" w:oddVBand="0" w:evenVBand="0" w:oddHBand="0" w:evenHBand="0" w:firstRowFirstColumn="0" w:firstRowLastColumn="0" w:lastRowFirstColumn="0" w:lastRowLastColumn="0"/>
            <w:tcW w:w="2943" w:type="dxa"/>
          </w:tcPr>
          <w:p w14:paraId="2C710EB7" w14:textId="39FB0AC7" w:rsidR="00984ACE" w:rsidRPr="002142B8" w:rsidRDefault="00984ACE" w:rsidP="00984ACE">
            <w:pPr>
              <w:rPr>
                <w:rFonts w:ascii="Georgia" w:hAnsi="Georgia"/>
                <w:b w:val="0"/>
                <w:sz w:val="20"/>
                <w:szCs w:val="20"/>
              </w:rPr>
            </w:pPr>
            <w:r w:rsidRPr="002142B8">
              <w:rPr>
                <w:rFonts w:ascii="Georgia" w:hAnsi="Georgia"/>
                <w:b w:val="0"/>
                <w:sz w:val="20"/>
                <w:szCs w:val="20"/>
              </w:rPr>
              <w:t>Europos energijos vartojimo efektyvumo fondas</w:t>
            </w:r>
          </w:p>
        </w:tc>
        <w:tc>
          <w:tcPr>
            <w:tcW w:w="6299" w:type="dxa"/>
          </w:tcPr>
          <w:p w14:paraId="4B2CC003" w14:textId="552104B4" w:rsidR="00984ACE" w:rsidRPr="002142B8" w:rsidRDefault="00984ACE" w:rsidP="00984AC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2011 m. </w:t>
            </w:r>
            <w:r w:rsidR="0018041C" w:rsidRPr="002142B8">
              <w:rPr>
                <w:rFonts w:ascii="Georgia" w:hAnsi="Georgia"/>
                <w:sz w:val="20"/>
                <w:szCs w:val="20"/>
              </w:rPr>
              <w:t>l</w:t>
            </w:r>
            <w:r w:rsidRPr="002142B8">
              <w:rPr>
                <w:rFonts w:ascii="Georgia" w:hAnsi="Georgia"/>
                <w:sz w:val="20"/>
                <w:szCs w:val="20"/>
              </w:rPr>
              <w:t xml:space="preserve">iepos 1 d. šis fondas pradėjo veiklą, bendra investicinė suma 265 mln. eurų. Šis fondas suteikia specialiai pritaikytos skolos ir nuosavybės priemones vietos, regionų ir nacionalinėms valdžios institucijos arba jų vardu veikiantiems viešiems ar privatiems subjektai. EEEF siekia finansuoti projektus susijusiu su energetikos efektyvumu (70%), atsinaujinančia energetika (20%) ir švarų miestų transportą (10%) taikant naujoviškus finansavimo instrumentus. </w:t>
            </w:r>
          </w:p>
          <w:p w14:paraId="084E4E63" w14:textId="77777777" w:rsidR="00984ACE" w:rsidRPr="002142B8" w:rsidRDefault="00984ACE" w:rsidP="00F55A2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bl>
    <w:p w14:paraId="60CA635B" w14:textId="77777777" w:rsidR="00F55A2A" w:rsidRPr="002142B8" w:rsidRDefault="00F55A2A" w:rsidP="00F55A2A">
      <w:pPr>
        <w:jc w:val="both"/>
        <w:rPr>
          <w:rFonts w:ascii="Georgia" w:hAnsi="Georgia"/>
          <w:sz w:val="20"/>
          <w:szCs w:val="20"/>
          <w:lang w:val="lt-LT"/>
        </w:rPr>
      </w:pPr>
    </w:p>
    <w:p w14:paraId="04D35703" w14:textId="625A81A0" w:rsidR="00583EB1" w:rsidRPr="002142B8" w:rsidRDefault="00583EB1" w:rsidP="00E718A5">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17" w:name="_Toc25589909"/>
      <w:r w:rsidRPr="002142B8">
        <w:rPr>
          <w:rFonts w:ascii="Georgia" w:eastAsia="Times New Roman" w:hAnsi="Georgia" w:cs="Arial Unicode MS"/>
          <w:b/>
          <w:i/>
          <w:color w:val="821A1A"/>
          <w:sz w:val="32"/>
          <w:szCs w:val="26"/>
          <w:lang w:val="lt-LT"/>
        </w:rPr>
        <w:t>Tarptautinių finansų institucijų analizė</w:t>
      </w:r>
      <w:bookmarkEnd w:id="117"/>
    </w:p>
    <w:p w14:paraId="452BCC2A" w14:textId="63600632"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Žemiau analizuojamos keturios pagrindinės tarptautinių finansų institucijos: EPRB, ŠIB, EIB ir ETVB.</w:t>
      </w:r>
    </w:p>
    <w:p w14:paraId="721FFC9D" w14:textId="77777777" w:rsidR="006977C2" w:rsidRPr="002142B8"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18" w:name="_Toc25589910"/>
      <w:r w:rsidRPr="002142B8">
        <w:rPr>
          <w:rFonts w:ascii="Georgia" w:eastAsia="Times New Roman" w:hAnsi="Georgia" w:cs="Arial Unicode MS"/>
          <w:b/>
          <w:i/>
          <w:color w:val="821A1A"/>
          <w:sz w:val="32"/>
          <w:szCs w:val="26"/>
          <w:lang w:val="lt-LT"/>
        </w:rPr>
        <w:t>Europos rekonstrukcijos ir plėtros bankas</w:t>
      </w:r>
      <w:bookmarkEnd w:id="118"/>
    </w:p>
    <w:p w14:paraId="502B01C7" w14:textId="6EBE43EE"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ERPB siekia skatinti ekonomines reformas, kurios paspartina valstybių perėjimą prie atviros ir demokratiškos rinkos ekonomikos</w:t>
      </w:r>
      <w:r w:rsidRPr="002142B8">
        <w:rPr>
          <w:rFonts w:ascii="Georgia" w:eastAsia="Calibri" w:hAnsi="Georgia" w:cs="Arial"/>
          <w:sz w:val="20"/>
          <w:szCs w:val="20"/>
          <w:vertAlign w:val="superscript"/>
          <w:lang w:val="lt-LT"/>
        </w:rPr>
        <w:footnoteReference w:id="48"/>
      </w:r>
      <w:r w:rsidRPr="002142B8">
        <w:rPr>
          <w:rFonts w:ascii="Georgia" w:eastAsia="Calibri" w:hAnsi="Georgia" w:cs="Arial"/>
          <w:sz w:val="20"/>
          <w:szCs w:val="20"/>
          <w:lang w:val="lt-LT"/>
        </w:rPr>
        <w:t>.</w:t>
      </w:r>
    </w:p>
    <w:p w14:paraId="1CF01B1E"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Bankas finansuoja projektus žemės ūkio, energijos vartojimo efektyvumo, finansų įstaigų, gamybos, vietinės aplinkosaugos infrastruktūros, gamtos išteklių, energetikos, nuosavybės, turizmo, mažų ir vidutinių įmonių, telekomunikacijų, informacinių technologijų, žiniasklaidos ir transporto srityse</w:t>
      </w:r>
      <w:r w:rsidRPr="002142B8">
        <w:rPr>
          <w:rFonts w:ascii="Georgia" w:eastAsia="Calibri" w:hAnsi="Georgia" w:cs="Arial"/>
          <w:sz w:val="20"/>
          <w:szCs w:val="20"/>
          <w:vertAlign w:val="superscript"/>
          <w:lang w:val="lt-LT"/>
        </w:rPr>
        <w:footnoteReference w:id="49"/>
      </w:r>
      <w:r w:rsidRPr="002142B8">
        <w:rPr>
          <w:rFonts w:ascii="Georgia" w:eastAsia="Calibri" w:hAnsi="Georgia" w:cs="Arial"/>
          <w:sz w:val="20"/>
          <w:szCs w:val="20"/>
          <w:lang w:val="lt-LT"/>
        </w:rPr>
        <w:t>.</w:t>
      </w:r>
    </w:p>
    <w:p w14:paraId="424D0FFC" w14:textId="77777777"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Energetinio efektyvumo projektų finansavimas</w:t>
      </w:r>
    </w:p>
    <w:p w14:paraId="216B1855" w14:textId="1440F9CC" w:rsidR="006977C2" w:rsidRPr="002142B8"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2142B8">
        <w:rPr>
          <w:rFonts w:ascii="Georgia" w:eastAsia="FranklinGothicBookCondITC-Reg" w:hAnsi="Georgia" w:cs="Arial"/>
          <w:sz w:val="20"/>
          <w:szCs w:val="20"/>
          <w:lang w:val="lt-LT"/>
        </w:rPr>
        <w:t>2013 m. pabaigoje ERPB patvirtino naują energetikos sektoriaus strategiją</w:t>
      </w:r>
      <w:r w:rsidRPr="002142B8">
        <w:rPr>
          <w:rFonts w:ascii="Georgia" w:eastAsia="FranklinGothicBookCondITC-Reg" w:hAnsi="Georgia" w:cs="Arial"/>
          <w:sz w:val="20"/>
          <w:szCs w:val="20"/>
          <w:vertAlign w:val="superscript"/>
          <w:lang w:val="lt-LT"/>
        </w:rPr>
        <w:footnoteReference w:id="50"/>
      </w:r>
      <w:r w:rsidRPr="002142B8">
        <w:rPr>
          <w:rFonts w:ascii="Georgia" w:eastAsia="FranklinGothicBookCondITC-Reg" w:hAnsi="Georgia" w:cs="Arial"/>
          <w:sz w:val="20"/>
          <w:szCs w:val="20"/>
          <w:lang w:val="lt-LT"/>
        </w:rPr>
        <w:t xml:space="preserve">. Šiame dokumente ERPB įtvirtina savo įsipareigojimus padėti šalims naudos gavėjoms kurti tvarios energetikos ateitį. Svarbiausias strategijos prioritetas yra energijos vartojimo efektyvumas, pripažįstant, jog tai yra </w:t>
      </w:r>
      <w:r w:rsidRPr="002142B8">
        <w:rPr>
          <w:rFonts w:ascii="Georgia" w:eastAsia="FranklinGothicBookCondITC-Reg" w:hAnsi="Georgia" w:cs="Arial"/>
          <w:sz w:val="20"/>
          <w:szCs w:val="20"/>
          <w:lang w:val="lt-LT"/>
        </w:rPr>
        <w:lastRenderedPageBreak/>
        <w:t>tinkamiausias kelias siekiant tvarios, saugios ir prieinamos energijos. Strategija pabrėžia energetikos sektoriaus ekonominę svarbą, viešojo ir privataus sektorių sąveiką bei poveikį aplinkai ir energetikos sektorių įvardina kaip vieną iš pagrindinių priemonių, siekiant ERPB tikslų. Strategijoje taip pat akcentuojama parama atsinaujinantiems energijos ištekliams, kuri apima tiek energijos generavimo pajėgumų, tiek pagrindinės infrastruktūros, tokios kaip perdavimo linijų ir t. t., finansavimą.</w:t>
      </w:r>
    </w:p>
    <w:p w14:paraId="249129EE" w14:textId="100DEED6"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Nuo 2015 m. ERPB energetinio efektyvumo ir atsinaujinančios energijos projektus remia per perėjimo prie žaliosios ekonomikos (angl. Green Economy transition (GET)) iniciatyvą. Bankas investuoja į savivaldybių ir įmonių projektus, kuriais siekiama sumažinti energijos vartojimo kiekius gamybos procesuose, pastatų statybos ir transporto srityje</w:t>
      </w:r>
      <w:r w:rsidRPr="002142B8">
        <w:rPr>
          <w:rFonts w:ascii="Georgia" w:eastAsia="Calibri" w:hAnsi="Georgia" w:cs="Arial"/>
          <w:sz w:val="20"/>
          <w:szCs w:val="20"/>
          <w:vertAlign w:val="superscript"/>
          <w:lang w:val="lt-LT"/>
        </w:rPr>
        <w:footnoteReference w:id="51"/>
      </w:r>
      <w:r w:rsidRPr="002142B8">
        <w:rPr>
          <w:rFonts w:ascii="Georgia" w:eastAsia="Calibri" w:hAnsi="Georgia" w:cs="Arial"/>
          <w:sz w:val="20"/>
          <w:szCs w:val="20"/>
          <w:lang w:val="lt-LT"/>
        </w:rPr>
        <w:t>. Per 2016-2020 m. investicijos sieks iki 18 mlrd. eurų</w:t>
      </w:r>
      <w:r w:rsidRPr="002142B8">
        <w:rPr>
          <w:rFonts w:ascii="Georgia" w:eastAsia="Calibri" w:hAnsi="Georgia" w:cs="Arial"/>
          <w:sz w:val="20"/>
          <w:szCs w:val="20"/>
          <w:vertAlign w:val="superscript"/>
          <w:lang w:val="lt-LT"/>
        </w:rPr>
        <w:footnoteReference w:id="52"/>
      </w:r>
      <w:r w:rsidRPr="002142B8">
        <w:rPr>
          <w:rFonts w:ascii="Georgia" w:eastAsia="Calibri" w:hAnsi="Georgia" w:cs="Arial"/>
          <w:sz w:val="20"/>
          <w:szCs w:val="20"/>
          <w:lang w:val="lt-LT"/>
        </w:rPr>
        <w:t xml:space="preserve">. Su šia iniciatyvai planuojama, kad tarp pusės ir dviejų trečiųjų visų projektų bus finansuojami privataus sektoriaus projektai </w:t>
      </w:r>
      <w:r w:rsidRPr="002142B8">
        <w:rPr>
          <w:rFonts w:ascii="Georgia" w:eastAsia="Calibri" w:hAnsi="Georgia" w:cs="Arial"/>
          <w:sz w:val="20"/>
          <w:szCs w:val="20"/>
          <w:vertAlign w:val="superscript"/>
          <w:lang w:val="lt-LT"/>
        </w:rPr>
        <w:footnoteReference w:id="53"/>
      </w:r>
      <w:r w:rsidRPr="002142B8">
        <w:rPr>
          <w:rFonts w:ascii="Georgia" w:eastAsia="Calibri" w:hAnsi="Georgia" w:cs="Arial"/>
          <w:sz w:val="20"/>
          <w:szCs w:val="20"/>
          <w:lang w:val="lt-LT"/>
        </w:rPr>
        <w:t>.</w:t>
      </w:r>
    </w:p>
    <w:p w14:paraId="70025A03" w14:textId="01902EA2" w:rsidR="006977C2" w:rsidRPr="002142B8" w:rsidRDefault="006977C2" w:rsidP="006977C2">
      <w:pPr>
        <w:jc w:val="both"/>
        <w:rPr>
          <w:rFonts w:ascii="Georgia" w:eastAsia="FranklinGothicBookCondITC-Reg" w:hAnsi="Georgia" w:cs="Arial"/>
          <w:sz w:val="20"/>
          <w:szCs w:val="20"/>
          <w:lang w:val="lt-LT"/>
        </w:rPr>
      </w:pPr>
      <w:r w:rsidRPr="002142B8">
        <w:rPr>
          <w:rFonts w:ascii="Georgia" w:eastAsia="FranklinGothicBookCondITC-Reg" w:hAnsi="Georgia" w:cs="Arial"/>
          <w:sz w:val="20"/>
          <w:szCs w:val="20"/>
          <w:lang w:val="lt-LT"/>
        </w:rPr>
        <w:t>Nuo 2006-2016 m. ERPB projektų finansavimui skyrė 24 mlrd. eurų. Didžiausia dalis lėšų buvo skiriama įmonių energiniam efektyvumui - 27%, švaresnės energijos produkcijai - 23% ir atsinaujinančiai energetikai – 18%</w:t>
      </w:r>
      <w:r w:rsidRPr="002142B8">
        <w:rPr>
          <w:rFonts w:ascii="Georgia" w:eastAsia="FranklinGothicBookCondITC-Reg" w:hAnsi="Georgia" w:cs="Arial"/>
          <w:sz w:val="20"/>
          <w:szCs w:val="20"/>
          <w:vertAlign w:val="superscript"/>
          <w:lang w:val="lt-LT"/>
        </w:rPr>
        <w:footnoteReference w:id="54"/>
      </w:r>
      <w:r w:rsidRPr="002142B8">
        <w:rPr>
          <w:rFonts w:ascii="Georgia" w:eastAsia="FranklinGothicBookCondITC-Reg" w:hAnsi="Georgia" w:cs="Arial"/>
          <w:sz w:val="20"/>
          <w:szCs w:val="20"/>
          <w:lang w:val="lt-LT"/>
        </w:rPr>
        <w:t>.</w:t>
      </w:r>
    </w:p>
    <w:p w14:paraId="40CDB1C9" w14:textId="598913CD"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Banko veikla Lietuvoje</w:t>
      </w:r>
    </w:p>
    <w:p w14:paraId="2E2A487C"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Strategijoje Lietuvai </w:t>
      </w:r>
      <w:r w:rsidRPr="002142B8">
        <w:rPr>
          <w:rFonts w:ascii="Georgia" w:eastAsia="Calibri" w:hAnsi="Georgia" w:cs="Arial"/>
          <w:sz w:val="20"/>
          <w:szCs w:val="20"/>
          <w:vertAlign w:val="superscript"/>
          <w:lang w:val="lt-LT"/>
        </w:rPr>
        <w:footnoteReference w:id="55"/>
      </w:r>
      <w:r w:rsidRPr="002142B8">
        <w:rPr>
          <w:rFonts w:ascii="Georgia" w:eastAsia="Calibri" w:hAnsi="Georgia" w:cs="Arial"/>
          <w:sz w:val="20"/>
          <w:szCs w:val="20"/>
          <w:lang w:val="lt-LT"/>
        </w:rPr>
        <w:t xml:space="preserve"> nurodoma, kad ERPB veikla šiuo metu apsiriboja ir ateityje apsiribos keturiais prioritetais, vienas iš jų yra investicijos į atsinaujinančios energijos išteklių ir efektyvaus energijos naudojimo projektus. ERPB nurodo, jog rems šiuos projektus ir skatins investicijas, skirtas užtikrinti efektyvesnį energijos naudojimą, ypač visuomeniniuose pastatuose, komunalinių paslaugų įmonėse bei pramonės įmonėse. ERPB taip pat ieškos būdų, kaip remti investicijas į gyvenamųjų namų sektorių.</w:t>
      </w:r>
    </w:p>
    <w:p w14:paraId="272B7612"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Informacija apie pagrindinius ERPB veiklos rodiklius Lietuvoje pateikiama žemiau esančioje lentelėje.</w:t>
      </w:r>
    </w:p>
    <w:p w14:paraId="495D4CC8" w14:textId="29AEF58B" w:rsidR="006977C2" w:rsidRPr="005A1A99" w:rsidRDefault="006977C2" w:rsidP="006977C2">
      <w:pPr>
        <w:keepNext/>
        <w:rPr>
          <w:rFonts w:ascii="Georgia" w:eastAsia="PMingLiU" w:hAnsi="Georgia" w:cs="Times New Roman"/>
          <w:bCs/>
          <w:i/>
          <w:color w:val="A32020"/>
          <w:sz w:val="20"/>
          <w:szCs w:val="18"/>
          <w:lang w:val="lt-LT"/>
        </w:rPr>
      </w:pPr>
      <w:bookmarkStart w:id="119" w:name="_Toc507939150"/>
      <w:r w:rsidRPr="005A1A99">
        <w:rPr>
          <w:rFonts w:ascii="Georgia" w:eastAsia="PMingLiU" w:hAnsi="Georgia" w:cs="Times New Roman"/>
          <w:bCs/>
          <w:i/>
          <w:color w:val="A32020"/>
          <w:sz w:val="20"/>
          <w:szCs w:val="18"/>
          <w:lang w:val="lt-LT"/>
        </w:rPr>
        <w:t xml:space="preserve">Lentelė </w:t>
      </w:r>
      <w:r w:rsidRPr="005A1A99">
        <w:rPr>
          <w:rFonts w:ascii="Georgia" w:eastAsia="PMingLiU" w:hAnsi="Georgia" w:cs="Times New Roman"/>
          <w:bCs/>
          <w:i/>
          <w:color w:val="A32020"/>
          <w:sz w:val="20"/>
          <w:szCs w:val="18"/>
          <w:lang w:val="lt-LT"/>
        </w:rPr>
        <w:fldChar w:fldCharType="begin"/>
      </w:r>
      <w:r w:rsidRPr="005A1A99">
        <w:rPr>
          <w:rFonts w:ascii="Georgia" w:eastAsia="PMingLiU" w:hAnsi="Georgia" w:cs="Times New Roman"/>
          <w:bCs/>
          <w:i/>
          <w:color w:val="A32020"/>
          <w:sz w:val="20"/>
          <w:szCs w:val="18"/>
          <w:lang w:val="lt-LT"/>
        </w:rPr>
        <w:instrText xml:space="preserve"> SEQ Lentelė \* ARABIC </w:instrText>
      </w:r>
      <w:r w:rsidRPr="005A1A99">
        <w:rPr>
          <w:rFonts w:ascii="Georgia" w:eastAsia="PMingLiU" w:hAnsi="Georgia" w:cs="Times New Roman"/>
          <w:bCs/>
          <w:i/>
          <w:color w:val="A32020"/>
          <w:sz w:val="20"/>
          <w:szCs w:val="18"/>
          <w:lang w:val="lt-LT"/>
        </w:rPr>
        <w:fldChar w:fldCharType="separate"/>
      </w:r>
      <w:r w:rsidR="009652A6">
        <w:rPr>
          <w:rFonts w:ascii="Georgia" w:eastAsia="PMingLiU" w:hAnsi="Georgia" w:cs="Times New Roman"/>
          <w:bCs/>
          <w:i/>
          <w:noProof/>
          <w:color w:val="A32020"/>
          <w:sz w:val="20"/>
          <w:szCs w:val="18"/>
          <w:lang w:val="lt-LT"/>
        </w:rPr>
        <w:t>28</w:t>
      </w:r>
      <w:r w:rsidRPr="005A1A99">
        <w:rPr>
          <w:rFonts w:ascii="Georgia" w:eastAsia="PMingLiU" w:hAnsi="Georgia" w:cs="Times New Roman"/>
          <w:bCs/>
          <w:i/>
          <w:color w:val="A32020"/>
          <w:sz w:val="20"/>
          <w:szCs w:val="18"/>
          <w:lang w:val="lt-LT"/>
        </w:rPr>
        <w:fldChar w:fldCharType="end"/>
      </w:r>
      <w:r w:rsidRPr="005A1A99">
        <w:rPr>
          <w:rFonts w:ascii="Georgia" w:eastAsia="PMingLiU" w:hAnsi="Georgia" w:cs="Arial"/>
          <w:bCs/>
          <w:i/>
          <w:sz w:val="20"/>
          <w:szCs w:val="20"/>
          <w:lang w:val="lt-LT"/>
        </w:rPr>
        <w:t xml:space="preserve">. </w:t>
      </w:r>
      <w:r w:rsidRPr="005A1A99">
        <w:rPr>
          <w:rFonts w:ascii="Georgia" w:eastAsia="PMingLiU" w:hAnsi="Georgia" w:cs="Times New Roman"/>
          <w:bCs/>
          <w:i/>
          <w:color w:val="A32020"/>
          <w:sz w:val="20"/>
          <w:szCs w:val="18"/>
          <w:lang w:val="lt-LT"/>
        </w:rPr>
        <w:t>ERPB veiklos rodikliai Lietuvoje</w:t>
      </w:r>
      <w:bookmarkEnd w:id="119"/>
    </w:p>
    <w:tbl>
      <w:tblPr>
        <w:tblStyle w:val="LightList-Accent21"/>
        <w:tblW w:w="5000" w:type="pct"/>
        <w:tblLook w:val="04A0" w:firstRow="1" w:lastRow="0" w:firstColumn="1" w:lastColumn="0" w:noHBand="0" w:noVBand="1"/>
      </w:tblPr>
      <w:tblGrid>
        <w:gridCol w:w="4965"/>
        <w:gridCol w:w="4277"/>
      </w:tblGrid>
      <w:tr w:rsidR="006977C2" w:rsidRPr="002142B8" w14:paraId="634F5766"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576FFF" w14:textId="77777777" w:rsidR="006977C2" w:rsidRPr="002142B8" w:rsidRDefault="006977C2" w:rsidP="006977C2">
            <w:pPr>
              <w:jc w:val="center"/>
              <w:rPr>
                <w:rFonts w:ascii="Georgia" w:eastAsia="Calibri" w:hAnsi="Georgia" w:cs="Arial"/>
                <w:sz w:val="20"/>
                <w:szCs w:val="20"/>
              </w:rPr>
            </w:pPr>
            <w:r w:rsidRPr="002142B8">
              <w:rPr>
                <w:rFonts w:ascii="Georgia" w:eastAsia="Calibri" w:hAnsi="Georgia" w:cs="Arial"/>
                <w:sz w:val="20"/>
                <w:szCs w:val="20"/>
              </w:rPr>
              <w:t>Rodiklis</w:t>
            </w:r>
          </w:p>
        </w:tc>
        <w:tc>
          <w:tcPr>
            <w:tcW w:w="0" w:type="pct"/>
          </w:tcPr>
          <w:p w14:paraId="04704D3A" w14:textId="77777777" w:rsidR="006977C2" w:rsidRPr="002142B8" w:rsidRDefault="006977C2" w:rsidP="00F91954">
            <w:pPr>
              <w:jc w:val="right"/>
              <w:cnfStyle w:val="100000000000" w:firstRow="1"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2142B8">
              <w:rPr>
                <w:rFonts w:ascii="Georgia" w:eastAsia="Calibri" w:hAnsi="Georgia" w:cs="Arial"/>
                <w:sz w:val="20"/>
                <w:szCs w:val="20"/>
              </w:rPr>
              <w:t>Reikšmė</w:t>
            </w:r>
          </w:p>
        </w:tc>
      </w:tr>
      <w:tr w:rsidR="006977C2" w:rsidRPr="002142B8" w14:paraId="63C1BEC8"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5D8E022" w14:textId="77777777" w:rsidR="006977C2" w:rsidRPr="002142B8" w:rsidRDefault="006977C2" w:rsidP="006977C2">
            <w:pPr>
              <w:jc w:val="both"/>
              <w:rPr>
                <w:rFonts w:ascii="Georgia" w:eastAsia="Calibri" w:hAnsi="Georgia" w:cs="Arial"/>
                <w:bCs w:val="0"/>
                <w:sz w:val="20"/>
                <w:szCs w:val="20"/>
              </w:rPr>
            </w:pPr>
            <w:r w:rsidRPr="002142B8">
              <w:rPr>
                <w:rFonts w:ascii="Georgia" w:eastAsia="Calibri" w:hAnsi="Georgia" w:cs="Arial"/>
                <w:sz w:val="20"/>
                <w:szCs w:val="20"/>
              </w:rPr>
              <w:t>Projektų skaičius (iš viso)</w:t>
            </w:r>
          </w:p>
        </w:tc>
        <w:tc>
          <w:tcPr>
            <w:tcW w:w="0" w:type="pct"/>
            <w:hideMark/>
          </w:tcPr>
          <w:p w14:paraId="1C1B70C4" w14:textId="77777777" w:rsidR="006977C2" w:rsidRPr="002142B8" w:rsidRDefault="006977C2" w:rsidP="00F91954">
            <w:pPr>
              <w:jc w:val="right"/>
              <w:cnfStyle w:val="000000100000" w:firstRow="0" w:lastRow="0" w:firstColumn="0" w:lastColumn="0" w:oddVBand="0" w:evenVBand="0" w:oddHBand="1" w:evenHBand="0" w:firstRowFirstColumn="0" w:firstRowLastColumn="0" w:lastRowFirstColumn="0" w:lastRowLastColumn="0"/>
              <w:rPr>
                <w:rFonts w:ascii="Georgia" w:eastAsia="Calibri" w:hAnsi="Georgia" w:cs="Arial"/>
                <w:b/>
                <w:bCs/>
                <w:sz w:val="20"/>
                <w:szCs w:val="20"/>
              </w:rPr>
            </w:pPr>
            <w:r w:rsidRPr="002142B8">
              <w:rPr>
                <w:rFonts w:ascii="Georgia" w:eastAsia="Calibri" w:hAnsi="Georgia" w:cs="Arial"/>
                <w:sz w:val="20"/>
                <w:szCs w:val="20"/>
              </w:rPr>
              <w:t>81</w:t>
            </w:r>
          </w:p>
        </w:tc>
      </w:tr>
      <w:tr w:rsidR="006977C2" w:rsidRPr="002142B8" w14:paraId="1AF7AE75"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1AC0E59C" w14:textId="77777777" w:rsidR="006977C2" w:rsidRPr="002142B8" w:rsidRDefault="006977C2" w:rsidP="006977C2">
            <w:pPr>
              <w:jc w:val="both"/>
              <w:rPr>
                <w:rFonts w:ascii="Georgia" w:eastAsia="Calibri" w:hAnsi="Georgia" w:cs="Arial"/>
                <w:bCs w:val="0"/>
                <w:sz w:val="20"/>
                <w:szCs w:val="20"/>
              </w:rPr>
            </w:pPr>
            <w:r w:rsidRPr="002142B8">
              <w:rPr>
                <w:rFonts w:ascii="Georgia" w:eastAsia="Calibri" w:hAnsi="Georgia" w:cs="Arial"/>
                <w:sz w:val="20"/>
                <w:szCs w:val="20"/>
              </w:rPr>
              <w:t>Įsipareigojimai (iš viso)</w:t>
            </w:r>
            <w:r w:rsidRPr="002142B8">
              <w:rPr>
                <w:rFonts w:ascii="Georgia" w:eastAsia="Calibri" w:hAnsi="Georgia" w:cs="Arial"/>
                <w:sz w:val="20"/>
                <w:szCs w:val="20"/>
                <w:vertAlign w:val="superscript"/>
              </w:rPr>
              <w:footnoteReference w:id="56"/>
            </w:r>
          </w:p>
        </w:tc>
        <w:tc>
          <w:tcPr>
            <w:tcW w:w="0" w:type="pct"/>
            <w:hideMark/>
          </w:tcPr>
          <w:p w14:paraId="75355B2C" w14:textId="33069C64" w:rsidR="006977C2" w:rsidRPr="002142B8" w:rsidRDefault="006977C2" w:rsidP="00F91954">
            <w:pPr>
              <w:jc w:val="right"/>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2142B8">
              <w:rPr>
                <w:rFonts w:ascii="Georgia" w:eastAsia="Calibri" w:hAnsi="Georgia" w:cs="Arial"/>
                <w:sz w:val="20"/>
                <w:szCs w:val="20"/>
              </w:rPr>
              <w:t xml:space="preserve">701 mln. </w:t>
            </w:r>
            <w:r w:rsidR="00BB79B7">
              <w:rPr>
                <w:rFonts w:ascii="Georgia" w:eastAsia="Calibri" w:hAnsi="Georgia" w:cs="Arial"/>
                <w:sz w:val="20"/>
                <w:szCs w:val="20"/>
              </w:rPr>
              <w:t>eurų</w:t>
            </w:r>
          </w:p>
        </w:tc>
      </w:tr>
      <w:tr w:rsidR="006977C2" w:rsidRPr="002142B8" w14:paraId="241B6335"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AEC8191" w14:textId="77777777" w:rsidR="006977C2" w:rsidRPr="002142B8" w:rsidRDefault="006977C2" w:rsidP="006977C2">
            <w:pPr>
              <w:jc w:val="both"/>
              <w:rPr>
                <w:rFonts w:ascii="Georgia" w:eastAsia="Calibri" w:hAnsi="Georgia" w:cs="Arial"/>
                <w:bCs w:val="0"/>
                <w:sz w:val="20"/>
                <w:szCs w:val="20"/>
              </w:rPr>
            </w:pPr>
            <w:r w:rsidRPr="002142B8">
              <w:rPr>
                <w:rFonts w:ascii="Georgia" w:eastAsia="Calibri" w:hAnsi="Georgia" w:cs="Arial"/>
                <w:sz w:val="20"/>
                <w:szCs w:val="20"/>
              </w:rPr>
              <w:t>Išmokėta lėšų (iš viso)</w:t>
            </w:r>
          </w:p>
        </w:tc>
        <w:tc>
          <w:tcPr>
            <w:tcW w:w="0" w:type="pct"/>
            <w:hideMark/>
          </w:tcPr>
          <w:p w14:paraId="4E3360F5" w14:textId="1FAA8398" w:rsidR="006977C2" w:rsidRPr="002142B8" w:rsidRDefault="006977C2" w:rsidP="00F91954">
            <w:pPr>
              <w:jc w:val="right"/>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rPr>
            </w:pPr>
            <w:r w:rsidRPr="002142B8">
              <w:rPr>
                <w:rFonts w:ascii="Georgia" w:eastAsia="Calibri" w:hAnsi="Georgia" w:cs="Arial"/>
                <w:sz w:val="20"/>
                <w:szCs w:val="20"/>
              </w:rPr>
              <w:t xml:space="preserve">648 mln. </w:t>
            </w:r>
            <w:r w:rsidR="00BB79B7">
              <w:rPr>
                <w:rFonts w:ascii="Georgia" w:eastAsia="Calibri" w:hAnsi="Georgia" w:cs="Arial"/>
                <w:sz w:val="20"/>
                <w:szCs w:val="20"/>
              </w:rPr>
              <w:t>eurų</w:t>
            </w:r>
          </w:p>
        </w:tc>
      </w:tr>
      <w:tr w:rsidR="006977C2" w:rsidRPr="002142B8" w14:paraId="44A62AEA"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49B9B7AD" w14:textId="77777777" w:rsidR="006977C2" w:rsidRPr="002142B8" w:rsidRDefault="006977C2" w:rsidP="006977C2">
            <w:pPr>
              <w:jc w:val="both"/>
              <w:rPr>
                <w:rFonts w:ascii="Georgia" w:eastAsia="Calibri" w:hAnsi="Georgia" w:cs="Arial"/>
                <w:bCs w:val="0"/>
                <w:sz w:val="20"/>
                <w:szCs w:val="20"/>
              </w:rPr>
            </w:pPr>
            <w:r w:rsidRPr="002142B8">
              <w:rPr>
                <w:rFonts w:ascii="Georgia" w:eastAsia="Calibri" w:hAnsi="Georgia" w:cs="Arial"/>
                <w:sz w:val="20"/>
                <w:szCs w:val="20"/>
              </w:rPr>
              <w:t>Portfelio dalis privačiame sektoriuje</w:t>
            </w:r>
          </w:p>
        </w:tc>
        <w:tc>
          <w:tcPr>
            <w:tcW w:w="0" w:type="pct"/>
            <w:hideMark/>
          </w:tcPr>
          <w:p w14:paraId="74C8565D" w14:textId="77777777" w:rsidR="006977C2" w:rsidRPr="002142B8" w:rsidRDefault="006977C2" w:rsidP="00F91954">
            <w:pPr>
              <w:jc w:val="right"/>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rPr>
            </w:pPr>
            <w:r w:rsidRPr="002142B8">
              <w:rPr>
                <w:rFonts w:ascii="Georgia" w:eastAsia="Calibri" w:hAnsi="Georgia" w:cs="Arial"/>
                <w:sz w:val="20"/>
                <w:szCs w:val="20"/>
              </w:rPr>
              <w:t>62 proc.</w:t>
            </w:r>
          </w:p>
        </w:tc>
      </w:tr>
    </w:tbl>
    <w:p w14:paraId="35C93A09" w14:textId="77777777" w:rsidR="006977C2" w:rsidRPr="002142B8" w:rsidRDefault="006977C2" w:rsidP="006977C2">
      <w:pPr>
        <w:keepNext/>
        <w:rPr>
          <w:rFonts w:ascii="Georgia" w:eastAsia="PMingLiU" w:hAnsi="Georgia" w:cs="Times New Roman"/>
          <w:bCs/>
          <w:i/>
          <w:sz w:val="20"/>
          <w:szCs w:val="18"/>
          <w:lang w:val="lt-LT"/>
        </w:rPr>
      </w:pPr>
      <w:r w:rsidRPr="002142B8">
        <w:rPr>
          <w:rFonts w:ascii="Georgia" w:eastAsia="PMingLiU" w:hAnsi="Georgia" w:cs="Times New Roman"/>
          <w:bCs/>
          <w:i/>
          <w:sz w:val="20"/>
          <w:szCs w:val="18"/>
          <w:lang w:val="lt-LT"/>
        </w:rPr>
        <w:t xml:space="preserve">Šaltinis: ERPB projektai Lietuvoje (2017 m. birželio 30 d. duomenys) </w:t>
      </w:r>
      <w:r w:rsidRPr="002142B8">
        <w:rPr>
          <w:rFonts w:ascii="Georgia" w:eastAsia="PMingLiU" w:hAnsi="Georgia" w:cs="Times New Roman"/>
          <w:bCs/>
          <w:i/>
          <w:sz w:val="20"/>
          <w:szCs w:val="18"/>
          <w:vertAlign w:val="superscript"/>
          <w:lang w:val="lt-LT"/>
        </w:rPr>
        <w:footnoteReference w:id="57"/>
      </w:r>
    </w:p>
    <w:p w14:paraId="03C43BBF" w14:textId="745DE636" w:rsidR="006977C2" w:rsidRPr="002142B8" w:rsidRDefault="006977C2" w:rsidP="006977C2">
      <w:pPr>
        <w:spacing w:after="120" w:line="240" w:lineRule="auto"/>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Informacija apie ERPB portfelio raidą Lietuvoje 2008-2016 m. pateikiama žemiau esančiame paveiksle. 2017 m. birželio 30 d. duomenimis ERPB portfelio apimtis buvo 131 mln. </w:t>
      </w:r>
      <w:r w:rsidR="0018041C" w:rsidRPr="002142B8">
        <w:rPr>
          <w:rFonts w:ascii="Georgia" w:eastAsia="Calibri" w:hAnsi="Georgia" w:cs="Arial"/>
          <w:sz w:val="20"/>
          <w:szCs w:val="20"/>
          <w:lang w:val="lt-LT"/>
        </w:rPr>
        <w:t>e</w:t>
      </w:r>
      <w:r w:rsidRPr="002142B8">
        <w:rPr>
          <w:rFonts w:ascii="Georgia" w:eastAsia="Calibri" w:hAnsi="Georgia" w:cs="Arial"/>
          <w:sz w:val="20"/>
          <w:szCs w:val="20"/>
          <w:lang w:val="lt-LT"/>
        </w:rPr>
        <w:t>urų</w:t>
      </w:r>
      <w:r w:rsidRPr="002142B8">
        <w:rPr>
          <w:rFonts w:ascii="Georgia" w:eastAsia="Calibri" w:hAnsi="Georgia" w:cs="Arial"/>
          <w:sz w:val="20"/>
          <w:szCs w:val="20"/>
          <w:vertAlign w:val="superscript"/>
          <w:lang w:val="lt-LT"/>
        </w:rPr>
        <w:footnoteReference w:id="58"/>
      </w:r>
      <w:r w:rsidRPr="002142B8">
        <w:rPr>
          <w:rFonts w:ascii="Georgia" w:eastAsia="Calibri" w:hAnsi="Georgia" w:cs="Arial"/>
          <w:sz w:val="20"/>
          <w:szCs w:val="20"/>
          <w:lang w:val="lt-LT"/>
        </w:rPr>
        <w:t>.</w:t>
      </w:r>
    </w:p>
    <w:p w14:paraId="1A34C503" w14:textId="77777777" w:rsidR="006977C2" w:rsidRPr="002142B8" w:rsidRDefault="006977C2" w:rsidP="006977C2">
      <w:pPr>
        <w:spacing w:after="120" w:line="240" w:lineRule="auto"/>
        <w:jc w:val="both"/>
        <w:rPr>
          <w:rFonts w:ascii="Georgia" w:eastAsia="Calibri" w:hAnsi="Georgia" w:cs="Arial"/>
          <w:sz w:val="20"/>
          <w:szCs w:val="20"/>
          <w:lang w:val="lt-LT"/>
        </w:rPr>
      </w:pPr>
      <w:r w:rsidRPr="002142B8">
        <w:rPr>
          <w:rFonts w:ascii="Georgia" w:eastAsia="Calibri" w:hAnsi="Georgia" w:cs="Arial"/>
          <w:sz w:val="20"/>
          <w:szCs w:val="20"/>
          <w:lang w:val="lt-LT"/>
        </w:rPr>
        <w:t>ERPB Lietuvoje finansuojamų projektų pasiskirstymas pagal sektorius pateikiamas žemiau esančiame paveiksle.</w:t>
      </w:r>
    </w:p>
    <w:p w14:paraId="7576C786" w14:textId="77777777" w:rsidR="006977C2" w:rsidRPr="002142B8" w:rsidRDefault="006977C2" w:rsidP="006977C2">
      <w:pPr>
        <w:spacing w:after="120" w:line="240" w:lineRule="auto"/>
        <w:jc w:val="both"/>
        <w:rPr>
          <w:rFonts w:ascii="Georgia" w:eastAsia="Calibri" w:hAnsi="Georgia" w:cs="Arial"/>
          <w:sz w:val="20"/>
          <w:szCs w:val="20"/>
          <w:lang w:val="lt-LT"/>
        </w:rPr>
      </w:pPr>
    </w:p>
    <w:p w14:paraId="7C1BABF3" w14:textId="77777777" w:rsidR="006977C2" w:rsidRPr="002142B8" w:rsidRDefault="006977C2" w:rsidP="006977C2">
      <w:pPr>
        <w:rPr>
          <w:rFonts w:ascii="Calibri" w:eastAsia="Calibri" w:hAnsi="Calibri" w:cs="DokChampa"/>
          <w:lang w:val="lt-LT"/>
        </w:rPr>
      </w:pPr>
      <w:r w:rsidRPr="002142B8">
        <w:rPr>
          <w:rFonts w:ascii="Calibri" w:eastAsia="Calibri" w:hAnsi="Calibri" w:cs="DokChampa"/>
          <w:noProof/>
          <w:lang w:val="lt-LT" w:eastAsia="lt-LT"/>
        </w:rPr>
        <w:lastRenderedPageBreak/>
        <w:drawing>
          <wp:inline distT="0" distB="0" distL="0" distR="0" wp14:anchorId="44AD521B" wp14:editId="5602EF34">
            <wp:extent cx="3019425" cy="16859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142B8">
        <w:rPr>
          <w:rFonts w:ascii="Calibri" w:eastAsia="Calibri" w:hAnsi="Calibri" w:cs="DokChampa"/>
          <w:lang w:val="lt-LT"/>
        </w:rPr>
        <w:t xml:space="preserve"> </w:t>
      </w:r>
      <w:r w:rsidRPr="002142B8">
        <w:rPr>
          <w:rFonts w:ascii="Calibri" w:eastAsia="Calibri" w:hAnsi="Calibri" w:cs="DokChampa"/>
          <w:noProof/>
          <w:lang w:val="lt-LT" w:eastAsia="lt-LT"/>
        </w:rPr>
        <w:drawing>
          <wp:inline distT="0" distB="0" distL="0" distR="0" wp14:anchorId="0028B907" wp14:editId="499F9088">
            <wp:extent cx="2295524" cy="1952619"/>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DA42CF" w14:textId="7A478205" w:rsidR="005A1A99" w:rsidRDefault="006977C2" w:rsidP="006F5A41">
      <w:pPr>
        <w:keepNext/>
        <w:rPr>
          <w:rFonts w:ascii="Georgia" w:eastAsia="PMingLiU" w:hAnsi="Georgia" w:cs="Times New Roman"/>
          <w:b/>
          <w:bCs/>
          <w:color w:val="A32020"/>
          <w:sz w:val="20"/>
          <w:szCs w:val="18"/>
          <w:lang w:val="lt-LT"/>
        </w:rPr>
      </w:pPr>
      <w:r w:rsidRPr="002142B8">
        <w:rPr>
          <w:rFonts w:ascii="Georgia" w:eastAsia="PMingLiU" w:hAnsi="Georgia" w:cs="Times New Roman"/>
          <w:bCs/>
          <w:i/>
          <w:sz w:val="20"/>
          <w:szCs w:val="18"/>
          <w:lang w:val="lt-LT"/>
        </w:rPr>
        <w:t>Šaltinis: 2012 m. lapkričio mėn. 13 ERPB valdybos patvirtinta strategija Lietuvai ir ERPB projektų Lietuvoje ataskaita</w:t>
      </w:r>
      <w:r w:rsidRPr="002142B8">
        <w:rPr>
          <w:rFonts w:ascii="Georgia" w:eastAsia="PMingLiU" w:hAnsi="Georgia" w:cs="Times New Roman"/>
          <w:bCs/>
          <w:sz w:val="20"/>
          <w:szCs w:val="18"/>
          <w:vertAlign w:val="superscript"/>
          <w:lang w:val="lt-LT"/>
        </w:rPr>
        <w:t xml:space="preserve">  </w:t>
      </w:r>
      <w:r w:rsidRPr="002142B8">
        <w:rPr>
          <w:rFonts w:ascii="Georgia" w:eastAsia="PMingLiU" w:hAnsi="Georgia" w:cs="Times New Roman"/>
          <w:bCs/>
          <w:sz w:val="20"/>
          <w:szCs w:val="18"/>
          <w:vertAlign w:val="superscript"/>
          <w:lang w:val="lt-LT"/>
        </w:rPr>
        <w:footnoteReference w:id="59"/>
      </w:r>
    </w:p>
    <w:p w14:paraId="4E04957C" w14:textId="06D3F2EB" w:rsidR="006F5A41" w:rsidRPr="002142B8" w:rsidRDefault="006F5A41" w:rsidP="006F5A41">
      <w:pPr>
        <w:pStyle w:val="Antrat"/>
        <w:rPr>
          <w:lang w:val="lt-LT"/>
        </w:rPr>
      </w:pPr>
      <w:bookmarkStart w:id="120" w:name="_Toc507939267"/>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8</w:t>
      </w:r>
      <w:r w:rsidRPr="002142B8">
        <w:rPr>
          <w:lang w:val="lt-LT"/>
        </w:rPr>
        <w:fldChar w:fldCharType="end"/>
      </w:r>
      <w:r w:rsidRPr="002142B8">
        <w:rPr>
          <w:lang w:val="lt-LT"/>
        </w:rPr>
        <w:t xml:space="preserve">. </w:t>
      </w:r>
      <w:r w:rsidRPr="006F5A41">
        <w:rPr>
          <w:lang w:val="lt-LT"/>
        </w:rPr>
        <w:t>ERPB portfelio raida Lietuvoje 2009-2016 metais ir finansuojamų projektų pasiskirstymas pagal sektorius 2017 m. birželio 30 d.</w:t>
      </w:r>
      <w:bookmarkEnd w:id="120"/>
    </w:p>
    <w:p w14:paraId="5D441ED4"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195F81DC" w14:textId="76C94DA5"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2016 m. geguž</w:t>
      </w:r>
      <w:r w:rsidR="0018041C" w:rsidRPr="002142B8">
        <w:rPr>
          <w:rFonts w:ascii="Georgia" w:eastAsia="Calibri" w:hAnsi="Georgia" w:cs="Arial"/>
          <w:sz w:val="20"/>
          <w:szCs w:val="20"/>
          <w:lang w:val="lt-LT"/>
        </w:rPr>
        <w:t>ės mėn.</w:t>
      </w:r>
      <w:r w:rsidR="0018041C" w:rsidRPr="002142B8" w:rsidDel="0018041C">
        <w:rPr>
          <w:rFonts w:ascii="Georgia" w:eastAsia="Calibri" w:hAnsi="Georgia" w:cs="Arial"/>
          <w:sz w:val="20"/>
          <w:szCs w:val="20"/>
          <w:lang w:val="lt-LT"/>
        </w:rPr>
        <w:t xml:space="preserve"> </w:t>
      </w:r>
      <w:r w:rsidRPr="002142B8">
        <w:rPr>
          <w:rFonts w:ascii="Georgia" w:eastAsia="Calibri" w:hAnsi="Georgia" w:cs="Arial"/>
          <w:sz w:val="20"/>
          <w:szCs w:val="20"/>
          <w:lang w:val="lt-LT"/>
        </w:rPr>
        <w:t>VIPA pasirašė sutartį su ERPB dėl 50 mln. eurų paskolos daugiabučių namų renovacijai Lietuvoj</w:t>
      </w:r>
      <w:r w:rsidR="00AB35B9" w:rsidRPr="002142B8">
        <w:rPr>
          <w:rFonts w:ascii="Georgia" w:eastAsia="Calibri" w:hAnsi="Georgia" w:cs="Arial"/>
          <w:sz w:val="20"/>
          <w:szCs w:val="20"/>
          <w:lang w:val="lt-LT"/>
        </w:rPr>
        <w:t>e</w:t>
      </w:r>
      <w:r w:rsidRPr="002142B8">
        <w:rPr>
          <w:rFonts w:ascii="Georgia" w:eastAsia="Calibri" w:hAnsi="Georgia" w:cs="Arial"/>
          <w:sz w:val="20"/>
          <w:szCs w:val="20"/>
          <w:vertAlign w:val="superscript"/>
          <w:lang w:val="lt-LT"/>
        </w:rPr>
        <w:footnoteReference w:id="60"/>
      </w:r>
      <w:r w:rsidRPr="002142B8">
        <w:rPr>
          <w:rFonts w:ascii="Georgia" w:eastAsia="Calibri" w:hAnsi="Georgia" w:cs="Arial"/>
          <w:sz w:val="20"/>
          <w:szCs w:val="20"/>
          <w:lang w:val="lt-LT"/>
        </w:rPr>
        <w:t>.</w:t>
      </w:r>
    </w:p>
    <w:p w14:paraId="00059C68" w14:textId="722CBEBD"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2017 m. liep</w:t>
      </w:r>
      <w:r w:rsidR="0018041C" w:rsidRPr="002142B8">
        <w:rPr>
          <w:rFonts w:ascii="Georgia" w:eastAsia="Calibri" w:hAnsi="Georgia" w:cs="Arial"/>
          <w:sz w:val="20"/>
          <w:szCs w:val="20"/>
          <w:lang w:val="lt-LT"/>
        </w:rPr>
        <w:t xml:space="preserve">os </w:t>
      </w:r>
      <w:r w:rsidR="00D9139B" w:rsidRPr="002142B8">
        <w:rPr>
          <w:rFonts w:ascii="Georgia" w:eastAsia="Calibri" w:hAnsi="Georgia" w:cs="Arial"/>
          <w:sz w:val="20"/>
          <w:szCs w:val="20"/>
          <w:lang w:val="lt-LT"/>
        </w:rPr>
        <w:t>mėn.</w:t>
      </w:r>
      <w:r w:rsidR="0018041C" w:rsidRPr="002142B8">
        <w:rPr>
          <w:rFonts w:ascii="Georgia" w:eastAsia="Calibri" w:hAnsi="Georgia" w:cs="Arial"/>
          <w:sz w:val="20"/>
          <w:szCs w:val="20"/>
          <w:lang w:val="lt-LT"/>
        </w:rPr>
        <w:t xml:space="preserve"> ERPB investavo</w:t>
      </w:r>
      <w:r w:rsidRPr="002142B8">
        <w:rPr>
          <w:rFonts w:ascii="Georgia" w:eastAsia="Calibri" w:hAnsi="Georgia" w:cs="Arial"/>
          <w:sz w:val="20"/>
          <w:szCs w:val="20"/>
          <w:lang w:val="lt-LT"/>
        </w:rPr>
        <w:t xml:space="preserve"> 30 mln. </w:t>
      </w:r>
      <w:r w:rsidR="00AB35B9" w:rsidRPr="002142B8">
        <w:rPr>
          <w:rFonts w:ascii="Georgia" w:eastAsia="Calibri" w:hAnsi="Georgia" w:cs="Arial"/>
          <w:sz w:val="20"/>
          <w:szCs w:val="20"/>
          <w:lang w:val="lt-LT"/>
        </w:rPr>
        <w:t>į UAB „Lietuvos energija“ 300 mln. eurų</w:t>
      </w:r>
      <w:r w:rsidRPr="002142B8">
        <w:rPr>
          <w:rFonts w:ascii="Georgia" w:eastAsia="Calibri" w:hAnsi="Georgia" w:cs="Arial"/>
          <w:sz w:val="20"/>
          <w:szCs w:val="20"/>
          <w:lang w:val="lt-LT"/>
        </w:rPr>
        <w:t xml:space="preserve"> žaliųjų obligacijų emisiją. Investicijų programa, kurią remia ERPB, yra ypatingai svarbi padedant UAB „Lietuvos energija“ modernizuoti savo skirstomuosius tinklus ir išplėsti energijos gamybos iš atsinaujinančių šaltinių pajėgumus, tuo siekiant sustiprinti energijos tiekimo Lietuvai tvarumą bei saugumą ir sumažinti jos priklausomybę nuo importuojamos energijos</w:t>
      </w:r>
      <w:r w:rsidRPr="002142B8">
        <w:rPr>
          <w:rFonts w:ascii="Georgia" w:eastAsia="Calibri" w:hAnsi="Georgia" w:cs="Arial"/>
          <w:sz w:val="20"/>
          <w:szCs w:val="20"/>
          <w:vertAlign w:val="superscript"/>
          <w:lang w:val="lt-LT"/>
        </w:rPr>
        <w:footnoteReference w:id="61"/>
      </w:r>
      <w:r w:rsidRPr="002142B8">
        <w:rPr>
          <w:rFonts w:ascii="Calibri" w:eastAsia="Calibri" w:hAnsi="Calibri" w:cs="DokChampa"/>
          <w:lang w:val="lt-LT"/>
        </w:rPr>
        <w:t>.</w:t>
      </w:r>
    </w:p>
    <w:p w14:paraId="724E0032" w14:textId="77777777" w:rsidR="006977C2" w:rsidRPr="002142B8" w:rsidRDefault="006977C2" w:rsidP="002D46ED">
      <w:pPr>
        <w:spacing w:after="12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Produktai</w:t>
      </w:r>
    </w:p>
    <w:p w14:paraId="356A63C5"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Pagrindiniai ERPB siūlomi produktai yra paskolos ir garantijos.</w:t>
      </w:r>
    </w:p>
    <w:p w14:paraId="4D8249AB" w14:textId="77777777" w:rsidR="006977C2" w:rsidRPr="002142B8" w:rsidRDefault="006977C2" w:rsidP="006977C2">
      <w:pPr>
        <w:keepNext/>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Paskolos</w:t>
      </w:r>
    </w:p>
    <w:p w14:paraId="1A50FB71" w14:textId="77777777" w:rsidR="006977C2" w:rsidRPr="002142B8" w:rsidRDefault="006977C2" w:rsidP="006977C2">
      <w:pPr>
        <w:keepNext/>
        <w:spacing w:after="120" w:line="240" w:lineRule="auto"/>
        <w:jc w:val="both"/>
        <w:rPr>
          <w:rFonts w:ascii="Georgia" w:eastAsia="Calibri" w:hAnsi="Georgia" w:cs="Arial"/>
          <w:sz w:val="20"/>
          <w:szCs w:val="20"/>
          <w:lang w:val="lt-LT"/>
        </w:rPr>
      </w:pPr>
      <w:r w:rsidRPr="002142B8">
        <w:rPr>
          <w:rFonts w:ascii="Georgia" w:eastAsia="Calibri" w:hAnsi="Georgia" w:cs="Arial"/>
          <w:sz w:val="20"/>
          <w:szCs w:val="20"/>
          <w:lang w:val="lt-LT"/>
        </w:rPr>
        <w:t>Paskolos sąlygos nustatomos vertinant konkretaus projekto finansinius srautus ir kliento gebėjimą grąžinti paskolą per sutartą laikotarpį. Kredito rizika gali būti pilnai prisiimta banko arba iš dalies sindikuota į rinką. Paskola gali būti užtikrinta skolininko turtu ir / arba gali būti konvertuojama į akcijas ar susieta su kapitalu.</w:t>
      </w:r>
    </w:p>
    <w:p w14:paraId="2FCADB1E" w14:textId="77777777" w:rsidR="006977C2" w:rsidRPr="002142B8" w:rsidRDefault="006977C2" w:rsidP="006977C2">
      <w:pPr>
        <w:spacing w:after="120" w:line="240" w:lineRule="auto"/>
        <w:jc w:val="both"/>
        <w:rPr>
          <w:rFonts w:ascii="Georgia" w:eastAsia="Calibri" w:hAnsi="Georgia" w:cs="Arial"/>
          <w:sz w:val="20"/>
          <w:szCs w:val="20"/>
          <w:lang w:val="lt-LT"/>
        </w:rPr>
      </w:pPr>
      <w:r w:rsidRPr="002142B8">
        <w:rPr>
          <w:rFonts w:ascii="Georgia" w:eastAsia="Calibri" w:hAnsi="Georgia" w:cs="Arial"/>
          <w:sz w:val="20"/>
          <w:szCs w:val="20"/>
          <w:lang w:val="lt-LT"/>
        </w:rPr>
        <w:t>Informacija apie ERPB paskoloms keliamus reikalavimus pateikiama žemiau esančioje lentelėje.</w:t>
      </w:r>
    </w:p>
    <w:p w14:paraId="3D1E0372" w14:textId="77777777" w:rsidR="00BB79B7" w:rsidRDefault="00BB79B7">
      <w:pPr>
        <w:rPr>
          <w:rFonts w:ascii="Georgia" w:eastAsia="PMingLiU" w:hAnsi="Georgia" w:cs="Times New Roman"/>
          <w:bCs/>
          <w:i/>
          <w:color w:val="A32020"/>
          <w:sz w:val="20"/>
          <w:szCs w:val="18"/>
          <w:lang w:val="lt-LT"/>
        </w:rPr>
      </w:pPr>
      <w:r>
        <w:rPr>
          <w:rFonts w:ascii="Georgia" w:eastAsia="PMingLiU" w:hAnsi="Georgia" w:cs="Times New Roman"/>
          <w:bCs/>
          <w:i/>
          <w:color w:val="A32020"/>
          <w:sz w:val="20"/>
          <w:szCs w:val="18"/>
          <w:lang w:val="lt-LT"/>
        </w:rPr>
        <w:br w:type="page"/>
      </w:r>
    </w:p>
    <w:p w14:paraId="1444E92A" w14:textId="7B78B8D5" w:rsidR="006977C2" w:rsidRPr="005A1A99" w:rsidRDefault="006977C2" w:rsidP="006977C2">
      <w:pPr>
        <w:keepNext/>
        <w:jc w:val="both"/>
        <w:rPr>
          <w:rFonts w:ascii="Georgia" w:eastAsia="PMingLiU" w:hAnsi="Georgia" w:cs="Arial"/>
          <w:bCs/>
          <w:i/>
          <w:color w:val="A32020"/>
          <w:sz w:val="20"/>
          <w:szCs w:val="20"/>
          <w:lang w:val="lt-LT"/>
        </w:rPr>
      </w:pPr>
      <w:bookmarkStart w:id="121" w:name="_Toc507939151"/>
      <w:r w:rsidRPr="005A1A99">
        <w:rPr>
          <w:rFonts w:ascii="Georgia" w:eastAsia="PMingLiU" w:hAnsi="Georgia" w:cs="Times New Roman"/>
          <w:bCs/>
          <w:i/>
          <w:color w:val="A32020"/>
          <w:sz w:val="20"/>
          <w:szCs w:val="18"/>
          <w:lang w:val="lt-LT"/>
        </w:rPr>
        <w:lastRenderedPageBreak/>
        <w:t xml:space="preserve">Lentelė </w:t>
      </w:r>
      <w:r w:rsidRPr="005A1A99">
        <w:rPr>
          <w:rFonts w:ascii="Georgia" w:eastAsia="PMingLiU" w:hAnsi="Georgia" w:cs="Times New Roman"/>
          <w:bCs/>
          <w:i/>
          <w:color w:val="A32020"/>
          <w:sz w:val="20"/>
          <w:szCs w:val="18"/>
          <w:lang w:val="lt-LT"/>
        </w:rPr>
        <w:fldChar w:fldCharType="begin"/>
      </w:r>
      <w:r w:rsidRPr="005A1A99">
        <w:rPr>
          <w:rFonts w:ascii="Georgia" w:eastAsia="PMingLiU" w:hAnsi="Georgia" w:cs="Times New Roman"/>
          <w:bCs/>
          <w:i/>
          <w:color w:val="A32020"/>
          <w:sz w:val="20"/>
          <w:szCs w:val="18"/>
          <w:lang w:val="lt-LT"/>
        </w:rPr>
        <w:instrText xml:space="preserve"> SEQ Lentelė \* ARABIC </w:instrText>
      </w:r>
      <w:r w:rsidRPr="005A1A99">
        <w:rPr>
          <w:rFonts w:ascii="Georgia" w:eastAsia="PMingLiU" w:hAnsi="Georgia" w:cs="Times New Roman"/>
          <w:bCs/>
          <w:i/>
          <w:color w:val="A32020"/>
          <w:sz w:val="20"/>
          <w:szCs w:val="18"/>
          <w:lang w:val="lt-LT"/>
        </w:rPr>
        <w:fldChar w:fldCharType="separate"/>
      </w:r>
      <w:r w:rsidR="009652A6">
        <w:rPr>
          <w:rFonts w:ascii="Georgia" w:eastAsia="PMingLiU" w:hAnsi="Georgia" w:cs="Times New Roman"/>
          <w:bCs/>
          <w:i/>
          <w:noProof/>
          <w:color w:val="A32020"/>
          <w:sz w:val="20"/>
          <w:szCs w:val="18"/>
          <w:lang w:val="lt-LT"/>
        </w:rPr>
        <w:t>29</w:t>
      </w:r>
      <w:r w:rsidRPr="005A1A99">
        <w:rPr>
          <w:rFonts w:ascii="Georgia" w:eastAsia="PMingLiU" w:hAnsi="Georgia" w:cs="Times New Roman"/>
          <w:bCs/>
          <w:i/>
          <w:color w:val="A32020"/>
          <w:sz w:val="20"/>
          <w:szCs w:val="18"/>
          <w:lang w:val="lt-LT"/>
        </w:rPr>
        <w:fldChar w:fldCharType="end"/>
      </w:r>
      <w:r w:rsidRPr="005A1A99">
        <w:rPr>
          <w:rFonts w:ascii="Georgia" w:eastAsia="PMingLiU" w:hAnsi="Georgia" w:cs="Times New Roman"/>
          <w:bCs/>
          <w:i/>
          <w:color w:val="A32020"/>
          <w:sz w:val="20"/>
          <w:szCs w:val="18"/>
          <w:lang w:val="lt-LT"/>
        </w:rPr>
        <w:t>. ERPB siūlomų produktų sąlygos.</w:t>
      </w:r>
      <w:bookmarkEnd w:id="121"/>
      <w:r w:rsidRPr="005A1A99">
        <w:rPr>
          <w:rFonts w:ascii="Georgia" w:eastAsia="PMingLiU" w:hAnsi="Georgia" w:cs="Times New Roman"/>
          <w:bCs/>
          <w:i/>
          <w:color w:val="A32020"/>
          <w:sz w:val="20"/>
          <w:szCs w:val="18"/>
          <w:lang w:val="lt-LT"/>
        </w:rPr>
        <w:t xml:space="preserve"> </w:t>
      </w:r>
    </w:p>
    <w:tbl>
      <w:tblPr>
        <w:tblStyle w:val="MediumGrid3-Accent21"/>
        <w:tblW w:w="5000" w:type="pct"/>
        <w:jc w:val="center"/>
        <w:tblLook w:val="04A0" w:firstRow="1" w:lastRow="0" w:firstColumn="1" w:lastColumn="0" w:noHBand="0" w:noVBand="1"/>
      </w:tblPr>
      <w:tblGrid>
        <w:gridCol w:w="4484"/>
        <w:gridCol w:w="4758"/>
      </w:tblGrid>
      <w:tr w:rsidR="002D46ED" w:rsidRPr="002142B8" w14:paraId="2DEEC76E" w14:textId="77777777" w:rsidTr="005B31C6">
        <w:trPr>
          <w:cnfStyle w:val="100000000000" w:firstRow="1" w:lastRow="0" w:firstColumn="0" w:lastColumn="0" w:oddVBand="0" w:evenVBand="0" w:oddHBand="0" w:evenHBand="0" w:firstRowFirstColumn="0" w:firstRowLastColumn="0" w:lastRowFirstColumn="0" w:lastRowLastColumn="0"/>
          <w:cantSplit/>
          <w:trHeight w:val="325"/>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0BFE1816" w14:textId="77777777" w:rsidR="002D46ED" w:rsidRPr="002142B8" w:rsidRDefault="002D46ED" w:rsidP="002D46ED">
            <w:pPr>
              <w:autoSpaceDE w:val="0"/>
              <w:autoSpaceDN w:val="0"/>
              <w:adjustRightInd w:val="0"/>
              <w:jc w:val="center"/>
              <w:rPr>
                <w:rFonts w:ascii="Georgia" w:eastAsia="Calibri" w:hAnsi="Georgia" w:cs="Arial"/>
                <w:bCs w:val="0"/>
                <w:sz w:val="20"/>
                <w:szCs w:val="20"/>
                <w:lang w:val="lt-LT"/>
              </w:rPr>
            </w:pPr>
            <w:r w:rsidRPr="002142B8">
              <w:rPr>
                <w:rFonts w:ascii="Georgia" w:eastAsia="Calibri" w:hAnsi="Georgia" w:cs="Arial"/>
                <w:sz w:val="20"/>
                <w:szCs w:val="20"/>
                <w:lang w:val="lt-LT"/>
              </w:rPr>
              <w:t>Paskolos sąlygos</w:t>
            </w:r>
          </w:p>
        </w:tc>
      </w:tr>
      <w:tr w:rsidR="002D46ED" w:rsidRPr="002142B8" w14:paraId="76D053DC"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C658CB8"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Dydis</w:t>
            </w:r>
          </w:p>
        </w:tc>
        <w:tc>
          <w:tcPr>
            <w:tcW w:w="0" w:type="pct"/>
            <w:shd w:val="clear" w:color="auto" w:fill="FFECC0"/>
            <w:hideMark/>
          </w:tcPr>
          <w:p w14:paraId="1ED44CCE" w14:textId="77777777" w:rsidR="002D46ED" w:rsidRPr="002142B8" w:rsidRDefault="002D46ED" w:rsidP="00162BF5">
            <w:pPr>
              <w:numPr>
                <w:ilvl w:val="0"/>
                <w:numId w:val="9"/>
              </w:numPr>
              <w:autoSpaceDE w:val="0"/>
              <w:autoSpaceDN w:val="0"/>
              <w:adjustRightInd w:val="0"/>
              <w:ind w:left="147"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minimalus paskolos dydis – 5 mln. EUR, tačiau kai kuriose valstybėse gali būti ir mažesnis;</w:t>
            </w:r>
          </w:p>
          <w:p w14:paraId="51934C22" w14:textId="77777777" w:rsidR="002D46ED" w:rsidRPr="002142B8"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mažesni projektai gali būti finansuojami per finansinius tarpininkus arba specialias programas, orientuotas į nedidelės apimties tiesiogines investicijas mažiau išsivysčiusiose valstybėse;</w:t>
            </w:r>
          </w:p>
          <w:p w14:paraId="1ADC9144" w14:textId="77777777" w:rsidR="002D46ED" w:rsidRPr="002142B8"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maksimalus paskolos dydis paprastai būna ne didesnis nei 230 mln. EUR;</w:t>
            </w:r>
          </w:p>
          <w:p w14:paraId="1ABD9A2C" w14:textId="77777777" w:rsidR="002D46ED" w:rsidRPr="002142B8" w:rsidRDefault="002D46ED" w:rsidP="00162BF5">
            <w:pPr>
              <w:numPr>
                <w:ilvl w:val="0"/>
                <w:numId w:val="9"/>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ERPB finansuoja iki 35 proc. visos projekto vertės.</w:t>
            </w:r>
          </w:p>
        </w:tc>
      </w:tr>
      <w:tr w:rsidR="002D46ED" w:rsidRPr="002142B8" w14:paraId="1837F87A"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12E22DF"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Palūkanų norma</w:t>
            </w:r>
          </w:p>
        </w:tc>
        <w:tc>
          <w:tcPr>
            <w:tcW w:w="0" w:type="pct"/>
            <w:tcBorders>
              <w:top w:val="single" w:sz="6" w:space="0" w:color="FFFFFF"/>
              <w:left w:val="single" w:sz="6" w:space="0" w:color="FFFFFF"/>
              <w:bottom w:val="single" w:sz="6" w:space="0" w:color="FFFFFF"/>
              <w:right w:val="single" w:sz="8" w:space="0" w:color="FFFFFF"/>
            </w:tcBorders>
            <w:hideMark/>
          </w:tcPr>
          <w:p w14:paraId="51FC99E8"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konkurencinga, įvertinus rinkos įkainius, pvz. EURIBOR;</w:t>
            </w:r>
          </w:p>
          <w:p w14:paraId="62A92B67"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ERPB nesiūlo lengvatinių paskolų, taip pat nekonkuruoja su privačiais bankais;</w:t>
            </w:r>
          </w:p>
          <w:p w14:paraId="0EF2EB42"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fiksuota arba kintanti palūkanų norma.</w:t>
            </w:r>
          </w:p>
        </w:tc>
      </w:tr>
      <w:tr w:rsidR="002D46ED" w:rsidRPr="002142B8" w14:paraId="72782156"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6442E52"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Tipas</w:t>
            </w:r>
          </w:p>
        </w:tc>
        <w:tc>
          <w:tcPr>
            <w:tcW w:w="0" w:type="pct"/>
            <w:shd w:val="clear" w:color="auto" w:fill="FFECC0"/>
            <w:hideMark/>
          </w:tcPr>
          <w:p w14:paraId="70B1DCFF"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privilegijuota, pasitikėtina (subordinuota), „</w:t>
            </w:r>
            <w:r w:rsidRPr="002142B8">
              <w:rPr>
                <w:rFonts w:ascii="Georgia" w:eastAsia="Calibri" w:hAnsi="Georgia" w:cs="Arial"/>
                <w:i/>
                <w:sz w:val="20"/>
                <w:szCs w:val="20"/>
                <w:lang w:val="lt-LT"/>
              </w:rPr>
              <w:t>mezzanine</w:t>
            </w:r>
            <w:r w:rsidRPr="002142B8">
              <w:rPr>
                <w:rFonts w:ascii="Georgia" w:eastAsia="Calibri" w:hAnsi="Georgia" w:cs="Arial"/>
                <w:sz w:val="20"/>
                <w:szCs w:val="20"/>
                <w:lang w:val="lt-LT"/>
              </w:rPr>
              <w:t>“ ar konvertuojamoji skola.</w:t>
            </w:r>
          </w:p>
        </w:tc>
      </w:tr>
      <w:tr w:rsidR="002D46ED" w:rsidRPr="002142B8" w14:paraId="6545E781"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05A3E671"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hideMark/>
          </w:tcPr>
          <w:p w14:paraId="7BCC3CD0"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pagrindinėmis užsienio arba kai kurių valstybių vietinėmis valiutomis.</w:t>
            </w:r>
          </w:p>
        </w:tc>
      </w:tr>
      <w:tr w:rsidR="002D46ED" w:rsidRPr="002142B8" w14:paraId="71850A35"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5CF2817"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Trukmė</w:t>
            </w:r>
          </w:p>
        </w:tc>
        <w:tc>
          <w:tcPr>
            <w:tcW w:w="0" w:type="pct"/>
            <w:shd w:val="clear" w:color="auto" w:fill="FFECC0"/>
            <w:hideMark/>
          </w:tcPr>
          <w:p w14:paraId="3741C73C"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1-15 metų, išimtinais atvejais iki 20 metų.</w:t>
            </w:r>
          </w:p>
        </w:tc>
      </w:tr>
      <w:tr w:rsidR="002D46ED" w:rsidRPr="002142B8" w14:paraId="0E011EAF"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7E5830D"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Atidėjimo laikotarpis</w:t>
            </w:r>
          </w:p>
        </w:tc>
        <w:tc>
          <w:tcPr>
            <w:tcW w:w="0" w:type="pct"/>
            <w:tcBorders>
              <w:top w:val="single" w:sz="6" w:space="0" w:color="FFFFFF"/>
              <w:left w:val="single" w:sz="6" w:space="0" w:color="FFFFFF"/>
              <w:bottom w:val="single" w:sz="6" w:space="0" w:color="FFFFFF"/>
              <w:right w:val="single" w:sz="8" w:space="0" w:color="FFFFFF"/>
            </w:tcBorders>
            <w:hideMark/>
          </w:tcPr>
          <w:p w14:paraId="5AE13D7F"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analizuojama konkretaus projekto atveju.</w:t>
            </w:r>
          </w:p>
        </w:tc>
      </w:tr>
      <w:tr w:rsidR="002D46ED" w:rsidRPr="002142B8" w14:paraId="769D8667" w14:textId="77777777" w:rsidTr="005B31C6">
        <w:trPr>
          <w:cnfStyle w:val="000000100000" w:firstRow="0" w:lastRow="0" w:firstColumn="0" w:lastColumn="0" w:oddVBand="0" w:evenVBand="0" w:oddHBand="1" w:evenHBand="0" w:firstRowFirstColumn="0" w:firstRowLastColumn="0" w:lastRowFirstColumn="0" w:lastRowLastColumn="0"/>
          <w:cantSplit/>
          <w:trHeight w:val="361"/>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5C02E87A" w14:textId="77777777" w:rsidR="002D46ED" w:rsidRPr="002142B8" w:rsidRDefault="002D46ED" w:rsidP="002D46ED">
            <w:pPr>
              <w:autoSpaceDE w:val="0"/>
              <w:autoSpaceDN w:val="0"/>
              <w:adjustRightInd w:val="0"/>
              <w:ind w:left="176" w:hanging="142"/>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Mokesčiai ir rinkliavos</w:t>
            </w:r>
          </w:p>
        </w:tc>
      </w:tr>
      <w:tr w:rsidR="002D46ED" w:rsidRPr="002142B8" w14:paraId="696052B6"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43A27D0"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Banko marža</w:t>
            </w:r>
          </w:p>
        </w:tc>
        <w:tc>
          <w:tcPr>
            <w:tcW w:w="0" w:type="pct"/>
            <w:tcBorders>
              <w:top w:val="single" w:sz="6" w:space="0" w:color="FFFFFF"/>
              <w:left w:val="single" w:sz="6" w:space="0" w:color="FFFFFF"/>
              <w:bottom w:val="single" w:sz="6" w:space="0" w:color="FFFFFF"/>
              <w:right w:val="single" w:sz="8" w:space="0" w:color="FFFFFF"/>
            </w:tcBorders>
            <w:hideMark/>
          </w:tcPr>
          <w:p w14:paraId="16161CEC"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nustatoma atsižvelgiant į konkrečios valstybės ir projekto rizikos laipsnį.</w:t>
            </w:r>
          </w:p>
        </w:tc>
      </w:tr>
      <w:tr w:rsidR="002D46ED" w:rsidRPr="002142B8" w14:paraId="5216C764"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F520D2D"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Papildomi mokesčiai</w:t>
            </w:r>
          </w:p>
        </w:tc>
        <w:tc>
          <w:tcPr>
            <w:tcW w:w="0" w:type="pct"/>
            <w:shd w:val="clear" w:color="auto" w:fill="FFECC0"/>
          </w:tcPr>
          <w:p w14:paraId="79D030E4"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vertinimo mokestis;</w:t>
            </w:r>
          </w:p>
          <w:p w14:paraId="42F087D9"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iš anksto mokamas struktūrizavimo mokestis (angl. </w:t>
            </w:r>
            <w:r w:rsidRPr="002142B8">
              <w:rPr>
                <w:rFonts w:ascii="Georgia" w:eastAsia="Calibri" w:hAnsi="Georgia" w:cs="Arial"/>
                <w:i/>
                <w:sz w:val="20"/>
                <w:szCs w:val="20"/>
                <w:lang w:val="lt-LT"/>
              </w:rPr>
              <w:t>front-end</w:t>
            </w:r>
            <w:r w:rsidRPr="002142B8">
              <w:rPr>
                <w:rFonts w:ascii="Georgia" w:eastAsia="Calibri" w:hAnsi="Georgia" w:cs="Arial"/>
                <w:sz w:val="20"/>
                <w:szCs w:val="20"/>
                <w:lang w:val="lt-LT"/>
              </w:rPr>
              <w:t xml:space="preserve"> mokestis)</w:t>
            </w:r>
          </w:p>
          <w:p w14:paraId="209874C3"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DokChampa"/>
                <w:lang w:val="lt-LT"/>
              </w:rPr>
            </w:pPr>
            <w:r w:rsidRPr="002142B8">
              <w:rPr>
                <w:rFonts w:ascii="Georgia" w:eastAsia="Calibri" w:hAnsi="Georgia" w:cs="Arial"/>
                <w:sz w:val="20"/>
                <w:szCs w:val="20"/>
                <w:lang w:val="lt-LT"/>
              </w:rPr>
              <w:t>sindikuotos paskolos mokestis, jei taikoma;</w:t>
            </w:r>
          </w:p>
          <w:p w14:paraId="13C42A05"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DokChampa"/>
                <w:lang w:val="lt-LT"/>
              </w:rPr>
            </w:pPr>
            <w:r w:rsidRPr="002142B8">
              <w:rPr>
                <w:rFonts w:ascii="Georgia" w:eastAsia="Calibri" w:hAnsi="Georgia" w:cs="Arial"/>
                <w:sz w:val="20"/>
                <w:szCs w:val="20"/>
                <w:lang w:val="lt-LT"/>
              </w:rPr>
              <w:t>įsipareigojimo mokestis, mokamas nuo įsipareigotos, bet nepanaudotos paskolos sumos;</w:t>
            </w:r>
          </w:p>
          <w:p w14:paraId="678CB8BD"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paskolos konvertavimo mokesčiai;</w:t>
            </w:r>
          </w:p>
          <w:p w14:paraId="1C9809F9"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avanso, atšaukimo ir vėlavimo mokesčiai, jei taikoma.</w:t>
            </w:r>
          </w:p>
          <w:p w14:paraId="0FC34ABC" w14:textId="77777777" w:rsidR="002D46ED" w:rsidRPr="002142B8" w:rsidRDefault="002D46ED" w:rsidP="002D46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p>
        </w:tc>
      </w:tr>
      <w:tr w:rsidR="002D46ED" w:rsidRPr="002142B8" w14:paraId="561CE522" w14:textId="77777777" w:rsidTr="005B31C6">
        <w:trPr>
          <w:cantSplit/>
          <w:trHeight w:val="314"/>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4EEC30E7" w14:textId="77777777" w:rsidR="002D46ED" w:rsidRPr="002142B8" w:rsidRDefault="002D46ED" w:rsidP="002D46ED">
            <w:pPr>
              <w:autoSpaceDE w:val="0"/>
              <w:autoSpaceDN w:val="0"/>
              <w:adjustRightInd w:val="0"/>
              <w:ind w:left="176" w:hanging="142"/>
              <w:jc w:val="cente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Kitos paskolos sąlygos</w:t>
            </w:r>
            <w:r w:rsidRPr="002142B8">
              <w:rPr>
                <w:rFonts w:ascii="Georgia" w:eastAsia="Calibri" w:hAnsi="Georgia" w:cs="Arial"/>
                <w:color w:val="auto"/>
                <w:sz w:val="20"/>
                <w:szCs w:val="20"/>
                <w:vertAlign w:val="superscript"/>
                <w:lang w:val="lt-LT"/>
              </w:rPr>
              <w:footnoteReference w:id="62"/>
            </w:r>
          </w:p>
        </w:tc>
      </w:tr>
      <w:tr w:rsidR="002D46ED" w:rsidRPr="002142B8" w14:paraId="43445B4B"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D8F33AD"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Atgręžtinis reikalavimas</w:t>
            </w:r>
          </w:p>
        </w:tc>
        <w:tc>
          <w:tcPr>
            <w:tcW w:w="0" w:type="pct"/>
            <w:shd w:val="clear" w:color="auto" w:fill="FFECC0"/>
            <w:hideMark/>
          </w:tcPr>
          <w:p w14:paraId="69BE4405"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atgręžtinis reikalavimas, nukreiptas į laiduotojus, nėra visada reikalaujamas. Tačiau ERPB gali reikalauti specifinių veiklos ir užbaigimo garantijų arba kelti kitus reikalavimus, kurie atitinka įprastą praktiką.</w:t>
            </w:r>
          </w:p>
        </w:tc>
      </w:tr>
      <w:tr w:rsidR="002D46ED" w:rsidRPr="002142B8" w14:paraId="3CE704C9"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06F202B"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Draudimas</w:t>
            </w:r>
          </w:p>
        </w:tc>
        <w:tc>
          <w:tcPr>
            <w:tcW w:w="0" w:type="pct"/>
            <w:tcBorders>
              <w:top w:val="single" w:sz="6" w:space="0" w:color="FFFFFF"/>
              <w:left w:val="single" w:sz="6" w:space="0" w:color="FFFFFF"/>
              <w:bottom w:val="single" w:sz="6" w:space="0" w:color="FFFFFF"/>
              <w:right w:val="single" w:sz="8" w:space="0" w:color="FFFFFF"/>
            </w:tcBorders>
            <w:hideMark/>
          </w:tcPr>
          <w:p w14:paraId="3231D5E2"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ERPB reikalauja iš projektų vykdytojų draudimo dėl įprastų rizikų, pvz., vagystės, gaisro, specifinių statybos rizikų ir pan.</w:t>
            </w:r>
          </w:p>
        </w:tc>
      </w:tr>
      <w:tr w:rsidR="002D46ED" w:rsidRPr="002142B8" w14:paraId="0030F4C9" w14:textId="77777777" w:rsidTr="005B31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5AF6A04"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lastRenderedPageBreak/>
              <w:t>Paskolos saugumas</w:t>
            </w:r>
          </w:p>
        </w:tc>
        <w:tc>
          <w:tcPr>
            <w:tcW w:w="0" w:type="pct"/>
            <w:shd w:val="clear" w:color="auto" w:fill="FFECC0"/>
            <w:hideMark/>
          </w:tcPr>
          <w:p w14:paraId="3582CA82" w14:textId="77777777" w:rsidR="002D46ED" w:rsidRPr="002142B8" w:rsidRDefault="002D46ED" w:rsidP="00162BF5">
            <w:pPr>
              <w:numPr>
                <w:ilvl w:val="0"/>
                <w:numId w:val="8"/>
              </w:numPr>
              <w:autoSpaceDE w:val="0"/>
              <w:autoSpaceDN w:val="0"/>
              <w:adjustRightInd w:val="0"/>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ERPB paprastai reikalauja, jog paskola būtų garantuota projekto turtu. Tai gali apimti:</w:t>
            </w:r>
          </w:p>
          <w:p w14:paraId="759FB9C3" w14:textId="77777777" w:rsidR="002D46ED" w:rsidRPr="002142B8"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nekilnojamojo turto įkeitimą, pvz. žemės, pastatų ir pan.;</w:t>
            </w:r>
          </w:p>
          <w:p w14:paraId="0BA65432" w14:textId="77777777" w:rsidR="002D46ED" w:rsidRPr="002142B8"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kilnojamojo turto įkeitimą, pvz. įrangos ir pan.;</w:t>
            </w:r>
          </w:p>
          <w:p w14:paraId="06F8BA70" w14:textId="77777777" w:rsidR="002D46ED" w:rsidRPr="002142B8"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teises į įmonės pajamas užsienio ir vietine valiuta;</w:t>
            </w:r>
          </w:p>
          <w:p w14:paraId="0F151DFA" w14:textId="77777777" w:rsidR="002D46ED" w:rsidRPr="002142B8"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akcijų įmonėje įkeitimą;</w:t>
            </w:r>
          </w:p>
          <w:p w14:paraId="382BB7A5" w14:textId="77777777" w:rsidR="002D46ED" w:rsidRPr="002142B8" w:rsidRDefault="002D46ED" w:rsidP="00162BF5">
            <w:pPr>
              <w:numPr>
                <w:ilvl w:val="0"/>
                <w:numId w:val="8"/>
              </w:numPr>
              <w:autoSpaceDE w:val="0"/>
              <w:autoSpaceDN w:val="0"/>
              <w:adjustRightInd w:val="0"/>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teises į įmonės draudimo išmokas ir kitą iš sutarčių gaunamą naudą.</w:t>
            </w:r>
          </w:p>
        </w:tc>
      </w:tr>
      <w:tr w:rsidR="002D46ED" w:rsidRPr="002142B8" w14:paraId="41161D88"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712B6D34" w14:textId="77777777" w:rsidR="002D46ED" w:rsidRPr="002142B8" w:rsidRDefault="002D46ED" w:rsidP="002D46ED">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Įsipareigojimai pagal sutartį</w:t>
            </w:r>
          </w:p>
        </w:tc>
        <w:tc>
          <w:tcPr>
            <w:tcW w:w="0" w:type="pct"/>
            <w:tcBorders>
              <w:top w:val="single" w:sz="6" w:space="0" w:color="FFFFFF"/>
              <w:left w:val="single" w:sz="6" w:space="0" w:color="FFFFFF"/>
              <w:bottom w:val="single" w:sz="6" w:space="0" w:color="FFFFFF"/>
              <w:right w:val="single" w:sz="8" w:space="0" w:color="FFFFFF"/>
            </w:tcBorders>
            <w:hideMark/>
          </w:tcPr>
          <w:p w14:paraId="2A0947D9"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tipiniams projektams finansiniai įsipareigojimai pagal sutartį (angl. </w:t>
            </w:r>
            <w:r w:rsidRPr="002142B8">
              <w:rPr>
                <w:rFonts w:ascii="Georgia" w:eastAsia="Calibri" w:hAnsi="Georgia" w:cs="Arial"/>
                <w:i/>
                <w:sz w:val="20"/>
                <w:szCs w:val="20"/>
                <w:lang w:val="lt-LT"/>
              </w:rPr>
              <w:t>finance covenants</w:t>
            </w:r>
            <w:r w:rsidRPr="002142B8">
              <w:rPr>
                <w:rFonts w:ascii="Georgia" w:eastAsia="Calibri" w:hAnsi="Georgia" w:cs="Arial"/>
                <w:sz w:val="20"/>
                <w:szCs w:val="20"/>
                <w:lang w:val="lt-LT"/>
              </w:rPr>
              <w:t>) yra privalomi kaip paskolos paketo dalis. Tokie įsipareigojimai, nurodantys tam tikras skolininko finansinę būklę liečiančias sąlygas, nustatomi derybų būdu.</w:t>
            </w:r>
          </w:p>
        </w:tc>
      </w:tr>
      <w:tr w:rsidR="002D46ED" w:rsidRPr="002142B8" w14:paraId="77C43EA1" w14:textId="77777777" w:rsidTr="005B31C6">
        <w:trPr>
          <w:cnfStyle w:val="000000100000" w:firstRow="0" w:lastRow="0" w:firstColumn="0" w:lastColumn="0" w:oddVBand="0" w:evenVBand="0" w:oddHBand="1" w:evenHBand="0" w:firstRowFirstColumn="0" w:firstRowLastColumn="0" w:lastRowFirstColumn="0" w:lastRowLastColumn="0"/>
          <w:cantSplit/>
          <w:trHeight w:val="327"/>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0877D21C" w14:textId="77777777" w:rsidR="002D46ED" w:rsidRPr="002142B8" w:rsidRDefault="002D46ED" w:rsidP="002D46ED">
            <w:pPr>
              <w:keepNext/>
              <w:autoSpaceDE w:val="0"/>
              <w:autoSpaceDN w:val="0"/>
              <w:adjustRightInd w:val="0"/>
              <w:ind w:left="176" w:hanging="142"/>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Paskolos mokėjimas</w:t>
            </w:r>
          </w:p>
        </w:tc>
      </w:tr>
      <w:tr w:rsidR="002D46ED" w:rsidRPr="002142B8" w14:paraId="13B24224"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tcPr>
          <w:p w14:paraId="3EA3AB1D" w14:textId="77777777" w:rsidR="002D46ED" w:rsidRPr="002142B8" w:rsidRDefault="002D46ED" w:rsidP="002D46ED">
            <w:pPr>
              <w:keepNext/>
              <w:autoSpaceDE w:val="0"/>
              <w:autoSpaceDN w:val="0"/>
              <w:adjustRightInd w:val="0"/>
              <w:rPr>
                <w:rFonts w:ascii="Georgia" w:eastAsia="Calibri" w:hAnsi="Georgia" w:cs="Arial"/>
                <w:b w:val="0"/>
                <w:bCs w:val="0"/>
                <w:color w:val="auto"/>
                <w:sz w:val="20"/>
                <w:szCs w:val="20"/>
                <w:lang w:val="lt-LT"/>
              </w:rPr>
            </w:pPr>
          </w:p>
        </w:tc>
        <w:tc>
          <w:tcPr>
            <w:tcW w:w="0" w:type="pct"/>
            <w:tcBorders>
              <w:top w:val="single" w:sz="6" w:space="0" w:color="FFFFFF"/>
              <w:left w:val="single" w:sz="6" w:space="0" w:color="FFFFFF"/>
              <w:bottom w:val="single" w:sz="6" w:space="0" w:color="FFFFFF"/>
              <w:right w:val="single" w:sz="8" w:space="0" w:color="FFFFFF"/>
            </w:tcBorders>
            <w:hideMark/>
          </w:tcPr>
          <w:p w14:paraId="27E83E7E" w14:textId="77777777" w:rsidR="002D46ED" w:rsidRPr="002142B8" w:rsidRDefault="002D46ED" w:rsidP="00162BF5">
            <w:pPr>
              <w:keepNext/>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grąžinamos lygiomis dalimis mokant dukart per metus. Ilgesni paskolos grąžinimo terminai ir grąžinimas nelygiomis dalimis gali būti taikomi išimtiniais atvejais.</w:t>
            </w:r>
          </w:p>
        </w:tc>
      </w:tr>
      <w:tr w:rsidR="002D46ED" w:rsidRPr="002142B8" w14:paraId="704ADF60" w14:textId="77777777" w:rsidTr="005B31C6">
        <w:trPr>
          <w:cnfStyle w:val="000000100000" w:firstRow="0" w:lastRow="0" w:firstColumn="0" w:lastColumn="0" w:oddVBand="0" w:evenVBand="0" w:oddHBand="1" w:evenHBand="0" w:firstRowFirstColumn="0" w:firstRowLastColumn="0" w:lastRowFirstColumn="0" w:lastRowLastColumn="0"/>
          <w:cantSplit/>
          <w:trHeight w:val="343"/>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38A014CD" w14:textId="77777777" w:rsidR="002D46ED" w:rsidRPr="002142B8" w:rsidRDefault="002D46ED" w:rsidP="002D46ED">
            <w:pPr>
              <w:autoSpaceDE w:val="0"/>
              <w:autoSpaceDN w:val="0"/>
              <w:adjustRightInd w:val="0"/>
              <w:ind w:left="176" w:hanging="142"/>
              <w:contextualSpacing/>
              <w:jc w:val="center"/>
              <w:rPr>
                <w:rFonts w:ascii="Georgia" w:eastAsia="Calibri" w:hAnsi="Georgia" w:cs="Arial"/>
                <w:bCs w:val="0"/>
                <w:sz w:val="20"/>
                <w:szCs w:val="20"/>
                <w:lang w:val="lt-LT"/>
              </w:rPr>
            </w:pPr>
            <w:r w:rsidRPr="002142B8">
              <w:rPr>
                <w:rFonts w:ascii="Georgia" w:eastAsia="Calibri" w:hAnsi="Georgia" w:cs="Arial"/>
                <w:color w:val="auto"/>
                <w:sz w:val="20"/>
                <w:szCs w:val="20"/>
                <w:lang w:val="lt-LT"/>
              </w:rPr>
              <w:t xml:space="preserve">Rizikų valdymas (angl. </w:t>
            </w:r>
            <w:r w:rsidRPr="002142B8">
              <w:rPr>
                <w:rFonts w:ascii="Georgia" w:eastAsia="Calibri" w:hAnsi="Georgia" w:cs="Arial"/>
                <w:i/>
                <w:color w:val="auto"/>
                <w:sz w:val="20"/>
                <w:szCs w:val="20"/>
                <w:lang w:val="lt-LT"/>
              </w:rPr>
              <w:t>hedging</w:t>
            </w:r>
            <w:r w:rsidRPr="002142B8">
              <w:rPr>
                <w:rFonts w:ascii="Georgia" w:eastAsia="Calibri" w:hAnsi="Georgia" w:cs="Arial"/>
                <w:sz w:val="20"/>
                <w:szCs w:val="20"/>
                <w:lang w:val="lt-LT"/>
              </w:rPr>
              <w:t>)</w:t>
            </w:r>
          </w:p>
        </w:tc>
      </w:tr>
      <w:tr w:rsidR="002D46ED" w:rsidRPr="002142B8" w14:paraId="7216B391"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tcPr>
          <w:p w14:paraId="03685D17" w14:textId="77777777" w:rsidR="002D46ED" w:rsidRPr="002142B8" w:rsidRDefault="002D46ED" w:rsidP="002D46ED">
            <w:pPr>
              <w:autoSpaceDE w:val="0"/>
              <w:autoSpaceDN w:val="0"/>
              <w:adjustRightInd w:val="0"/>
              <w:rPr>
                <w:rFonts w:ascii="Georgia" w:eastAsia="Calibri" w:hAnsi="Georgia" w:cs="Arial"/>
                <w:b w:val="0"/>
                <w:bCs w:val="0"/>
                <w:sz w:val="20"/>
                <w:szCs w:val="20"/>
                <w:lang w:val="lt-LT"/>
              </w:rPr>
            </w:pPr>
          </w:p>
        </w:tc>
        <w:tc>
          <w:tcPr>
            <w:tcW w:w="0" w:type="pct"/>
            <w:tcBorders>
              <w:top w:val="single" w:sz="6" w:space="0" w:color="FFFFFF"/>
              <w:left w:val="single" w:sz="6" w:space="0" w:color="FFFFFF"/>
              <w:bottom w:val="single" w:sz="6" w:space="0" w:color="FFFFFF"/>
              <w:right w:val="single" w:sz="8" w:space="0" w:color="FFFFFF"/>
            </w:tcBorders>
            <w:hideMark/>
          </w:tcPr>
          <w:p w14:paraId="55C7EE88" w14:textId="77777777" w:rsidR="002D46ED" w:rsidRPr="002142B8" w:rsidRDefault="002D46ED" w:rsidP="00162BF5">
            <w:pPr>
              <w:numPr>
                <w:ilvl w:val="0"/>
                <w:numId w:val="8"/>
              </w:num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ERPB gali padėti valdyti finansų rizikas, susijusias su projekto turtu ir įsipareigojimais. Pagalba apima užsienio valiutų kursų svyravimo riziką, palūkanų normos riziką ir prekių kainos riziką.</w:t>
            </w:r>
          </w:p>
        </w:tc>
      </w:tr>
      <w:tr w:rsidR="002D46ED" w:rsidRPr="002142B8" w14:paraId="7E090D05" w14:textId="77777777" w:rsidTr="005B31C6">
        <w:trPr>
          <w:cnfStyle w:val="000000100000" w:firstRow="0" w:lastRow="0" w:firstColumn="0" w:lastColumn="0" w:oddVBand="0" w:evenVBand="0" w:oddHBand="1" w:evenHBand="0" w:firstRowFirstColumn="0" w:firstRowLastColumn="0" w:lastRowFirstColumn="0" w:lastRowLastColumn="0"/>
          <w:cantSplit/>
          <w:trHeight w:val="345"/>
          <w:jc w:val="cent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6BF3AB8C" w14:textId="77777777" w:rsidR="002D46ED" w:rsidRPr="002142B8" w:rsidRDefault="002D46ED" w:rsidP="002D46ED">
            <w:pPr>
              <w:autoSpaceDE w:val="0"/>
              <w:autoSpaceDN w:val="0"/>
              <w:adjustRightInd w:val="0"/>
              <w:ind w:left="176" w:hanging="142"/>
              <w:jc w:val="center"/>
              <w:rPr>
                <w:rFonts w:ascii="Georgia" w:eastAsia="Calibri" w:hAnsi="Georgia" w:cs="Arial"/>
                <w:bCs w:val="0"/>
                <w:sz w:val="20"/>
                <w:szCs w:val="20"/>
                <w:lang w:val="lt-LT"/>
              </w:rPr>
            </w:pPr>
            <w:r w:rsidRPr="002142B8">
              <w:rPr>
                <w:rFonts w:ascii="Georgia" w:eastAsia="Calibri" w:hAnsi="Georgia" w:cs="Arial"/>
                <w:color w:val="auto"/>
                <w:sz w:val="20"/>
                <w:szCs w:val="20"/>
                <w:lang w:val="lt-LT"/>
              </w:rPr>
              <w:t>Investicijos</w:t>
            </w:r>
          </w:p>
        </w:tc>
      </w:tr>
      <w:tr w:rsidR="002D46ED" w:rsidRPr="002142B8" w14:paraId="1651E4BF" w14:textId="77777777" w:rsidTr="005B31C6">
        <w:trPr>
          <w:cantSplit/>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tcPr>
          <w:p w14:paraId="3C458010" w14:textId="77777777" w:rsidR="002D46ED" w:rsidRPr="002142B8" w:rsidRDefault="002D46ED" w:rsidP="002D46ED">
            <w:pPr>
              <w:autoSpaceDE w:val="0"/>
              <w:autoSpaceDN w:val="0"/>
              <w:adjustRightInd w:val="0"/>
              <w:rPr>
                <w:rFonts w:ascii="Georgia" w:eastAsia="Calibri" w:hAnsi="Georgia" w:cs="Arial"/>
                <w:b w:val="0"/>
                <w:bCs w:val="0"/>
                <w:sz w:val="20"/>
                <w:szCs w:val="20"/>
                <w:lang w:val="lt-LT"/>
              </w:rPr>
            </w:pPr>
          </w:p>
        </w:tc>
        <w:tc>
          <w:tcPr>
            <w:tcW w:w="0" w:type="pct"/>
            <w:tcBorders>
              <w:top w:val="single" w:sz="6" w:space="0" w:color="FFFFFF"/>
              <w:left w:val="single" w:sz="6" w:space="0" w:color="FFFFFF"/>
              <w:bottom w:val="single" w:sz="8" w:space="0" w:color="FFFFFF"/>
              <w:right w:val="single" w:sz="8" w:space="0" w:color="FFFFFF"/>
            </w:tcBorders>
            <w:hideMark/>
          </w:tcPr>
          <w:p w14:paraId="514EBA68" w14:textId="0A8D4A6B" w:rsidR="002D46ED" w:rsidRPr="002142B8" w:rsidRDefault="002D46ED" w:rsidP="00162BF5">
            <w:pPr>
              <w:numPr>
                <w:ilvl w:val="0"/>
                <w:numId w:val="8"/>
              </w:numPr>
              <w:autoSpaceDE w:val="0"/>
              <w:autoSpaceDN w:val="0"/>
              <w:adjustRightInd w:val="0"/>
              <w:ind w:left="147"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ERPB gali investuoti į kapitalo instrumentus pramonės, infrastruktūros ir finansų sektoriuose nuo 2 mln. </w:t>
            </w:r>
            <w:r w:rsidR="00035974" w:rsidRPr="002142B8">
              <w:rPr>
                <w:rFonts w:ascii="Georgia" w:eastAsia="Calibri" w:hAnsi="Georgia" w:cs="Arial"/>
                <w:sz w:val="20"/>
                <w:szCs w:val="20"/>
                <w:lang w:val="lt-LT"/>
              </w:rPr>
              <w:t xml:space="preserve"> eurų</w:t>
            </w:r>
            <w:r w:rsidRPr="002142B8">
              <w:rPr>
                <w:rFonts w:ascii="Georgia" w:eastAsia="Calibri" w:hAnsi="Georgia" w:cs="Arial"/>
                <w:sz w:val="20"/>
                <w:szCs w:val="20"/>
                <w:lang w:val="lt-LT"/>
              </w:rPr>
              <w:t xml:space="preserve"> iki 100 mln. </w:t>
            </w:r>
            <w:r w:rsidR="00035974" w:rsidRPr="002142B8">
              <w:rPr>
                <w:rFonts w:ascii="Georgia" w:eastAsia="Calibri" w:hAnsi="Georgia" w:cs="Arial"/>
                <w:sz w:val="20"/>
                <w:szCs w:val="20"/>
                <w:lang w:val="lt-LT"/>
              </w:rPr>
              <w:t xml:space="preserve"> eurų</w:t>
            </w:r>
            <w:r w:rsidRPr="002142B8">
              <w:rPr>
                <w:rFonts w:ascii="Georgia" w:eastAsia="Calibri" w:hAnsi="Georgia" w:cs="Arial"/>
                <w:sz w:val="20"/>
                <w:szCs w:val="20"/>
                <w:lang w:val="lt-LT"/>
              </w:rPr>
              <w:t xml:space="preserve"> priklausomai nuo galimos grąžos. Bankas užima tik mažumos poziciją ir turi aiškią pasitraukimo strategiją.</w:t>
            </w:r>
          </w:p>
          <w:p w14:paraId="54520464" w14:textId="77777777" w:rsidR="002D46ED" w:rsidRPr="002142B8" w:rsidRDefault="002D46ED" w:rsidP="002D46ED">
            <w:pPr>
              <w:autoSpaceDE w:val="0"/>
              <w:autoSpaceDN w:val="0"/>
              <w:adjustRightInd w:val="0"/>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Banko taikomi instrumentai:</w:t>
            </w:r>
          </w:p>
          <w:p w14:paraId="697F5DA5" w14:textId="77777777" w:rsidR="002D46ED" w:rsidRPr="002142B8"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paprastosios akcijos (listinguojamos ir nelistinguojamos akcijos);</w:t>
            </w:r>
          </w:p>
          <w:p w14:paraId="563883AB" w14:textId="77777777" w:rsidR="002D46ED" w:rsidRPr="002142B8"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pasitikėtinos (subordinuotos) ir konvertuojamosios paskolos;</w:t>
            </w:r>
          </w:p>
          <w:p w14:paraId="51201335" w14:textId="77777777" w:rsidR="002D46ED" w:rsidRPr="002142B8"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pajamų vekseliai</w:t>
            </w:r>
            <w:r w:rsidRPr="002142B8">
              <w:rPr>
                <w:rFonts w:ascii="Georgia" w:eastAsia="Calibri" w:hAnsi="Georgia" w:cs="Arial"/>
                <w:sz w:val="20"/>
                <w:szCs w:val="20"/>
                <w:vertAlign w:val="superscript"/>
                <w:lang w:val="lt-LT"/>
              </w:rPr>
              <w:footnoteReference w:id="63"/>
            </w:r>
            <w:r w:rsidRPr="002142B8">
              <w:rPr>
                <w:rFonts w:ascii="Georgia" w:eastAsia="Calibri" w:hAnsi="Georgia" w:cs="Arial"/>
                <w:sz w:val="20"/>
                <w:szCs w:val="20"/>
                <w:lang w:val="lt-LT"/>
              </w:rPr>
              <w:t>;</w:t>
            </w:r>
          </w:p>
          <w:p w14:paraId="568DBB28" w14:textId="77777777" w:rsidR="002D46ED" w:rsidRPr="002142B8" w:rsidRDefault="002D46ED" w:rsidP="00162BF5">
            <w:pPr>
              <w:numPr>
                <w:ilvl w:val="0"/>
                <w:numId w:val="8"/>
              </w:numPr>
              <w:autoSpaceDE w:val="0"/>
              <w:autoSpaceDN w:val="0"/>
              <w:adjustRightInd w:val="0"/>
              <w:ind w:left="431" w:hanging="284"/>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išperkamosios privilegijuotosios akcijos.</w:t>
            </w:r>
          </w:p>
        </w:tc>
      </w:tr>
    </w:tbl>
    <w:p w14:paraId="1BC998EE" w14:textId="27E36921" w:rsidR="006977C2" w:rsidRPr="002142B8" w:rsidRDefault="006977C2" w:rsidP="006977C2">
      <w:pPr>
        <w:spacing w:after="240" w:line="240" w:lineRule="atLeast"/>
        <w:rPr>
          <w:rFonts w:ascii="Georgia" w:eastAsia="PMingLiU" w:hAnsi="Georgia" w:cs="Times New Roman"/>
          <w:i/>
          <w:sz w:val="20"/>
          <w:szCs w:val="20"/>
          <w:lang w:val="lt-LT"/>
        </w:rPr>
      </w:pPr>
      <w:r w:rsidRPr="002142B8">
        <w:rPr>
          <w:rFonts w:ascii="Georgia" w:eastAsia="PMingLiU" w:hAnsi="Georgia" w:cs="Times New Roman"/>
          <w:bCs/>
          <w:i/>
          <w:sz w:val="20"/>
          <w:szCs w:val="18"/>
          <w:lang w:val="lt-LT"/>
        </w:rPr>
        <w:t xml:space="preserve">Šaltinis: </w:t>
      </w:r>
      <w:r w:rsidRPr="002142B8">
        <w:rPr>
          <w:rFonts w:ascii="Georgia" w:eastAsia="PMingLiU" w:hAnsi="Georgia" w:cs="Arial"/>
          <w:bCs/>
          <w:i/>
          <w:sz w:val="20"/>
          <w:szCs w:val="18"/>
          <w:lang w:val="lt-LT"/>
        </w:rPr>
        <w:t>ERPB finansavimo vadovas (2016 balandis</w:t>
      </w:r>
      <w:r w:rsidRPr="002142B8">
        <w:rPr>
          <w:rFonts w:ascii="Arial" w:eastAsia="PMingLiU" w:hAnsi="Arial" w:cs="Arial"/>
          <w:bCs/>
          <w:i/>
          <w:sz w:val="20"/>
          <w:szCs w:val="18"/>
          <w:lang w:val="lt-LT"/>
        </w:rPr>
        <w:t xml:space="preserve">) </w:t>
      </w:r>
      <w:r w:rsidRPr="002142B8">
        <w:rPr>
          <w:rFonts w:ascii="Georgia" w:eastAsia="PMingLiU" w:hAnsi="Georgia" w:cs="Arial"/>
          <w:i/>
          <w:sz w:val="20"/>
          <w:szCs w:val="20"/>
          <w:vertAlign w:val="superscript"/>
          <w:lang w:val="lt-LT"/>
        </w:rPr>
        <w:footnoteReference w:id="64"/>
      </w:r>
    </w:p>
    <w:p w14:paraId="1FFC9783" w14:textId="77777777" w:rsidR="006977C2" w:rsidRPr="002142B8" w:rsidRDefault="006977C2" w:rsidP="006977C2">
      <w:pPr>
        <w:spacing w:after="240" w:line="240" w:lineRule="atLeast"/>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Garantijos ir kiti produktai</w:t>
      </w:r>
    </w:p>
    <w:p w14:paraId="384D4725" w14:textId="77777777" w:rsidR="006977C2" w:rsidRPr="002142B8" w:rsidRDefault="006977C2" w:rsidP="006977C2">
      <w:pPr>
        <w:autoSpaceDE w:val="0"/>
        <w:autoSpaceDN w:val="0"/>
        <w:adjustRightInd w:val="0"/>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ERPB teikia įvairias garantijas – nuo garantijų dėl įsipareigojimų nevykdymo, pagal kurias bankas padengia nuostolius nepriklausomai nuo priežasties, iki garantijų dėl įsipareigojimų nevykdymo, atsirandančių dėl specifinių įvykių. Visais atvejais bankas vertina maksimalią riziką, kuri turi būti žinoma bei išmatuojama, ir kredito riziką, kuri privalo būti priimtina. Kiekvienos garantijos sąlygos vertinamos pagal konkretų atvejį.</w:t>
      </w:r>
    </w:p>
    <w:p w14:paraId="07AF2605" w14:textId="77777777" w:rsidR="006977C2" w:rsidRPr="002142B8" w:rsidRDefault="006977C2" w:rsidP="006977C2">
      <w:pPr>
        <w:autoSpaceDE w:val="0"/>
        <w:autoSpaceDN w:val="0"/>
        <w:adjustRightInd w:val="0"/>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Taip pat investuoja į obligacijas ir kitus įmonių finansinius instrumentus. ERPB  investicijų sąlygos priklauso nuo kiekvieno projekto rizikos ir perspektyvų grąžos </w:t>
      </w:r>
      <w:r w:rsidRPr="002142B8">
        <w:rPr>
          <w:rFonts w:ascii="Georgia" w:eastAsia="Calibri" w:hAnsi="Georgia" w:cs="Arial"/>
          <w:sz w:val="20"/>
          <w:szCs w:val="20"/>
          <w:vertAlign w:val="superscript"/>
          <w:lang w:val="lt-LT"/>
        </w:rPr>
        <w:footnoteReference w:id="65"/>
      </w:r>
      <w:r w:rsidRPr="002142B8">
        <w:rPr>
          <w:rFonts w:ascii="Georgia" w:eastAsia="Calibri" w:hAnsi="Georgia" w:cs="Arial"/>
          <w:sz w:val="20"/>
          <w:szCs w:val="20"/>
          <w:lang w:val="lt-LT"/>
        </w:rPr>
        <w:t>.</w:t>
      </w:r>
    </w:p>
    <w:p w14:paraId="41D2813A" w14:textId="77777777" w:rsidR="006977C2" w:rsidRPr="002142B8"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2" w:name="_Toc25589911"/>
      <w:r w:rsidRPr="002142B8">
        <w:rPr>
          <w:rFonts w:ascii="Georgia" w:eastAsia="Times New Roman" w:hAnsi="Georgia" w:cs="Arial Unicode MS"/>
          <w:b/>
          <w:i/>
          <w:color w:val="821A1A"/>
          <w:sz w:val="32"/>
          <w:szCs w:val="26"/>
          <w:lang w:val="lt-LT"/>
        </w:rPr>
        <w:lastRenderedPageBreak/>
        <w:t>Šiaurės investicijų bankas</w:t>
      </w:r>
      <w:bookmarkEnd w:id="122"/>
    </w:p>
    <w:p w14:paraId="43B46FED"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ŠIB finansuoja Šiaurės ir Baltijos valstybių regiono konkurencingumą stiprinančius bei jų aplinką tausojančius projektus.</w:t>
      </w:r>
    </w:p>
    <w:p w14:paraId="7C36B97A" w14:textId="696C9F78"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Bankas finansuoja projektus pažangių technologijų ir inovacijų, žmogiškojo kapitalo plėtros, infrastruktūros gerinimo, rinkos efektyvumo didinimo, efektyvesnio išteklių naudojimo, konkurencingos, mažai anglies dvideginio į aplinką išskiriančių technologijų ekonomikos plėtros, aplinkos ir ekosistemų apsaugos ir švarių technologijų vystymo srityse</w:t>
      </w:r>
      <w:r w:rsidRPr="002142B8">
        <w:rPr>
          <w:rFonts w:ascii="Georgia" w:eastAsia="Calibri" w:hAnsi="Georgia" w:cs="Arial"/>
          <w:sz w:val="20"/>
          <w:szCs w:val="20"/>
          <w:vertAlign w:val="superscript"/>
          <w:lang w:val="lt-LT"/>
        </w:rPr>
        <w:footnoteReference w:id="66"/>
      </w:r>
      <w:r w:rsidRPr="002142B8">
        <w:rPr>
          <w:rFonts w:ascii="Georgia" w:eastAsia="Calibri" w:hAnsi="Georgia" w:cs="Arial"/>
          <w:sz w:val="20"/>
          <w:szCs w:val="20"/>
          <w:lang w:val="lt-LT"/>
        </w:rPr>
        <w:t>.</w:t>
      </w:r>
    </w:p>
    <w:p w14:paraId="0BD1D0DA" w14:textId="77777777" w:rsidR="006977C2" w:rsidRPr="002142B8" w:rsidRDefault="006977C2" w:rsidP="006977C2">
      <w:pPr>
        <w:spacing w:after="240"/>
        <w:rPr>
          <w:rFonts w:ascii="Georgia" w:eastAsia="PMingLiU" w:hAnsi="Georgia" w:cs="Times New Roman"/>
          <w:b/>
          <w:sz w:val="20"/>
          <w:szCs w:val="20"/>
          <w:lang w:val="lt-LT"/>
        </w:rPr>
      </w:pPr>
      <w:r w:rsidRPr="002142B8">
        <w:rPr>
          <w:rFonts w:ascii="Georgia" w:eastAsia="PMingLiU" w:hAnsi="Georgia" w:cs="Times New Roman"/>
          <w:b/>
          <w:i/>
          <w:sz w:val="20"/>
          <w:szCs w:val="20"/>
          <w:lang w:val="lt-LT"/>
        </w:rPr>
        <w:t>Energetinio efektyvumo projektų finansavimas</w:t>
      </w:r>
    </w:p>
    <w:p w14:paraId="0B45E768" w14:textId="32AFD4FF" w:rsidR="006977C2" w:rsidRPr="002142B8" w:rsidRDefault="006977C2" w:rsidP="009718DC">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2010 m. ŠIB pradėjo energetikos sektoriaus verslo strategiją. </w:t>
      </w:r>
      <w:r w:rsidR="00D9139B" w:rsidRPr="002142B8">
        <w:rPr>
          <w:rFonts w:ascii="Georgia" w:eastAsia="Calibri" w:hAnsi="Georgia" w:cs="Arial"/>
          <w:sz w:val="20"/>
          <w:szCs w:val="20"/>
          <w:lang w:val="lt-LT"/>
        </w:rPr>
        <w:t>Strategijoje</w:t>
      </w:r>
      <w:r w:rsidRPr="002142B8">
        <w:rPr>
          <w:rFonts w:ascii="Georgia" w:eastAsia="Calibri" w:hAnsi="Georgia" w:cs="Arial"/>
          <w:sz w:val="20"/>
          <w:szCs w:val="20"/>
          <w:lang w:val="lt-LT"/>
        </w:rPr>
        <w:t xml:space="preserve"> skelbiama, kad energetikos sektorius bus tarp prioritetinių sričių. ŠIB investuos į projektus, kuriais siekiama didinti energijos taupymą esamuose pastatuose, didesnis centralizuoto šildymo/aušinimo ir termofikacijos naudojimas, esamų jėgainių modernizavimas ir energijos gamybos metodikos tobulinimas. Kiti projektai, kurie domins ŠIB yra susiję su elektros energijos perdavimo tinklų stiprinimu</w:t>
      </w:r>
      <w:r w:rsidRPr="002142B8">
        <w:rPr>
          <w:rFonts w:ascii="Georgia" w:eastAsia="Calibri" w:hAnsi="Georgia" w:cs="Arial"/>
          <w:sz w:val="20"/>
          <w:szCs w:val="20"/>
          <w:vertAlign w:val="superscript"/>
          <w:lang w:val="lt-LT"/>
        </w:rPr>
        <w:footnoteReference w:id="67"/>
      </w:r>
      <w:r w:rsidRPr="002142B8">
        <w:rPr>
          <w:rFonts w:ascii="Georgia" w:eastAsia="Calibri" w:hAnsi="Georgia" w:cs="Arial"/>
          <w:sz w:val="20"/>
          <w:szCs w:val="20"/>
          <w:lang w:val="lt-LT"/>
        </w:rPr>
        <w:t>. 2016 m. ŠIB pradėjo įgyvendinti banko atnaujintą strategiją. Šia strategija bus orientuojamasi į Arktines paskolas (ang</w:t>
      </w:r>
      <w:r w:rsidR="00D9139B" w:rsidRPr="002142B8">
        <w:rPr>
          <w:rFonts w:ascii="Georgia" w:eastAsia="Calibri" w:hAnsi="Georgia" w:cs="Arial"/>
          <w:sz w:val="20"/>
          <w:szCs w:val="20"/>
          <w:lang w:val="lt-LT"/>
        </w:rPr>
        <w:t>l</w:t>
      </w:r>
      <w:r w:rsidRPr="002142B8">
        <w:rPr>
          <w:rFonts w:ascii="Georgia" w:eastAsia="Calibri" w:hAnsi="Georgia" w:cs="Arial"/>
          <w:sz w:val="20"/>
          <w:szCs w:val="20"/>
          <w:lang w:val="lt-LT"/>
        </w:rPr>
        <w:t>. Artic loans), paskolų išdavimą vidutinio dydžio įmonėms  ir rizikos pasidalijimą su finansinėmis institucijomis</w:t>
      </w:r>
      <w:r w:rsidRPr="002142B8">
        <w:rPr>
          <w:rFonts w:ascii="Georgia" w:eastAsia="Calibri" w:hAnsi="Georgia" w:cs="Arial"/>
          <w:sz w:val="20"/>
          <w:szCs w:val="20"/>
          <w:vertAlign w:val="superscript"/>
          <w:lang w:val="lt-LT"/>
        </w:rPr>
        <w:footnoteReference w:id="68"/>
      </w:r>
      <w:r w:rsidRPr="002142B8">
        <w:rPr>
          <w:rFonts w:ascii="Georgia" w:eastAsia="Calibri" w:hAnsi="Georgia" w:cs="Arial"/>
          <w:sz w:val="20"/>
          <w:szCs w:val="20"/>
          <w:lang w:val="lt-LT"/>
        </w:rPr>
        <w:t xml:space="preserve">. </w:t>
      </w:r>
    </w:p>
    <w:p w14:paraId="13CB3AB4" w14:textId="2458EF6F" w:rsidR="006977C2" w:rsidRPr="002142B8" w:rsidRDefault="006977C2" w:rsidP="009718DC">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2015 m. ŠIB pradėjo vykdyti naują arktini</w:t>
      </w:r>
      <w:r w:rsidR="00AB35B9" w:rsidRPr="002142B8">
        <w:rPr>
          <w:rFonts w:ascii="Georgia" w:eastAsia="Calibri" w:hAnsi="Georgia" w:cs="Arial"/>
          <w:sz w:val="20"/>
          <w:szCs w:val="20"/>
          <w:lang w:val="lt-LT"/>
        </w:rPr>
        <w:t>o</w:t>
      </w:r>
      <w:r w:rsidRPr="002142B8">
        <w:rPr>
          <w:rFonts w:ascii="Georgia" w:eastAsia="Calibri" w:hAnsi="Georgia" w:cs="Arial"/>
          <w:sz w:val="20"/>
          <w:szCs w:val="20"/>
          <w:lang w:val="lt-LT"/>
        </w:rPr>
        <w:t xml:space="preserve"> finansavim</w:t>
      </w:r>
      <w:r w:rsidR="00AB35B9" w:rsidRPr="002142B8">
        <w:rPr>
          <w:rFonts w:ascii="Georgia" w:eastAsia="Calibri" w:hAnsi="Georgia" w:cs="Arial"/>
          <w:sz w:val="20"/>
          <w:szCs w:val="20"/>
          <w:lang w:val="lt-LT"/>
        </w:rPr>
        <w:t>o iniciatyvą</w:t>
      </w:r>
      <w:r w:rsidRPr="002142B8">
        <w:rPr>
          <w:rFonts w:ascii="Georgia" w:eastAsia="Calibri" w:hAnsi="Georgia" w:cs="Arial"/>
          <w:sz w:val="20"/>
          <w:szCs w:val="20"/>
          <w:lang w:val="lt-LT"/>
        </w:rPr>
        <w:t xml:space="preserve"> (ang</w:t>
      </w:r>
      <w:r w:rsidR="00D9139B" w:rsidRPr="002142B8">
        <w:rPr>
          <w:rFonts w:ascii="Georgia" w:eastAsia="Calibri" w:hAnsi="Georgia" w:cs="Arial"/>
          <w:sz w:val="20"/>
          <w:szCs w:val="20"/>
          <w:lang w:val="lt-LT"/>
        </w:rPr>
        <w:t>l</w:t>
      </w:r>
      <w:r w:rsidRPr="002142B8">
        <w:rPr>
          <w:rFonts w:ascii="Georgia" w:eastAsia="Calibri" w:hAnsi="Georgia" w:cs="Arial"/>
          <w:sz w:val="20"/>
          <w:szCs w:val="20"/>
          <w:lang w:val="lt-LT"/>
        </w:rPr>
        <w:t>. Arctic facility) skirta finansuoti projektus Arktikoje, bus suteikta paskolų už 500 mln. eurų. Ši suma bus skirta energetikos, transporto ir mažų ir vidutinių įmonių finansavimui</w:t>
      </w:r>
      <w:r w:rsidRPr="002142B8">
        <w:rPr>
          <w:rFonts w:ascii="Georgia" w:eastAsia="Calibri" w:hAnsi="Georgia" w:cs="Arial"/>
          <w:sz w:val="20"/>
          <w:szCs w:val="20"/>
          <w:vertAlign w:val="superscript"/>
          <w:lang w:val="lt-LT"/>
        </w:rPr>
        <w:footnoteReference w:id="69"/>
      </w:r>
      <w:r w:rsidRPr="002142B8">
        <w:rPr>
          <w:rFonts w:ascii="Georgia" w:eastAsia="Calibri" w:hAnsi="Georgia" w:cs="Arial"/>
          <w:sz w:val="20"/>
          <w:szCs w:val="20"/>
          <w:lang w:val="lt-LT"/>
        </w:rPr>
        <w:t xml:space="preserve">. </w:t>
      </w:r>
    </w:p>
    <w:p w14:paraId="7697CE86" w14:textId="720875B8" w:rsidR="006977C2" w:rsidRPr="002142B8" w:rsidRDefault="006977C2" w:rsidP="009718DC">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2016 m. energetikos ir aplinkos sektoriaus projektams buvo suteikta paskolų už 1.534 mln. eurų arba 35% nuo visų paskolų (Išmokėta paskolų už 1</w:t>
      </w:r>
      <w:r w:rsidR="00AB35B9" w:rsidRPr="002142B8">
        <w:rPr>
          <w:rFonts w:ascii="Georgia" w:eastAsia="Calibri" w:hAnsi="Georgia" w:cs="Arial"/>
          <w:sz w:val="20"/>
          <w:szCs w:val="20"/>
          <w:lang w:val="lt-LT"/>
        </w:rPr>
        <w:t xml:space="preserve"> </w:t>
      </w:r>
      <w:r w:rsidRPr="002142B8">
        <w:rPr>
          <w:rFonts w:ascii="Georgia" w:eastAsia="Calibri" w:hAnsi="Georgia" w:cs="Arial"/>
          <w:sz w:val="20"/>
          <w:szCs w:val="20"/>
          <w:lang w:val="lt-LT"/>
        </w:rPr>
        <w:t xml:space="preserve">153 mln. </w:t>
      </w:r>
      <w:r w:rsidR="00AB35B9" w:rsidRPr="002142B8">
        <w:rPr>
          <w:rFonts w:ascii="Georgia" w:eastAsia="Calibri" w:hAnsi="Georgia" w:cs="Arial"/>
          <w:sz w:val="20"/>
          <w:szCs w:val="20"/>
          <w:lang w:val="lt-LT"/>
        </w:rPr>
        <w:t>e</w:t>
      </w:r>
      <w:r w:rsidRPr="002142B8">
        <w:rPr>
          <w:rFonts w:ascii="Georgia" w:eastAsia="Calibri" w:hAnsi="Georgia" w:cs="Arial"/>
          <w:sz w:val="20"/>
          <w:szCs w:val="20"/>
          <w:lang w:val="lt-LT"/>
        </w:rPr>
        <w:t>urų, 34%)</w:t>
      </w:r>
      <w:r w:rsidRPr="002142B8">
        <w:rPr>
          <w:rFonts w:ascii="Georgia" w:eastAsia="Calibri" w:hAnsi="Georgia" w:cs="Arial"/>
          <w:sz w:val="20"/>
          <w:szCs w:val="20"/>
          <w:vertAlign w:val="superscript"/>
          <w:lang w:val="lt-LT"/>
        </w:rPr>
        <w:footnoteReference w:id="70"/>
      </w:r>
      <w:r w:rsidRPr="002142B8">
        <w:rPr>
          <w:rFonts w:ascii="Georgia" w:eastAsia="Calibri" w:hAnsi="Georgia" w:cs="Arial"/>
          <w:sz w:val="20"/>
          <w:szCs w:val="20"/>
          <w:lang w:val="lt-LT"/>
        </w:rPr>
        <w:t xml:space="preserve">. </w:t>
      </w:r>
    </w:p>
    <w:p w14:paraId="38DAE14B" w14:textId="0D2E42B0" w:rsidR="006977C2" w:rsidRPr="002142B8" w:rsidRDefault="002D46ED" w:rsidP="006977C2">
      <w:pPr>
        <w:keepNext/>
        <w:spacing w:after="240" w:line="240" w:lineRule="atLeast"/>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B</w:t>
      </w:r>
      <w:r w:rsidR="006977C2" w:rsidRPr="002142B8">
        <w:rPr>
          <w:rFonts w:ascii="Georgia" w:eastAsia="PMingLiU" w:hAnsi="Georgia" w:cs="Times New Roman"/>
          <w:b/>
          <w:i/>
          <w:sz w:val="20"/>
          <w:szCs w:val="20"/>
          <w:lang w:val="lt-LT"/>
        </w:rPr>
        <w:t>anko veikla Lietuvoje</w:t>
      </w:r>
    </w:p>
    <w:p w14:paraId="4001C267" w14:textId="7185EA19" w:rsidR="00BB79B7" w:rsidRDefault="006977C2" w:rsidP="009718DC">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2013-2017 m. Lietuvoje registruotiems juridiniams asmenims </w:t>
      </w:r>
      <w:r w:rsidR="0011549E" w:rsidRPr="002142B8">
        <w:rPr>
          <w:rFonts w:ascii="Georgia" w:eastAsia="Calibri" w:hAnsi="Georgia" w:cs="Arial"/>
          <w:sz w:val="20"/>
          <w:szCs w:val="20"/>
          <w:lang w:val="lt-LT"/>
        </w:rPr>
        <w:t>Š</w:t>
      </w:r>
      <w:r w:rsidRPr="002142B8">
        <w:rPr>
          <w:rFonts w:ascii="Georgia" w:eastAsia="Calibri" w:hAnsi="Georgia" w:cs="Arial"/>
          <w:sz w:val="20"/>
          <w:szCs w:val="20"/>
          <w:lang w:val="lt-LT"/>
        </w:rPr>
        <w:t xml:space="preserve">IB suteikė 12 paskolų. Šių paskolų vertė – 567,3 mln. eurų, trukmė – 10-20 metų (žr. paveikslėlį žemiau). Keturios iš jų buvo suteiktos energetikos ir aplinkos sektoriaus projektams ir siekė nuo 22 mln. eurų iki 100 mln. eurų. </w:t>
      </w:r>
    </w:p>
    <w:p w14:paraId="3972C5C8" w14:textId="77777777" w:rsidR="00BB79B7" w:rsidRDefault="00BB79B7">
      <w:pPr>
        <w:rPr>
          <w:rFonts w:ascii="Georgia" w:eastAsia="Calibri" w:hAnsi="Georgia" w:cs="Arial"/>
          <w:sz w:val="20"/>
          <w:szCs w:val="20"/>
          <w:lang w:val="lt-LT"/>
        </w:rPr>
      </w:pPr>
      <w:r>
        <w:rPr>
          <w:rFonts w:ascii="Georgia" w:eastAsia="Calibri" w:hAnsi="Georgia" w:cs="Arial"/>
          <w:sz w:val="20"/>
          <w:szCs w:val="20"/>
          <w:lang w:val="lt-LT"/>
        </w:rPr>
        <w:br w:type="page"/>
      </w:r>
    </w:p>
    <w:p w14:paraId="7F7974E1" w14:textId="77777777" w:rsidR="006977C2" w:rsidRPr="002142B8" w:rsidRDefault="006977C2" w:rsidP="009718DC">
      <w:pPr>
        <w:spacing w:after="120"/>
        <w:jc w:val="both"/>
        <w:rPr>
          <w:rFonts w:ascii="Georgia" w:eastAsia="Calibri" w:hAnsi="Georgia" w:cs="Arial"/>
          <w:sz w:val="20"/>
          <w:szCs w:val="20"/>
          <w:lang w:val="lt-LT"/>
        </w:rPr>
      </w:pPr>
    </w:p>
    <w:p w14:paraId="0D5FAC2C" w14:textId="77777777" w:rsidR="002D46ED" w:rsidRPr="002142B8" w:rsidRDefault="002D46ED" w:rsidP="002D46ED">
      <w:pPr>
        <w:rPr>
          <w:rFonts w:ascii="Calibri" w:eastAsia="Calibri" w:hAnsi="Calibri" w:cs="DokChampa"/>
          <w:lang w:val="lt-LT"/>
        </w:rPr>
      </w:pPr>
      <w:r w:rsidRPr="002142B8">
        <w:rPr>
          <w:rFonts w:ascii="Calibri" w:eastAsia="Calibri" w:hAnsi="Calibri" w:cs="DokChampa"/>
          <w:noProof/>
          <w:lang w:val="lt-LT" w:eastAsia="lt-LT"/>
        </w:rPr>
        <w:drawing>
          <wp:inline distT="0" distB="0" distL="0" distR="0" wp14:anchorId="46D24F37" wp14:editId="097887CD">
            <wp:extent cx="3305175" cy="23526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142B8">
        <w:rPr>
          <w:rFonts w:ascii="Calibri" w:eastAsia="Calibri" w:hAnsi="Calibri" w:cs="DokChampa"/>
          <w:noProof/>
          <w:lang w:val="lt-LT" w:eastAsia="lt-LT"/>
        </w:rPr>
        <w:drawing>
          <wp:inline distT="0" distB="0" distL="0" distR="0" wp14:anchorId="665BED4F" wp14:editId="6FFE8781">
            <wp:extent cx="2409825" cy="21336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5CD7DF" w14:textId="53255F82" w:rsidR="002D46ED" w:rsidRDefault="002D46ED" w:rsidP="002D46ED">
      <w:pPr>
        <w:keepNext/>
        <w:spacing w:line="240" w:lineRule="auto"/>
        <w:rPr>
          <w:rFonts w:ascii="Georgia" w:eastAsia="PMingLiU" w:hAnsi="Georgia" w:cs="Times New Roman"/>
          <w:bCs/>
          <w:i/>
          <w:sz w:val="20"/>
          <w:szCs w:val="18"/>
          <w:lang w:val="lt-LT"/>
        </w:rPr>
      </w:pPr>
      <w:r w:rsidRPr="002142B8">
        <w:rPr>
          <w:rFonts w:ascii="Georgia" w:eastAsia="PMingLiU" w:hAnsi="Georgia" w:cs="Times New Roman"/>
          <w:bCs/>
          <w:i/>
          <w:sz w:val="20"/>
          <w:szCs w:val="18"/>
          <w:lang w:val="lt-LT"/>
        </w:rPr>
        <w:t>Šaltinis: Sutartų paskolų ataskaita ŠIB</w:t>
      </w:r>
      <w:r w:rsidRPr="002142B8">
        <w:rPr>
          <w:rFonts w:ascii="Georgia" w:eastAsia="PMingLiU" w:hAnsi="Georgia" w:cs="Arial"/>
          <w:bCs/>
          <w:i/>
          <w:sz w:val="20"/>
          <w:szCs w:val="20"/>
          <w:vertAlign w:val="superscript"/>
          <w:lang w:val="lt-LT"/>
        </w:rPr>
        <w:footnoteReference w:id="71"/>
      </w:r>
    </w:p>
    <w:p w14:paraId="3389B08F" w14:textId="17A10625" w:rsidR="006F5A41" w:rsidRPr="002142B8" w:rsidRDefault="006F5A41" w:rsidP="006F5A41">
      <w:pPr>
        <w:pStyle w:val="Antrat"/>
        <w:rPr>
          <w:lang w:val="lt-LT"/>
        </w:rPr>
      </w:pPr>
      <w:bookmarkStart w:id="123" w:name="_Toc507939268"/>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9</w:t>
      </w:r>
      <w:r w:rsidRPr="002142B8">
        <w:rPr>
          <w:lang w:val="lt-LT"/>
        </w:rPr>
        <w:fldChar w:fldCharType="end"/>
      </w:r>
      <w:r w:rsidRPr="002142B8">
        <w:rPr>
          <w:lang w:val="lt-LT"/>
        </w:rPr>
        <w:t xml:space="preserve">. </w:t>
      </w:r>
      <w:r w:rsidRPr="006F5A41">
        <w:rPr>
          <w:lang w:val="lt-LT"/>
        </w:rPr>
        <w:t>ŠIB portfelio raida Lietuvoje ir finansuojamų projektų pasiskirstymas pagal sektorių 2007-2017 metais</w:t>
      </w:r>
      <w:bookmarkEnd w:id="123"/>
    </w:p>
    <w:p w14:paraId="1FA0C394" w14:textId="6F6267EA"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Energetikos ir aplinkos sektoriuje didžiausia paskola išduota 2015 m. - Lietuvos Respublikos finansų ministerija pasirašė sutartį su banku dėl 100 mln. eurų paskolos Lietuvai. Ilgalaikė paskola bus naudojama renovuoti gyvenamuosius namus, kurių bendras plotas sudaro 4 milijonus kvadratinių metrų, ir 49 viešuosius pastatus, daugiausiai ligonines, sveikatos priežiūros ir bendruomenių centrus. Paskolos grąžinimo laikotarpis – 20 metų. Iš banko gautas lėšas Finansų ministerija pervedė tiesiogiai institucijoms, įstaigoms ir organizacijoms, įgyvendinančioms projektus pagal Valstybės investicijų ir Daugiabučių atnaujinimo (modernizavimo) programas</w:t>
      </w:r>
      <w:r w:rsidRPr="002142B8">
        <w:rPr>
          <w:rFonts w:ascii="Georgia" w:eastAsia="Calibri" w:hAnsi="Georgia" w:cs="Arial"/>
          <w:sz w:val="20"/>
          <w:szCs w:val="20"/>
          <w:vertAlign w:val="superscript"/>
          <w:lang w:val="lt-LT"/>
        </w:rPr>
        <w:footnoteReference w:id="72"/>
      </w:r>
      <w:r w:rsidRPr="002142B8">
        <w:rPr>
          <w:rFonts w:ascii="Georgia" w:eastAsia="Calibri" w:hAnsi="Georgia" w:cs="Arial"/>
          <w:sz w:val="20"/>
          <w:szCs w:val="20"/>
          <w:lang w:val="lt-LT"/>
        </w:rPr>
        <w:t>.</w:t>
      </w:r>
    </w:p>
    <w:p w14:paraId="757BC773" w14:textId="77777777"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Produktai</w:t>
      </w:r>
    </w:p>
    <w:p w14:paraId="289F79F2" w14:textId="0E1D5ADF"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Bankas savo klientams siūlo ilgalaikes paskolas ir garantijas. Atsižvelgiant į </w:t>
      </w:r>
      <w:r w:rsidR="0011549E" w:rsidRPr="002142B8">
        <w:rPr>
          <w:rFonts w:ascii="Georgia" w:eastAsia="Calibri" w:hAnsi="Georgia" w:cs="Arial"/>
          <w:sz w:val="20"/>
          <w:szCs w:val="20"/>
          <w:lang w:val="lt-LT"/>
        </w:rPr>
        <w:t xml:space="preserve">ŠIB </w:t>
      </w:r>
      <w:r w:rsidRPr="002142B8">
        <w:rPr>
          <w:rFonts w:ascii="Georgia" w:eastAsia="Calibri" w:hAnsi="Georgia" w:cs="Arial"/>
          <w:sz w:val="20"/>
          <w:szCs w:val="20"/>
          <w:lang w:val="lt-LT"/>
        </w:rPr>
        <w:t xml:space="preserve">misiją, visi banko finansuojami projektai privalo prisidėti prie konkurencingumo stiprinimo ir / arba aplinkos tausojimo, t.y. dviejų pagrindinių </w:t>
      </w:r>
      <w:r w:rsidR="0011549E" w:rsidRPr="002142B8">
        <w:rPr>
          <w:rFonts w:ascii="Georgia" w:eastAsia="Calibri" w:hAnsi="Georgia" w:cs="Arial"/>
          <w:sz w:val="20"/>
          <w:szCs w:val="20"/>
          <w:lang w:val="lt-LT"/>
        </w:rPr>
        <w:t xml:space="preserve">ŠIB </w:t>
      </w:r>
      <w:r w:rsidRPr="002142B8">
        <w:rPr>
          <w:rFonts w:ascii="Georgia" w:eastAsia="Calibri" w:hAnsi="Georgia" w:cs="Arial"/>
          <w:sz w:val="20"/>
          <w:szCs w:val="20"/>
          <w:lang w:val="lt-LT"/>
        </w:rPr>
        <w:t>strateginių tikslų.</w:t>
      </w:r>
    </w:p>
    <w:p w14:paraId="0915F370" w14:textId="67EB7D21" w:rsidR="006977C2" w:rsidRPr="00E9238D" w:rsidRDefault="006977C2" w:rsidP="006977C2">
      <w:pPr>
        <w:keepNext/>
        <w:spacing w:line="240" w:lineRule="auto"/>
        <w:rPr>
          <w:rFonts w:ascii="Georgia" w:eastAsia="PMingLiU" w:hAnsi="Georgia" w:cs="Arial"/>
          <w:bCs/>
          <w:i/>
          <w:color w:val="A32020"/>
          <w:sz w:val="20"/>
          <w:szCs w:val="20"/>
          <w:lang w:val="lt-LT"/>
        </w:rPr>
      </w:pPr>
      <w:bookmarkStart w:id="124" w:name="_Toc507939152"/>
      <w:r w:rsidRPr="00E9238D">
        <w:rPr>
          <w:rFonts w:ascii="Georgia" w:eastAsia="PMingLiU" w:hAnsi="Georgia" w:cs="Times New Roman"/>
          <w:bCs/>
          <w:i/>
          <w:color w:val="A32020"/>
          <w:sz w:val="20"/>
          <w:szCs w:val="18"/>
          <w:lang w:val="lt-LT"/>
        </w:rPr>
        <w:t xml:space="preserve">Lentelė </w:t>
      </w:r>
      <w:r w:rsidRPr="00E9238D">
        <w:rPr>
          <w:rFonts w:ascii="Georgia" w:eastAsia="PMingLiU" w:hAnsi="Georgia" w:cs="Times New Roman"/>
          <w:bCs/>
          <w:i/>
          <w:color w:val="A32020"/>
          <w:sz w:val="20"/>
          <w:szCs w:val="18"/>
          <w:lang w:val="lt-LT"/>
        </w:rPr>
        <w:fldChar w:fldCharType="begin"/>
      </w:r>
      <w:r w:rsidRPr="00E9238D">
        <w:rPr>
          <w:rFonts w:ascii="Georgia" w:eastAsia="PMingLiU" w:hAnsi="Georgia" w:cs="Times New Roman"/>
          <w:bCs/>
          <w:i/>
          <w:color w:val="A32020"/>
          <w:sz w:val="20"/>
          <w:szCs w:val="18"/>
          <w:lang w:val="lt-LT"/>
        </w:rPr>
        <w:instrText xml:space="preserve"> SEQ Lentelė \* ARABIC </w:instrText>
      </w:r>
      <w:r w:rsidRPr="00E9238D">
        <w:rPr>
          <w:rFonts w:ascii="Georgia" w:eastAsia="PMingLiU" w:hAnsi="Georgia" w:cs="Times New Roman"/>
          <w:bCs/>
          <w:i/>
          <w:color w:val="A32020"/>
          <w:sz w:val="20"/>
          <w:szCs w:val="18"/>
          <w:lang w:val="lt-LT"/>
        </w:rPr>
        <w:fldChar w:fldCharType="separate"/>
      </w:r>
      <w:r w:rsidR="009652A6">
        <w:rPr>
          <w:rFonts w:ascii="Georgia" w:eastAsia="PMingLiU" w:hAnsi="Georgia" w:cs="Times New Roman"/>
          <w:bCs/>
          <w:i/>
          <w:noProof/>
          <w:color w:val="A32020"/>
          <w:sz w:val="20"/>
          <w:szCs w:val="18"/>
          <w:lang w:val="lt-LT"/>
        </w:rPr>
        <w:t>30</w:t>
      </w:r>
      <w:r w:rsidRPr="00E9238D">
        <w:rPr>
          <w:rFonts w:ascii="Georgia" w:eastAsia="PMingLiU" w:hAnsi="Georgia" w:cs="Times New Roman"/>
          <w:bCs/>
          <w:i/>
          <w:color w:val="A32020"/>
          <w:sz w:val="20"/>
          <w:szCs w:val="18"/>
          <w:lang w:val="lt-LT"/>
        </w:rPr>
        <w:fldChar w:fldCharType="end"/>
      </w:r>
      <w:r w:rsidRPr="00E9238D">
        <w:rPr>
          <w:rFonts w:ascii="Georgia" w:eastAsia="PMingLiU" w:hAnsi="Georgia" w:cs="Times New Roman"/>
          <w:bCs/>
          <w:i/>
          <w:color w:val="A32020"/>
          <w:sz w:val="20"/>
          <w:szCs w:val="18"/>
          <w:lang w:val="lt-LT"/>
        </w:rPr>
        <w:t xml:space="preserve">. </w:t>
      </w:r>
      <w:r w:rsidR="0011549E" w:rsidRPr="00E9238D">
        <w:rPr>
          <w:rFonts w:ascii="Georgia" w:eastAsia="PMingLiU" w:hAnsi="Georgia" w:cs="Times New Roman"/>
          <w:bCs/>
          <w:i/>
          <w:color w:val="A32020"/>
          <w:sz w:val="20"/>
          <w:szCs w:val="18"/>
          <w:lang w:val="lt-LT"/>
        </w:rPr>
        <w:t xml:space="preserve">ŠIB </w:t>
      </w:r>
      <w:r w:rsidRPr="00E9238D">
        <w:rPr>
          <w:rFonts w:ascii="Georgia" w:eastAsia="PMingLiU" w:hAnsi="Georgia" w:cs="Times New Roman"/>
          <w:bCs/>
          <w:i/>
          <w:color w:val="A32020"/>
          <w:sz w:val="20"/>
          <w:szCs w:val="18"/>
          <w:lang w:val="lt-LT"/>
        </w:rPr>
        <w:t>siūlomų finansinių produktų sąlygos</w:t>
      </w:r>
      <w:bookmarkEnd w:id="124"/>
    </w:p>
    <w:tbl>
      <w:tblPr>
        <w:tblStyle w:val="3vidutinistinklelis2parykinimas"/>
        <w:tblW w:w="5000" w:type="pct"/>
        <w:tblLook w:val="04A0" w:firstRow="1" w:lastRow="0" w:firstColumn="1" w:lastColumn="0" w:noHBand="0" w:noVBand="1"/>
      </w:tblPr>
      <w:tblGrid>
        <w:gridCol w:w="4414"/>
        <w:gridCol w:w="4828"/>
      </w:tblGrid>
      <w:tr w:rsidR="006977C2" w:rsidRPr="002142B8" w14:paraId="7807DD1C" w14:textId="77777777" w:rsidTr="005B31C6">
        <w:trPr>
          <w:cnfStyle w:val="100000000000" w:firstRow="1" w:lastRow="0" w:firstColumn="0" w:lastColumn="0" w:oddVBand="0" w:evenVBand="0" w:oddHBand="0" w:evenHBand="0" w:firstRowFirstColumn="0" w:firstRowLastColumn="0" w:lastRowFirstColumn="0" w:lastRowLastColumn="0"/>
          <w:cantSplit/>
          <w:trHeight w:val="329"/>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2A28BDD8" w14:textId="77777777" w:rsidR="006977C2" w:rsidRPr="002142B8" w:rsidRDefault="006977C2" w:rsidP="006977C2">
            <w:pPr>
              <w:jc w:val="center"/>
              <w:rPr>
                <w:rFonts w:ascii="Georgia" w:eastAsia="Calibri" w:hAnsi="Georgia" w:cs="Arial"/>
                <w:bCs w:val="0"/>
                <w:color w:val="FFFFFF"/>
                <w:sz w:val="20"/>
                <w:szCs w:val="20"/>
                <w:lang w:val="lt-LT"/>
              </w:rPr>
            </w:pPr>
            <w:r w:rsidRPr="002142B8">
              <w:rPr>
                <w:rFonts w:ascii="Georgia" w:eastAsia="Calibri" w:hAnsi="Georgia" w:cs="Arial"/>
                <w:sz w:val="20"/>
                <w:szCs w:val="20"/>
                <w:lang w:val="lt-LT"/>
              </w:rPr>
              <w:t>Paskolos sąlygos</w:t>
            </w:r>
          </w:p>
        </w:tc>
      </w:tr>
      <w:tr w:rsidR="006977C2" w:rsidRPr="002142B8" w14:paraId="05CB8E89"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0BA6C9D"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Tikslinė grupė</w:t>
            </w:r>
          </w:p>
        </w:tc>
        <w:tc>
          <w:tcPr>
            <w:tcW w:w="0" w:type="pct"/>
            <w:shd w:val="clear" w:color="auto" w:fill="FFECC0"/>
            <w:hideMark/>
          </w:tcPr>
          <w:p w14:paraId="6AE59D2C"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bankas teikia paskolas ir garantijas privataus ir viešojo sektoriaus įmonėms, vyriausybėms, savivaldybėms ir finansų įstaigoms.</w:t>
            </w:r>
          </w:p>
        </w:tc>
      </w:tr>
      <w:tr w:rsidR="006977C2" w:rsidRPr="002142B8" w14:paraId="0236DD43"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D27C075"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90F4C87"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banko paskolos yra naudojamos finansuoti dideliems projektams, kurių bendra vertė yra didesnė nei 50 mln. EUR. MVĮ bankas finansuoja per tarpininkus;</w:t>
            </w:r>
          </w:p>
          <w:p w14:paraId="4AF7B2FB"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dydis yra 10-100 mln. EUR;</w:t>
            </w:r>
          </w:p>
          <w:p w14:paraId="1B9A1C28"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paskola ar garantija paprastai neturi viršyti 50 proc. bendros projekto vertės.</w:t>
            </w:r>
          </w:p>
        </w:tc>
      </w:tr>
      <w:tr w:rsidR="006977C2" w:rsidRPr="002142B8" w14:paraId="5184D6D3"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DD305B2"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lastRenderedPageBreak/>
              <w:t>Palūkanų norma</w:t>
            </w:r>
          </w:p>
        </w:tc>
        <w:tc>
          <w:tcPr>
            <w:tcW w:w="0" w:type="pct"/>
            <w:shd w:val="clear" w:color="auto" w:fill="FFECC0"/>
            <w:hideMark/>
          </w:tcPr>
          <w:p w14:paraId="738E3389"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konkurencinga, įvertinus rinkos situaciją;</w:t>
            </w:r>
          </w:p>
          <w:p w14:paraId="315C169E" w14:textId="6591D7A4" w:rsidR="006977C2" w:rsidRPr="002142B8" w:rsidRDefault="00860DE5"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Pr>
                <w:rFonts w:ascii="Georgia" w:eastAsia="Calibri" w:hAnsi="Georgia" w:cs="Arial"/>
                <w:sz w:val="20"/>
                <w:szCs w:val="20"/>
                <w:lang w:val="lt-LT"/>
              </w:rPr>
              <w:t>Š</w:t>
            </w:r>
            <w:r w:rsidR="006977C2" w:rsidRPr="002142B8">
              <w:rPr>
                <w:rFonts w:ascii="Georgia" w:eastAsia="Calibri" w:hAnsi="Georgia" w:cs="Arial"/>
                <w:sz w:val="20"/>
                <w:szCs w:val="20"/>
                <w:lang w:val="lt-LT"/>
              </w:rPr>
              <w:t xml:space="preserve">IB siūlo paskolas ir garantijas komerciškai pagrįstomis bankininkystės sąlygomis, t.y. be subsidijos elemento; </w:t>
            </w:r>
            <w:r>
              <w:rPr>
                <w:rFonts w:ascii="Georgia" w:eastAsia="Calibri" w:hAnsi="Georgia" w:cs="Arial"/>
                <w:sz w:val="20"/>
                <w:szCs w:val="20"/>
                <w:lang w:val="lt-LT"/>
              </w:rPr>
              <w:t>ŠIB</w:t>
            </w:r>
            <w:r w:rsidRPr="002142B8">
              <w:rPr>
                <w:rFonts w:ascii="Georgia" w:eastAsia="Calibri" w:hAnsi="Georgia" w:cs="Arial"/>
                <w:sz w:val="20"/>
                <w:szCs w:val="20"/>
                <w:lang w:val="lt-LT"/>
              </w:rPr>
              <w:t xml:space="preserve"> </w:t>
            </w:r>
            <w:r w:rsidR="006977C2" w:rsidRPr="002142B8">
              <w:rPr>
                <w:rFonts w:ascii="Georgia" w:eastAsia="Calibri" w:hAnsi="Georgia" w:cs="Arial"/>
                <w:sz w:val="20"/>
                <w:szCs w:val="20"/>
                <w:lang w:val="lt-LT"/>
              </w:rPr>
              <w:t>nekonkuruoja su privačiais bankais;</w:t>
            </w:r>
          </w:p>
          <w:p w14:paraId="34DC6B03" w14:textId="5B063832" w:rsidR="006977C2" w:rsidRPr="002142B8" w:rsidRDefault="00860DE5"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Pr>
                <w:rFonts w:ascii="Georgia" w:eastAsia="Calibri" w:hAnsi="Georgia" w:cs="Arial"/>
                <w:sz w:val="20"/>
                <w:szCs w:val="20"/>
                <w:lang w:val="lt-LT"/>
              </w:rPr>
              <w:t>ŠIB</w:t>
            </w:r>
            <w:r w:rsidRPr="002142B8">
              <w:rPr>
                <w:rFonts w:ascii="Georgia" w:eastAsia="Calibri" w:hAnsi="Georgia" w:cs="Arial"/>
                <w:sz w:val="20"/>
                <w:szCs w:val="20"/>
                <w:lang w:val="lt-LT"/>
              </w:rPr>
              <w:t xml:space="preserve"> </w:t>
            </w:r>
            <w:r w:rsidR="006977C2" w:rsidRPr="002142B8">
              <w:rPr>
                <w:rFonts w:ascii="Georgia" w:eastAsia="Calibri" w:hAnsi="Georgia" w:cs="Arial"/>
                <w:sz w:val="20"/>
                <w:szCs w:val="20"/>
                <w:lang w:val="lt-LT"/>
              </w:rPr>
              <w:t>neteikia subsidijų ar finansinės paramos;</w:t>
            </w:r>
          </w:p>
          <w:p w14:paraId="0702341A"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fiksuota arba kintančia palūkanų norma;</w:t>
            </w:r>
          </w:p>
          <w:p w14:paraId="7A956D08" w14:textId="4FFF8DE9" w:rsidR="006977C2" w:rsidRPr="002142B8" w:rsidRDefault="00860DE5"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Pr>
                <w:rFonts w:ascii="Georgia" w:eastAsia="Calibri" w:hAnsi="Georgia" w:cs="Arial"/>
                <w:sz w:val="20"/>
                <w:szCs w:val="20"/>
                <w:lang w:val="lt-LT"/>
              </w:rPr>
              <w:t>ŠIB</w:t>
            </w:r>
            <w:r w:rsidRPr="002142B8">
              <w:rPr>
                <w:rFonts w:ascii="Georgia" w:eastAsia="Calibri" w:hAnsi="Georgia" w:cs="Arial"/>
                <w:sz w:val="20"/>
                <w:szCs w:val="20"/>
                <w:lang w:val="lt-LT"/>
              </w:rPr>
              <w:t xml:space="preserve"> </w:t>
            </w:r>
            <w:r w:rsidR="006977C2" w:rsidRPr="002142B8">
              <w:rPr>
                <w:rFonts w:ascii="Georgia" w:eastAsia="Calibri" w:hAnsi="Georgia" w:cs="Arial"/>
                <w:sz w:val="20"/>
                <w:szCs w:val="20"/>
                <w:lang w:val="lt-LT"/>
              </w:rPr>
              <w:t xml:space="preserve">siekia papildyti kitus finansinius šaltinius ir sukurti pridėtinę vertę per ilgalaikį finansavimą ir tarptautinės finansų įstaigos statusą. </w:t>
            </w:r>
          </w:p>
        </w:tc>
      </w:tr>
      <w:tr w:rsidR="006977C2" w:rsidRPr="002142B8" w14:paraId="6C7CB91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70322D7F"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500860F7"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klientas gali rinktis tarp pagrindinių konvertuojamų valiutų.</w:t>
            </w:r>
          </w:p>
        </w:tc>
      </w:tr>
      <w:tr w:rsidR="006977C2" w:rsidRPr="002142B8" w14:paraId="3E96D1AF"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7D4E379"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Trukmė</w:t>
            </w:r>
          </w:p>
        </w:tc>
        <w:tc>
          <w:tcPr>
            <w:tcW w:w="0" w:type="pct"/>
            <w:shd w:val="clear" w:color="auto" w:fill="FFECC0"/>
            <w:hideMark/>
          </w:tcPr>
          <w:p w14:paraId="0D275D38"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suteikiamos turto, sukurto projekto metu, naudingo ekonominio gyvavimo laikotarpiui arba sutarčių, užtikrinančių finansavimą, laikotarpiui;</w:t>
            </w:r>
          </w:p>
          <w:p w14:paraId="3A2FF307"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paskolos trukmė gali siekti iki 25-30 metų, pvz.:</w:t>
            </w:r>
          </w:p>
          <w:p w14:paraId="5C8B2A89" w14:textId="77777777" w:rsidR="006977C2" w:rsidRPr="002142B8"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vyriausybėms teikiamoms paskoloms arba paskoloms, garantuotoms valstybės (15-25 metų);</w:t>
            </w:r>
          </w:p>
          <w:p w14:paraId="61EB9F30" w14:textId="77777777" w:rsidR="006977C2" w:rsidRPr="002142B8"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paskoloms verslui (5-15 metų);</w:t>
            </w:r>
          </w:p>
          <w:p w14:paraId="2746D0FA" w14:textId="77777777" w:rsidR="006977C2" w:rsidRPr="002142B8"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VPSP projektams (5-15 metų);</w:t>
            </w:r>
          </w:p>
          <w:p w14:paraId="62CBC6CF" w14:textId="77777777" w:rsidR="006977C2" w:rsidRPr="002142B8" w:rsidRDefault="006977C2" w:rsidP="00162BF5">
            <w:pPr>
              <w:numPr>
                <w:ilvl w:val="0"/>
                <w:numId w:val="10"/>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MVĮ finansavimui per finansinius tarpininkus (5-12 metų)</w:t>
            </w:r>
          </w:p>
        </w:tc>
      </w:tr>
      <w:tr w:rsidR="006977C2" w:rsidRPr="002142B8" w14:paraId="1724E2BE"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AF70249"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Atidėjimo laikotarpis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11F90F3"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atidėjimo laikotarpio galimybė analizuojama konkretaus projekto atveju;</w:t>
            </w:r>
          </w:p>
          <w:p w14:paraId="2308795E"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atidėjimo laikotarpis iki 5 m.</w:t>
            </w:r>
          </w:p>
        </w:tc>
      </w:tr>
      <w:tr w:rsidR="006977C2" w:rsidRPr="002142B8" w14:paraId="5260F688"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7D1B5375"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Lėšų panaudojimo apribojimai</w:t>
            </w:r>
          </w:p>
        </w:tc>
        <w:tc>
          <w:tcPr>
            <w:tcW w:w="0" w:type="pct"/>
            <w:shd w:val="clear" w:color="auto" w:fill="FFECC0"/>
            <w:hideMark/>
          </w:tcPr>
          <w:p w14:paraId="1C5DB7CD"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paskolų lėšos gali būti naudojamos bet kokiems su projektu susijusiems kaštams padengti.</w:t>
            </w:r>
          </w:p>
        </w:tc>
      </w:tr>
      <w:tr w:rsidR="006977C2" w:rsidRPr="002142B8" w14:paraId="12C9C09A"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CDEAF0C"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Specifiniai reikalavimai projektų turiniui</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5EE51ED"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paskolos teikiamos tik projektams, kurie stiprina konkurencingumą ir tausoja aplinką.</w:t>
            </w:r>
          </w:p>
        </w:tc>
      </w:tr>
      <w:tr w:rsidR="006977C2" w:rsidRPr="002142B8" w14:paraId="3832FE67" w14:textId="77777777" w:rsidTr="005B31C6">
        <w:trPr>
          <w:cnfStyle w:val="000000100000" w:firstRow="0" w:lastRow="0" w:firstColumn="0" w:lastColumn="0" w:oddVBand="0" w:evenVBand="0" w:oddHBand="1"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vAlign w:val="center"/>
            <w:hideMark/>
          </w:tcPr>
          <w:p w14:paraId="60EE7CB4" w14:textId="77777777" w:rsidR="006977C2" w:rsidRPr="002142B8" w:rsidRDefault="006977C2" w:rsidP="006977C2">
            <w:pPr>
              <w:contextualSpacing/>
              <w:jc w:val="center"/>
              <w:rPr>
                <w:rFonts w:ascii="Georgia" w:eastAsia="Calibri" w:hAnsi="Georgia" w:cs="Arial"/>
                <w:bCs w:val="0"/>
                <w:color w:val="FFFFFF"/>
                <w:sz w:val="20"/>
                <w:szCs w:val="20"/>
                <w:lang w:val="lt-LT"/>
              </w:rPr>
            </w:pPr>
            <w:r w:rsidRPr="002142B8">
              <w:rPr>
                <w:rFonts w:ascii="Georgia" w:eastAsia="Calibri" w:hAnsi="Georgia" w:cs="Arial"/>
                <w:color w:val="auto"/>
                <w:sz w:val="20"/>
                <w:szCs w:val="20"/>
                <w:lang w:val="lt-LT"/>
              </w:rPr>
              <w:t>Mokesčiai ir rinkliavos</w:t>
            </w:r>
          </w:p>
        </w:tc>
      </w:tr>
      <w:tr w:rsidR="006977C2" w:rsidRPr="002142B8" w14:paraId="4B35041A"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756764F"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Banko marža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6B0573B6" w14:textId="77777777" w:rsidR="006977C2" w:rsidRPr="002142B8" w:rsidRDefault="006977C2"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nėra informacijos.</w:t>
            </w:r>
          </w:p>
        </w:tc>
      </w:tr>
      <w:tr w:rsidR="006977C2" w:rsidRPr="002142B8" w14:paraId="7D8A054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BEB445E"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Papildomi mokesčiai</w:t>
            </w:r>
          </w:p>
        </w:tc>
        <w:tc>
          <w:tcPr>
            <w:tcW w:w="0" w:type="pct"/>
            <w:shd w:val="clear" w:color="auto" w:fill="FFECC0"/>
            <w:hideMark/>
          </w:tcPr>
          <w:p w14:paraId="1BAAABB5"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mokesčiai apima </w:t>
            </w:r>
            <w:r w:rsidRPr="002142B8">
              <w:rPr>
                <w:rFonts w:ascii="Georgia" w:eastAsia="Calibri" w:hAnsi="Georgia" w:cs="Arial"/>
                <w:i/>
                <w:sz w:val="20"/>
                <w:szCs w:val="20"/>
                <w:lang w:val="lt-LT"/>
              </w:rPr>
              <w:t>inter alia</w:t>
            </w:r>
            <w:r w:rsidRPr="002142B8">
              <w:rPr>
                <w:rFonts w:ascii="Georgia" w:eastAsia="Calibri" w:hAnsi="Georgia" w:cs="Arial"/>
                <w:sz w:val="20"/>
                <w:szCs w:val="20"/>
                <w:lang w:val="lt-LT"/>
              </w:rPr>
              <w:t xml:space="preserve"> įsipareigojimų ir parengimo mokesčius.</w:t>
            </w:r>
          </w:p>
        </w:tc>
      </w:tr>
      <w:tr w:rsidR="006977C2" w:rsidRPr="002142B8" w14:paraId="09DB5C6E" w14:textId="77777777" w:rsidTr="005B31C6">
        <w:trPr>
          <w:cantSplit/>
          <w:trHeight w:val="323"/>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vAlign w:val="center"/>
            <w:hideMark/>
          </w:tcPr>
          <w:p w14:paraId="32F8B242" w14:textId="77777777" w:rsidR="006977C2" w:rsidRPr="002142B8" w:rsidRDefault="006977C2" w:rsidP="006977C2">
            <w:pPr>
              <w:jc w:val="center"/>
              <w:rPr>
                <w:rFonts w:ascii="Georgia" w:eastAsia="Calibri" w:hAnsi="Georgia" w:cs="Arial"/>
                <w:bCs w:val="0"/>
                <w:color w:val="FFFFFF"/>
                <w:sz w:val="20"/>
                <w:szCs w:val="20"/>
                <w:lang w:val="lt-LT"/>
              </w:rPr>
            </w:pPr>
            <w:r w:rsidRPr="002142B8">
              <w:rPr>
                <w:rFonts w:ascii="Georgia" w:eastAsia="Calibri" w:hAnsi="Georgia" w:cs="Arial"/>
                <w:color w:val="auto"/>
                <w:sz w:val="20"/>
                <w:szCs w:val="20"/>
                <w:lang w:val="lt-LT"/>
              </w:rPr>
              <w:t>Kitos paskolos sąlygos</w:t>
            </w:r>
          </w:p>
        </w:tc>
      </w:tr>
      <w:tr w:rsidR="006977C2" w:rsidRPr="002142B8" w14:paraId="7E59473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F75A241"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Paskolos užtikrinimas</w:t>
            </w:r>
          </w:p>
        </w:tc>
        <w:tc>
          <w:tcPr>
            <w:tcW w:w="0" w:type="pct"/>
            <w:shd w:val="clear" w:color="auto" w:fill="FFECC0"/>
            <w:hideMark/>
          </w:tcPr>
          <w:p w14:paraId="1EDE7D98" w14:textId="77777777" w:rsidR="006977C2" w:rsidRPr="002142B8" w:rsidRDefault="006977C2"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negalima išskirti specifinių paskolos užtikrinimo priemonių, kurių reikalauja bankas. Vertinimas atliekamas konkrečiam projektui ir remiantis šio vertinimo rezultatais reikalaujama adekvačių paskolos užtikrinimo priemonių;</w:t>
            </w:r>
          </w:p>
          <w:p w14:paraId="5884EBDC" w14:textId="41F9BC94" w:rsidR="006977C2" w:rsidRPr="002142B8" w:rsidRDefault="00860DE5" w:rsidP="00162BF5">
            <w:pPr>
              <w:numPr>
                <w:ilvl w:val="0"/>
                <w:numId w:val="10"/>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Pr>
                <w:rFonts w:ascii="Georgia" w:eastAsia="Calibri" w:hAnsi="Georgia" w:cs="Arial"/>
                <w:sz w:val="20"/>
                <w:szCs w:val="20"/>
                <w:lang w:val="lt-LT"/>
              </w:rPr>
              <w:t xml:space="preserve">ŠIB </w:t>
            </w:r>
            <w:r w:rsidR="006977C2" w:rsidRPr="002142B8">
              <w:rPr>
                <w:rFonts w:ascii="Georgia" w:eastAsia="Calibri" w:hAnsi="Georgia" w:cs="Arial"/>
                <w:sz w:val="20"/>
                <w:szCs w:val="20"/>
                <w:lang w:val="lt-LT"/>
              </w:rPr>
              <w:t>gali suteikti ir paskolas be užstato sandorio šalims, jei jos turi pakankamą kreditingumą. Tokiu atveju bankas reikalauja papildomų susitarimų tarp sandorio šalių, kurie įtraukiami į paskolos dokumentų paketą.</w:t>
            </w:r>
          </w:p>
        </w:tc>
      </w:tr>
      <w:tr w:rsidR="006977C2" w:rsidRPr="002142B8" w14:paraId="2E3043FB"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hideMark/>
          </w:tcPr>
          <w:p w14:paraId="420ED3B7"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Techninė pagalba</w:t>
            </w:r>
          </w:p>
        </w:tc>
        <w:tc>
          <w:tcPr>
            <w:tcW w:w="0" w:type="pct"/>
            <w:tcBorders>
              <w:top w:val="single" w:sz="6" w:space="0" w:color="FFFFFF"/>
              <w:left w:val="single" w:sz="6" w:space="0" w:color="FFFFFF"/>
              <w:bottom w:val="single" w:sz="8" w:space="0" w:color="FFFFFF"/>
              <w:right w:val="single" w:sz="8" w:space="0" w:color="FFFFFF"/>
            </w:tcBorders>
            <w:shd w:val="clear" w:color="auto" w:fill="FFECC0"/>
            <w:hideMark/>
          </w:tcPr>
          <w:p w14:paraId="4DDCE454" w14:textId="1B4C6D09" w:rsidR="006977C2" w:rsidRPr="002142B8" w:rsidRDefault="00860DE5" w:rsidP="00162BF5">
            <w:pPr>
              <w:numPr>
                <w:ilvl w:val="0"/>
                <w:numId w:val="10"/>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Pr>
                <w:rFonts w:ascii="Georgia" w:eastAsia="Calibri" w:hAnsi="Georgia" w:cs="Arial"/>
                <w:sz w:val="20"/>
                <w:szCs w:val="20"/>
                <w:lang w:val="lt-LT"/>
              </w:rPr>
              <w:t xml:space="preserve">ŠIB </w:t>
            </w:r>
            <w:r w:rsidR="006977C2" w:rsidRPr="002142B8">
              <w:rPr>
                <w:rFonts w:ascii="Georgia" w:eastAsia="Calibri" w:hAnsi="Georgia" w:cs="Arial"/>
                <w:sz w:val="20"/>
                <w:szCs w:val="20"/>
                <w:lang w:val="lt-LT"/>
              </w:rPr>
              <w:t>gali padėti savo klientams su projekto ir struktūrizuotu finansavimu, pavyzdžiui, naudojant viešojo ir privataus sektoriaus partnerystės modelį.</w:t>
            </w:r>
          </w:p>
        </w:tc>
      </w:tr>
    </w:tbl>
    <w:p w14:paraId="0CACC961" w14:textId="77777777" w:rsidR="006977C2" w:rsidRPr="002142B8" w:rsidRDefault="006977C2" w:rsidP="006977C2">
      <w:pPr>
        <w:keepNext/>
        <w:spacing w:line="240" w:lineRule="auto"/>
        <w:rPr>
          <w:rFonts w:ascii="Georgia" w:eastAsia="PMingLiU" w:hAnsi="Georgia" w:cs="Arial"/>
          <w:bCs/>
          <w:i/>
          <w:sz w:val="20"/>
          <w:szCs w:val="18"/>
          <w:lang w:val="lt-LT"/>
        </w:rPr>
      </w:pPr>
      <w:r w:rsidRPr="002142B8">
        <w:rPr>
          <w:rFonts w:ascii="Georgia" w:eastAsia="PMingLiU" w:hAnsi="Georgia" w:cs="Arial"/>
          <w:bCs/>
          <w:i/>
          <w:sz w:val="20"/>
          <w:szCs w:val="18"/>
          <w:lang w:val="lt-LT"/>
        </w:rPr>
        <w:t xml:space="preserve">Šaltinis: Paskolų sąlygos </w:t>
      </w:r>
      <w:r w:rsidRPr="002142B8">
        <w:rPr>
          <w:rFonts w:ascii="Georgia" w:eastAsia="PMingLiU" w:hAnsi="Georgia" w:cs="Arial"/>
          <w:bCs/>
          <w:i/>
          <w:sz w:val="20"/>
          <w:szCs w:val="18"/>
          <w:vertAlign w:val="superscript"/>
          <w:lang w:val="lt-LT"/>
        </w:rPr>
        <w:footnoteReference w:id="73"/>
      </w:r>
    </w:p>
    <w:p w14:paraId="380CFE00" w14:textId="77777777" w:rsidR="00BB79B7" w:rsidRDefault="00BB79B7">
      <w:pPr>
        <w:rPr>
          <w:rFonts w:ascii="Georgia" w:eastAsia="Calibri" w:hAnsi="Georgia" w:cs="DokChampa"/>
          <w:b/>
          <w:sz w:val="20"/>
          <w:szCs w:val="20"/>
          <w:lang w:val="lt-LT"/>
        </w:rPr>
      </w:pPr>
      <w:r>
        <w:rPr>
          <w:rFonts w:ascii="Georgia" w:eastAsia="Calibri" w:hAnsi="Georgia" w:cs="DokChampa"/>
          <w:b/>
          <w:sz w:val="20"/>
          <w:szCs w:val="20"/>
          <w:lang w:val="lt-LT"/>
        </w:rPr>
        <w:br w:type="page"/>
      </w:r>
    </w:p>
    <w:p w14:paraId="5BB655DE" w14:textId="00221F07" w:rsidR="006977C2" w:rsidRPr="002142B8" w:rsidRDefault="006977C2" w:rsidP="006977C2">
      <w:pPr>
        <w:rPr>
          <w:rFonts w:ascii="Georgia" w:eastAsia="Calibri" w:hAnsi="Georgia" w:cs="DokChampa"/>
          <w:b/>
          <w:sz w:val="20"/>
          <w:szCs w:val="20"/>
          <w:lang w:val="lt-LT"/>
        </w:rPr>
      </w:pPr>
      <w:r w:rsidRPr="002142B8">
        <w:rPr>
          <w:rFonts w:ascii="Georgia" w:eastAsia="Calibri" w:hAnsi="Georgia" w:cs="DokChampa"/>
          <w:b/>
          <w:sz w:val="20"/>
          <w:szCs w:val="20"/>
          <w:lang w:val="lt-LT"/>
        </w:rPr>
        <w:lastRenderedPageBreak/>
        <w:t>Kiti produktai</w:t>
      </w:r>
    </w:p>
    <w:p w14:paraId="7D09185C" w14:textId="33CB5EF5" w:rsidR="006977C2" w:rsidRPr="002142B8" w:rsidRDefault="006977C2" w:rsidP="00D219AD">
      <w:pPr>
        <w:jc w:val="both"/>
        <w:rPr>
          <w:rFonts w:ascii="Georgia" w:eastAsia="PMingLiU" w:hAnsi="Georgia" w:cs="Times New Roman"/>
          <w:b/>
          <w:sz w:val="20"/>
          <w:szCs w:val="20"/>
          <w:lang w:val="lt-LT"/>
        </w:rPr>
      </w:pPr>
      <w:r w:rsidRPr="002142B8">
        <w:rPr>
          <w:rFonts w:ascii="Georgia" w:eastAsia="Calibri" w:hAnsi="Georgia" w:cs="DokChampa"/>
          <w:sz w:val="20"/>
          <w:szCs w:val="20"/>
          <w:lang w:val="lt-LT"/>
        </w:rPr>
        <w:t xml:space="preserve">2016 m. </w:t>
      </w:r>
      <w:r w:rsidR="00640AE3">
        <w:rPr>
          <w:rFonts w:ascii="Georgia" w:eastAsia="Calibri" w:hAnsi="Georgia" w:cs="DokChampa"/>
          <w:sz w:val="20"/>
          <w:szCs w:val="20"/>
          <w:lang w:val="lt-LT"/>
        </w:rPr>
        <w:t>ŠIB</w:t>
      </w:r>
      <w:r w:rsidR="00640AE3" w:rsidRPr="002142B8">
        <w:rPr>
          <w:rFonts w:ascii="Georgia" w:eastAsia="Calibri" w:hAnsi="Georgia" w:cs="DokChampa"/>
          <w:sz w:val="20"/>
          <w:szCs w:val="20"/>
          <w:lang w:val="lt-LT"/>
        </w:rPr>
        <w:t xml:space="preserve"> </w:t>
      </w:r>
      <w:r w:rsidRPr="002142B8">
        <w:rPr>
          <w:rFonts w:ascii="Georgia" w:eastAsia="Calibri" w:hAnsi="Georgia" w:cs="DokChampa"/>
          <w:sz w:val="20"/>
          <w:szCs w:val="20"/>
          <w:lang w:val="lt-LT"/>
        </w:rPr>
        <w:t>pradėjo investicijas į žaliąsias obligacijas (ang</w:t>
      </w:r>
      <w:r w:rsidR="00D9139B" w:rsidRPr="002142B8">
        <w:rPr>
          <w:rFonts w:ascii="Georgia" w:eastAsia="Calibri" w:hAnsi="Georgia" w:cs="DokChampa"/>
          <w:sz w:val="20"/>
          <w:szCs w:val="20"/>
          <w:lang w:val="lt-LT"/>
        </w:rPr>
        <w:t>l</w:t>
      </w:r>
      <w:r w:rsidRPr="002142B8">
        <w:rPr>
          <w:rFonts w:ascii="Georgia" w:eastAsia="Calibri" w:hAnsi="Georgia" w:cs="DokChampa"/>
          <w:sz w:val="20"/>
          <w:szCs w:val="20"/>
          <w:lang w:val="lt-LT"/>
        </w:rPr>
        <w:t xml:space="preserve">. Green bond), išleidžiamas bendrovių ar savivaldybių. Tikslas - remti žaliųjų obligacijų rinkos plėtrą, finansuoti investicijas į aplinką. Šiuo tikslu buvo patvirtinta 500 mln. EUR investicija </w:t>
      </w:r>
      <w:r w:rsidRPr="002142B8">
        <w:rPr>
          <w:rFonts w:ascii="Georgia" w:eastAsia="Calibri" w:hAnsi="Georgia" w:cs="DokChampa"/>
          <w:sz w:val="20"/>
          <w:szCs w:val="20"/>
          <w:vertAlign w:val="superscript"/>
          <w:lang w:val="lt-LT"/>
        </w:rPr>
        <w:footnoteReference w:id="74"/>
      </w:r>
      <w:r w:rsidRPr="002142B8">
        <w:rPr>
          <w:rFonts w:ascii="Georgia" w:eastAsia="Calibri" w:hAnsi="Georgia" w:cs="DokChampa"/>
          <w:sz w:val="20"/>
          <w:szCs w:val="20"/>
          <w:lang w:val="lt-LT"/>
        </w:rPr>
        <w:t>.</w:t>
      </w:r>
      <w:r w:rsidRPr="002142B8">
        <w:rPr>
          <w:rFonts w:ascii="Georgia" w:eastAsia="Calibri" w:hAnsi="Georgia" w:cs="DokChampa"/>
          <w:b/>
          <w:sz w:val="20"/>
          <w:szCs w:val="20"/>
          <w:lang w:val="lt-LT"/>
        </w:rPr>
        <w:t xml:space="preserve"> </w:t>
      </w:r>
    </w:p>
    <w:p w14:paraId="60F88525" w14:textId="77777777" w:rsidR="006977C2" w:rsidRPr="002142B8"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5" w:name="_Toc25589912"/>
      <w:r w:rsidRPr="002142B8">
        <w:rPr>
          <w:rFonts w:ascii="Georgia" w:eastAsia="Times New Roman" w:hAnsi="Georgia" w:cs="Arial Unicode MS"/>
          <w:b/>
          <w:i/>
          <w:color w:val="821A1A"/>
          <w:sz w:val="32"/>
          <w:szCs w:val="26"/>
          <w:lang w:val="lt-LT"/>
        </w:rPr>
        <w:t>Europos investicijų bankas</w:t>
      </w:r>
      <w:bookmarkEnd w:id="125"/>
    </w:p>
    <w:p w14:paraId="3918C2DE"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EIB remia projektus, kurie reikšmingai prisideda prie ekonomikos augimo, užimtumo didinimo, ekonominės ir socialines sanglaudos ir aplinkos tvarumo Europoje ir už jos ribų. EIB yra svarbus instrumentas, skirtas padėti valstybėms atsigauti po ekonominės krizės.</w:t>
      </w:r>
    </w:p>
    <w:p w14:paraId="05F8A41B"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EIB teikia finansavimą žinių ekonomikos, TEN-T, konkurencingos ir saugios energetikos, MVĮ ir "</w:t>
      </w:r>
      <w:r w:rsidRPr="002142B8">
        <w:rPr>
          <w:rFonts w:ascii="Georgia" w:eastAsia="Calibri" w:hAnsi="Georgia" w:cs="Arial"/>
          <w:i/>
          <w:sz w:val="20"/>
          <w:szCs w:val="20"/>
          <w:lang w:val="lt-LT"/>
        </w:rPr>
        <w:t>mid-caps</w:t>
      </w:r>
      <w:r w:rsidRPr="002142B8">
        <w:rPr>
          <w:rFonts w:ascii="Georgia" w:eastAsia="Calibri" w:hAnsi="Georgia" w:cs="Arial"/>
          <w:sz w:val="20"/>
          <w:szCs w:val="20"/>
          <w:lang w:val="lt-LT"/>
        </w:rPr>
        <w:t>"</w:t>
      </w:r>
      <w:r w:rsidRPr="002142B8">
        <w:rPr>
          <w:rFonts w:ascii="Georgia" w:eastAsia="Calibri" w:hAnsi="Georgia" w:cs="Arial"/>
          <w:sz w:val="20"/>
          <w:szCs w:val="20"/>
          <w:vertAlign w:val="superscript"/>
          <w:lang w:val="lt-LT"/>
        </w:rPr>
        <w:footnoteReference w:id="75"/>
      </w:r>
      <w:r w:rsidRPr="002142B8">
        <w:rPr>
          <w:rFonts w:ascii="Georgia" w:eastAsia="Calibri" w:hAnsi="Georgia" w:cs="Arial"/>
          <w:sz w:val="20"/>
          <w:szCs w:val="20"/>
          <w:lang w:val="lt-LT"/>
        </w:rPr>
        <w:t xml:space="preserve"> įmonių, miestų atnaujinimo, aplinkosaugos, atsinaujinančių energijos išteklių ir energijos efektyvumo bei tvaraus transporto projektams </w:t>
      </w:r>
      <w:r w:rsidRPr="002142B8">
        <w:rPr>
          <w:rFonts w:ascii="Georgia" w:eastAsia="Calibri" w:hAnsi="Georgia" w:cs="Arial"/>
          <w:sz w:val="20"/>
          <w:szCs w:val="20"/>
          <w:vertAlign w:val="superscript"/>
          <w:lang w:val="lt-LT"/>
        </w:rPr>
        <w:footnoteReference w:id="76"/>
      </w:r>
      <w:r w:rsidRPr="002142B8">
        <w:rPr>
          <w:rFonts w:ascii="Georgia" w:eastAsia="Calibri" w:hAnsi="Georgia" w:cs="Arial"/>
          <w:sz w:val="20"/>
          <w:szCs w:val="20"/>
          <w:lang w:val="lt-LT"/>
        </w:rPr>
        <w:t>.</w:t>
      </w:r>
    </w:p>
    <w:p w14:paraId="2EBC510A"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EIF yra EIB grupės dalis, teikianti rizikos kapitalo sprendimus finansų tarpininkams ir taip remiantis MVĮ bei skatinantis Europoje diegti inovacijas </w:t>
      </w:r>
      <w:r w:rsidRPr="002142B8">
        <w:rPr>
          <w:rFonts w:ascii="Georgia" w:eastAsia="Calibri" w:hAnsi="Georgia" w:cs="Arial"/>
          <w:sz w:val="20"/>
          <w:szCs w:val="20"/>
          <w:vertAlign w:val="superscript"/>
          <w:lang w:val="lt-LT"/>
        </w:rPr>
        <w:footnoteReference w:id="77"/>
      </w:r>
      <w:r w:rsidRPr="002142B8">
        <w:rPr>
          <w:rFonts w:ascii="Georgia" w:eastAsia="Calibri" w:hAnsi="Georgia" w:cs="Arial"/>
          <w:sz w:val="20"/>
          <w:szCs w:val="20"/>
          <w:lang w:val="lt-LT"/>
        </w:rPr>
        <w:t>.</w:t>
      </w:r>
    </w:p>
    <w:p w14:paraId="097DAD13" w14:textId="77777777"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Energetinio efektyvumo projektų finansavimas</w:t>
      </w:r>
    </w:p>
    <w:p w14:paraId="35656D79" w14:textId="3C913202" w:rsidR="006977C2" w:rsidRPr="002142B8"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2142B8">
        <w:rPr>
          <w:rFonts w:ascii="Georgia" w:eastAsia="FranklinGothicBookCondITC-Reg" w:hAnsi="Georgia" w:cs="Arial"/>
          <w:sz w:val="20"/>
          <w:szCs w:val="20"/>
          <w:lang w:val="lt-LT"/>
        </w:rPr>
        <w:t>2015 m. EIB  patvirtino naują klimato strategiją (ang</w:t>
      </w:r>
      <w:r w:rsidR="00D9139B" w:rsidRPr="002142B8">
        <w:rPr>
          <w:rFonts w:ascii="Georgia" w:eastAsia="FranklinGothicBookCondITC-Reg" w:hAnsi="Georgia" w:cs="Arial"/>
          <w:sz w:val="20"/>
          <w:szCs w:val="20"/>
          <w:lang w:val="lt-LT"/>
        </w:rPr>
        <w:t>l</w:t>
      </w:r>
      <w:r w:rsidRPr="002142B8">
        <w:rPr>
          <w:rFonts w:ascii="Georgia" w:eastAsia="FranklinGothicBookCondITC-Reg" w:hAnsi="Georgia" w:cs="Arial"/>
          <w:sz w:val="20"/>
          <w:szCs w:val="20"/>
          <w:lang w:val="lt-LT"/>
        </w:rPr>
        <w:t xml:space="preserve">. Climate strategy). Šiame dokumente EIB patvirtino, kad mažiausiai 25% viso finansavimo bus skiriama klimato kaitos projektams. Klimato kaitos projektus apima šios sritys: aplinka, </w:t>
      </w:r>
      <w:r w:rsidRPr="002142B8">
        <w:rPr>
          <w:rFonts w:ascii="Georgia" w:eastAsia="Calibri" w:hAnsi="Georgia" w:cs="Arial"/>
          <w:sz w:val="20"/>
          <w:szCs w:val="20"/>
          <w:lang w:val="lt-LT"/>
        </w:rPr>
        <w:t>MVĮ ir "</w:t>
      </w:r>
      <w:r w:rsidRPr="002142B8">
        <w:rPr>
          <w:rFonts w:ascii="Georgia" w:eastAsia="Calibri" w:hAnsi="Georgia" w:cs="Arial"/>
          <w:i/>
          <w:sz w:val="20"/>
          <w:szCs w:val="20"/>
          <w:lang w:val="lt-LT"/>
        </w:rPr>
        <w:t>mid-caps</w:t>
      </w:r>
      <w:r w:rsidRPr="002142B8">
        <w:rPr>
          <w:rFonts w:ascii="Georgia" w:eastAsia="Calibri" w:hAnsi="Georgia" w:cs="Arial"/>
          <w:sz w:val="20"/>
          <w:szCs w:val="20"/>
          <w:lang w:val="lt-LT"/>
        </w:rPr>
        <w:t xml:space="preserve">" įmonės, </w:t>
      </w:r>
      <w:r w:rsidRPr="002142B8">
        <w:rPr>
          <w:rFonts w:ascii="Georgia" w:eastAsia="FranklinGothicBookCondITC-Reg" w:hAnsi="Georgia" w:cs="Arial"/>
          <w:sz w:val="20"/>
          <w:szCs w:val="20"/>
          <w:lang w:val="lt-LT"/>
        </w:rPr>
        <w:t xml:space="preserve">infrastruktūra ir inovacijos </w:t>
      </w:r>
      <w:r w:rsidRPr="002142B8">
        <w:rPr>
          <w:rFonts w:ascii="Georgia" w:eastAsia="Calibri" w:hAnsi="Georgia" w:cs="Arial"/>
          <w:sz w:val="20"/>
          <w:szCs w:val="20"/>
          <w:vertAlign w:val="superscript"/>
          <w:lang w:val="lt-LT"/>
        </w:rPr>
        <w:footnoteReference w:id="78"/>
      </w:r>
      <w:r w:rsidRPr="002142B8">
        <w:rPr>
          <w:rFonts w:ascii="Georgia" w:eastAsia="FranklinGothicBookCondITC-Reg" w:hAnsi="Georgia" w:cs="Arial"/>
          <w:sz w:val="20"/>
          <w:szCs w:val="20"/>
          <w:lang w:val="lt-LT"/>
        </w:rPr>
        <w:t xml:space="preserve">. Svarbiausias strategijos prioritetas yra energijos vartojimo efektyvumas. Strategijoje taip pat akcentuojama parama atsinaujinantiems energijos ištekliams </w:t>
      </w:r>
      <w:r w:rsidRPr="002142B8">
        <w:rPr>
          <w:rFonts w:ascii="Georgia" w:eastAsia="FranklinGothicBookCondITC-Reg" w:hAnsi="Georgia" w:cs="Arial"/>
          <w:sz w:val="20"/>
          <w:szCs w:val="20"/>
          <w:vertAlign w:val="superscript"/>
          <w:lang w:val="lt-LT"/>
        </w:rPr>
        <w:footnoteReference w:id="79"/>
      </w:r>
      <w:r w:rsidRPr="002142B8">
        <w:rPr>
          <w:rFonts w:ascii="Georgia" w:eastAsia="FranklinGothicBookCondITC-Reg" w:hAnsi="Georgia" w:cs="Arial"/>
          <w:sz w:val="20"/>
          <w:szCs w:val="20"/>
          <w:lang w:val="lt-LT"/>
        </w:rPr>
        <w:t>.</w:t>
      </w:r>
    </w:p>
    <w:p w14:paraId="0F257DF2" w14:textId="77777777" w:rsidR="006977C2" w:rsidRPr="002142B8" w:rsidRDefault="006977C2" w:rsidP="006977C2">
      <w:pPr>
        <w:autoSpaceDE w:val="0"/>
        <w:autoSpaceDN w:val="0"/>
        <w:adjustRightInd w:val="0"/>
        <w:spacing w:after="120"/>
        <w:jc w:val="both"/>
        <w:rPr>
          <w:rFonts w:ascii="Georgia" w:eastAsia="FranklinGothicBookCondITC-Reg" w:hAnsi="Georgia" w:cs="Arial"/>
          <w:sz w:val="20"/>
          <w:szCs w:val="20"/>
          <w:lang w:val="lt-LT"/>
        </w:rPr>
      </w:pPr>
      <w:r w:rsidRPr="002142B8">
        <w:rPr>
          <w:rFonts w:ascii="Georgia" w:eastAsia="FranklinGothicBookCondITC-Reg" w:hAnsi="Georgia" w:cs="Arial"/>
          <w:sz w:val="20"/>
          <w:szCs w:val="20"/>
          <w:lang w:val="lt-LT"/>
        </w:rPr>
        <w:t xml:space="preserve">2015 m. Strategijoje patvirtino, kad aplinkos projektams bus skiriama 19,6 mlrd. eurų per ateinančius 5 metus </w:t>
      </w:r>
      <w:r w:rsidRPr="002142B8">
        <w:rPr>
          <w:rFonts w:ascii="Georgia" w:eastAsia="FranklinGothicBookCondITC-Reg" w:hAnsi="Georgia" w:cs="Arial"/>
          <w:sz w:val="20"/>
          <w:szCs w:val="20"/>
          <w:vertAlign w:val="superscript"/>
          <w:lang w:val="lt-LT"/>
        </w:rPr>
        <w:footnoteReference w:id="80"/>
      </w:r>
      <w:r w:rsidRPr="002142B8">
        <w:rPr>
          <w:rFonts w:ascii="Georgia" w:eastAsia="FranklinGothicBookCondITC-Reg" w:hAnsi="Georgia" w:cs="Arial"/>
          <w:sz w:val="20"/>
          <w:szCs w:val="20"/>
          <w:lang w:val="lt-LT"/>
        </w:rPr>
        <w:t>.</w:t>
      </w:r>
    </w:p>
    <w:p w14:paraId="2C5D6F3A" w14:textId="77777777" w:rsidR="006977C2" w:rsidRPr="002142B8" w:rsidRDefault="006977C2" w:rsidP="006977C2">
      <w:pPr>
        <w:jc w:val="both"/>
        <w:rPr>
          <w:rFonts w:ascii="Arial" w:eastAsia="Calibri" w:hAnsi="Arial" w:cs="Arial"/>
          <w:sz w:val="20"/>
          <w:szCs w:val="20"/>
          <w:lang w:val="lt-LT"/>
        </w:rPr>
      </w:pPr>
      <w:r w:rsidRPr="002142B8">
        <w:rPr>
          <w:rFonts w:ascii="Georgia" w:eastAsia="Calibri" w:hAnsi="Georgia" w:cs="Arial"/>
          <w:sz w:val="20"/>
          <w:szCs w:val="20"/>
          <w:lang w:val="lt-LT"/>
        </w:rPr>
        <w:t xml:space="preserve">2016 m. EIB skyrė 3,62 mlrd. EUR energijos vartojimo efektyvumo projektams. Projektai dažniausiai buvo orientuoti į esamos socialinės ir urbanistinės infrastruktūros ir paslaugų modifikavimą ir plėtrą, pvz., gyvenamųjų rajonų (kvartalų) šildymas ir aušinimas, kogeneracija, pastatų atnaujinimas ir modernizavimas, pramonės procesų tobulinimas, miesto transporto, atliekų ir vandens valdymo tinklų energetinių savybių gerinimas </w:t>
      </w:r>
      <w:r w:rsidRPr="002142B8">
        <w:rPr>
          <w:rFonts w:ascii="Arial" w:eastAsia="Calibri" w:hAnsi="Arial" w:cs="Arial"/>
          <w:sz w:val="20"/>
          <w:szCs w:val="20"/>
          <w:vertAlign w:val="superscript"/>
          <w:lang w:val="lt-LT"/>
        </w:rPr>
        <w:footnoteReference w:id="81"/>
      </w:r>
      <w:r w:rsidRPr="002142B8">
        <w:rPr>
          <w:rFonts w:ascii="Arial" w:eastAsia="Calibri" w:hAnsi="Arial" w:cs="Arial"/>
          <w:sz w:val="20"/>
          <w:szCs w:val="20"/>
          <w:lang w:val="lt-LT"/>
        </w:rPr>
        <w:t>.</w:t>
      </w:r>
    </w:p>
    <w:p w14:paraId="1780D465"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EIB naudoja rizikos pasidalijimo priemones derinant subsidijas su paskolomis, teikia techninę pagalbą kartu su Europos Komisija arba nacionalinėmis institucijomis (pvz., 2011 m. EIB kartu su Europos Komisija įsteigtas EEEF </w:t>
      </w:r>
      <w:r w:rsidRPr="002142B8">
        <w:rPr>
          <w:rFonts w:ascii="Georgia" w:eastAsia="Calibri" w:hAnsi="Georgia" w:cs="Arial"/>
          <w:sz w:val="20"/>
          <w:szCs w:val="20"/>
          <w:vertAlign w:val="superscript"/>
          <w:lang w:val="lt-LT"/>
        </w:rPr>
        <w:footnoteReference w:id="82"/>
      </w:r>
      <w:r w:rsidRPr="002142B8">
        <w:rPr>
          <w:rFonts w:ascii="Georgia" w:eastAsia="Calibri" w:hAnsi="Georgia" w:cs="Arial"/>
          <w:sz w:val="20"/>
          <w:szCs w:val="20"/>
          <w:lang w:val="lt-LT"/>
        </w:rPr>
        <w:t>).</w:t>
      </w:r>
    </w:p>
    <w:p w14:paraId="4460F5BE"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EEEF tikslai:</w:t>
      </w:r>
    </w:p>
    <w:p w14:paraId="56C045B3" w14:textId="77777777" w:rsidR="006977C2" w:rsidRPr="002142B8" w:rsidRDefault="006977C2" w:rsidP="00162BF5">
      <w:pPr>
        <w:numPr>
          <w:ilvl w:val="0"/>
          <w:numId w:val="12"/>
        </w:numPr>
        <w:spacing w:after="120"/>
        <w:contextualSpacing/>
        <w:jc w:val="both"/>
        <w:rPr>
          <w:rFonts w:ascii="Georgia" w:eastAsia="Calibri" w:hAnsi="Georgia" w:cs="Arial"/>
          <w:sz w:val="20"/>
          <w:szCs w:val="20"/>
          <w:lang w:val="lt-LT"/>
        </w:rPr>
      </w:pPr>
      <w:r w:rsidRPr="002142B8">
        <w:rPr>
          <w:rFonts w:ascii="Georgia" w:eastAsia="Calibri" w:hAnsi="Georgia" w:cs="Arial"/>
          <w:sz w:val="20"/>
          <w:szCs w:val="20"/>
          <w:lang w:val="lt-LT"/>
        </w:rPr>
        <w:t>prisidėti prie klimato kaitos pasekmių mažinimo;</w:t>
      </w:r>
    </w:p>
    <w:p w14:paraId="293ECF67" w14:textId="77777777" w:rsidR="006977C2" w:rsidRPr="002142B8" w:rsidRDefault="006977C2" w:rsidP="00162BF5">
      <w:pPr>
        <w:numPr>
          <w:ilvl w:val="0"/>
          <w:numId w:val="12"/>
        </w:numPr>
        <w:spacing w:after="120"/>
        <w:contextualSpacing/>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pasiekti ekonominį fondo tvarumą; </w:t>
      </w:r>
    </w:p>
    <w:p w14:paraId="69A7610E" w14:textId="77777777" w:rsidR="006977C2" w:rsidRPr="002142B8" w:rsidRDefault="006977C2" w:rsidP="00162BF5">
      <w:pPr>
        <w:numPr>
          <w:ilvl w:val="0"/>
          <w:numId w:val="12"/>
        </w:numPr>
        <w:spacing w:after="120"/>
        <w:contextualSpacing/>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pritraukti privatų ir viešąjį kapitalą į kovos su klimato kaita finansavimą </w:t>
      </w:r>
      <w:r w:rsidRPr="002142B8">
        <w:rPr>
          <w:rFonts w:ascii="Georgia" w:eastAsia="Calibri" w:hAnsi="Georgia" w:cs="Arial"/>
          <w:sz w:val="20"/>
          <w:szCs w:val="20"/>
          <w:vertAlign w:val="superscript"/>
          <w:lang w:val="lt-LT"/>
        </w:rPr>
        <w:footnoteReference w:id="83"/>
      </w:r>
      <w:r w:rsidRPr="002142B8">
        <w:rPr>
          <w:rFonts w:ascii="Georgia" w:eastAsia="Calibri" w:hAnsi="Georgia" w:cs="Arial"/>
          <w:sz w:val="20"/>
          <w:szCs w:val="20"/>
          <w:lang w:val="lt-LT"/>
        </w:rPr>
        <w:t>.</w:t>
      </w:r>
    </w:p>
    <w:p w14:paraId="55435098" w14:textId="77777777"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Galutiniai naudos gavėjai yra vietos ar regionų institucijos, taip pat šių institucijų vardu veikiantys viešieji ir juridiniai asmenys, pvz., daugiabučių namų savininkų bendrijos, ESCO ir t.t. Investuojama gali būti eurais arba vietine valiuta, tačiau pastaruoju atveju taikomi papildomi apribojimai.</w:t>
      </w:r>
    </w:p>
    <w:p w14:paraId="1277B063" w14:textId="3BAC67BE" w:rsidR="006977C2" w:rsidRPr="002142B8" w:rsidRDefault="006977C2" w:rsidP="006977C2">
      <w:pPr>
        <w:jc w:val="both"/>
        <w:rPr>
          <w:rFonts w:ascii="Georgia" w:eastAsia="Calibri" w:hAnsi="Georgia" w:cs="Arial"/>
          <w:color w:val="FF0000"/>
          <w:sz w:val="20"/>
          <w:szCs w:val="20"/>
          <w:lang w:val="lt-LT"/>
        </w:rPr>
      </w:pPr>
      <w:r w:rsidRPr="002142B8">
        <w:rPr>
          <w:rFonts w:ascii="Georgia" w:eastAsia="Calibri" w:hAnsi="Georgia" w:cs="Arial"/>
          <w:sz w:val="20"/>
          <w:szCs w:val="20"/>
          <w:lang w:val="lt-LT"/>
        </w:rPr>
        <w:lastRenderedPageBreak/>
        <w:t>EEEF gali investuoti tiesiogiai į ESCO, nedidelėmis apimtimis į iš atsinaujinančių energijos išteklių energiją gaminančias įmones ir t.t. Investicijos svyruoja nuo 5 mln. eurų iki 25 mln. eurų. Investicinės priemonės apima privilegijuotąsias paskolas, „mezzanine“ instrumentus, forfeitingo priemones, lizingą. Taip pat įmanomos kapitalo investicijos atsinaujinančių energijos išteklių projektams arba kapitalo investicijos į specialiosios paskirties įmones</w:t>
      </w:r>
      <w:r w:rsidRPr="002142B8">
        <w:rPr>
          <w:rFonts w:ascii="Georgia" w:eastAsia="Calibri" w:hAnsi="Georgia" w:cs="Arial"/>
          <w:sz w:val="20"/>
          <w:szCs w:val="20"/>
          <w:vertAlign w:val="superscript"/>
          <w:lang w:val="lt-LT"/>
        </w:rPr>
        <w:footnoteReference w:id="84"/>
      </w:r>
      <w:r w:rsidRPr="002142B8">
        <w:rPr>
          <w:rFonts w:ascii="Georgia" w:eastAsia="Calibri" w:hAnsi="Georgia" w:cs="Arial"/>
          <w:sz w:val="20"/>
          <w:szCs w:val="20"/>
          <w:lang w:val="lt-LT"/>
        </w:rPr>
        <w:t xml:space="preserve">. Paskolos suteikiamos iki 15 m. laikotarpiui, kapitalo investicijos gali būti pritaikytos pagal skirtingų projekto etapų poreikius. Fondas gali investuoti kaip konsorciumo dalyvis arba gali dalyvauti dalindamasis rizika su vietine finansų įstaiga. </w:t>
      </w:r>
    </w:p>
    <w:p w14:paraId="14B67F4A" w14:textId="6014C7FA"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EEEF taip pat investuoja per finansines įstaigas, tokias kaip vietiniai komerciniai bankai, kurie suteikia finansavimą galutiniams naudos gavėjams. Finansų įstaigos, su kuriomis bendradarbiaujama, gauna terminuotas (iki 15 m.) skolinimo priemones. Skolinimo priemonės apima privilegijuotąsias paskolas, subordinuotas paskolas, garantijas. EEEF neteikia kapitalo investicijų finansų įstaigoms. Finansų įstaigos perskolina lėšas galutiniams naudos gavėjams pagal iš anksto nustatytus tinkamumo kriterijus</w:t>
      </w:r>
      <w:r w:rsidRPr="002142B8">
        <w:rPr>
          <w:rFonts w:ascii="Georgia" w:eastAsia="Calibri" w:hAnsi="Georgia" w:cs="Arial"/>
          <w:sz w:val="20"/>
          <w:szCs w:val="20"/>
          <w:vertAlign w:val="superscript"/>
          <w:lang w:val="lt-LT"/>
        </w:rPr>
        <w:footnoteReference w:id="85"/>
      </w:r>
      <w:r w:rsidRPr="002142B8">
        <w:rPr>
          <w:rFonts w:ascii="Georgia" w:eastAsia="Calibri" w:hAnsi="Georgia" w:cs="Arial"/>
          <w:sz w:val="20"/>
          <w:szCs w:val="20"/>
          <w:lang w:val="lt-LT"/>
        </w:rPr>
        <w:t>.</w:t>
      </w:r>
    </w:p>
    <w:p w14:paraId="383DEBA3" w14:textId="1848A780"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2017 m. II ketvirčio ataskaitos duomenimis EEEF investavo 121,1 mln. eurų septyniuose valstybėse – Ispanijoje (2 proc.), Olandijoje (7 proc.), Rumunijoje (21 proc.), Vokietijoje (1 proc.), Didžiojoje Britanijoje (4%), Italijoje (26%) ir Prancūzijoje (39 proc.). 21 proc. investicijų sudarė subordinuotos paskolos, 69 proc. – privilegijuotosios paskolos, 10 proc. – investicijos į kapitalą</w:t>
      </w:r>
      <w:r w:rsidRPr="002142B8">
        <w:rPr>
          <w:rFonts w:ascii="Georgia" w:eastAsia="Calibri" w:hAnsi="Georgia" w:cs="Arial"/>
          <w:sz w:val="20"/>
          <w:szCs w:val="20"/>
          <w:vertAlign w:val="superscript"/>
          <w:lang w:val="lt-LT"/>
        </w:rPr>
        <w:footnoteReference w:id="86"/>
      </w:r>
      <w:r w:rsidRPr="002142B8">
        <w:rPr>
          <w:rFonts w:ascii="Georgia" w:eastAsia="Calibri" w:hAnsi="Georgia" w:cs="Arial"/>
          <w:sz w:val="20"/>
          <w:szCs w:val="20"/>
          <w:lang w:val="lt-LT"/>
        </w:rPr>
        <w:t xml:space="preserve">. </w:t>
      </w:r>
    </w:p>
    <w:p w14:paraId="3A859712" w14:textId="364E9FA2"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EIB dalyvauja Europos techninės pagalbos vietinei energetikai priemonėje (ELENA) – tai bendra EIB ir Europos Komisijos iniciatyva, skirta teikti techninę pagalbą vietos ir regionų valdžios institucijoms rengti energijos vartojimo efektyvumo arba atsinaujinančių energijos išteklių projektus, taip didinant jų patrauklumą išorės investuotojams. Nuo 2016 m. liepos 26 d. duomenimis buvo patvirtinti 13 projektų, iš kurių šeši patvirtinti 2017 m.</w:t>
      </w:r>
      <w:r w:rsidRPr="002142B8">
        <w:rPr>
          <w:rFonts w:ascii="Georgia" w:eastAsia="Calibri" w:hAnsi="Georgia" w:cs="Arial"/>
          <w:sz w:val="20"/>
          <w:szCs w:val="20"/>
          <w:vertAlign w:val="superscript"/>
          <w:lang w:val="lt-LT"/>
        </w:rPr>
        <w:footnoteReference w:id="87"/>
      </w:r>
      <w:r w:rsidRPr="002142B8">
        <w:rPr>
          <w:rFonts w:ascii="Georgia" w:eastAsia="Calibri" w:hAnsi="Georgia" w:cs="Arial"/>
          <w:sz w:val="20"/>
          <w:szCs w:val="20"/>
          <w:lang w:val="lt-LT"/>
        </w:rPr>
        <w:t>.</w:t>
      </w:r>
    </w:p>
    <w:p w14:paraId="320152A0" w14:textId="014EE44B"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Kita iniciatyva, kurioje aktyviai dalyvauja EIB, yra Bendra Europos parama tvarioms investicijoms į miestų teritorijas - JESSICA. Šioje iniciatyvoje dalyvauja EIB, Europos Komisija ir Europos Tarybos Vystymo bankas. JESSICA finansuoja miestų infrastruktūrą, paveldo arba kultūros vietoves, pramoninės paskirties sklypų pakartotinį panaudojimą, naujų komercinių erdvių kūrimą, universitetų pastatus ir energijos efektyvumo didinimą</w:t>
      </w:r>
      <w:r w:rsidRPr="002142B8">
        <w:rPr>
          <w:rFonts w:ascii="Georgia" w:eastAsia="Calibri" w:hAnsi="Georgia" w:cs="Arial"/>
          <w:sz w:val="20"/>
          <w:szCs w:val="20"/>
          <w:vertAlign w:val="superscript"/>
          <w:lang w:val="lt-LT"/>
        </w:rPr>
        <w:footnoteReference w:id="88"/>
      </w:r>
      <w:r w:rsidRPr="002142B8">
        <w:rPr>
          <w:rFonts w:ascii="Georgia" w:eastAsia="Calibri" w:hAnsi="Georgia" w:cs="Arial"/>
          <w:sz w:val="20"/>
          <w:szCs w:val="20"/>
          <w:lang w:val="lt-LT"/>
        </w:rPr>
        <w:t xml:space="preserve">. Pagal 2016 m. duomenis JESSICA fondo įsipareigojimai siekė 1,5 mlrd. Susitarimai pasirašyti su beveik 40 finansinių tarpininkų, daugiausia dėmesio skiriama: miestų plėtros, pastatų energinio efektyvumo didinimui ir atsinaujinantiems energijos šaltiniams </w:t>
      </w:r>
      <w:r w:rsidRPr="002142B8">
        <w:rPr>
          <w:rFonts w:ascii="Georgia" w:eastAsia="Calibri" w:hAnsi="Georgia" w:cs="Arial"/>
          <w:sz w:val="20"/>
          <w:szCs w:val="20"/>
          <w:vertAlign w:val="superscript"/>
          <w:lang w:val="lt-LT"/>
        </w:rPr>
        <w:footnoteReference w:id="89"/>
      </w:r>
      <w:r w:rsidRPr="002142B8">
        <w:rPr>
          <w:rFonts w:ascii="Georgia" w:eastAsia="Calibri" w:hAnsi="Georgia" w:cs="Arial"/>
          <w:sz w:val="20"/>
          <w:szCs w:val="20"/>
          <w:lang w:val="lt-LT"/>
        </w:rPr>
        <w:t xml:space="preserve">. </w:t>
      </w:r>
    </w:p>
    <w:p w14:paraId="77CB89BB" w14:textId="63214EF9"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Privataus finansavimo energijos vartojimo efektyvumui (PF4EE) yra nauja finansinė priemonė, kurią finansuoja Europos Komisija per LIFE programą ir Europos investicijų banką (EIB). Šia iniciatyva bus suteikiamos paskolos, rizikos pasidalijimas ir ekspertų parama finansiniams tarpininkams, kurie didina investicijas į energijos vartojimo efektyvumo projektus. 2014 - 2017 m. PF4EE finansuos mažiausiai 480 mln. EUR</w:t>
      </w:r>
      <w:r w:rsidRPr="002142B8">
        <w:rPr>
          <w:rFonts w:ascii="Georgia" w:eastAsia="Calibri" w:hAnsi="Georgia" w:cs="Arial"/>
          <w:sz w:val="20"/>
          <w:szCs w:val="20"/>
          <w:vertAlign w:val="superscript"/>
          <w:lang w:val="lt-LT"/>
        </w:rPr>
        <w:footnoteReference w:id="90"/>
      </w:r>
      <w:r w:rsidRPr="002142B8">
        <w:rPr>
          <w:rFonts w:ascii="Calibri" w:eastAsia="Calibri" w:hAnsi="Calibri" w:cs="DokChampa"/>
          <w:lang w:val="lt-LT"/>
        </w:rPr>
        <w:t>.</w:t>
      </w:r>
      <w:r w:rsidRPr="002142B8">
        <w:rPr>
          <w:rFonts w:ascii="Georgia" w:eastAsia="Calibri" w:hAnsi="Georgia" w:cs="Arial"/>
          <w:sz w:val="20"/>
          <w:szCs w:val="20"/>
          <w:lang w:val="lt-LT"/>
        </w:rPr>
        <w:t xml:space="preserve"> 2016 m. buvo paremti septyni bankai per rizikos pasidalinimo priemonę (ang</w:t>
      </w:r>
      <w:r w:rsidR="00D9139B" w:rsidRPr="002142B8">
        <w:rPr>
          <w:rFonts w:ascii="Georgia" w:eastAsia="Calibri" w:hAnsi="Georgia" w:cs="Arial"/>
          <w:sz w:val="20"/>
          <w:szCs w:val="20"/>
          <w:lang w:val="lt-LT"/>
        </w:rPr>
        <w:t>l</w:t>
      </w:r>
      <w:r w:rsidRPr="002142B8">
        <w:rPr>
          <w:rFonts w:ascii="Georgia" w:eastAsia="Calibri" w:hAnsi="Georgia" w:cs="Arial"/>
          <w:sz w:val="20"/>
          <w:szCs w:val="20"/>
          <w:lang w:val="lt-LT"/>
        </w:rPr>
        <w:t>. Risk Sharing Facility (RSF)), paramos suma siekė 28,9 mln. eurų</w:t>
      </w:r>
      <w:r w:rsidRPr="002142B8">
        <w:rPr>
          <w:rFonts w:ascii="Georgia" w:eastAsia="Calibri" w:hAnsi="Georgia" w:cs="Arial"/>
          <w:sz w:val="20"/>
          <w:szCs w:val="20"/>
          <w:vertAlign w:val="superscript"/>
          <w:lang w:val="lt-LT"/>
        </w:rPr>
        <w:footnoteReference w:id="91"/>
      </w:r>
      <w:r w:rsidRPr="002142B8">
        <w:rPr>
          <w:rFonts w:ascii="Georgia" w:eastAsia="Calibri" w:hAnsi="Georgia" w:cs="Arial"/>
          <w:sz w:val="20"/>
          <w:szCs w:val="20"/>
          <w:lang w:val="lt-LT"/>
        </w:rPr>
        <w:t xml:space="preserve">.  </w:t>
      </w:r>
    </w:p>
    <w:p w14:paraId="566FC152" w14:textId="0CB6F05F" w:rsidR="006977C2" w:rsidRPr="002142B8" w:rsidRDefault="006977C2" w:rsidP="006977C2">
      <w:pPr>
        <w:autoSpaceDE w:val="0"/>
        <w:autoSpaceDN w:val="0"/>
        <w:adjustRightInd w:val="0"/>
        <w:spacing w:after="120"/>
        <w:jc w:val="both"/>
        <w:rPr>
          <w:rFonts w:ascii="Georgia" w:eastAsia="Calibri" w:hAnsi="Georgia" w:cs="Arial"/>
          <w:color w:val="FF0000"/>
          <w:sz w:val="20"/>
          <w:szCs w:val="20"/>
          <w:lang w:val="lt-LT"/>
        </w:rPr>
      </w:pPr>
      <w:r w:rsidRPr="002142B8">
        <w:rPr>
          <w:rFonts w:ascii="Georgia" w:eastAsia="Calibri" w:hAnsi="Georgia" w:cs="Arial"/>
          <w:sz w:val="20"/>
          <w:szCs w:val="20"/>
          <w:lang w:val="lt-LT"/>
        </w:rPr>
        <w:t xml:space="preserve">EIB remia akcijų ir obligacijų fondus, kurie yra susiję su atsinaujinančia energetika ir energetikos naudojimo efektyvumu, paskutinės investicija buvo 2014 m. </w:t>
      </w:r>
      <w:r w:rsidRPr="002142B8">
        <w:rPr>
          <w:rFonts w:ascii="Georgia" w:eastAsia="Calibri" w:hAnsi="Georgia" w:cs="Arial"/>
          <w:sz w:val="20"/>
          <w:szCs w:val="20"/>
          <w:vertAlign w:val="superscript"/>
          <w:lang w:val="lt-LT"/>
        </w:rPr>
        <w:footnoteReference w:id="92"/>
      </w:r>
      <w:r w:rsidRPr="002142B8">
        <w:rPr>
          <w:rFonts w:ascii="Georgia" w:eastAsia="Calibri" w:hAnsi="Georgia" w:cs="Arial"/>
          <w:sz w:val="20"/>
          <w:szCs w:val="20"/>
          <w:lang w:val="lt-LT"/>
        </w:rPr>
        <w:t xml:space="preserve">. Be to, ir toliau valdė kitus strateginės paskirties fondus ir iniciatyvas, pavyzdžiui, Pasaulinį energijos vartojimo efektyvumo ir atsinaujinančiosios energijos fondą (GEEREF), kuris per privačiąsias investicijas teikia pasaulinį </w:t>
      </w:r>
      <w:r w:rsidRPr="002142B8">
        <w:rPr>
          <w:rFonts w:ascii="Georgia" w:eastAsia="Calibri" w:hAnsi="Georgia" w:cs="Arial"/>
          <w:sz w:val="20"/>
          <w:szCs w:val="20"/>
          <w:lang w:val="lt-LT"/>
        </w:rPr>
        <w:lastRenderedPageBreak/>
        <w:t>rizikos kapitalą energijos vartojimo efektyvumo ir atsinaujinančiosios energijos projektams besivystančiosiose ir pereinamosios ekonomikos šalyse</w:t>
      </w:r>
      <w:r w:rsidRPr="002142B8">
        <w:rPr>
          <w:rFonts w:ascii="Georgia" w:eastAsia="Calibri" w:hAnsi="Georgia" w:cs="Arial"/>
          <w:sz w:val="20"/>
          <w:szCs w:val="20"/>
          <w:vertAlign w:val="superscript"/>
          <w:lang w:val="lt-LT"/>
        </w:rPr>
        <w:footnoteReference w:id="93"/>
      </w:r>
      <w:r w:rsidRPr="002142B8">
        <w:rPr>
          <w:rFonts w:ascii="Georgia" w:eastAsia="Calibri" w:hAnsi="Georgia" w:cs="Arial"/>
          <w:sz w:val="20"/>
          <w:szCs w:val="20"/>
          <w:lang w:val="lt-LT"/>
        </w:rPr>
        <w:t>.</w:t>
      </w:r>
    </w:p>
    <w:p w14:paraId="18584055" w14:textId="70C9BC51" w:rsidR="006977C2" w:rsidRPr="002142B8" w:rsidRDefault="009718DC" w:rsidP="006977C2">
      <w:pPr>
        <w:keepNext/>
        <w:spacing w:after="240" w:line="240" w:lineRule="atLeast"/>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Banko</w:t>
      </w:r>
      <w:r w:rsidR="006977C2" w:rsidRPr="002142B8">
        <w:rPr>
          <w:rFonts w:ascii="Georgia" w:eastAsia="PMingLiU" w:hAnsi="Georgia" w:cs="Times New Roman"/>
          <w:b/>
          <w:i/>
          <w:sz w:val="20"/>
          <w:szCs w:val="20"/>
          <w:lang w:val="lt-LT"/>
        </w:rPr>
        <w:t xml:space="preserve"> veikla Lietuvoje</w:t>
      </w:r>
    </w:p>
    <w:p w14:paraId="0CA8B2AE" w14:textId="0DBE04CB" w:rsidR="006977C2" w:rsidRPr="002142B8" w:rsidRDefault="006977C2" w:rsidP="006977C2">
      <w:pPr>
        <w:keepNext/>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2016 m. EIB Lietuvos subjektams suteikė 255 mln. eurų paskolų</w:t>
      </w:r>
      <w:r w:rsidRPr="002142B8">
        <w:rPr>
          <w:rFonts w:ascii="Georgia" w:eastAsia="Calibri" w:hAnsi="Georgia" w:cs="Arial"/>
          <w:sz w:val="20"/>
          <w:szCs w:val="20"/>
          <w:vertAlign w:val="superscript"/>
          <w:lang w:val="lt-LT"/>
        </w:rPr>
        <w:footnoteReference w:id="94"/>
      </w:r>
      <w:r w:rsidRPr="002142B8">
        <w:rPr>
          <w:rFonts w:ascii="Georgia" w:eastAsia="Calibri" w:hAnsi="Georgia" w:cs="Arial"/>
          <w:sz w:val="20"/>
          <w:szCs w:val="20"/>
          <w:lang w:val="lt-LT"/>
        </w:rPr>
        <w:t>. Paskolų pasiskirstymas pagal sektorius ir EIB portfelio Lietuvoje raida pateikiama paveiksle žemiau. Per penkerių metų laikotarpį (2012–2016) Lietuvai teko 1,08 mlrd. EUR EIB paskolų</w:t>
      </w:r>
      <w:r w:rsidRPr="002142B8">
        <w:rPr>
          <w:rFonts w:ascii="Georgia" w:eastAsia="Calibri" w:hAnsi="Georgia" w:cs="Arial"/>
          <w:sz w:val="20"/>
          <w:szCs w:val="20"/>
          <w:vertAlign w:val="superscript"/>
          <w:lang w:val="lt-LT"/>
        </w:rPr>
        <w:footnoteReference w:id="95"/>
      </w:r>
      <w:r w:rsidRPr="002142B8">
        <w:rPr>
          <w:rFonts w:ascii="Georgia" w:eastAsia="Calibri" w:hAnsi="Georgia" w:cs="Arial"/>
          <w:sz w:val="20"/>
          <w:szCs w:val="20"/>
          <w:lang w:val="lt-LT"/>
        </w:rPr>
        <w:t>.</w:t>
      </w:r>
    </w:p>
    <w:p w14:paraId="0FB9F089" w14:textId="77777777" w:rsidR="002D46ED" w:rsidRPr="002142B8" w:rsidRDefault="002D46ED" w:rsidP="002D46ED">
      <w:pPr>
        <w:keepNext/>
        <w:spacing w:after="120"/>
        <w:jc w:val="both"/>
        <w:rPr>
          <w:rFonts w:ascii="Georgia" w:eastAsia="Calibri" w:hAnsi="Georgia" w:cs="Arial"/>
          <w:sz w:val="20"/>
          <w:szCs w:val="20"/>
          <w:lang w:val="lt-LT"/>
        </w:rPr>
      </w:pPr>
      <w:r w:rsidRPr="002142B8">
        <w:rPr>
          <w:rFonts w:ascii="Calibri" w:eastAsia="Calibri" w:hAnsi="Calibri" w:cs="DokChampa"/>
          <w:noProof/>
          <w:lang w:val="lt-LT" w:eastAsia="lt-LT"/>
        </w:rPr>
        <w:drawing>
          <wp:inline distT="0" distB="0" distL="0" distR="0" wp14:anchorId="4D734B4F" wp14:editId="12A15D5F">
            <wp:extent cx="2695575" cy="2169160"/>
            <wp:effectExtent l="0" t="0" r="0" b="0"/>
            <wp:docPr id="50195" name="Chart 50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142B8">
        <w:rPr>
          <w:rFonts w:ascii="Calibri" w:eastAsia="Calibri" w:hAnsi="Calibri" w:cs="DokChampa"/>
          <w:noProof/>
          <w:lang w:val="lt-LT" w:eastAsia="lt-LT"/>
        </w:rPr>
        <w:drawing>
          <wp:inline distT="0" distB="0" distL="0" distR="0" wp14:anchorId="00F5E91C" wp14:editId="5387C294">
            <wp:extent cx="2914650" cy="2409825"/>
            <wp:effectExtent l="0" t="0" r="0" b="0"/>
            <wp:docPr id="50202" name="Chart 50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4D6EB1" w14:textId="77777777" w:rsidR="002D46ED" w:rsidRPr="002142B8" w:rsidRDefault="002D46ED" w:rsidP="002D46ED">
      <w:pPr>
        <w:keepNext/>
        <w:spacing w:after="0" w:line="240" w:lineRule="auto"/>
        <w:jc w:val="center"/>
        <w:rPr>
          <w:rFonts w:ascii="Georgia" w:eastAsia="Calibri" w:hAnsi="Georgia" w:cs="DokChampa"/>
          <w:sz w:val="20"/>
          <w:szCs w:val="20"/>
          <w:lang w:val="lt-LT"/>
        </w:rPr>
      </w:pPr>
    </w:p>
    <w:p w14:paraId="149C5B9D" w14:textId="004CD54A" w:rsidR="002D46ED" w:rsidRDefault="002D46ED" w:rsidP="002D46ED">
      <w:pPr>
        <w:keepNext/>
        <w:jc w:val="both"/>
        <w:rPr>
          <w:rFonts w:ascii="Georgia" w:eastAsia="PMingLiU" w:hAnsi="Georgia" w:cs="Times New Roman"/>
          <w:bCs/>
          <w:i/>
          <w:sz w:val="20"/>
          <w:szCs w:val="18"/>
          <w:lang w:val="lt-LT"/>
        </w:rPr>
      </w:pPr>
      <w:r w:rsidRPr="002142B8">
        <w:rPr>
          <w:rFonts w:ascii="Georgia" w:eastAsia="PMingLiU" w:hAnsi="Georgia" w:cs="Times New Roman"/>
          <w:bCs/>
          <w:i/>
          <w:sz w:val="20"/>
          <w:szCs w:val="18"/>
          <w:lang w:val="lt-LT"/>
        </w:rPr>
        <w:t>Šaltinis. EIB statistikos ataskaitos</w:t>
      </w:r>
      <w:r w:rsidRPr="002142B8">
        <w:rPr>
          <w:rFonts w:ascii="Georgia" w:eastAsia="PMingLiU" w:hAnsi="Georgia" w:cs="Times New Roman"/>
          <w:bCs/>
          <w:sz w:val="20"/>
          <w:szCs w:val="18"/>
          <w:vertAlign w:val="superscript"/>
          <w:lang w:val="lt-LT"/>
        </w:rPr>
        <w:footnoteReference w:id="96"/>
      </w:r>
    </w:p>
    <w:p w14:paraId="057B562D" w14:textId="2C36B73A" w:rsidR="006F5A41" w:rsidRPr="002142B8" w:rsidRDefault="006F5A41" w:rsidP="006F5A41">
      <w:pPr>
        <w:pStyle w:val="Antrat"/>
        <w:rPr>
          <w:lang w:val="lt-LT"/>
        </w:rPr>
      </w:pPr>
      <w:bookmarkStart w:id="127" w:name="_Toc507939269"/>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10</w:t>
      </w:r>
      <w:r w:rsidRPr="002142B8">
        <w:rPr>
          <w:lang w:val="lt-LT"/>
        </w:rPr>
        <w:fldChar w:fldCharType="end"/>
      </w:r>
      <w:r w:rsidRPr="002142B8">
        <w:rPr>
          <w:lang w:val="lt-LT"/>
        </w:rPr>
        <w:t xml:space="preserve">. </w:t>
      </w:r>
      <w:r w:rsidRPr="006F5A41">
        <w:rPr>
          <w:lang w:val="lt-LT"/>
        </w:rPr>
        <w:t>EIB portfelio raida Lietuvoje 2009-2016 metais ir finansuojamų projektų pasiskirstymas pagal sektorių 2012-2016 metais</w:t>
      </w:r>
      <w:bookmarkEnd w:id="127"/>
    </w:p>
    <w:p w14:paraId="4998AA7D" w14:textId="705379CE"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Per penkerius metus dažniausiai EIB Lietuvoje išdavė paskolas, kuriomis buvo finansuojamos šios sritys: energetika (29%), vandentvarkos ir nuotekų tvarkymo, miestų plėtra (24%), mažos ir vidutinės apimties projektai (23%), </w:t>
      </w:r>
      <w:r w:rsidR="00D9139B" w:rsidRPr="002142B8">
        <w:rPr>
          <w:rFonts w:ascii="Georgia" w:eastAsia="Calibri" w:hAnsi="Georgia" w:cs="Arial"/>
          <w:sz w:val="20"/>
          <w:szCs w:val="20"/>
          <w:lang w:val="lt-LT"/>
        </w:rPr>
        <w:t>transporto</w:t>
      </w:r>
      <w:r w:rsidRPr="002142B8">
        <w:rPr>
          <w:rFonts w:ascii="Georgia" w:eastAsia="Calibri" w:hAnsi="Georgia" w:cs="Arial"/>
          <w:sz w:val="20"/>
          <w:szCs w:val="20"/>
          <w:lang w:val="lt-LT"/>
        </w:rPr>
        <w:t xml:space="preserve"> ir telekomunikacijos (17%) (žr. paveikslėlį viršuje). </w:t>
      </w:r>
    </w:p>
    <w:p w14:paraId="00D14965" w14:textId="1630D2CC"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bCs/>
          <w:sz w:val="20"/>
          <w:szCs w:val="20"/>
          <w:lang w:val="lt-LT"/>
        </w:rPr>
        <w:t xml:space="preserve">2016 m. EIB ir Vilniaus savivaldybė pasirašė sutartį dėl pirmosios 50 mln. eurų paskolos dalies – 25 mln. eurų suteikimo miesto investicijų programai įgyvendinti artimiausiais metais. Didžioji lėšų dalis bus panaudota investicijoms į miesto infrastruktūros atnaujinimo projektus ir vakarinio aplinkkelio statybą </w:t>
      </w:r>
      <w:r w:rsidRPr="002142B8">
        <w:rPr>
          <w:rFonts w:ascii="Georgia" w:eastAsia="Calibri" w:hAnsi="Georgia" w:cs="Arial"/>
          <w:bCs/>
          <w:sz w:val="20"/>
          <w:szCs w:val="20"/>
          <w:vertAlign w:val="superscript"/>
          <w:lang w:val="lt-LT"/>
        </w:rPr>
        <w:footnoteReference w:id="97"/>
      </w:r>
      <w:r w:rsidRPr="002142B8">
        <w:rPr>
          <w:rFonts w:ascii="Georgia" w:eastAsia="Calibri" w:hAnsi="Georgia" w:cs="Arial"/>
          <w:bCs/>
          <w:sz w:val="20"/>
          <w:szCs w:val="20"/>
          <w:lang w:val="lt-LT"/>
        </w:rPr>
        <w:t>.</w:t>
      </w:r>
    </w:p>
    <w:p w14:paraId="77F952D9" w14:textId="35A5ABC3"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bCs/>
          <w:sz w:val="20"/>
          <w:szCs w:val="20"/>
          <w:lang w:val="lt-LT"/>
        </w:rPr>
        <w:t>2016 m. EIB ir „Lietuvos energija“ pasirašė susitarimą dėl 190 mln. eurų paskolos, skirtos naujos kogeneracinės jėgainės statybų Vilniuje finansavimui</w:t>
      </w:r>
      <w:r w:rsidRPr="002142B8">
        <w:rPr>
          <w:rFonts w:ascii="Georgia" w:eastAsia="Calibri" w:hAnsi="Georgia" w:cs="Arial"/>
          <w:bCs/>
          <w:sz w:val="20"/>
          <w:szCs w:val="20"/>
          <w:vertAlign w:val="superscript"/>
          <w:lang w:val="lt-LT"/>
        </w:rPr>
        <w:footnoteReference w:id="98"/>
      </w:r>
      <w:r w:rsidRPr="002142B8">
        <w:rPr>
          <w:rFonts w:ascii="Georgia" w:eastAsia="Calibri" w:hAnsi="Georgia" w:cs="Arial"/>
          <w:bCs/>
          <w:sz w:val="20"/>
          <w:szCs w:val="20"/>
          <w:lang w:val="lt-LT"/>
        </w:rPr>
        <w:t>. </w:t>
      </w:r>
    </w:p>
    <w:p w14:paraId="32EC40A7" w14:textId="5E2493DF" w:rsidR="006977C2" w:rsidRPr="002142B8" w:rsidRDefault="006977C2" w:rsidP="006977C2">
      <w:pPr>
        <w:jc w:val="both"/>
        <w:rPr>
          <w:rFonts w:ascii="Arial" w:eastAsia="Calibri" w:hAnsi="Arial" w:cs="Arial"/>
          <w:color w:val="FF0000"/>
          <w:sz w:val="20"/>
          <w:szCs w:val="20"/>
          <w:lang w:val="lt-LT"/>
        </w:rPr>
      </w:pPr>
      <w:r w:rsidRPr="002142B8">
        <w:rPr>
          <w:rFonts w:ascii="Georgia" w:eastAsia="Calibri" w:hAnsi="Georgia" w:cs="Arial"/>
          <w:sz w:val="20"/>
          <w:szCs w:val="20"/>
          <w:lang w:val="lt-LT"/>
        </w:rPr>
        <w:t xml:space="preserve">2017 m. Šiaulių bankas ir EIB susitarė dėl naujos paramos daugiabučių namų atnaujinimui ir modernizavimui Lietuvoje. </w:t>
      </w:r>
      <w:r w:rsidR="00335B55" w:rsidRPr="002142B8">
        <w:rPr>
          <w:rFonts w:ascii="Georgia" w:eastAsia="Calibri" w:hAnsi="Georgia" w:cs="Arial"/>
          <w:sz w:val="20"/>
          <w:szCs w:val="20"/>
          <w:lang w:val="lt-LT"/>
        </w:rPr>
        <w:t>I</w:t>
      </w:r>
      <w:r w:rsidR="00A45805" w:rsidRPr="002142B8">
        <w:rPr>
          <w:rFonts w:ascii="Georgia" w:eastAsia="Calibri" w:hAnsi="Georgia" w:cs="Arial"/>
          <w:sz w:val="20"/>
          <w:szCs w:val="20"/>
          <w:lang w:val="lt-LT"/>
        </w:rPr>
        <w:t xml:space="preserve">ki šiol </w:t>
      </w:r>
      <w:r w:rsidR="00335B55" w:rsidRPr="002142B8">
        <w:rPr>
          <w:rFonts w:ascii="Georgia" w:eastAsia="Calibri" w:hAnsi="Georgia" w:cs="Arial"/>
          <w:sz w:val="20"/>
          <w:szCs w:val="20"/>
          <w:lang w:val="lt-LT"/>
        </w:rPr>
        <w:t>i</w:t>
      </w:r>
      <w:r w:rsidRPr="002142B8">
        <w:rPr>
          <w:rFonts w:ascii="Georgia" w:eastAsia="Calibri" w:hAnsi="Georgia" w:cs="Arial"/>
          <w:sz w:val="20"/>
          <w:szCs w:val="20"/>
          <w:lang w:val="lt-LT"/>
        </w:rPr>
        <w:t xml:space="preserve">š "Jessica II" fondo </w:t>
      </w:r>
      <w:r w:rsidR="003051B1" w:rsidRPr="002142B8">
        <w:rPr>
          <w:rFonts w:ascii="Georgia" w:eastAsia="Calibri" w:hAnsi="Georgia" w:cs="Arial"/>
          <w:sz w:val="20"/>
          <w:szCs w:val="20"/>
          <w:lang w:val="lt-LT"/>
        </w:rPr>
        <w:t xml:space="preserve">Šiaulių bankui kaip </w:t>
      </w:r>
      <w:r w:rsidR="00335B55" w:rsidRPr="002142B8">
        <w:rPr>
          <w:rFonts w:ascii="Georgia" w:eastAsia="Calibri" w:hAnsi="Georgia" w:cs="Arial"/>
          <w:sz w:val="20"/>
          <w:szCs w:val="20"/>
          <w:lang w:val="lt-LT"/>
        </w:rPr>
        <w:t>finansiniam tarpinink</w:t>
      </w:r>
      <w:r w:rsidR="003051B1" w:rsidRPr="002142B8">
        <w:rPr>
          <w:rFonts w:ascii="Georgia" w:eastAsia="Calibri" w:hAnsi="Georgia" w:cs="Arial"/>
          <w:sz w:val="20"/>
          <w:szCs w:val="20"/>
          <w:lang w:val="lt-LT"/>
        </w:rPr>
        <w:t>ui</w:t>
      </w:r>
      <w:r w:rsidR="00335B55" w:rsidRPr="002142B8">
        <w:rPr>
          <w:rFonts w:ascii="Georgia" w:eastAsia="Calibri" w:hAnsi="Georgia" w:cs="Arial"/>
          <w:sz w:val="20"/>
          <w:szCs w:val="20"/>
          <w:lang w:val="lt-LT"/>
        </w:rPr>
        <w:t xml:space="preserve"> </w:t>
      </w:r>
      <w:r w:rsidR="00A45805" w:rsidRPr="002142B8">
        <w:rPr>
          <w:rFonts w:ascii="Georgia" w:eastAsia="Calibri" w:hAnsi="Georgia" w:cs="Arial"/>
          <w:sz w:val="20"/>
          <w:szCs w:val="20"/>
          <w:lang w:val="lt-LT"/>
        </w:rPr>
        <w:t xml:space="preserve">yra išmokėta 108 </w:t>
      </w:r>
      <w:r w:rsidRPr="002142B8">
        <w:rPr>
          <w:rFonts w:ascii="Georgia" w:eastAsia="Calibri" w:hAnsi="Georgia" w:cs="Arial"/>
          <w:sz w:val="20"/>
          <w:szCs w:val="20"/>
          <w:lang w:val="lt-LT"/>
        </w:rPr>
        <w:t xml:space="preserve">mln. </w:t>
      </w:r>
      <w:r w:rsidR="00A45805" w:rsidRPr="002142B8">
        <w:rPr>
          <w:rFonts w:ascii="Georgia" w:eastAsia="Calibri" w:hAnsi="Georgia" w:cs="Arial"/>
          <w:sz w:val="20"/>
          <w:szCs w:val="20"/>
          <w:lang w:val="lt-LT"/>
        </w:rPr>
        <w:t>E</w:t>
      </w:r>
      <w:r w:rsidRPr="002142B8">
        <w:rPr>
          <w:rFonts w:ascii="Georgia" w:eastAsia="Calibri" w:hAnsi="Georgia" w:cs="Arial"/>
          <w:sz w:val="20"/>
          <w:szCs w:val="20"/>
          <w:lang w:val="lt-LT"/>
        </w:rPr>
        <w:t>urų</w:t>
      </w:r>
      <w:r w:rsidR="00A45805" w:rsidRPr="002142B8">
        <w:rPr>
          <w:rFonts w:ascii="Georgia" w:eastAsia="Calibri" w:hAnsi="Georgia" w:cs="Arial"/>
          <w:sz w:val="20"/>
          <w:szCs w:val="20"/>
          <w:lang w:val="lt-LT"/>
        </w:rPr>
        <w:t xml:space="preserve"> </w:t>
      </w:r>
      <w:r w:rsidR="00335B55" w:rsidRPr="002142B8">
        <w:rPr>
          <w:rFonts w:ascii="Georgia" w:eastAsia="Calibri" w:hAnsi="Georgia" w:cs="Arial"/>
          <w:sz w:val="20"/>
          <w:szCs w:val="20"/>
          <w:lang w:val="lt-LT"/>
        </w:rPr>
        <w:t>ES struktūrinių fondų lėšų</w:t>
      </w:r>
      <w:r w:rsidR="00EA6ACC" w:rsidRPr="002142B8">
        <w:rPr>
          <w:rFonts w:ascii="Georgia" w:eastAsia="Calibri" w:hAnsi="Georgia" w:cs="Arial"/>
          <w:sz w:val="20"/>
          <w:szCs w:val="20"/>
          <w:lang w:val="lt-LT"/>
        </w:rPr>
        <w:t xml:space="preserve"> </w:t>
      </w:r>
      <w:r w:rsidR="00A45805" w:rsidRPr="002142B8">
        <w:rPr>
          <w:rFonts w:ascii="Georgia" w:eastAsia="Calibri" w:hAnsi="Georgia" w:cs="Arial"/>
          <w:sz w:val="20"/>
          <w:szCs w:val="20"/>
          <w:lang w:val="lt-LT"/>
        </w:rPr>
        <w:t>(arba 72%)</w:t>
      </w:r>
      <w:r w:rsidRPr="002142B8">
        <w:rPr>
          <w:rFonts w:ascii="Georgia" w:eastAsia="Calibri" w:hAnsi="Georgia" w:cs="Arial"/>
          <w:sz w:val="20"/>
          <w:szCs w:val="20"/>
          <w:lang w:val="lt-LT"/>
        </w:rPr>
        <w:t xml:space="preserve">, </w:t>
      </w:r>
      <w:r w:rsidR="00A45805" w:rsidRPr="002142B8">
        <w:rPr>
          <w:rFonts w:ascii="Georgia" w:eastAsia="Calibri" w:hAnsi="Georgia" w:cs="Arial"/>
          <w:sz w:val="20"/>
          <w:szCs w:val="20"/>
          <w:lang w:val="lt-LT"/>
        </w:rPr>
        <w:t xml:space="preserve">prie </w:t>
      </w:r>
      <w:r w:rsidRPr="002142B8">
        <w:rPr>
          <w:rFonts w:ascii="Georgia" w:eastAsia="Calibri" w:hAnsi="Georgia" w:cs="Arial"/>
          <w:sz w:val="20"/>
          <w:szCs w:val="20"/>
          <w:lang w:val="lt-LT"/>
        </w:rPr>
        <w:t xml:space="preserve">kurių </w:t>
      </w:r>
      <w:r w:rsidR="00A45805" w:rsidRPr="002142B8">
        <w:rPr>
          <w:rFonts w:ascii="Georgia" w:eastAsia="Calibri" w:hAnsi="Georgia" w:cs="Arial"/>
          <w:sz w:val="20"/>
          <w:szCs w:val="20"/>
          <w:lang w:val="lt-LT"/>
        </w:rPr>
        <w:t>dar</w:t>
      </w:r>
      <w:r w:rsidR="00335B55" w:rsidRPr="002142B8">
        <w:rPr>
          <w:rFonts w:ascii="Georgia" w:eastAsia="Calibri" w:hAnsi="Georgia" w:cs="Arial"/>
          <w:sz w:val="20"/>
          <w:szCs w:val="20"/>
          <w:lang w:val="lt-LT"/>
        </w:rPr>
        <w:t xml:space="preserve"> 130 </w:t>
      </w:r>
      <w:r w:rsidRPr="002142B8">
        <w:rPr>
          <w:rFonts w:ascii="Georgia" w:eastAsia="Calibri" w:hAnsi="Georgia" w:cs="Arial"/>
          <w:sz w:val="20"/>
          <w:szCs w:val="20"/>
          <w:lang w:val="lt-LT"/>
        </w:rPr>
        <w:t xml:space="preserve">mln. eurų prisidėjo Šiaulių bankas. </w:t>
      </w:r>
    </w:p>
    <w:p w14:paraId="214A21E2" w14:textId="77777777" w:rsidR="00BB79B7" w:rsidRDefault="00BB79B7">
      <w:pPr>
        <w:rPr>
          <w:rFonts w:ascii="Georgia" w:eastAsia="PMingLiU" w:hAnsi="Georgia" w:cs="Times New Roman"/>
          <w:b/>
          <w:i/>
          <w:sz w:val="20"/>
          <w:szCs w:val="20"/>
          <w:lang w:val="lt-LT"/>
        </w:rPr>
      </w:pPr>
      <w:r>
        <w:rPr>
          <w:rFonts w:ascii="Georgia" w:eastAsia="PMingLiU" w:hAnsi="Georgia" w:cs="Times New Roman"/>
          <w:b/>
          <w:i/>
          <w:sz w:val="20"/>
          <w:szCs w:val="20"/>
          <w:lang w:val="lt-LT"/>
        </w:rPr>
        <w:br w:type="page"/>
      </w:r>
    </w:p>
    <w:p w14:paraId="2C790263" w14:textId="6CD0CCB5" w:rsidR="006977C2" w:rsidRPr="002142B8" w:rsidRDefault="006977C2" w:rsidP="006977C2">
      <w:pPr>
        <w:spacing w:after="240" w:line="240" w:lineRule="atLeast"/>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lastRenderedPageBreak/>
        <w:t>Produktai</w:t>
      </w:r>
    </w:p>
    <w:p w14:paraId="395D60E3" w14:textId="3C49BEE2"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Pagrindinis EIB siūlomas produktas yra paskolos</w:t>
      </w:r>
      <w:r w:rsidRPr="002142B8">
        <w:rPr>
          <w:rFonts w:ascii="Georgia" w:eastAsia="Calibri" w:hAnsi="Georgia" w:cs="Arial"/>
          <w:sz w:val="20"/>
          <w:szCs w:val="20"/>
          <w:vertAlign w:val="superscript"/>
          <w:lang w:val="lt-LT"/>
        </w:rPr>
        <w:footnoteReference w:id="99"/>
      </w:r>
      <w:r w:rsidRPr="002142B8">
        <w:rPr>
          <w:rFonts w:ascii="Georgia" w:eastAsia="Calibri" w:hAnsi="Georgia" w:cs="Arial"/>
          <w:sz w:val="20"/>
          <w:szCs w:val="20"/>
          <w:lang w:val="lt-LT"/>
        </w:rPr>
        <w:t>. EIB taip pat finansuoja kompleksines ilgalaikes programas. Šiomis paskolomis finansuojama įvairūs projektai, pastaruoju metu dažniausiai infrastruktūros, energetinio efektyvumo, atsinaujinančių energijos išteklių transporto ir miestų plėtros sektoriuose</w:t>
      </w:r>
      <w:r w:rsidRPr="002142B8">
        <w:rPr>
          <w:rFonts w:ascii="Georgia" w:eastAsia="Calibri" w:hAnsi="Georgia" w:cs="Arial"/>
          <w:sz w:val="20"/>
          <w:szCs w:val="20"/>
          <w:vertAlign w:val="superscript"/>
          <w:lang w:val="lt-LT"/>
        </w:rPr>
        <w:footnoteReference w:id="100"/>
      </w:r>
      <w:r w:rsidRPr="002142B8">
        <w:rPr>
          <w:rFonts w:ascii="Georgia" w:eastAsia="Calibri" w:hAnsi="Georgia" w:cs="Arial"/>
          <w:sz w:val="20"/>
          <w:szCs w:val="20"/>
          <w:lang w:val="lt-LT"/>
        </w:rPr>
        <w:t>.</w:t>
      </w:r>
    </w:p>
    <w:p w14:paraId="4E5AC4E6" w14:textId="3F952457" w:rsidR="006977C2" w:rsidRPr="005A1A99" w:rsidRDefault="006977C2" w:rsidP="006977C2">
      <w:pPr>
        <w:keepNext/>
        <w:spacing w:line="240" w:lineRule="auto"/>
        <w:rPr>
          <w:rFonts w:ascii="Georgia" w:eastAsia="PMingLiU" w:hAnsi="Georgia" w:cs="Arial"/>
          <w:bCs/>
          <w:i/>
          <w:color w:val="A32020"/>
          <w:sz w:val="20"/>
          <w:szCs w:val="20"/>
          <w:lang w:val="lt-LT"/>
        </w:rPr>
      </w:pPr>
      <w:bookmarkStart w:id="128" w:name="_Toc507939153"/>
      <w:r w:rsidRPr="005A1A99">
        <w:rPr>
          <w:rFonts w:ascii="Georgia" w:eastAsia="PMingLiU" w:hAnsi="Georgia" w:cs="Times New Roman"/>
          <w:bCs/>
          <w:i/>
          <w:color w:val="A32020"/>
          <w:sz w:val="20"/>
          <w:szCs w:val="18"/>
          <w:lang w:val="lt-LT"/>
        </w:rPr>
        <w:t xml:space="preserve">Lentelė </w:t>
      </w:r>
      <w:r w:rsidRPr="005A1A99">
        <w:rPr>
          <w:rFonts w:ascii="Georgia" w:eastAsia="PMingLiU" w:hAnsi="Georgia" w:cs="Times New Roman"/>
          <w:bCs/>
          <w:i/>
          <w:color w:val="A32020"/>
          <w:sz w:val="20"/>
          <w:szCs w:val="18"/>
          <w:lang w:val="lt-LT"/>
        </w:rPr>
        <w:fldChar w:fldCharType="begin"/>
      </w:r>
      <w:r w:rsidRPr="005A1A99">
        <w:rPr>
          <w:rFonts w:ascii="Georgia" w:eastAsia="PMingLiU" w:hAnsi="Georgia" w:cs="Times New Roman"/>
          <w:bCs/>
          <w:i/>
          <w:color w:val="A32020"/>
          <w:sz w:val="20"/>
          <w:szCs w:val="18"/>
          <w:lang w:val="lt-LT"/>
        </w:rPr>
        <w:instrText xml:space="preserve"> SEQ Lentelė \* ARABIC </w:instrText>
      </w:r>
      <w:r w:rsidRPr="005A1A99">
        <w:rPr>
          <w:rFonts w:ascii="Georgia" w:eastAsia="PMingLiU" w:hAnsi="Georgia" w:cs="Times New Roman"/>
          <w:bCs/>
          <w:i/>
          <w:color w:val="A32020"/>
          <w:sz w:val="20"/>
          <w:szCs w:val="18"/>
          <w:lang w:val="lt-LT"/>
        </w:rPr>
        <w:fldChar w:fldCharType="separate"/>
      </w:r>
      <w:r w:rsidR="009652A6">
        <w:rPr>
          <w:rFonts w:ascii="Georgia" w:eastAsia="PMingLiU" w:hAnsi="Georgia" w:cs="Times New Roman"/>
          <w:bCs/>
          <w:i/>
          <w:noProof/>
          <w:color w:val="A32020"/>
          <w:sz w:val="20"/>
          <w:szCs w:val="18"/>
          <w:lang w:val="lt-LT"/>
        </w:rPr>
        <w:t>31</w:t>
      </w:r>
      <w:r w:rsidRPr="005A1A99">
        <w:rPr>
          <w:rFonts w:ascii="Georgia" w:eastAsia="PMingLiU" w:hAnsi="Georgia" w:cs="Times New Roman"/>
          <w:bCs/>
          <w:i/>
          <w:color w:val="A32020"/>
          <w:sz w:val="20"/>
          <w:szCs w:val="18"/>
          <w:lang w:val="lt-LT"/>
        </w:rPr>
        <w:fldChar w:fldCharType="end"/>
      </w:r>
      <w:r w:rsidRPr="005A1A99">
        <w:rPr>
          <w:rFonts w:ascii="Georgia" w:eastAsia="PMingLiU" w:hAnsi="Georgia" w:cs="Times New Roman"/>
          <w:bCs/>
          <w:i/>
          <w:color w:val="A32020"/>
          <w:sz w:val="20"/>
          <w:szCs w:val="18"/>
          <w:lang w:val="lt-LT"/>
        </w:rPr>
        <w:t>. EIB siūlomų finansinių produktų sąlygos</w:t>
      </w:r>
      <w:bookmarkEnd w:id="128"/>
    </w:p>
    <w:tbl>
      <w:tblPr>
        <w:tblStyle w:val="3vidutinistinklelis2parykinimas"/>
        <w:tblW w:w="5000" w:type="pct"/>
        <w:tblLook w:val="04A0" w:firstRow="1" w:lastRow="0" w:firstColumn="1" w:lastColumn="0" w:noHBand="0" w:noVBand="1"/>
      </w:tblPr>
      <w:tblGrid>
        <w:gridCol w:w="4522"/>
        <w:gridCol w:w="4720"/>
      </w:tblGrid>
      <w:tr w:rsidR="006977C2" w:rsidRPr="002142B8" w14:paraId="43F9F47F" w14:textId="77777777" w:rsidTr="005B31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0B407CA1" w14:textId="77777777" w:rsidR="006977C2" w:rsidRPr="002142B8" w:rsidRDefault="006977C2" w:rsidP="006977C2">
            <w:pPr>
              <w:ind w:left="341" w:hanging="341"/>
              <w:contextualSpacing/>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Paskolos sąlygos</w:t>
            </w:r>
          </w:p>
        </w:tc>
      </w:tr>
      <w:tr w:rsidR="006977C2" w:rsidRPr="002142B8" w14:paraId="154A6AFC"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72574F7"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Tikslinė grupė</w:t>
            </w:r>
          </w:p>
        </w:tc>
        <w:tc>
          <w:tcPr>
            <w:tcW w:w="0" w:type="pct"/>
            <w:shd w:val="clear" w:color="auto" w:fill="FFECC0"/>
            <w:hideMark/>
          </w:tcPr>
          <w:p w14:paraId="230516DA"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tiek privatus, tiek viešasis sektoriai.</w:t>
            </w:r>
          </w:p>
        </w:tc>
      </w:tr>
      <w:tr w:rsidR="006977C2" w:rsidRPr="002142B8" w14:paraId="40BB41B0"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2F70B74"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Projekto 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3A7F4D0A" w14:textId="77777777" w:rsidR="006977C2" w:rsidRPr="002142B8"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daugiau nei 25 mln. EUR.</w:t>
            </w:r>
          </w:p>
        </w:tc>
      </w:tr>
      <w:tr w:rsidR="006977C2" w:rsidRPr="002142B8" w14:paraId="6E57BFB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6AD3DA98"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Paskolos dydis</w:t>
            </w:r>
          </w:p>
        </w:tc>
        <w:tc>
          <w:tcPr>
            <w:tcW w:w="0" w:type="pct"/>
            <w:shd w:val="clear" w:color="auto" w:fill="FFECC0"/>
            <w:hideMark/>
          </w:tcPr>
          <w:p w14:paraId="5C75FB5E"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iki 50 proc. projekto vertės;</w:t>
            </w:r>
          </w:p>
          <w:p w14:paraId="3539329F"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paskola siekia apie 1/3 projekto vertės.</w:t>
            </w:r>
          </w:p>
        </w:tc>
      </w:tr>
      <w:tr w:rsidR="006977C2" w:rsidRPr="002142B8" w14:paraId="778E97B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376209DF"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Palūkanų norma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472193BE" w14:textId="77777777" w:rsidR="006977C2" w:rsidRPr="002142B8"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bankas yra pelno nesiekianti, orientuota į politinių tikslų siekimą institucija;</w:t>
            </w:r>
          </w:p>
          <w:p w14:paraId="6E2DB0CB" w14:textId="77777777" w:rsidR="006977C2" w:rsidRPr="002142B8"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EIB teikia lengvatines paskolas; </w:t>
            </w:r>
          </w:p>
          <w:p w14:paraId="69E4549A" w14:textId="77777777" w:rsidR="006977C2" w:rsidRPr="002142B8"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palūkanų norma gali būti fiksuota, kintanti arba konvertuojamoji (t.y. palūkanų normos formulė gali būti peržiūrima tam tikrais iš anksto apibrėžtais laikotarpiais).</w:t>
            </w:r>
          </w:p>
        </w:tc>
      </w:tr>
      <w:tr w:rsidR="006977C2" w:rsidRPr="002142B8" w14:paraId="2E5C0321"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345E7C41"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Specifiniai reikalavimai projektams</w:t>
            </w:r>
          </w:p>
        </w:tc>
        <w:tc>
          <w:tcPr>
            <w:tcW w:w="0" w:type="pct"/>
            <w:shd w:val="clear" w:color="auto" w:fill="FFECC0"/>
            <w:hideMark/>
          </w:tcPr>
          <w:p w14:paraId="27D1955E"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projektas privalo atitikti EIB skolinimo tikslus ir būti ekonomiškai, finansiškai, techniškai ir aplinkosaugos požiūriu patikimas.</w:t>
            </w:r>
          </w:p>
        </w:tc>
      </w:tr>
      <w:tr w:rsidR="006977C2" w:rsidRPr="002142B8" w14:paraId="25A04308"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AF0C383"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18926BF" w14:textId="77777777" w:rsidR="006977C2" w:rsidRPr="002142B8" w:rsidRDefault="006977C2" w:rsidP="00162BF5">
            <w:pPr>
              <w:numPr>
                <w:ilvl w:val="0"/>
                <w:numId w:val="11"/>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suteikiamos eurais, tačiau taip pat gali būti teikiamos GBP, USD, JPY, SEK, DKK, CHF, PLN, CZK ir HUF ar kitomis valiutomis.</w:t>
            </w:r>
          </w:p>
        </w:tc>
      </w:tr>
      <w:tr w:rsidR="006977C2" w:rsidRPr="002142B8" w14:paraId="55E7AE62"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103854FD"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Atidėjimo laikotarpis</w:t>
            </w:r>
          </w:p>
        </w:tc>
        <w:tc>
          <w:tcPr>
            <w:tcW w:w="0" w:type="pct"/>
            <w:shd w:val="clear" w:color="auto" w:fill="FFECC0"/>
            <w:hideMark/>
          </w:tcPr>
          <w:p w14:paraId="5C212189"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analizuojama konkretaus projekto atveju;</w:t>
            </w:r>
          </w:p>
          <w:p w14:paraId="7E106460"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atidėjimo laikotarpis paskolos grąžinimui gali būti skiriamas projekto statybų etape.</w:t>
            </w:r>
          </w:p>
        </w:tc>
      </w:tr>
      <w:tr w:rsidR="006977C2" w:rsidRPr="002142B8" w14:paraId="5EF3F421"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3419DB04" w14:textId="77777777" w:rsidR="006977C2" w:rsidRPr="002142B8" w:rsidRDefault="006977C2" w:rsidP="006977C2">
            <w:pPr>
              <w:ind w:left="177" w:hanging="142"/>
              <w:contextualSpacing/>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Mokesčiai ir rinkliavos</w:t>
            </w:r>
          </w:p>
        </w:tc>
      </w:tr>
      <w:tr w:rsidR="006977C2" w:rsidRPr="002142B8" w14:paraId="4B35A8BE"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FE9815C" w14:textId="77777777" w:rsidR="006977C2" w:rsidRPr="002142B8" w:rsidRDefault="006977C2" w:rsidP="006977C2">
            <w:pPr>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Mokesčiai</w:t>
            </w:r>
          </w:p>
        </w:tc>
        <w:tc>
          <w:tcPr>
            <w:tcW w:w="0" w:type="pct"/>
            <w:shd w:val="clear" w:color="auto" w:fill="FFECC0"/>
            <w:hideMark/>
          </w:tcPr>
          <w:p w14:paraId="4C148B6D"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tam tikrais atvejais reikalaujama mokesčių, susijusių su projekto vertinimu, teisinėmis paslaugomis, įsipareigojimu, nepanaudojimu ir pan.</w:t>
            </w:r>
          </w:p>
        </w:tc>
      </w:tr>
      <w:tr w:rsidR="006977C2" w:rsidRPr="002142B8" w14:paraId="1D6BC320"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64975A30" w14:textId="77777777" w:rsidR="006977C2" w:rsidRPr="002142B8" w:rsidRDefault="006977C2" w:rsidP="006977C2">
            <w:pPr>
              <w:ind w:left="177" w:hanging="142"/>
              <w:contextualSpacing/>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Kitos sąlygos</w:t>
            </w:r>
          </w:p>
        </w:tc>
      </w:tr>
      <w:tr w:rsidR="006977C2" w:rsidRPr="002142B8" w14:paraId="6BECD5CD"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tcPr>
          <w:p w14:paraId="4A295461" w14:textId="77777777" w:rsidR="006977C2" w:rsidRPr="002142B8" w:rsidRDefault="006977C2" w:rsidP="006977C2">
            <w:pPr>
              <w:rPr>
                <w:rFonts w:ascii="Georgia" w:eastAsia="Calibri" w:hAnsi="Georgia" w:cs="Arial"/>
                <w:b w:val="0"/>
                <w:bCs w:val="0"/>
                <w:color w:val="auto"/>
                <w:sz w:val="20"/>
                <w:szCs w:val="20"/>
                <w:lang w:val="lt-LT"/>
              </w:rPr>
            </w:pPr>
          </w:p>
        </w:tc>
        <w:tc>
          <w:tcPr>
            <w:tcW w:w="0" w:type="pct"/>
            <w:shd w:val="clear" w:color="auto" w:fill="FFECC0"/>
            <w:hideMark/>
          </w:tcPr>
          <w:p w14:paraId="2E96D818" w14:textId="77777777" w:rsidR="006977C2" w:rsidRPr="002142B8" w:rsidRDefault="006977C2" w:rsidP="00162BF5">
            <w:pPr>
              <w:numPr>
                <w:ilvl w:val="0"/>
                <w:numId w:val="11"/>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finansavimo sąlygos priklauso nuo investicijų tipo ir trečiųjų šalių pasiūlyto paskolos užtikrinimo (bankai ar bankų sindikatai, kitos finansų institucijos ar motininės įmonės).</w:t>
            </w:r>
          </w:p>
        </w:tc>
      </w:tr>
      <w:tr w:rsidR="006977C2" w:rsidRPr="002142B8" w14:paraId="7584B682" w14:textId="77777777" w:rsidTr="005B31C6">
        <w:trPr>
          <w:cantSplit/>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77D30571" w14:textId="77777777" w:rsidR="006977C2" w:rsidRPr="002142B8" w:rsidRDefault="006977C2" w:rsidP="006977C2">
            <w:pPr>
              <w:ind w:left="177" w:hanging="142"/>
              <w:contextualSpacing/>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Paskolos mokėjimas</w:t>
            </w:r>
          </w:p>
        </w:tc>
      </w:tr>
      <w:tr w:rsidR="006977C2" w:rsidRPr="002142B8" w14:paraId="1B135459" w14:textId="77777777" w:rsidTr="005B31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shd w:val="clear" w:color="auto" w:fill="FFECC0"/>
          </w:tcPr>
          <w:p w14:paraId="7F5AA02B" w14:textId="77777777" w:rsidR="006977C2" w:rsidRPr="002142B8" w:rsidRDefault="006977C2" w:rsidP="006977C2">
            <w:pPr>
              <w:rPr>
                <w:rFonts w:ascii="Georgia" w:eastAsia="Calibri" w:hAnsi="Georgia" w:cs="Arial"/>
                <w:b w:val="0"/>
                <w:bCs w:val="0"/>
                <w:color w:val="auto"/>
                <w:sz w:val="20"/>
                <w:szCs w:val="20"/>
                <w:lang w:val="lt-LT"/>
              </w:rPr>
            </w:pPr>
          </w:p>
        </w:tc>
        <w:tc>
          <w:tcPr>
            <w:tcW w:w="0" w:type="pct"/>
            <w:shd w:val="clear" w:color="auto" w:fill="FFECC0"/>
            <w:hideMark/>
          </w:tcPr>
          <w:p w14:paraId="52BF9711" w14:textId="77777777" w:rsidR="006977C2" w:rsidRPr="002142B8" w:rsidRDefault="006977C2" w:rsidP="00162BF5">
            <w:pPr>
              <w:numPr>
                <w:ilvl w:val="0"/>
                <w:numId w:val="11"/>
              </w:numPr>
              <w:tabs>
                <w:tab w:val="left" w:pos="229"/>
              </w:tabs>
              <w:spacing w:after="160" w:line="256" w:lineRule="auto"/>
              <w:ind w:hanging="720"/>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grąžinamos mokant du arba vieną kartą per metus.</w:t>
            </w:r>
          </w:p>
        </w:tc>
      </w:tr>
    </w:tbl>
    <w:p w14:paraId="4F97A6C2" w14:textId="77777777" w:rsidR="006977C2" w:rsidRPr="002142B8" w:rsidRDefault="006977C2" w:rsidP="006977C2">
      <w:pPr>
        <w:keepNext/>
        <w:spacing w:line="240" w:lineRule="auto"/>
        <w:rPr>
          <w:rFonts w:ascii="Georgia" w:eastAsia="PMingLiU" w:hAnsi="Georgia" w:cs="Times New Roman"/>
          <w:bCs/>
          <w:i/>
          <w:sz w:val="20"/>
          <w:szCs w:val="18"/>
          <w:lang w:val="lt-LT"/>
        </w:rPr>
      </w:pPr>
      <w:r w:rsidRPr="002142B8">
        <w:rPr>
          <w:rFonts w:ascii="Georgia" w:eastAsia="PMingLiU" w:hAnsi="Georgia" w:cs="Times New Roman"/>
          <w:bCs/>
          <w:i/>
          <w:sz w:val="20"/>
          <w:szCs w:val="18"/>
          <w:lang w:val="lt-LT"/>
        </w:rPr>
        <w:t>Šaltinis:</w:t>
      </w:r>
      <w:r w:rsidRPr="002142B8">
        <w:rPr>
          <w:rFonts w:ascii="Georgia" w:eastAsia="PMingLiU" w:hAnsi="Georgia" w:cs="Arial"/>
          <w:bCs/>
          <w:i/>
          <w:sz w:val="20"/>
          <w:szCs w:val="18"/>
          <w:lang w:val="lt-LT"/>
        </w:rPr>
        <w:t xml:space="preserve"> EIB paskolos </w:t>
      </w:r>
      <w:r w:rsidRPr="002142B8">
        <w:rPr>
          <w:rFonts w:ascii="Georgia" w:eastAsia="PMingLiU" w:hAnsi="Georgia" w:cs="Arial"/>
          <w:bCs/>
          <w:i/>
          <w:sz w:val="20"/>
          <w:szCs w:val="18"/>
          <w:vertAlign w:val="superscript"/>
          <w:lang w:val="lt-LT"/>
        </w:rPr>
        <w:footnoteReference w:id="101"/>
      </w:r>
      <w:r w:rsidRPr="002142B8">
        <w:rPr>
          <w:rFonts w:ascii="Georgia" w:eastAsia="PMingLiU" w:hAnsi="Georgia" w:cs="Arial"/>
          <w:bCs/>
          <w:i/>
          <w:sz w:val="20"/>
          <w:szCs w:val="18"/>
          <w:lang w:val="lt-LT"/>
        </w:rPr>
        <w:t xml:space="preserve"> </w:t>
      </w:r>
    </w:p>
    <w:p w14:paraId="07E544CF" w14:textId="77777777"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EIB taip pat gali teikti papildomą paramą prioritetiniams projektams, naudodamas aukštesnės rizikos instrumentus nei įprastai. Per struktūrinę finansinę priemonę </w:t>
      </w:r>
      <w:r w:rsidRPr="002142B8">
        <w:rPr>
          <w:rFonts w:ascii="Georgia" w:eastAsia="Calibri" w:hAnsi="Georgia" w:cs="Arial"/>
          <w:sz w:val="20"/>
          <w:szCs w:val="20"/>
          <w:vertAlign w:val="superscript"/>
          <w:lang w:val="lt-LT"/>
        </w:rPr>
        <w:footnoteReference w:id="102"/>
      </w:r>
      <w:r w:rsidRPr="002142B8">
        <w:rPr>
          <w:rFonts w:ascii="Georgia" w:eastAsia="Calibri" w:hAnsi="Georgia" w:cs="Arial"/>
          <w:sz w:val="20"/>
          <w:szCs w:val="20"/>
          <w:lang w:val="lt-LT"/>
        </w:rPr>
        <w:t xml:space="preserve"> teikiama parama įtraukia tokias priemones kaip privilegijuotosios paskolos ir garantijos rizikoms, galinčioms pasireikšti iki projekto užbaigimo, taip pat ankstyvosios veiklos vykdymo rizikos, subordinuotos paskolos ir garantijos, </w:t>
      </w:r>
      <w:r w:rsidRPr="002142B8">
        <w:rPr>
          <w:rFonts w:ascii="Georgia" w:eastAsia="Calibri" w:hAnsi="Georgia" w:cs="Arial"/>
          <w:sz w:val="20"/>
          <w:szCs w:val="20"/>
          <w:lang w:val="lt-LT"/>
        </w:rPr>
        <w:lastRenderedPageBreak/>
        <w:t>reitinguojamos aukščiau už akcininkų subordinuotas skolas, „</w:t>
      </w:r>
      <w:r w:rsidRPr="002142B8">
        <w:rPr>
          <w:rFonts w:ascii="Georgia" w:eastAsia="Calibri" w:hAnsi="Georgia" w:cs="Arial"/>
          <w:i/>
          <w:sz w:val="20"/>
          <w:szCs w:val="20"/>
          <w:lang w:val="lt-LT"/>
        </w:rPr>
        <w:t>mezzanine</w:t>
      </w:r>
      <w:r w:rsidRPr="002142B8">
        <w:rPr>
          <w:rFonts w:ascii="Georgia" w:eastAsia="Calibri" w:hAnsi="Georgia" w:cs="Arial"/>
          <w:sz w:val="20"/>
          <w:szCs w:val="20"/>
          <w:lang w:val="lt-LT"/>
        </w:rPr>
        <w:t xml:space="preserve">“ finansavimas, su projektu susijusios išvestines finansinės priemonės </w:t>
      </w:r>
      <w:r w:rsidRPr="002142B8">
        <w:rPr>
          <w:rFonts w:ascii="Georgia" w:eastAsia="Calibri" w:hAnsi="Georgia" w:cs="Arial"/>
          <w:sz w:val="20"/>
          <w:szCs w:val="20"/>
          <w:vertAlign w:val="superscript"/>
          <w:lang w:val="lt-LT"/>
        </w:rPr>
        <w:footnoteReference w:id="103"/>
      </w:r>
      <w:r w:rsidRPr="002142B8">
        <w:rPr>
          <w:rFonts w:ascii="Georgia" w:eastAsia="Calibri" w:hAnsi="Georgia" w:cs="Arial"/>
          <w:sz w:val="20"/>
          <w:szCs w:val="20"/>
          <w:lang w:val="lt-LT"/>
        </w:rPr>
        <w:t xml:space="preserve">. </w:t>
      </w:r>
    </w:p>
    <w:p w14:paraId="018D74FF" w14:textId="77777777"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EIB gali suteikti garantijas dideliems ir mažiems projektams, kad jie taptų patrauklesni investuotojams, teikti garantijas privilegijuotoms ir subordinuotoms paskoloms standartine forma, arba finansinių įsipareigojimų </w:t>
      </w:r>
      <w:r w:rsidRPr="002142B8">
        <w:rPr>
          <w:rFonts w:ascii="Georgia" w:eastAsia="Calibri" w:hAnsi="Georgia" w:cs="Arial"/>
          <w:sz w:val="20"/>
          <w:szCs w:val="20"/>
          <w:vertAlign w:val="superscript"/>
          <w:lang w:val="lt-LT"/>
        </w:rPr>
        <w:footnoteReference w:id="104"/>
      </w:r>
      <w:r w:rsidRPr="002142B8">
        <w:rPr>
          <w:rFonts w:ascii="Georgia" w:eastAsia="Calibri" w:hAnsi="Georgia" w:cs="Arial"/>
          <w:sz w:val="20"/>
          <w:szCs w:val="20"/>
          <w:lang w:val="lt-LT"/>
        </w:rPr>
        <w:t xml:space="preserve"> garantijos forma </w:t>
      </w:r>
      <w:r w:rsidRPr="002142B8">
        <w:rPr>
          <w:rFonts w:ascii="Georgia" w:eastAsia="Calibri" w:hAnsi="Georgia" w:cs="Arial"/>
          <w:sz w:val="20"/>
          <w:szCs w:val="20"/>
          <w:vertAlign w:val="superscript"/>
          <w:lang w:val="lt-LT"/>
        </w:rPr>
        <w:footnoteReference w:id="105"/>
      </w:r>
      <w:r w:rsidRPr="002142B8">
        <w:rPr>
          <w:rFonts w:ascii="Georgia" w:eastAsia="Calibri" w:hAnsi="Georgia" w:cs="Arial"/>
          <w:sz w:val="20"/>
          <w:szCs w:val="20"/>
          <w:lang w:val="lt-LT"/>
        </w:rPr>
        <w:t>.</w:t>
      </w:r>
    </w:p>
    <w:p w14:paraId="2ACE0C2A" w14:textId="77777777"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Bankas taip pat investuoja į organizacijų/įmonių nuosavą kapitalą, į projektus arba fondus. Naudodama šį produktą EIB investuoja į infrastruktūrą, aplinkosaugą, energetinį efektyvumą ir atsinaujinančius energijos išteklius, miestų plėtrą </w:t>
      </w:r>
      <w:r w:rsidRPr="002142B8">
        <w:rPr>
          <w:rFonts w:ascii="Georgia" w:eastAsia="Calibri" w:hAnsi="Georgia" w:cs="Arial"/>
          <w:sz w:val="20"/>
          <w:szCs w:val="20"/>
          <w:vertAlign w:val="superscript"/>
          <w:lang w:val="lt-LT"/>
        </w:rPr>
        <w:footnoteReference w:id="106"/>
      </w:r>
      <w:r w:rsidRPr="002142B8">
        <w:rPr>
          <w:rFonts w:ascii="Georgia" w:eastAsia="Calibri" w:hAnsi="Georgia" w:cs="Arial"/>
          <w:sz w:val="20"/>
          <w:szCs w:val="20"/>
          <w:lang w:val="lt-LT"/>
        </w:rPr>
        <w:t>.</w:t>
      </w:r>
    </w:p>
    <w:p w14:paraId="3DB58392" w14:textId="77777777"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Taip pat sudaro sąlygas projekto įmonėms išleisti skolos kapitalo rinkų investuotojams patrauklias projekto obligacijas.</w:t>
      </w:r>
    </w:p>
    <w:p w14:paraId="778554FC" w14:textId="4940AC92" w:rsidR="006977C2" w:rsidRPr="002142B8" w:rsidRDefault="006977C2" w:rsidP="006977C2">
      <w:pPr>
        <w:keepNext/>
        <w:keepLines/>
        <w:numPr>
          <w:ilvl w:val="3"/>
          <w:numId w:val="2"/>
        </w:numPr>
        <w:spacing w:before="200" w:line="240" w:lineRule="auto"/>
        <w:ind w:hanging="1440"/>
        <w:outlineLvl w:val="1"/>
        <w:rPr>
          <w:rFonts w:ascii="Georgia" w:eastAsia="Times New Roman" w:hAnsi="Georgia" w:cs="Arial Unicode MS"/>
          <w:b/>
          <w:i/>
          <w:color w:val="821A1A"/>
          <w:sz w:val="32"/>
          <w:szCs w:val="26"/>
          <w:lang w:val="lt-LT"/>
        </w:rPr>
      </w:pPr>
      <w:bookmarkStart w:id="129" w:name="_Toc25589913"/>
      <w:r w:rsidRPr="002142B8">
        <w:rPr>
          <w:rFonts w:ascii="Georgia" w:eastAsia="Times New Roman" w:hAnsi="Georgia" w:cs="Arial Unicode MS"/>
          <w:b/>
          <w:i/>
          <w:color w:val="821A1A"/>
          <w:sz w:val="32"/>
          <w:szCs w:val="26"/>
          <w:lang w:val="lt-LT"/>
        </w:rPr>
        <w:t>Europos Tarybos vystymo bankas</w:t>
      </w:r>
      <w:bookmarkEnd w:id="129"/>
    </w:p>
    <w:p w14:paraId="511A4114"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ETVB tikslas – įgyvendinti Europos Tarybos solidarumo politiką finansuojant projektus, skatinančius tvarų ir tolygų augimą. Bankas veiklą </w:t>
      </w:r>
      <w:r w:rsidRPr="002142B8">
        <w:rPr>
          <w:rFonts w:ascii="Georgia" w:eastAsia="Calibri" w:hAnsi="Georgia" w:cs="Arial"/>
          <w:color w:val="000000"/>
          <w:sz w:val="20"/>
          <w:szCs w:val="20"/>
          <w:lang w:val="lt-LT"/>
        </w:rPr>
        <w:t>vykdo trijose srityse</w:t>
      </w:r>
      <w:r w:rsidRPr="002142B8">
        <w:rPr>
          <w:rFonts w:ascii="Georgia" w:eastAsia="Calibri" w:hAnsi="Georgia" w:cs="Arial"/>
          <w:sz w:val="20"/>
          <w:szCs w:val="20"/>
          <w:lang w:val="lt-LT"/>
        </w:rPr>
        <w:t>: skatina socialinę integraciją, viešąją infrastruktūrą, turinčią socialinį elementą, ir aplinkos apsaugą.</w:t>
      </w:r>
    </w:p>
    <w:p w14:paraId="773F8E14"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Socialinės integracijos srityje bankas vykdo projektus, susijusius su pabėgėliais, migrantais ir tremtiniais, socialiniu būstu, darbo vietų kūrimu ir išsaugojimu bei gyvenimo sąlygų miestuose ir kaimo vietovėse gerinimu. Aplinkosaugos srityje ETVB nuolat reaguoja į stichines nelaimes ir ekologines katastrofas, skatina gamtos apsaugą, istorinio ir kultūrinio paveldo apsaugą. ETVB dirba su viešosios infrastruktūros projektais sveikatos apsaugos, švietimo ir mokslo, administracinių ir teisminės valdžios paslaugų srityse </w:t>
      </w:r>
      <w:r w:rsidRPr="002142B8">
        <w:rPr>
          <w:rFonts w:ascii="Georgia" w:eastAsia="Calibri" w:hAnsi="Georgia" w:cs="Arial"/>
          <w:sz w:val="20"/>
          <w:szCs w:val="20"/>
          <w:vertAlign w:val="superscript"/>
          <w:lang w:val="lt-LT"/>
        </w:rPr>
        <w:footnoteReference w:id="107"/>
      </w:r>
      <w:r w:rsidRPr="002142B8">
        <w:rPr>
          <w:rFonts w:ascii="Georgia" w:eastAsia="Calibri" w:hAnsi="Georgia" w:cs="Arial"/>
          <w:sz w:val="20"/>
          <w:szCs w:val="20"/>
          <w:lang w:val="lt-LT"/>
        </w:rPr>
        <w:t>.</w:t>
      </w:r>
    </w:p>
    <w:p w14:paraId="5C3A9218" w14:textId="77777777" w:rsidR="006977C2" w:rsidRPr="002142B8" w:rsidRDefault="006977C2" w:rsidP="006977C2">
      <w:pPr>
        <w:keepNext/>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Energetinio efektyvumo projektų finansavimas</w:t>
      </w:r>
    </w:p>
    <w:p w14:paraId="4E03943C" w14:textId="742CBB04" w:rsidR="006977C2" w:rsidRPr="002142B8" w:rsidRDefault="006977C2" w:rsidP="0063781D">
      <w:pPr>
        <w:keepNext/>
        <w:spacing w:after="240"/>
        <w:jc w:val="both"/>
        <w:rPr>
          <w:rFonts w:ascii="Georgia" w:eastAsia="PMingLiU" w:hAnsi="Georgia" w:cs="Times New Roman"/>
          <w:sz w:val="20"/>
          <w:szCs w:val="20"/>
          <w:lang w:val="lt-LT"/>
        </w:rPr>
      </w:pPr>
      <w:r w:rsidRPr="002142B8">
        <w:rPr>
          <w:rFonts w:ascii="Georgia" w:eastAsia="PMingLiU" w:hAnsi="Georgia" w:cs="Times New Roman"/>
          <w:sz w:val="20"/>
          <w:szCs w:val="20"/>
          <w:lang w:val="lt-LT"/>
        </w:rPr>
        <w:t>2016 m. patvirtintas 2017 – 2020 m. planas kartu su peržiūrėta aplinkos ir socialinės apsaugos priemonių politika užtikrins ETVB aktyvų dalyvavimą pasaulinėse pastangose kovojant su klimato kaita ir aplinkos apsaugojimu</w:t>
      </w:r>
      <w:r w:rsidRPr="002142B8">
        <w:rPr>
          <w:rFonts w:ascii="Georgia" w:eastAsia="PMingLiU" w:hAnsi="Georgia" w:cs="Times New Roman"/>
          <w:sz w:val="20"/>
          <w:szCs w:val="20"/>
          <w:vertAlign w:val="superscript"/>
          <w:lang w:val="lt-LT"/>
        </w:rPr>
        <w:footnoteReference w:id="108"/>
      </w:r>
      <w:r w:rsidRPr="002142B8">
        <w:rPr>
          <w:rFonts w:ascii="Georgia" w:eastAsia="PMingLiU" w:hAnsi="Georgia" w:cs="Times New Roman"/>
          <w:sz w:val="20"/>
          <w:szCs w:val="20"/>
          <w:lang w:val="lt-LT"/>
        </w:rPr>
        <w:t>.</w:t>
      </w:r>
    </w:p>
    <w:p w14:paraId="7A5AA2C0" w14:textId="730F7D43" w:rsidR="006977C2" w:rsidRPr="002142B8" w:rsidRDefault="006977C2" w:rsidP="0063781D">
      <w:pPr>
        <w:keepNext/>
        <w:spacing w:after="240"/>
        <w:jc w:val="both"/>
        <w:rPr>
          <w:rFonts w:ascii="Georgia" w:eastAsia="PMingLiU" w:hAnsi="Georgia" w:cs="Arial"/>
          <w:sz w:val="20"/>
          <w:szCs w:val="20"/>
          <w:lang w:val="lt-LT"/>
        </w:rPr>
      </w:pPr>
      <w:r w:rsidRPr="002142B8">
        <w:rPr>
          <w:rFonts w:ascii="Georgia" w:eastAsia="PMingLiU" w:hAnsi="Georgia" w:cs="Arial"/>
          <w:sz w:val="20"/>
          <w:szCs w:val="20"/>
          <w:lang w:val="lt-LT"/>
        </w:rPr>
        <w:t>2016 m. ETVB toliau investuoja į energetinio efektyvumo projektų finansavimą teikiant tiesiogines paskolas savivaldybėms ir regionams arba tarpiniams (bankams). 2016 m. ETVB su savo paskola ir subsidija iš Rytų Europos Energijos efektyvumo ir aplinkos partnerystės (“Energy Efficiency and Environment partnership (E5P)) suteikė 14 mln. eurų pagalbą Gruzijos valdžios inst</w:t>
      </w:r>
      <w:r w:rsidR="00D9139B" w:rsidRPr="002142B8">
        <w:rPr>
          <w:rFonts w:ascii="Georgia" w:eastAsia="PMingLiU" w:hAnsi="Georgia" w:cs="Arial"/>
          <w:sz w:val="20"/>
          <w:szCs w:val="20"/>
          <w:lang w:val="lt-LT"/>
        </w:rPr>
        <w:t>it</w:t>
      </w:r>
      <w:r w:rsidRPr="002142B8">
        <w:rPr>
          <w:rFonts w:ascii="Georgia" w:eastAsia="PMingLiU" w:hAnsi="Georgia" w:cs="Arial"/>
          <w:sz w:val="20"/>
          <w:szCs w:val="20"/>
          <w:lang w:val="lt-LT"/>
        </w:rPr>
        <w:t xml:space="preserve">ucijoms, siekiančioms įvesti energijos vartojimo efektyvumą socialinio sektoriaus infrastruktūroje nacionaliniu lygmeniu. Su ETVB pagalba bus renovuoti 25 valstybinių mokyklų pastatai. </w:t>
      </w:r>
    </w:p>
    <w:p w14:paraId="0222A19B" w14:textId="34457A70" w:rsidR="006977C2" w:rsidRPr="002142B8" w:rsidRDefault="006977C2" w:rsidP="006977C2">
      <w:pPr>
        <w:keepNext/>
        <w:spacing w:after="240"/>
        <w:rPr>
          <w:rFonts w:ascii="Georgia" w:eastAsia="PMingLiU" w:hAnsi="Georgia" w:cs="Arial"/>
          <w:i/>
          <w:sz w:val="20"/>
          <w:szCs w:val="20"/>
          <w:lang w:val="lt-LT"/>
        </w:rPr>
      </w:pPr>
      <w:r w:rsidRPr="002142B8">
        <w:rPr>
          <w:rFonts w:ascii="Georgia" w:eastAsia="PMingLiU" w:hAnsi="Georgia" w:cs="Arial"/>
          <w:sz w:val="20"/>
          <w:szCs w:val="20"/>
          <w:lang w:val="lt-LT"/>
        </w:rPr>
        <w:t>2012 - 2016 m. “Managing environment” projektams buvo skirta 1,357 mlrd. eurų arba 11%  proc. nuo visų paskolų vertės šiuo laikotarpiu</w:t>
      </w:r>
      <w:r w:rsidRPr="002142B8">
        <w:rPr>
          <w:rFonts w:ascii="Georgia" w:eastAsia="PMingLiU" w:hAnsi="Georgia" w:cs="Arial"/>
          <w:sz w:val="20"/>
          <w:szCs w:val="20"/>
          <w:vertAlign w:val="superscript"/>
          <w:lang w:val="lt-LT"/>
        </w:rPr>
        <w:footnoteReference w:id="109"/>
      </w:r>
      <w:r w:rsidRPr="002142B8">
        <w:rPr>
          <w:rFonts w:ascii="Georgia" w:eastAsia="PMingLiU" w:hAnsi="Georgia" w:cs="Arial"/>
          <w:sz w:val="20"/>
          <w:szCs w:val="20"/>
          <w:lang w:val="lt-LT"/>
        </w:rPr>
        <w:t>.</w:t>
      </w:r>
    </w:p>
    <w:p w14:paraId="059E628C" w14:textId="6876E158"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Kartu su Europos Komisija ir EIB ETVB dalyvauja JESSICA iniciatyvoje</w:t>
      </w:r>
      <w:r w:rsidRPr="002142B8">
        <w:rPr>
          <w:rFonts w:ascii="Georgia" w:eastAsia="Calibri" w:hAnsi="Georgia" w:cs="Arial"/>
          <w:sz w:val="20"/>
          <w:szCs w:val="20"/>
          <w:vertAlign w:val="superscript"/>
          <w:lang w:val="lt-LT"/>
        </w:rPr>
        <w:footnoteReference w:id="110"/>
      </w:r>
      <w:r w:rsidRPr="002142B8">
        <w:rPr>
          <w:rFonts w:ascii="Georgia" w:eastAsia="Calibri" w:hAnsi="Georgia" w:cs="Arial"/>
          <w:sz w:val="20"/>
          <w:szCs w:val="20"/>
          <w:lang w:val="lt-LT"/>
        </w:rPr>
        <w:t>.</w:t>
      </w:r>
    </w:p>
    <w:p w14:paraId="283740EC" w14:textId="33AFD1D3" w:rsidR="006977C2" w:rsidRPr="002142B8" w:rsidRDefault="006977C2" w:rsidP="006977C2">
      <w:pPr>
        <w:jc w:val="both"/>
        <w:rPr>
          <w:rFonts w:ascii="Georgia" w:eastAsia="Calibri" w:hAnsi="Georgia" w:cs="Arial"/>
          <w:sz w:val="20"/>
          <w:szCs w:val="20"/>
          <w:lang w:val="lt-LT"/>
        </w:rPr>
      </w:pPr>
      <w:r w:rsidRPr="002142B8">
        <w:rPr>
          <w:rFonts w:ascii="Georgia" w:eastAsia="Calibri" w:hAnsi="Georgia" w:cs="Arial"/>
          <w:sz w:val="20"/>
          <w:szCs w:val="20"/>
          <w:lang w:val="lt-LT"/>
        </w:rPr>
        <w:t>Taip pat bankas dalyvauja ELENA iniciatyvoje. Banko priemonė CEB-ELENA teikia subsidijas viešojo sektoriaus institucijoms, kurios nori įgyvendinti energetinio efektyvumo ir atsinaujinančių energijos išteklių projektus, tačiau neturi pakankamų institucinių gebėjimų</w:t>
      </w:r>
      <w:r w:rsidRPr="002142B8">
        <w:rPr>
          <w:rFonts w:ascii="Georgia" w:eastAsia="Calibri" w:hAnsi="Georgia" w:cs="Arial"/>
          <w:sz w:val="20"/>
          <w:szCs w:val="20"/>
          <w:vertAlign w:val="superscript"/>
          <w:lang w:val="lt-LT"/>
        </w:rPr>
        <w:footnoteReference w:id="111"/>
      </w:r>
      <w:r w:rsidRPr="002142B8">
        <w:rPr>
          <w:rFonts w:ascii="Georgia" w:eastAsia="Calibri" w:hAnsi="Georgia" w:cs="Arial"/>
          <w:sz w:val="20"/>
          <w:szCs w:val="20"/>
          <w:lang w:val="lt-LT"/>
        </w:rPr>
        <w:t>.</w:t>
      </w:r>
    </w:p>
    <w:p w14:paraId="6AC260B5" w14:textId="2C3E2D5C" w:rsidR="006977C2" w:rsidRPr="002142B8" w:rsidRDefault="002D46ED"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lastRenderedPageBreak/>
        <w:t>B</w:t>
      </w:r>
      <w:r w:rsidR="006977C2" w:rsidRPr="002142B8">
        <w:rPr>
          <w:rFonts w:ascii="Georgia" w:eastAsia="PMingLiU" w:hAnsi="Georgia" w:cs="Times New Roman"/>
          <w:b/>
          <w:i/>
          <w:sz w:val="20"/>
          <w:szCs w:val="20"/>
          <w:lang w:val="lt-LT"/>
        </w:rPr>
        <w:t>anko veikla Lietuvoje</w:t>
      </w:r>
    </w:p>
    <w:p w14:paraId="3E04FF8B"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Lietuva ETVB nare tapo 1996 m. 2009-2016 m. Lietuvai buvo suteiktos dvi paskolos. </w:t>
      </w:r>
    </w:p>
    <w:p w14:paraId="60CC5C59" w14:textId="215CE374"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pacing w:val="2"/>
          <w:sz w:val="20"/>
          <w:szCs w:val="20"/>
          <w:shd w:val="clear" w:color="auto" w:fill="FFFFFF"/>
          <w:lang w:val="lt-LT"/>
        </w:rPr>
        <w:t xml:space="preserve">2009 m. ETVB Lietuvai suteikė 130 mln. </w:t>
      </w:r>
      <w:r w:rsidR="00660FB3" w:rsidRPr="002142B8">
        <w:rPr>
          <w:rFonts w:ascii="Georgia" w:eastAsia="Calibri" w:hAnsi="Georgia" w:cs="Arial"/>
          <w:spacing w:val="2"/>
          <w:sz w:val="20"/>
          <w:szCs w:val="20"/>
          <w:shd w:val="clear" w:color="auto" w:fill="FFFFFF"/>
          <w:lang w:val="lt-LT"/>
        </w:rPr>
        <w:t>e</w:t>
      </w:r>
      <w:r w:rsidRPr="002142B8">
        <w:rPr>
          <w:rFonts w:ascii="Georgia" w:eastAsia="Calibri" w:hAnsi="Georgia" w:cs="Arial"/>
          <w:spacing w:val="2"/>
          <w:sz w:val="20"/>
          <w:szCs w:val="20"/>
          <w:shd w:val="clear" w:color="auto" w:fill="FFFFFF"/>
          <w:lang w:val="lt-LT"/>
        </w:rPr>
        <w:t>ur</w:t>
      </w:r>
      <w:r w:rsidR="00660FB3" w:rsidRPr="002142B8">
        <w:rPr>
          <w:rFonts w:ascii="Georgia" w:eastAsia="Calibri" w:hAnsi="Georgia" w:cs="Arial"/>
          <w:spacing w:val="2"/>
          <w:sz w:val="20"/>
          <w:szCs w:val="20"/>
          <w:shd w:val="clear" w:color="auto" w:fill="FFFFFF"/>
          <w:lang w:val="lt-LT"/>
        </w:rPr>
        <w:t>ų</w:t>
      </w:r>
      <w:r w:rsidRPr="002142B8">
        <w:rPr>
          <w:rFonts w:ascii="Georgia" w:eastAsia="Calibri" w:hAnsi="Georgia" w:cs="Arial"/>
          <w:spacing w:val="2"/>
          <w:sz w:val="20"/>
          <w:szCs w:val="20"/>
          <w:shd w:val="clear" w:color="auto" w:fill="FFFFFF"/>
          <w:lang w:val="lt-LT"/>
        </w:rPr>
        <w:t xml:space="preserve"> paskolą, skirtą valstybės investicijoms į socialinės infrastruktūros plėtros projektus finansuoti, o 2015 m. Lietuvai buvo suteikta 100 mln. </w:t>
      </w:r>
      <w:r w:rsidR="00660FB3" w:rsidRPr="002142B8">
        <w:rPr>
          <w:rFonts w:ascii="Georgia" w:eastAsia="Calibri" w:hAnsi="Georgia" w:cs="Arial"/>
          <w:spacing w:val="2"/>
          <w:sz w:val="20"/>
          <w:szCs w:val="20"/>
          <w:shd w:val="clear" w:color="auto" w:fill="FFFFFF"/>
          <w:lang w:val="lt-LT"/>
        </w:rPr>
        <w:t xml:space="preserve">eurų </w:t>
      </w:r>
      <w:r w:rsidRPr="002142B8">
        <w:rPr>
          <w:rFonts w:ascii="Georgia" w:eastAsia="Calibri" w:hAnsi="Georgia" w:cs="Arial"/>
          <w:spacing w:val="2"/>
          <w:sz w:val="20"/>
          <w:szCs w:val="20"/>
          <w:shd w:val="clear" w:color="auto" w:fill="FFFFFF"/>
          <w:lang w:val="lt-LT"/>
        </w:rPr>
        <w:t xml:space="preserve">paskola, skirta kultūros, sveikatos apsaugos, švietimo, sporto įstaigų pastatų statybai ar renovavimui finansuoti </w:t>
      </w:r>
      <w:r w:rsidRPr="002142B8">
        <w:rPr>
          <w:rFonts w:ascii="Georgia" w:eastAsia="Calibri" w:hAnsi="Georgia" w:cs="Arial"/>
          <w:sz w:val="20"/>
          <w:szCs w:val="20"/>
          <w:vertAlign w:val="superscript"/>
          <w:lang w:val="lt-LT"/>
        </w:rPr>
        <w:footnoteReference w:id="112"/>
      </w:r>
      <w:r w:rsidRPr="002142B8">
        <w:rPr>
          <w:rFonts w:ascii="Georgia" w:eastAsia="Calibri" w:hAnsi="Georgia" w:cs="Arial"/>
          <w:sz w:val="20"/>
          <w:szCs w:val="20"/>
          <w:lang w:val="lt-LT"/>
        </w:rPr>
        <w:t>.</w:t>
      </w:r>
    </w:p>
    <w:p w14:paraId="1AFFAEE8" w14:textId="77777777"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Produktai</w:t>
      </w:r>
    </w:p>
    <w:p w14:paraId="5DE5B553" w14:textId="77777777" w:rsidR="006977C2" w:rsidRPr="002142B8" w:rsidRDefault="006977C2" w:rsidP="006977C2">
      <w:pPr>
        <w:autoSpaceDE w:val="0"/>
        <w:autoSpaceDN w:val="0"/>
        <w:adjustRightInd w:val="0"/>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 xml:space="preserve">Bankas savo klientams siūlo ilgalaikes paskolas ir garantijas, taip pat įnašus iš patikos sąskaitų, kuriais finansuoja projekto įgyvendinimą. </w:t>
      </w:r>
    </w:p>
    <w:p w14:paraId="0FF7FB28" w14:textId="77777777" w:rsidR="006977C2" w:rsidRPr="002142B8" w:rsidRDefault="006977C2" w:rsidP="006977C2">
      <w:pPr>
        <w:spacing w:after="240"/>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Paskolos</w:t>
      </w:r>
    </w:p>
    <w:p w14:paraId="376AD4DF" w14:textId="77777777" w:rsidR="006977C2" w:rsidRPr="002142B8" w:rsidRDefault="006977C2" w:rsidP="006977C2">
      <w:pPr>
        <w:autoSpaceDE w:val="0"/>
        <w:autoSpaceDN w:val="0"/>
        <w:adjustRightInd w:val="0"/>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Pagrindinė banko veikla yra paskolos. ETVB gali finansuoti individualius projektus arba paskolų programas, kurios gali apimti vieną arba keletą sektorių. Paskolos gali būti suteikiamos banko narėms, bet kokiam juridiniam asmeniui, patvirtintam konkrečios valstybės narės, kuri taip pat laiduoja už skolą, bet kokiam juridiniam asmeniui, patvirtintam banko narės, jei banko Administracinė taryba patvirtina, jog paskola turi tinkamas garantijas.</w:t>
      </w:r>
    </w:p>
    <w:p w14:paraId="62CCAF28" w14:textId="4CA798B7" w:rsidR="006977C2" w:rsidRPr="005A1A99" w:rsidRDefault="006977C2" w:rsidP="006977C2">
      <w:pPr>
        <w:keepNext/>
        <w:spacing w:line="240" w:lineRule="auto"/>
        <w:rPr>
          <w:rFonts w:ascii="Georgia" w:eastAsia="PMingLiU" w:hAnsi="Georgia" w:cs="Arial"/>
          <w:bCs/>
          <w:i/>
          <w:color w:val="A32020"/>
          <w:sz w:val="20"/>
          <w:szCs w:val="20"/>
          <w:lang w:val="lt-LT"/>
        </w:rPr>
      </w:pPr>
      <w:bookmarkStart w:id="130" w:name="_Toc507939154"/>
      <w:r w:rsidRPr="005A1A99">
        <w:rPr>
          <w:rFonts w:ascii="Georgia" w:eastAsia="PMingLiU" w:hAnsi="Georgia" w:cs="Times New Roman"/>
          <w:bCs/>
          <w:i/>
          <w:color w:val="A32020"/>
          <w:sz w:val="20"/>
          <w:szCs w:val="18"/>
          <w:lang w:val="lt-LT"/>
        </w:rPr>
        <w:t xml:space="preserve">Lentelė </w:t>
      </w:r>
      <w:r w:rsidRPr="005A1A99">
        <w:rPr>
          <w:rFonts w:ascii="Georgia" w:eastAsia="PMingLiU" w:hAnsi="Georgia" w:cs="Times New Roman"/>
          <w:bCs/>
          <w:i/>
          <w:color w:val="A32020"/>
          <w:sz w:val="20"/>
          <w:szCs w:val="18"/>
          <w:lang w:val="lt-LT"/>
        </w:rPr>
        <w:fldChar w:fldCharType="begin"/>
      </w:r>
      <w:r w:rsidRPr="005A1A99">
        <w:rPr>
          <w:rFonts w:ascii="Georgia" w:eastAsia="PMingLiU" w:hAnsi="Georgia" w:cs="Times New Roman"/>
          <w:bCs/>
          <w:i/>
          <w:color w:val="A32020"/>
          <w:sz w:val="20"/>
          <w:szCs w:val="18"/>
          <w:lang w:val="lt-LT"/>
        </w:rPr>
        <w:instrText xml:space="preserve"> SEQ Lentelė \* ARABIC </w:instrText>
      </w:r>
      <w:r w:rsidRPr="005A1A99">
        <w:rPr>
          <w:rFonts w:ascii="Georgia" w:eastAsia="PMingLiU" w:hAnsi="Georgia" w:cs="Times New Roman"/>
          <w:bCs/>
          <w:i/>
          <w:color w:val="A32020"/>
          <w:sz w:val="20"/>
          <w:szCs w:val="18"/>
          <w:lang w:val="lt-LT"/>
        </w:rPr>
        <w:fldChar w:fldCharType="separate"/>
      </w:r>
      <w:r w:rsidR="009652A6">
        <w:rPr>
          <w:rFonts w:ascii="Georgia" w:eastAsia="PMingLiU" w:hAnsi="Georgia" w:cs="Times New Roman"/>
          <w:bCs/>
          <w:i/>
          <w:noProof/>
          <w:color w:val="A32020"/>
          <w:sz w:val="20"/>
          <w:szCs w:val="18"/>
          <w:lang w:val="lt-LT"/>
        </w:rPr>
        <w:t>32</w:t>
      </w:r>
      <w:r w:rsidRPr="005A1A99">
        <w:rPr>
          <w:rFonts w:ascii="Georgia" w:eastAsia="PMingLiU" w:hAnsi="Georgia" w:cs="Times New Roman"/>
          <w:bCs/>
          <w:i/>
          <w:color w:val="A32020"/>
          <w:sz w:val="20"/>
          <w:szCs w:val="18"/>
          <w:lang w:val="lt-LT"/>
        </w:rPr>
        <w:fldChar w:fldCharType="end"/>
      </w:r>
      <w:r w:rsidRPr="005A1A99">
        <w:rPr>
          <w:rFonts w:ascii="Georgia" w:eastAsia="PMingLiU" w:hAnsi="Georgia" w:cs="Times New Roman"/>
          <w:bCs/>
          <w:i/>
          <w:color w:val="A32020"/>
          <w:sz w:val="20"/>
          <w:szCs w:val="18"/>
          <w:lang w:val="lt-LT"/>
        </w:rPr>
        <w:t xml:space="preserve">. </w:t>
      </w:r>
      <w:r w:rsidRPr="005A1A99">
        <w:rPr>
          <w:rFonts w:ascii="Georgia" w:eastAsia="PMingLiU" w:hAnsi="Georgia" w:cs="Arial"/>
          <w:bCs/>
          <w:i/>
          <w:color w:val="A32020"/>
          <w:sz w:val="20"/>
          <w:szCs w:val="20"/>
          <w:lang w:val="lt-LT"/>
        </w:rPr>
        <w:t>ETVB</w:t>
      </w:r>
      <w:r w:rsidRPr="005A1A99">
        <w:rPr>
          <w:rFonts w:ascii="Georgia" w:eastAsia="PMingLiU" w:hAnsi="Georgia" w:cs="Times New Roman"/>
          <w:bCs/>
          <w:i/>
          <w:color w:val="A32020"/>
          <w:sz w:val="20"/>
          <w:szCs w:val="18"/>
          <w:lang w:val="lt-LT"/>
        </w:rPr>
        <w:t xml:space="preserve"> siūlomų finansinių produktų sąlygos</w:t>
      </w:r>
      <w:bookmarkEnd w:id="130"/>
    </w:p>
    <w:tbl>
      <w:tblPr>
        <w:tblStyle w:val="3vidutinistinklelis2parykinimas"/>
        <w:tblW w:w="5000" w:type="pct"/>
        <w:tblLook w:val="04A0" w:firstRow="1" w:lastRow="0" w:firstColumn="1" w:lastColumn="0" w:noHBand="0" w:noVBand="1"/>
      </w:tblPr>
      <w:tblGrid>
        <w:gridCol w:w="4605"/>
        <w:gridCol w:w="4637"/>
      </w:tblGrid>
      <w:tr w:rsidR="006977C2" w:rsidRPr="002142B8" w14:paraId="7E95858D"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61686FCA" w14:textId="77777777" w:rsidR="006977C2" w:rsidRPr="00F91954" w:rsidRDefault="006977C2" w:rsidP="006977C2">
            <w:pPr>
              <w:keepNext/>
              <w:jc w:val="center"/>
              <w:rPr>
                <w:rFonts w:ascii="Georgia" w:eastAsia="Calibri" w:hAnsi="Georgia" w:cs="Arial"/>
                <w:bCs w:val="0"/>
                <w:color w:val="auto"/>
                <w:sz w:val="20"/>
                <w:szCs w:val="20"/>
                <w:lang w:val="lt-LT"/>
              </w:rPr>
            </w:pPr>
            <w:r w:rsidRPr="0008420A">
              <w:rPr>
                <w:rFonts w:ascii="Georgia" w:eastAsia="Calibri" w:hAnsi="Georgia" w:cs="Arial"/>
                <w:sz w:val="20"/>
                <w:szCs w:val="20"/>
                <w:lang w:val="lt-LT"/>
              </w:rPr>
              <w:t>Paskolos sąlygos</w:t>
            </w:r>
          </w:p>
        </w:tc>
      </w:tr>
      <w:tr w:rsidR="006977C2" w:rsidRPr="002142B8" w14:paraId="03048B70"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49316503" w14:textId="77777777" w:rsidR="006977C2" w:rsidRPr="002142B8" w:rsidRDefault="006977C2" w:rsidP="006977C2">
            <w:pPr>
              <w:keepNext/>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Tikslinė grupė</w:t>
            </w:r>
          </w:p>
        </w:tc>
        <w:tc>
          <w:tcPr>
            <w:tcW w:w="0" w:type="pct"/>
            <w:shd w:val="clear" w:color="auto" w:fill="FFECC0"/>
            <w:hideMark/>
          </w:tcPr>
          <w:p w14:paraId="06FD086C" w14:textId="77777777" w:rsidR="006977C2" w:rsidRPr="002142B8" w:rsidRDefault="006977C2" w:rsidP="00162BF5">
            <w:pPr>
              <w:keepNext/>
              <w:numPr>
                <w:ilvl w:val="0"/>
                <w:numId w:val="16"/>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vyriausybės, vietos ir regionų valdžios institucijos, privačios ar valstybinės finansų įstaigos;</w:t>
            </w:r>
          </w:p>
          <w:p w14:paraId="3438D307" w14:textId="77777777" w:rsidR="006977C2" w:rsidRPr="002142B8" w:rsidRDefault="006977C2" w:rsidP="00162BF5">
            <w:pPr>
              <w:keepNext/>
              <w:numPr>
                <w:ilvl w:val="0"/>
                <w:numId w:val="16"/>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bankas tiesiogiai nefinansuoja fizinių asmenų.</w:t>
            </w:r>
          </w:p>
        </w:tc>
      </w:tr>
      <w:tr w:rsidR="006977C2" w:rsidRPr="002142B8" w14:paraId="504AC26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6065FDA2"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Dydis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43C027AA" w14:textId="038E91F1" w:rsidR="006977C2" w:rsidRPr="002142B8" w:rsidRDefault="006977C2" w:rsidP="00162BF5">
            <w:pPr>
              <w:numPr>
                <w:ilvl w:val="0"/>
                <w:numId w:val="15"/>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paprastai </w:t>
            </w:r>
            <w:r w:rsidR="0011549E" w:rsidRPr="002142B8">
              <w:rPr>
                <w:rFonts w:ascii="Georgia" w:eastAsia="Calibri" w:hAnsi="Georgia" w:cs="Arial"/>
                <w:sz w:val="20"/>
                <w:szCs w:val="20"/>
                <w:lang w:val="lt-LT"/>
              </w:rPr>
              <w:t xml:space="preserve">ETVB </w:t>
            </w:r>
            <w:r w:rsidRPr="002142B8">
              <w:rPr>
                <w:rFonts w:ascii="Georgia" w:eastAsia="Calibri" w:hAnsi="Georgia" w:cs="Arial"/>
                <w:sz w:val="20"/>
                <w:szCs w:val="20"/>
                <w:lang w:val="lt-LT"/>
              </w:rPr>
              <w:t>finansavimas neviršija 50 proc. visų tinkamų projekto išlaidų;</w:t>
            </w:r>
          </w:p>
          <w:p w14:paraId="3DBE803F" w14:textId="77777777" w:rsidR="006977C2" w:rsidRPr="002142B8" w:rsidRDefault="006977C2" w:rsidP="00162BF5">
            <w:pPr>
              <w:numPr>
                <w:ilvl w:val="0"/>
                <w:numId w:val="15"/>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išskirtiniais atvejais finansavimas gali siekti iki 90 proc., ypač tikslinėse valstybėse.</w:t>
            </w:r>
          </w:p>
        </w:tc>
      </w:tr>
      <w:tr w:rsidR="006977C2" w:rsidRPr="002142B8" w14:paraId="747AA34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5F110199"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Palūkanų norma</w:t>
            </w:r>
          </w:p>
        </w:tc>
        <w:tc>
          <w:tcPr>
            <w:tcW w:w="0" w:type="pct"/>
            <w:shd w:val="clear" w:color="auto" w:fill="FFECC0"/>
            <w:hideMark/>
          </w:tcPr>
          <w:p w14:paraId="2A77210D" w14:textId="0F8171E4" w:rsidR="006977C2" w:rsidRPr="002142B8" w:rsidRDefault="0011549E"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ETVB </w:t>
            </w:r>
            <w:r w:rsidR="006977C2" w:rsidRPr="002142B8">
              <w:rPr>
                <w:rFonts w:ascii="Georgia" w:eastAsia="Calibri" w:hAnsi="Georgia" w:cs="Arial"/>
                <w:sz w:val="20"/>
                <w:szCs w:val="20"/>
                <w:lang w:val="lt-LT"/>
              </w:rPr>
              <w:t>pritraukia lėšas geriausiomis sąlygomis, tuo metu esančiomis kapitalo rinkose. Šios sąlygos perduodamos skolininkams, taikant mažiausią galimą maržą, į kurią taip pat įeina banko veiklos išlaidos;</w:t>
            </w:r>
          </w:p>
          <w:p w14:paraId="373BBABA" w14:textId="77777777" w:rsidR="006977C2" w:rsidRPr="002142B8"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bankas neteikia subsidijų;</w:t>
            </w:r>
          </w:p>
          <w:p w14:paraId="09774498" w14:textId="77777777" w:rsidR="006977C2" w:rsidRPr="002142B8"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fiksuota arba kintanti palūkanų norma;</w:t>
            </w:r>
          </w:p>
          <w:p w14:paraId="3F8F3896" w14:textId="77777777" w:rsidR="006977C2" w:rsidRPr="002142B8" w:rsidRDefault="006977C2" w:rsidP="00162BF5">
            <w:pPr>
              <w:numPr>
                <w:ilvl w:val="0"/>
                <w:numId w:val="14"/>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išskirtiniais atvejais paskola gali būti derinama su palūkanų normos subsidijomis.</w:t>
            </w:r>
          </w:p>
        </w:tc>
      </w:tr>
      <w:tr w:rsidR="006977C2" w:rsidRPr="002142B8" w14:paraId="6A34F898"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1FD63A34"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Valiuta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78838FEA" w14:textId="77777777" w:rsidR="006977C2" w:rsidRPr="002142B8" w:rsidRDefault="006977C2" w:rsidP="00162BF5">
            <w:pPr>
              <w:numPr>
                <w:ilvl w:val="0"/>
                <w:numId w:val="14"/>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paprastai paskolos išduodamos eurais, tačiau, priklausomai nuo konkrečių aplinkybių, gali būti išduodamos ir kita valiuta.</w:t>
            </w:r>
          </w:p>
        </w:tc>
      </w:tr>
      <w:tr w:rsidR="006977C2" w:rsidRPr="002142B8" w14:paraId="55CDF13A"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0D31D157" w14:textId="77777777" w:rsidR="006977C2" w:rsidRPr="002142B8" w:rsidRDefault="006977C2" w:rsidP="006977C2">
            <w:pPr>
              <w:autoSpaceDE w:val="0"/>
              <w:autoSpaceDN w:val="0"/>
              <w:adjustRightInd w:val="0"/>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Atidėjimo laikotarpis, mokėjimų pradžia</w:t>
            </w:r>
          </w:p>
        </w:tc>
        <w:tc>
          <w:tcPr>
            <w:tcW w:w="0" w:type="pct"/>
            <w:shd w:val="clear" w:color="auto" w:fill="FFECC0"/>
            <w:hideMark/>
          </w:tcPr>
          <w:p w14:paraId="4B389C38" w14:textId="77777777" w:rsidR="006977C2" w:rsidRPr="002142B8" w:rsidRDefault="006977C2" w:rsidP="00162BF5">
            <w:pPr>
              <w:numPr>
                <w:ilvl w:val="0"/>
                <w:numId w:val="14"/>
              </w:numPr>
              <w:autoSpaceDE w:val="0"/>
              <w:autoSpaceDN w:val="0"/>
              <w:adjustRightInd w:val="0"/>
              <w:ind w:left="175" w:hanging="175"/>
              <w:contextualSpacing/>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analizuojama konkretaus projekto atveju.</w:t>
            </w:r>
          </w:p>
        </w:tc>
      </w:tr>
      <w:tr w:rsidR="006977C2" w:rsidRPr="002142B8" w14:paraId="5C52007F" w14:textId="77777777" w:rsidTr="005B31C6">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6" w:space="0" w:color="FFFFFF"/>
            </w:tcBorders>
            <w:shd w:val="clear" w:color="auto" w:fill="FFECC0"/>
            <w:hideMark/>
          </w:tcPr>
          <w:p w14:paraId="58AC1297" w14:textId="77777777" w:rsidR="006977C2" w:rsidRPr="002142B8" w:rsidRDefault="006977C2" w:rsidP="006977C2">
            <w:pPr>
              <w:jc w:val="center"/>
              <w:rPr>
                <w:rFonts w:ascii="Georgia" w:eastAsia="Calibri" w:hAnsi="Georgia" w:cs="Arial"/>
                <w:bCs w:val="0"/>
                <w:color w:val="auto"/>
                <w:sz w:val="20"/>
                <w:szCs w:val="20"/>
                <w:lang w:val="lt-LT"/>
              </w:rPr>
            </w:pPr>
            <w:r w:rsidRPr="002142B8">
              <w:rPr>
                <w:rFonts w:ascii="Georgia" w:eastAsia="Calibri" w:hAnsi="Georgia" w:cs="Arial"/>
                <w:color w:val="auto"/>
                <w:sz w:val="20"/>
                <w:szCs w:val="20"/>
                <w:lang w:val="lt-LT"/>
              </w:rPr>
              <w:t>Kitos paskolos sąlygos</w:t>
            </w:r>
          </w:p>
        </w:tc>
      </w:tr>
      <w:tr w:rsidR="006977C2" w:rsidRPr="002142B8" w14:paraId="3576D7B9"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50E9F994"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Techninė parama</w:t>
            </w:r>
          </w:p>
        </w:tc>
        <w:tc>
          <w:tcPr>
            <w:tcW w:w="0" w:type="pct"/>
            <w:shd w:val="clear" w:color="auto" w:fill="FFECC0"/>
            <w:hideMark/>
          </w:tcPr>
          <w:p w14:paraId="3B187CC1" w14:textId="77777777" w:rsidR="006977C2" w:rsidRPr="002142B8" w:rsidRDefault="006977C2" w:rsidP="00162BF5">
            <w:pPr>
              <w:numPr>
                <w:ilvl w:val="0"/>
                <w:numId w:val="14"/>
              </w:numPr>
              <w:tabs>
                <w:tab w:val="left" w:pos="175"/>
              </w:tabs>
              <w:ind w:hanging="720"/>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projektui gali būti teikiama techninė parama.</w:t>
            </w:r>
          </w:p>
        </w:tc>
      </w:tr>
      <w:tr w:rsidR="006977C2" w:rsidRPr="002142B8" w14:paraId="2F9614F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2B3EA55B"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Rizikų vertinimas</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1D5A6309" w14:textId="77777777" w:rsidR="006977C2" w:rsidRPr="002142B8" w:rsidRDefault="006977C2" w:rsidP="00162BF5">
            <w:pPr>
              <w:numPr>
                <w:ilvl w:val="0"/>
                <w:numId w:val="14"/>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esant poreikiui, bankas vertina ne tik skolininko, bet ir laiduotojo kreditingumą.</w:t>
            </w:r>
          </w:p>
        </w:tc>
      </w:tr>
      <w:tr w:rsidR="006977C2" w:rsidRPr="002142B8" w14:paraId="780594F7"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FFECC0"/>
            <w:hideMark/>
          </w:tcPr>
          <w:p w14:paraId="2BAFAA51"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t>Paskolos užtikrinimas</w:t>
            </w:r>
          </w:p>
        </w:tc>
        <w:tc>
          <w:tcPr>
            <w:tcW w:w="0" w:type="pct"/>
            <w:shd w:val="clear" w:color="auto" w:fill="FFECC0"/>
            <w:hideMark/>
          </w:tcPr>
          <w:p w14:paraId="0D25A3B2" w14:textId="77777777" w:rsidR="006977C2" w:rsidRPr="002142B8" w:rsidRDefault="006977C2" w:rsidP="00162BF5">
            <w:pPr>
              <w:numPr>
                <w:ilvl w:val="0"/>
                <w:numId w:val="13"/>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 xml:space="preserve">bankui pareikalavus, skolininko įsipareigojimai turi būtų užtikrinti trečiosios šalies. Laiduotoju gali būti valstybė narė, vyriausybės institucija, finansų įstaiga arba kitas viešasis arba privatus </w:t>
            </w:r>
            <w:r w:rsidRPr="002142B8">
              <w:rPr>
                <w:rFonts w:ascii="Georgia" w:eastAsia="Calibri" w:hAnsi="Georgia" w:cs="Arial"/>
                <w:sz w:val="20"/>
                <w:szCs w:val="20"/>
                <w:lang w:val="lt-LT"/>
              </w:rPr>
              <w:lastRenderedPageBreak/>
              <w:t>juridinis asmuo, patvirtintas CEB.</w:t>
            </w:r>
          </w:p>
        </w:tc>
      </w:tr>
      <w:tr w:rsidR="006977C2" w:rsidRPr="002142B8" w14:paraId="6F67194B"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tcBorders>
            <w:shd w:val="clear" w:color="auto" w:fill="FFECC0"/>
            <w:hideMark/>
          </w:tcPr>
          <w:p w14:paraId="0930B581" w14:textId="77777777" w:rsidR="006977C2" w:rsidRPr="002142B8" w:rsidRDefault="006977C2" w:rsidP="006977C2">
            <w:pPr>
              <w:jc w:val="both"/>
              <w:rPr>
                <w:rFonts w:ascii="Georgia" w:eastAsia="Calibri" w:hAnsi="Georgia" w:cs="Arial"/>
                <w:b w:val="0"/>
                <w:bCs w:val="0"/>
                <w:color w:val="auto"/>
                <w:sz w:val="20"/>
                <w:szCs w:val="20"/>
                <w:lang w:val="lt-LT"/>
              </w:rPr>
            </w:pPr>
            <w:r w:rsidRPr="002142B8">
              <w:rPr>
                <w:rFonts w:ascii="Georgia" w:eastAsia="Calibri" w:hAnsi="Georgia" w:cs="Arial"/>
                <w:color w:val="auto"/>
                <w:sz w:val="20"/>
                <w:szCs w:val="20"/>
                <w:lang w:val="lt-LT"/>
              </w:rPr>
              <w:lastRenderedPageBreak/>
              <w:t>Projekto priežiūra</w:t>
            </w:r>
          </w:p>
        </w:tc>
        <w:tc>
          <w:tcPr>
            <w:tcW w:w="0" w:type="pct"/>
            <w:tcBorders>
              <w:top w:val="single" w:sz="6" w:space="0" w:color="FFFFFF"/>
              <w:left w:val="single" w:sz="6" w:space="0" w:color="FFFFFF"/>
              <w:bottom w:val="single" w:sz="6" w:space="0" w:color="FFFFFF"/>
              <w:right w:val="single" w:sz="8" w:space="0" w:color="FFFFFF"/>
            </w:tcBorders>
            <w:shd w:val="clear" w:color="auto" w:fill="FFECC0"/>
            <w:hideMark/>
          </w:tcPr>
          <w:p w14:paraId="2CAFCD63" w14:textId="77777777" w:rsidR="006977C2" w:rsidRPr="002142B8" w:rsidRDefault="006977C2" w:rsidP="00162BF5">
            <w:pPr>
              <w:numPr>
                <w:ilvl w:val="0"/>
                <w:numId w:val="13"/>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projektui prasidėjus bankas atlieka nuolatines priežiūros procedūras ir patikras vietoje.</w:t>
            </w:r>
          </w:p>
        </w:tc>
      </w:tr>
      <w:tr w:rsidR="006977C2" w:rsidRPr="002142B8" w14:paraId="43B60D53"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FECC0"/>
            <w:hideMark/>
          </w:tcPr>
          <w:p w14:paraId="61423347" w14:textId="77777777" w:rsidR="006977C2" w:rsidRPr="002142B8" w:rsidRDefault="006977C2" w:rsidP="006977C2">
            <w:pPr>
              <w:jc w:val="center"/>
              <w:rPr>
                <w:rFonts w:ascii="Georgia" w:eastAsia="Calibri" w:hAnsi="Georgia" w:cs="Arial"/>
                <w:bCs w:val="0"/>
                <w:color w:val="FFFFFF"/>
                <w:sz w:val="20"/>
                <w:szCs w:val="20"/>
                <w:lang w:val="lt-LT"/>
              </w:rPr>
            </w:pPr>
            <w:r w:rsidRPr="002142B8">
              <w:rPr>
                <w:rFonts w:ascii="Georgia" w:eastAsia="Calibri" w:hAnsi="Georgia" w:cs="Arial"/>
                <w:color w:val="auto"/>
                <w:sz w:val="20"/>
                <w:szCs w:val="20"/>
                <w:lang w:val="lt-LT"/>
              </w:rPr>
              <w:t>Paskolos mokėjimas</w:t>
            </w:r>
          </w:p>
        </w:tc>
      </w:tr>
      <w:tr w:rsidR="006977C2" w:rsidRPr="002142B8" w14:paraId="44743A49" w14:textId="77777777" w:rsidTr="005B31C6">
        <w:tc>
          <w:tcPr>
            <w:cnfStyle w:val="001000000000" w:firstRow="0" w:lastRow="0" w:firstColumn="1" w:lastColumn="0" w:oddVBand="0" w:evenVBand="0" w:oddHBand="0" w:evenHBand="0" w:firstRowFirstColumn="0" w:firstRowLastColumn="0" w:lastRowFirstColumn="0" w:lastRowLastColumn="0"/>
            <w:tcW w:w="0" w:type="pct"/>
            <w:tcBorders>
              <w:top w:val="single" w:sz="6" w:space="0" w:color="FFFFFF"/>
              <w:bottom w:val="single" w:sz="8" w:space="0" w:color="FFFFFF"/>
            </w:tcBorders>
            <w:shd w:val="clear" w:color="auto" w:fill="FFECC0"/>
          </w:tcPr>
          <w:p w14:paraId="3A29FD86" w14:textId="77777777" w:rsidR="006977C2" w:rsidRPr="002142B8" w:rsidRDefault="006977C2" w:rsidP="006977C2">
            <w:pPr>
              <w:jc w:val="both"/>
              <w:rPr>
                <w:rFonts w:ascii="Georgia" w:eastAsia="Calibri" w:hAnsi="Georgia" w:cs="Arial"/>
                <w:b w:val="0"/>
                <w:bCs w:val="0"/>
                <w:color w:val="FFFFFF"/>
                <w:sz w:val="20"/>
                <w:szCs w:val="20"/>
                <w:lang w:val="lt-LT"/>
              </w:rPr>
            </w:pPr>
          </w:p>
        </w:tc>
        <w:tc>
          <w:tcPr>
            <w:tcW w:w="0" w:type="pct"/>
            <w:tcBorders>
              <w:top w:val="single" w:sz="6" w:space="0" w:color="FFFFFF"/>
              <w:left w:val="single" w:sz="6" w:space="0" w:color="FFFFFF"/>
              <w:bottom w:val="single" w:sz="8" w:space="0" w:color="FFFFFF"/>
              <w:right w:val="single" w:sz="8" w:space="0" w:color="FFFFFF"/>
            </w:tcBorders>
            <w:shd w:val="clear" w:color="auto" w:fill="FFECC0"/>
            <w:hideMark/>
          </w:tcPr>
          <w:p w14:paraId="77EFC562" w14:textId="77777777" w:rsidR="006977C2" w:rsidRPr="002142B8" w:rsidRDefault="006977C2" w:rsidP="00162BF5">
            <w:pPr>
              <w:numPr>
                <w:ilvl w:val="0"/>
                <w:numId w:val="13"/>
              </w:numPr>
              <w:tabs>
                <w:tab w:val="left" w:pos="289"/>
              </w:tabs>
              <w:spacing w:after="160" w:line="256" w:lineRule="auto"/>
              <w:ind w:left="147" w:hanging="147"/>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2142B8">
              <w:rPr>
                <w:rFonts w:ascii="Georgia" w:eastAsia="Calibri" w:hAnsi="Georgia" w:cs="Arial"/>
                <w:sz w:val="20"/>
                <w:szCs w:val="20"/>
                <w:lang w:val="lt-LT"/>
              </w:rPr>
              <w:t>paskolos išmokamos mažiausiai dviem dalimis, įvertinant a) esamą projekto situaciją / pažangą; b) projekto / skolininko lėšų įsisavinimo pajėgumus.</w:t>
            </w:r>
          </w:p>
        </w:tc>
      </w:tr>
    </w:tbl>
    <w:p w14:paraId="39ECDBC3" w14:textId="73FAF92A" w:rsidR="006977C2" w:rsidRPr="002142B8" w:rsidRDefault="006977C2" w:rsidP="006977C2">
      <w:pPr>
        <w:spacing w:after="0"/>
        <w:jc w:val="both"/>
        <w:rPr>
          <w:rFonts w:ascii="Georgia" w:eastAsia="Calibri" w:hAnsi="Georgia" w:cs="Arial"/>
          <w:i/>
          <w:sz w:val="20"/>
          <w:szCs w:val="20"/>
          <w:lang w:val="lt-LT"/>
        </w:rPr>
      </w:pPr>
      <w:r w:rsidRPr="002142B8">
        <w:rPr>
          <w:rFonts w:ascii="Georgia" w:eastAsia="PMingLiU" w:hAnsi="Georgia" w:cs="Times New Roman"/>
          <w:bCs/>
          <w:i/>
          <w:color w:val="A32020"/>
          <w:sz w:val="20"/>
          <w:szCs w:val="18"/>
          <w:lang w:val="lt-LT"/>
        </w:rPr>
        <w:t>Šaltinis: ETVB paskolų teikimo politika ir projektų rengimo metodika</w:t>
      </w:r>
      <w:r w:rsidRPr="002142B8">
        <w:rPr>
          <w:rFonts w:ascii="Georgia" w:eastAsia="Calibri" w:hAnsi="Georgia" w:cs="Arial"/>
          <w:i/>
          <w:sz w:val="20"/>
          <w:szCs w:val="20"/>
          <w:vertAlign w:val="superscript"/>
          <w:lang w:val="lt-LT"/>
        </w:rPr>
        <w:footnoteReference w:id="113"/>
      </w:r>
      <w:r w:rsidRPr="002142B8">
        <w:rPr>
          <w:rFonts w:ascii="Georgia" w:eastAsia="Calibri" w:hAnsi="Georgia" w:cs="Arial"/>
          <w:i/>
          <w:sz w:val="20"/>
          <w:szCs w:val="20"/>
          <w:lang w:val="lt-LT"/>
        </w:rPr>
        <w:t>.</w:t>
      </w:r>
    </w:p>
    <w:p w14:paraId="4EB78821" w14:textId="77777777" w:rsidR="006977C2" w:rsidRPr="002142B8" w:rsidRDefault="006977C2" w:rsidP="006977C2">
      <w:pPr>
        <w:spacing w:after="0" w:line="240" w:lineRule="auto"/>
        <w:rPr>
          <w:rFonts w:ascii="Georgia" w:eastAsia="Calibri" w:hAnsi="Georgia" w:cs="Arial"/>
          <w:i/>
          <w:sz w:val="20"/>
          <w:szCs w:val="20"/>
          <w:lang w:val="lt-LT"/>
        </w:rPr>
      </w:pPr>
    </w:p>
    <w:p w14:paraId="71EE2DFB" w14:textId="77777777" w:rsidR="006977C2" w:rsidRPr="002142B8" w:rsidRDefault="006977C2" w:rsidP="006977C2">
      <w:pPr>
        <w:spacing w:after="240" w:line="240" w:lineRule="atLeast"/>
        <w:rPr>
          <w:rFonts w:ascii="Georgia" w:eastAsia="PMingLiU" w:hAnsi="Georgia" w:cs="Times New Roman"/>
          <w:b/>
          <w:i/>
          <w:sz w:val="20"/>
          <w:szCs w:val="20"/>
          <w:lang w:val="lt-LT"/>
        </w:rPr>
      </w:pPr>
      <w:r w:rsidRPr="002142B8">
        <w:rPr>
          <w:rFonts w:ascii="Georgia" w:eastAsia="PMingLiU" w:hAnsi="Georgia" w:cs="Times New Roman"/>
          <w:b/>
          <w:i/>
          <w:sz w:val="20"/>
          <w:szCs w:val="20"/>
          <w:lang w:val="lt-LT"/>
        </w:rPr>
        <w:t>Garantijos</w:t>
      </w:r>
    </w:p>
    <w:p w14:paraId="5966E7C6" w14:textId="77777777" w:rsidR="006977C2" w:rsidRPr="002142B8" w:rsidRDefault="006977C2" w:rsidP="006977C2">
      <w:pPr>
        <w:spacing w:after="120"/>
        <w:jc w:val="both"/>
        <w:rPr>
          <w:rFonts w:ascii="Georgia" w:eastAsia="Calibri" w:hAnsi="Georgia" w:cs="Arial"/>
          <w:sz w:val="20"/>
          <w:szCs w:val="20"/>
          <w:lang w:val="lt-LT"/>
        </w:rPr>
      </w:pPr>
      <w:r w:rsidRPr="002142B8">
        <w:rPr>
          <w:rFonts w:ascii="Georgia" w:eastAsia="Calibri" w:hAnsi="Georgia" w:cs="Arial"/>
          <w:sz w:val="20"/>
          <w:szCs w:val="20"/>
          <w:lang w:val="lt-LT"/>
        </w:rPr>
        <w:t>Bankas teikia garantijas finansų įstaigoms (patvirtintoms banko narių), skirtas įgyvendinti banko tikslus. Kiekvienu atveju vertinama konkreti situacija.</w:t>
      </w:r>
    </w:p>
    <w:p w14:paraId="5BD67EDB" w14:textId="77777777" w:rsidR="006977C2" w:rsidRPr="002142B8" w:rsidRDefault="006977C2" w:rsidP="006977C2">
      <w:pPr>
        <w:keepNext/>
        <w:spacing w:after="240"/>
        <w:rPr>
          <w:rFonts w:ascii="Georgia" w:eastAsia="PMingLiU" w:hAnsi="Georgia" w:cs="Times New Roman"/>
          <w:i/>
          <w:sz w:val="20"/>
          <w:szCs w:val="20"/>
          <w:lang w:val="lt-LT"/>
        </w:rPr>
      </w:pPr>
      <w:r w:rsidRPr="002142B8">
        <w:rPr>
          <w:rFonts w:ascii="Georgia" w:eastAsia="PMingLiU" w:hAnsi="Georgia" w:cs="Times New Roman"/>
          <w:i/>
          <w:sz w:val="20"/>
          <w:szCs w:val="20"/>
          <w:lang w:val="lt-LT"/>
        </w:rPr>
        <w:t>Patikos sąskaitos</w:t>
      </w:r>
    </w:p>
    <w:p w14:paraId="4ECD6EED" w14:textId="77777777" w:rsidR="006977C2" w:rsidRPr="002142B8" w:rsidRDefault="006977C2" w:rsidP="006977C2">
      <w:pPr>
        <w:keepNext/>
        <w:jc w:val="both"/>
        <w:rPr>
          <w:rFonts w:ascii="Georgia" w:eastAsia="Calibri" w:hAnsi="Georgia" w:cs="Georgia"/>
          <w:sz w:val="20"/>
          <w:szCs w:val="20"/>
          <w:lang w:val="lt-LT"/>
        </w:rPr>
      </w:pPr>
      <w:r w:rsidRPr="002142B8">
        <w:rPr>
          <w:rFonts w:ascii="Georgia" w:eastAsia="Calibri" w:hAnsi="Georgia" w:cs="Arial"/>
          <w:sz w:val="20"/>
          <w:szCs w:val="20"/>
          <w:lang w:val="lt-LT"/>
        </w:rPr>
        <w:t>Bankas gali atidaryti ir naudoti patikos sąskaitas savo veikloje. Patikos sąskaitos gali būti naudojamos teikiant palūkanų subsidijas paskoloms, suteiktoms CEB, arba teikiant subsidijas investicijoms arba techninei paramai. Patikos sąskaitos ištekliai gali būti naudojami projektams, turintiems ženklų socialinį poveikį ir įgyvendinamiems nustatytose valstybėse.</w:t>
      </w:r>
    </w:p>
    <w:p w14:paraId="2E0E68DE" w14:textId="131EF670" w:rsidR="00984ACE" w:rsidRPr="002142B8" w:rsidRDefault="00984ACE" w:rsidP="00F55A2A">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31" w:name="_Toc25589914"/>
      <w:r w:rsidRPr="002142B8">
        <w:rPr>
          <w:rFonts w:ascii="Georgia" w:eastAsia="Times New Roman" w:hAnsi="Georgia" w:cs="Arial Unicode MS"/>
          <w:b/>
          <w:i/>
          <w:color w:val="821A1A"/>
          <w:sz w:val="32"/>
          <w:szCs w:val="26"/>
          <w:lang w:val="lt-LT"/>
        </w:rPr>
        <w:t>E</w:t>
      </w:r>
      <w:r w:rsidR="00A15BAF" w:rsidRPr="002142B8">
        <w:rPr>
          <w:rFonts w:ascii="Georgia" w:eastAsia="Times New Roman" w:hAnsi="Georgia" w:cs="Arial Unicode MS"/>
          <w:b/>
          <w:i/>
          <w:color w:val="821A1A"/>
          <w:sz w:val="32"/>
          <w:szCs w:val="26"/>
          <w:lang w:val="lt-LT"/>
        </w:rPr>
        <w:t>nergijos Taupymo Paslaug</w:t>
      </w:r>
      <w:r w:rsidR="000777A6" w:rsidRPr="002142B8">
        <w:rPr>
          <w:rFonts w:ascii="Georgia" w:eastAsia="Times New Roman" w:hAnsi="Georgia" w:cs="Arial Unicode MS"/>
          <w:b/>
          <w:i/>
          <w:color w:val="821A1A"/>
          <w:sz w:val="32"/>
          <w:szCs w:val="26"/>
          <w:lang w:val="lt-LT"/>
        </w:rPr>
        <w:t>ų Įmonės (ESCO</w:t>
      </w:r>
      <w:r w:rsidR="00A15BAF" w:rsidRPr="002142B8">
        <w:rPr>
          <w:rFonts w:ascii="Georgia" w:eastAsia="Times New Roman" w:hAnsi="Georgia" w:cs="Arial Unicode MS"/>
          <w:b/>
          <w:i/>
          <w:color w:val="821A1A"/>
          <w:sz w:val="32"/>
          <w:szCs w:val="26"/>
          <w:lang w:val="lt-LT"/>
        </w:rPr>
        <w:t>)</w:t>
      </w:r>
      <w:bookmarkEnd w:id="131"/>
    </w:p>
    <w:p w14:paraId="048F5D79" w14:textId="1D5B9995" w:rsidR="00A15BAF" w:rsidRPr="002142B8" w:rsidRDefault="000777A6" w:rsidP="0063781D">
      <w:pPr>
        <w:jc w:val="both"/>
        <w:rPr>
          <w:rFonts w:ascii="Georgia" w:hAnsi="Georgia"/>
          <w:sz w:val="20"/>
          <w:szCs w:val="20"/>
          <w:lang w:val="lt-LT"/>
        </w:rPr>
      </w:pPr>
      <w:r w:rsidRPr="002142B8">
        <w:rPr>
          <w:rFonts w:ascii="Georgia" w:hAnsi="Georgia"/>
          <w:sz w:val="20"/>
          <w:szCs w:val="20"/>
          <w:lang w:val="lt-LT"/>
        </w:rPr>
        <w:t>ESCO koncepcija buvo trumpai aptarta 2-</w:t>
      </w:r>
      <w:r w:rsidR="00660FB3" w:rsidRPr="002142B8">
        <w:rPr>
          <w:rFonts w:ascii="Georgia" w:hAnsi="Georgia"/>
          <w:sz w:val="20"/>
          <w:szCs w:val="20"/>
          <w:lang w:val="lt-LT"/>
        </w:rPr>
        <w:t>ajame skyriuje</w:t>
      </w:r>
      <w:r w:rsidRPr="002142B8">
        <w:rPr>
          <w:rFonts w:ascii="Georgia" w:hAnsi="Georgia"/>
          <w:sz w:val="20"/>
          <w:szCs w:val="20"/>
          <w:lang w:val="lt-LT"/>
        </w:rPr>
        <w:t>, kur buvo išdėstytos pagrindinės matomos rizikos</w:t>
      </w:r>
      <w:r w:rsidR="00BC3EA8" w:rsidRPr="002142B8">
        <w:rPr>
          <w:rFonts w:ascii="Georgia" w:hAnsi="Georgia"/>
          <w:sz w:val="20"/>
          <w:szCs w:val="20"/>
          <w:lang w:val="lt-LT"/>
        </w:rPr>
        <w:t xml:space="preserve"> finansuojant ESCO įmones ir jų vykdomus projektus</w:t>
      </w:r>
      <w:r w:rsidRPr="002142B8">
        <w:rPr>
          <w:rFonts w:ascii="Georgia" w:hAnsi="Georgia"/>
          <w:sz w:val="20"/>
          <w:szCs w:val="20"/>
          <w:lang w:val="lt-LT"/>
        </w:rPr>
        <w:t xml:space="preserve"> iš komercinių bankų perspektyvos. </w:t>
      </w:r>
      <w:r w:rsidR="00774024" w:rsidRPr="002142B8">
        <w:rPr>
          <w:rFonts w:ascii="Georgia" w:hAnsi="Georgia"/>
          <w:sz w:val="20"/>
          <w:szCs w:val="20"/>
          <w:lang w:val="lt-LT"/>
        </w:rPr>
        <w:t>Energijos taupymo paslaugų įmonės galėtų būti vienu iš realiausių privataus finansavimo šaltinių vykdant energetikos efektyvumo projektus, nes</w:t>
      </w:r>
      <w:r w:rsidR="00B16297" w:rsidRPr="002142B8">
        <w:rPr>
          <w:rFonts w:ascii="Georgia" w:hAnsi="Georgia"/>
          <w:sz w:val="20"/>
          <w:szCs w:val="20"/>
          <w:lang w:val="lt-LT"/>
        </w:rPr>
        <w:t xml:space="preserve"> paprastai</w:t>
      </w:r>
      <w:r w:rsidR="00774024" w:rsidRPr="002142B8">
        <w:rPr>
          <w:rFonts w:ascii="Georgia" w:hAnsi="Georgia"/>
          <w:sz w:val="20"/>
          <w:szCs w:val="20"/>
          <w:lang w:val="lt-LT"/>
        </w:rPr>
        <w:t xml:space="preserve"> jos turi labai aukštas technines kompetencijas, naudingos patirties atliekant daug tokio pačio tipo projektus ir geriau nei bet kas kitas gali įvertinti rizikas siekiant nustatytų energijos taupymo tikslų. Vienas pagrindinių ESCO modelio</w:t>
      </w:r>
      <w:r w:rsidR="00D9139B" w:rsidRPr="002142B8">
        <w:rPr>
          <w:rFonts w:ascii="Georgia" w:hAnsi="Georgia"/>
          <w:sz w:val="20"/>
          <w:szCs w:val="20"/>
          <w:lang w:val="lt-LT"/>
        </w:rPr>
        <w:t xml:space="preserve"> </w:t>
      </w:r>
      <w:r w:rsidR="00774024" w:rsidRPr="002142B8">
        <w:rPr>
          <w:rFonts w:ascii="Georgia" w:hAnsi="Georgia"/>
          <w:sz w:val="20"/>
          <w:szCs w:val="20"/>
          <w:lang w:val="lt-LT"/>
        </w:rPr>
        <w:t xml:space="preserve">pranašumų Lietuvoje yra </w:t>
      </w:r>
      <w:r w:rsidR="00B16297" w:rsidRPr="002142B8">
        <w:rPr>
          <w:rFonts w:ascii="Georgia" w:hAnsi="Georgia"/>
          <w:sz w:val="20"/>
          <w:szCs w:val="20"/>
          <w:lang w:val="lt-LT"/>
        </w:rPr>
        <w:t xml:space="preserve">tai, kad ESCO modelio įgyvendinimas sudarytų galimybę biudžetinėms įstaigoms skolintis investicijoms būtinas lėšas, kadangi šiuo metu </w:t>
      </w:r>
      <w:r w:rsidR="00774024" w:rsidRPr="002142B8">
        <w:rPr>
          <w:rFonts w:ascii="Georgia" w:hAnsi="Georgia"/>
          <w:sz w:val="20"/>
          <w:szCs w:val="20"/>
          <w:lang w:val="lt-LT"/>
        </w:rPr>
        <w:t xml:space="preserve">teisinė bazė draudžia biudžetinių </w:t>
      </w:r>
      <w:r w:rsidR="008E53D8" w:rsidRPr="002142B8">
        <w:rPr>
          <w:rFonts w:ascii="Georgia" w:hAnsi="Georgia"/>
          <w:sz w:val="20"/>
          <w:szCs w:val="20"/>
          <w:lang w:val="lt-LT"/>
        </w:rPr>
        <w:t>įstaigų</w:t>
      </w:r>
      <w:r w:rsidR="00774024" w:rsidRPr="002142B8">
        <w:rPr>
          <w:rFonts w:ascii="Georgia" w:hAnsi="Georgia"/>
          <w:sz w:val="20"/>
          <w:szCs w:val="20"/>
          <w:lang w:val="lt-LT"/>
        </w:rPr>
        <w:t xml:space="preserve"> skolinimosi galimybes, taip ribojant </w:t>
      </w:r>
      <w:r w:rsidR="00CC6008" w:rsidRPr="002142B8">
        <w:rPr>
          <w:rFonts w:ascii="Georgia" w:hAnsi="Georgia"/>
          <w:sz w:val="20"/>
          <w:szCs w:val="20"/>
          <w:lang w:val="lt-LT"/>
        </w:rPr>
        <w:t>rinkos dalyvių</w:t>
      </w:r>
      <w:r w:rsidR="00774024" w:rsidRPr="002142B8">
        <w:rPr>
          <w:rFonts w:ascii="Georgia" w:hAnsi="Georgia"/>
          <w:sz w:val="20"/>
          <w:szCs w:val="20"/>
          <w:lang w:val="lt-LT"/>
        </w:rPr>
        <w:t xml:space="preserve"> </w:t>
      </w:r>
      <w:r w:rsidR="00BC3EA8" w:rsidRPr="002142B8">
        <w:rPr>
          <w:rFonts w:ascii="Georgia" w:hAnsi="Georgia"/>
          <w:sz w:val="20"/>
          <w:szCs w:val="20"/>
          <w:lang w:val="lt-LT"/>
        </w:rPr>
        <w:t>viešųjų</w:t>
      </w:r>
      <w:r w:rsidR="00774024" w:rsidRPr="002142B8">
        <w:rPr>
          <w:rFonts w:ascii="Georgia" w:hAnsi="Georgia"/>
          <w:sz w:val="20"/>
          <w:szCs w:val="20"/>
          <w:lang w:val="lt-LT"/>
        </w:rPr>
        <w:t xml:space="preserve"> pastatų ir gatvių apšvietimo renovavimo finansavimo galimybes.  </w:t>
      </w:r>
      <w:r w:rsidRPr="002142B8">
        <w:rPr>
          <w:rFonts w:ascii="Georgia" w:hAnsi="Georgia"/>
          <w:sz w:val="20"/>
          <w:szCs w:val="20"/>
          <w:lang w:val="lt-LT"/>
        </w:rPr>
        <w:t xml:space="preserve"> </w:t>
      </w:r>
    </w:p>
    <w:p w14:paraId="164ABA39" w14:textId="77777777" w:rsidR="003B50ED" w:rsidRPr="002142B8" w:rsidRDefault="003B50ED" w:rsidP="0063781D">
      <w:pPr>
        <w:spacing w:after="160"/>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Tiek KPMG studijoje, tiek ir papildomų susitikimų su komerciniais bankais susitikimų metu buvo siekiama aptarti komercinių bankų galimybes ir norą dalyvauti finansuojant ESCO projektus. Dažnu atveju bankai atsakė, kad šis modelis jiems yra dar nepažįstamas, todėl atsakyti, ar būtų suinteresuoti finansuoti tokio pobūdžio projektus, galėjo labai abstrakčiai. Komerciniai bankai KPMG studijos autoriams nurodė, kokios pagrindinės ESCO modelio rizikos iš finansuotojo perspektyvos. Šių rizikų sąrašas ir aprašymas pateikiamas žemiau esančioje lentelėje.</w:t>
      </w:r>
    </w:p>
    <w:p w14:paraId="4BD6E35D" w14:textId="27F8A2D6" w:rsidR="003B50ED" w:rsidRPr="002142B8" w:rsidRDefault="003B50ED" w:rsidP="003B50ED">
      <w:pPr>
        <w:spacing w:after="160" w:line="240" w:lineRule="auto"/>
        <w:jc w:val="both"/>
        <w:rPr>
          <w:rFonts w:ascii="Georgia" w:eastAsia="Georgia" w:hAnsi="Georgia" w:cs="Arial Unicode MS"/>
          <w:i/>
          <w:iCs/>
          <w:color w:val="821A1A"/>
          <w:sz w:val="20"/>
          <w:szCs w:val="18"/>
          <w:lang w:val="lt-LT"/>
        </w:rPr>
      </w:pPr>
      <w:bookmarkStart w:id="132" w:name="_Toc507939155"/>
      <w:r w:rsidRPr="002142B8">
        <w:rPr>
          <w:rFonts w:ascii="Georgia" w:eastAsia="Georgia" w:hAnsi="Georgia" w:cs="Arial Unicode MS"/>
          <w:i/>
          <w:iCs/>
          <w:color w:val="821A1A"/>
          <w:sz w:val="20"/>
          <w:szCs w:val="18"/>
          <w:lang w:val="lt-LT"/>
        </w:rPr>
        <w:t xml:space="preserve">Lentelė </w:t>
      </w:r>
      <w:r w:rsidRPr="002142B8">
        <w:rPr>
          <w:rFonts w:ascii="Georgia" w:eastAsia="Georgia" w:hAnsi="Georgia" w:cs="Arial Unicode MS"/>
          <w:i/>
          <w:iCs/>
          <w:color w:val="821A1A"/>
          <w:sz w:val="20"/>
          <w:szCs w:val="18"/>
          <w:lang w:val="lt-LT"/>
        </w:rPr>
        <w:fldChar w:fldCharType="begin"/>
      </w:r>
      <w:r w:rsidRPr="002142B8">
        <w:rPr>
          <w:rFonts w:ascii="Georgia" w:eastAsia="Georgia" w:hAnsi="Georgia" w:cs="Arial Unicode MS"/>
          <w:i/>
          <w:iCs/>
          <w:color w:val="821A1A"/>
          <w:sz w:val="20"/>
          <w:szCs w:val="18"/>
          <w:lang w:val="lt-LT"/>
        </w:rPr>
        <w:instrText xml:space="preserve"> SEQ Lentelė \* ARABIC </w:instrText>
      </w:r>
      <w:r w:rsidRPr="002142B8">
        <w:rPr>
          <w:rFonts w:ascii="Georgia" w:eastAsia="Georgia" w:hAnsi="Georgia" w:cs="Arial Unicode MS"/>
          <w:i/>
          <w:iCs/>
          <w:color w:val="821A1A"/>
          <w:sz w:val="20"/>
          <w:szCs w:val="18"/>
          <w:lang w:val="lt-LT"/>
        </w:rPr>
        <w:fldChar w:fldCharType="separate"/>
      </w:r>
      <w:r w:rsidR="009652A6">
        <w:rPr>
          <w:rFonts w:ascii="Georgia" w:eastAsia="Georgia" w:hAnsi="Georgia" w:cs="Arial Unicode MS"/>
          <w:i/>
          <w:iCs/>
          <w:noProof/>
          <w:color w:val="821A1A"/>
          <w:sz w:val="20"/>
          <w:szCs w:val="18"/>
          <w:lang w:val="lt-LT"/>
        </w:rPr>
        <w:t>33</w:t>
      </w:r>
      <w:r w:rsidRPr="002142B8">
        <w:rPr>
          <w:rFonts w:ascii="Georgia" w:eastAsia="Georgia" w:hAnsi="Georgia" w:cs="Arial Unicode MS"/>
          <w:i/>
          <w:iCs/>
          <w:color w:val="821A1A"/>
          <w:sz w:val="20"/>
          <w:szCs w:val="18"/>
          <w:lang w:val="lt-LT"/>
        </w:rPr>
        <w:fldChar w:fldCharType="end"/>
      </w:r>
      <w:r w:rsidRPr="002142B8">
        <w:rPr>
          <w:rFonts w:ascii="Georgia" w:eastAsia="Georgia" w:hAnsi="Georgia" w:cs="Arial Unicode MS"/>
          <w:i/>
          <w:iCs/>
          <w:color w:val="821A1A"/>
          <w:sz w:val="20"/>
          <w:szCs w:val="18"/>
          <w:lang w:val="lt-LT"/>
        </w:rPr>
        <w:t xml:space="preserve">. </w:t>
      </w:r>
      <w:r w:rsidRPr="002142B8">
        <w:rPr>
          <w:rFonts w:ascii="Georgia" w:eastAsia="Georgia" w:hAnsi="Georgia" w:cs="Arial Unicode MS"/>
          <w:i/>
          <w:iCs/>
          <w:color w:val="821A1A"/>
          <w:sz w:val="20"/>
          <w:szCs w:val="20"/>
          <w:lang w:val="lt-LT"/>
        </w:rPr>
        <w:t>ESCO modelio rizikos.</w:t>
      </w:r>
      <w:bookmarkEnd w:id="132"/>
    </w:p>
    <w:tbl>
      <w:tblPr>
        <w:tblStyle w:val="LightList-Accent21"/>
        <w:tblW w:w="5000" w:type="pct"/>
        <w:tblLook w:val="04A0" w:firstRow="1" w:lastRow="0" w:firstColumn="1" w:lastColumn="0" w:noHBand="0" w:noVBand="1"/>
      </w:tblPr>
      <w:tblGrid>
        <w:gridCol w:w="4513"/>
        <w:gridCol w:w="4729"/>
      </w:tblGrid>
      <w:tr w:rsidR="003B50ED" w:rsidRPr="002142B8" w14:paraId="3B11386D" w14:textId="77777777" w:rsidTr="005B31C6">
        <w:trPr>
          <w:cnfStyle w:val="100000000000" w:firstRow="1" w:lastRow="0" w:firstColumn="0" w:lastColumn="0" w:oddVBand="0" w:evenVBand="0" w:oddHBand="0" w:evenHBand="0" w:firstRowFirstColumn="0" w:firstRowLastColumn="0" w:lastRowFirstColumn="0" w:lastRowLastColumn="0"/>
          <w:cantSplit/>
          <w:trHeight w:val="75"/>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D62E1C"/>
              <w:left w:val="single" w:sz="8" w:space="0" w:color="D62E1C"/>
              <w:bottom w:val="nil"/>
              <w:right w:val="single" w:sz="8" w:space="0" w:color="D62E1C"/>
            </w:tcBorders>
            <w:hideMark/>
          </w:tcPr>
          <w:p w14:paraId="0DDD4BA4" w14:textId="77777777" w:rsidR="003B50ED" w:rsidRPr="002142B8" w:rsidRDefault="003B50ED" w:rsidP="00691E4D">
            <w:pPr>
              <w:keepNext/>
              <w:jc w:val="center"/>
              <w:rPr>
                <w:rFonts w:ascii="Georgia" w:eastAsia="Georgia" w:hAnsi="Georgia" w:cs="Times New Roman"/>
                <w:sz w:val="20"/>
                <w:szCs w:val="20"/>
              </w:rPr>
            </w:pPr>
            <w:r w:rsidRPr="002142B8">
              <w:rPr>
                <w:rFonts w:ascii="Georgia" w:eastAsia="Georgia" w:hAnsi="Georgia" w:cs="Times New Roman"/>
                <w:sz w:val="20"/>
                <w:szCs w:val="20"/>
              </w:rPr>
              <w:lastRenderedPageBreak/>
              <w:t>Rizika</w:t>
            </w:r>
          </w:p>
        </w:tc>
        <w:tc>
          <w:tcPr>
            <w:tcW w:w="0" w:type="pct"/>
            <w:tcBorders>
              <w:top w:val="single" w:sz="8" w:space="0" w:color="D62E1C"/>
              <w:left w:val="nil"/>
              <w:bottom w:val="nil"/>
              <w:right w:val="single" w:sz="8" w:space="0" w:color="D62E1C"/>
            </w:tcBorders>
            <w:hideMark/>
          </w:tcPr>
          <w:p w14:paraId="7DAB98C8" w14:textId="77777777" w:rsidR="003B50ED" w:rsidRPr="002142B8" w:rsidRDefault="003B50ED" w:rsidP="00691E4D">
            <w:pPr>
              <w:keepNext/>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Aprašymas</w:t>
            </w:r>
          </w:p>
        </w:tc>
      </w:tr>
      <w:tr w:rsidR="003B50ED" w:rsidRPr="002142B8" w14:paraId="4E1EB460" w14:textId="77777777" w:rsidTr="005B31C6">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1EAE8C89" w14:textId="77777777" w:rsidR="003B50ED" w:rsidRPr="002142B8" w:rsidRDefault="003B50ED" w:rsidP="00691E4D">
            <w:pPr>
              <w:keepNext/>
              <w:rPr>
                <w:rFonts w:ascii="Georgia" w:eastAsia="Georgia" w:hAnsi="Georgia" w:cs="Times New Roman"/>
                <w:sz w:val="20"/>
                <w:szCs w:val="20"/>
              </w:rPr>
            </w:pPr>
            <w:r w:rsidRPr="002142B8">
              <w:rPr>
                <w:rFonts w:ascii="Georgia" w:eastAsia="Georgia" w:hAnsi="Georgia" w:cs="Times New Roman"/>
                <w:sz w:val="20"/>
                <w:szCs w:val="20"/>
              </w:rPr>
              <w:t xml:space="preserve">Kredito rizika </w:t>
            </w:r>
          </w:p>
        </w:tc>
        <w:tc>
          <w:tcPr>
            <w:tcW w:w="0" w:type="pct"/>
            <w:tcBorders>
              <w:left w:val="nil"/>
            </w:tcBorders>
            <w:hideMark/>
          </w:tcPr>
          <w:p w14:paraId="29521C91" w14:textId="77777777" w:rsidR="003B50ED" w:rsidRPr="002142B8" w:rsidRDefault="003B50ED" w:rsidP="00691E4D">
            <w:pPr>
              <w:keepNext/>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Neapibrėžtumas, kuri iš šalių prisiims paskolos grąžinimo riziką tuo atveju, jei ESCO klientas nesugebės mokėti. Kadangi didžiąją dalį viešosios paskirties pastatų sąskaitų apmoka savivaldybės, komercinių bankų atstovai mato riziką, kad savivaldybių biudžetuose ESCO mokėjimams gali būti nepakankamai skirta pinigų. </w:t>
            </w:r>
          </w:p>
        </w:tc>
      </w:tr>
      <w:tr w:rsidR="003B50ED" w:rsidRPr="002142B8" w14:paraId="29AF5D55" w14:textId="77777777" w:rsidTr="005B31C6">
        <w:trPr>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0AFAAE94"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Rizika, susijusi su ilgalaikiu turto naudojimu </w:t>
            </w:r>
          </w:p>
        </w:tc>
        <w:tc>
          <w:tcPr>
            <w:tcW w:w="0" w:type="pct"/>
            <w:tcBorders>
              <w:top w:val="nil"/>
              <w:left w:val="nil"/>
              <w:bottom w:val="nil"/>
              <w:right w:val="single" w:sz="8" w:space="0" w:color="D62E1C"/>
            </w:tcBorders>
            <w:hideMark/>
          </w:tcPr>
          <w:p w14:paraId="4E08263A" w14:textId="77777777" w:rsidR="003B50ED" w:rsidRPr="002142B8"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ESCO projektų paskolų grąžinimai gali užtrukti ilgą laikotarpį. Egzistuoja rizika, kad per tą laiką pastatas bus uždarytas ar pakeistas kitu. Bankai nori garantijų, kad pastatai bus naudojami visą sutarties laiką, arba kad, tuo atveju, kai modernizuotas pastatas uždaromas, mokėjimai bus skiriami iš organizacijos biudžeto. </w:t>
            </w:r>
          </w:p>
        </w:tc>
      </w:tr>
      <w:tr w:rsidR="003B50ED" w:rsidRPr="002142B8" w14:paraId="1AB17C1E" w14:textId="77777777" w:rsidTr="005B31C6">
        <w:trPr>
          <w:cnfStyle w:val="000000100000" w:firstRow="0" w:lastRow="0" w:firstColumn="0" w:lastColumn="0" w:oddVBand="0" w:evenVBand="0" w:oddHBand="1" w:evenHBand="0" w:firstRowFirstColumn="0" w:firstRowLastColumn="0" w:lastRowFirstColumn="0" w:lastRowLastColumn="0"/>
          <w:cantSplit/>
          <w:trHeight w:val="260"/>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479C4CB0"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Politinė rizika </w:t>
            </w:r>
          </w:p>
        </w:tc>
        <w:tc>
          <w:tcPr>
            <w:tcW w:w="0" w:type="pct"/>
            <w:tcBorders>
              <w:left w:val="nil"/>
            </w:tcBorders>
            <w:hideMark/>
          </w:tcPr>
          <w:p w14:paraId="5236C85D" w14:textId="77777777" w:rsidR="003B50ED" w:rsidRPr="002142B8"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ESCO koncepcija Lietuvoje yra naujas dalykas, todėl egzistuoja rizika, kad po kelių metų nauja vyriausybė gali pakeisti nuomonę. Bankai įžvelgia riziką, kad vyriausybė gali sustabdyti ESCO projektų finansavimą. Viena iš pagrindinių problemų, jog šiuo metu nėra sukurtos jokios teisinės bazės apibrėžiančios ESCO prielaidas bei veikimo būdus, tačiau politinė parama šiam modeliui yra.</w:t>
            </w:r>
          </w:p>
        </w:tc>
      </w:tr>
      <w:tr w:rsidR="003B50ED" w:rsidRPr="002142B8" w14:paraId="7105501C" w14:textId="77777777" w:rsidTr="005B31C6">
        <w:trPr>
          <w:cantSplit/>
          <w:trHeight w:val="259"/>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25F346B1"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Rizika, susijusi su ilgalaikiu finansavimu </w:t>
            </w:r>
          </w:p>
        </w:tc>
        <w:tc>
          <w:tcPr>
            <w:tcW w:w="0" w:type="pct"/>
            <w:tcBorders>
              <w:top w:val="nil"/>
              <w:left w:val="nil"/>
              <w:bottom w:val="nil"/>
              <w:right w:val="single" w:sz="8" w:space="0" w:color="D62E1C"/>
            </w:tcBorders>
            <w:hideMark/>
          </w:tcPr>
          <w:p w14:paraId="00EBCC32" w14:textId="77777777" w:rsidR="003B50ED" w:rsidRPr="002142B8"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Komercinių bankų atstovai mano, kad ESCO projektų koncepcija yra sudėtinga. Ilgalaikis projektų finansavimas turi įvairių rizikų, todėl per fondus vykdomas refinansavimas būtų mažiau rizikinga alternatyva. </w:t>
            </w:r>
          </w:p>
        </w:tc>
      </w:tr>
      <w:tr w:rsidR="003B50ED" w:rsidRPr="002142B8" w14:paraId="4CAFC286" w14:textId="77777777" w:rsidTr="005B31C6">
        <w:trPr>
          <w:cnfStyle w:val="000000100000" w:firstRow="0" w:lastRow="0" w:firstColumn="0" w:lastColumn="0" w:oddVBand="0" w:evenVBand="0" w:oddHBand="1" w:evenHBand="0" w:firstRowFirstColumn="0" w:firstRowLastColumn="0" w:lastRowFirstColumn="0" w:lastRowLastColumn="0"/>
          <w:cantSplit/>
          <w:trHeight w:val="167"/>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73DF39FB"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Patikimumo rizika </w:t>
            </w:r>
          </w:p>
        </w:tc>
        <w:tc>
          <w:tcPr>
            <w:tcW w:w="0" w:type="pct"/>
            <w:tcBorders>
              <w:left w:val="nil"/>
            </w:tcBorders>
            <w:hideMark/>
          </w:tcPr>
          <w:p w14:paraId="55C048A5" w14:textId="77777777" w:rsidR="003B50ED" w:rsidRPr="002142B8"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Komerciniai bankai įžvelgia riziką, susijusią su įmonės akcininkų patikimumu, kai sutartys sudaromas ilgam laikotarpiui. Bankams reikėtų atlikti potencialių ESCO vindikaciją. </w:t>
            </w:r>
          </w:p>
        </w:tc>
      </w:tr>
      <w:tr w:rsidR="003B50ED" w:rsidRPr="002142B8" w14:paraId="6EFC58C1" w14:textId="77777777" w:rsidTr="005B31C6">
        <w:trPr>
          <w:cantSplit/>
          <w:trHeight w:val="351"/>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D62E1C"/>
              <w:bottom w:val="nil"/>
              <w:right w:val="single" w:sz="8" w:space="0" w:color="D62E1C"/>
            </w:tcBorders>
            <w:hideMark/>
          </w:tcPr>
          <w:p w14:paraId="0DC66DB1"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Sutarčių rizika </w:t>
            </w:r>
          </w:p>
        </w:tc>
        <w:tc>
          <w:tcPr>
            <w:tcW w:w="0" w:type="pct"/>
            <w:tcBorders>
              <w:top w:val="nil"/>
              <w:left w:val="nil"/>
              <w:bottom w:val="nil"/>
              <w:right w:val="single" w:sz="8" w:space="0" w:color="D62E1C"/>
            </w:tcBorders>
            <w:hideMark/>
          </w:tcPr>
          <w:p w14:paraId="106ADF11" w14:textId="77777777" w:rsidR="003B50ED" w:rsidRPr="002142B8" w:rsidRDefault="003B50ED" w:rsidP="00691E4D">
            <w:pPr>
              <w:jc w:val="both"/>
              <w:cnfStyle w:val="000000000000" w:firstRow="0" w:lastRow="0" w:firstColumn="0" w:lastColumn="0" w:oddVBand="0" w:evenVBand="0" w:oddHBand="0"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Kadangi šie projektai apima daug trumpalaikių ir ilgalaikių įsipareigojimų (sutaupomos energijos užtikrinimas, priežiūros užtikrinimas lėšų grąžinimo laikotarpiu ir kt.) bankai pripažįsta, egzistuojant didelę riziką, jog įmonė nesugebės vykdyti visų sutartyje numatytų įsipareigojimų. </w:t>
            </w:r>
          </w:p>
        </w:tc>
      </w:tr>
      <w:tr w:rsidR="003B50ED" w:rsidRPr="002142B8" w14:paraId="25C54C8D" w14:textId="77777777" w:rsidTr="005B31C6">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0" w:type="pct"/>
            <w:tcBorders>
              <w:right w:val="single" w:sz="8" w:space="0" w:color="D62E1C"/>
            </w:tcBorders>
            <w:hideMark/>
          </w:tcPr>
          <w:p w14:paraId="61E5CC30" w14:textId="77777777" w:rsidR="003B50ED" w:rsidRPr="002142B8" w:rsidRDefault="003B50ED" w:rsidP="00691E4D">
            <w:pPr>
              <w:rPr>
                <w:rFonts w:ascii="Georgia" w:eastAsia="Georgia" w:hAnsi="Georgia" w:cs="Times New Roman"/>
                <w:sz w:val="20"/>
                <w:szCs w:val="20"/>
              </w:rPr>
            </w:pPr>
            <w:r w:rsidRPr="002142B8">
              <w:rPr>
                <w:rFonts w:ascii="Georgia" w:eastAsia="Georgia" w:hAnsi="Georgia" w:cs="Times New Roman"/>
                <w:sz w:val="20"/>
                <w:szCs w:val="20"/>
              </w:rPr>
              <w:t xml:space="preserve">Rizika, susijusi su kvalifikacija </w:t>
            </w:r>
          </w:p>
        </w:tc>
        <w:tc>
          <w:tcPr>
            <w:tcW w:w="0" w:type="pct"/>
            <w:tcBorders>
              <w:left w:val="nil"/>
            </w:tcBorders>
            <w:hideMark/>
          </w:tcPr>
          <w:p w14:paraId="47D732D1" w14:textId="77777777" w:rsidR="003B50ED" w:rsidRPr="002142B8" w:rsidRDefault="003B50ED" w:rsidP="00691E4D">
            <w:pPr>
              <w:jc w:val="both"/>
              <w:cnfStyle w:val="000000100000" w:firstRow="0" w:lastRow="0" w:firstColumn="0" w:lastColumn="0" w:oddVBand="0" w:evenVBand="0" w:oddHBand="1" w:evenHBand="0" w:firstRowFirstColumn="0" w:firstRowLastColumn="0" w:lastRowFirstColumn="0" w:lastRowLastColumn="0"/>
              <w:rPr>
                <w:rFonts w:ascii="Georgia" w:eastAsia="Georgia" w:hAnsi="Georgia" w:cs="Times New Roman"/>
                <w:sz w:val="20"/>
                <w:szCs w:val="20"/>
              </w:rPr>
            </w:pPr>
            <w:r w:rsidRPr="002142B8">
              <w:rPr>
                <w:rFonts w:ascii="Georgia" w:eastAsia="Georgia" w:hAnsi="Georgia" w:cs="Times New Roman"/>
                <w:sz w:val="20"/>
                <w:szCs w:val="20"/>
              </w:rPr>
              <w:t xml:space="preserve">Esamų bendrovių ribotos žinios, nes Lietuvoje ESCO projektų patirties beveik nėra. Bankai įžvelgia riziką, kad įmonės neturės pakankamai techninių žinių apie ESCO tipo projektus. </w:t>
            </w:r>
          </w:p>
        </w:tc>
      </w:tr>
    </w:tbl>
    <w:p w14:paraId="1D1681C9" w14:textId="77777777" w:rsidR="003B50ED" w:rsidRPr="002142B8" w:rsidRDefault="003B50ED" w:rsidP="003B50ED">
      <w:pPr>
        <w:spacing w:after="160" w:line="240" w:lineRule="auto"/>
        <w:jc w:val="both"/>
        <w:rPr>
          <w:rFonts w:ascii="Georgia" w:eastAsia="Georgia" w:hAnsi="Georgia" w:cs="Arial Unicode MS"/>
          <w:b/>
          <w:iCs/>
          <w:color w:val="821A1A"/>
          <w:sz w:val="20"/>
          <w:szCs w:val="18"/>
          <w:lang w:val="lt-LT"/>
        </w:rPr>
      </w:pPr>
      <w:r w:rsidRPr="002142B8">
        <w:rPr>
          <w:rFonts w:ascii="Georgia" w:eastAsia="Georgia" w:hAnsi="Georgia" w:cs="Arial Unicode MS"/>
          <w:i/>
          <w:iCs/>
          <w:color w:val="821A1A"/>
          <w:sz w:val="20"/>
          <w:szCs w:val="18"/>
          <w:lang w:val="lt-LT"/>
        </w:rPr>
        <w:t>Šaltinis: KPMG studija</w:t>
      </w:r>
    </w:p>
    <w:p w14:paraId="037DB738" w14:textId="77777777" w:rsidR="003B50ED" w:rsidRPr="002142B8" w:rsidRDefault="003B50ED" w:rsidP="003B50ED">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b/>
          <w:sz w:val="20"/>
          <w:szCs w:val="20"/>
          <w:lang w:val="lt-LT"/>
        </w:rPr>
        <w:t>Komerciniai bankai taip pat nurodė, kad tiesiogiai ESCO projekto vykdytojui teiktų tik trumpo – vidutinio laikotarpio paskolą, t.y. iki 7 metų.</w:t>
      </w:r>
      <w:r w:rsidRPr="002142B8">
        <w:rPr>
          <w:rFonts w:ascii="Georgia" w:eastAsia="Georgia" w:hAnsi="Georgia" w:cs="Times New Roman"/>
          <w:sz w:val="20"/>
          <w:szCs w:val="20"/>
          <w:lang w:val="lt-LT"/>
        </w:rPr>
        <w:t xml:space="preserve"> Ilgo laikotarpio finansavimas komerciniams bankams yra visiškai nepatrauklus. Dalyvavimas per sukurtą investicinį mechanizmą domintų visus bankus, todėl ši analizė bus pateikiama privačių išteklių pritraukimo ex-ante vertinimo dalyje. </w:t>
      </w:r>
    </w:p>
    <w:p w14:paraId="158D625D" w14:textId="5B9D1300" w:rsidR="00984ACE" w:rsidRPr="002142B8" w:rsidRDefault="00984ACE" w:rsidP="00984ACE">
      <w:pPr>
        <w:keepNext/>
        <w:keepLines/>
        <w:numPr>
          <w:ilvl w:val="2"/>
          <w:numId w:val="2"/>
        </w:numPr>
        <w:spacing w:before="200" w:after="240" w:line="240" w:lineRule="auto"/>
        <w:ind w:hanging="1080"/>
        <w:outlineLvl w:val="1"/>
        <w:rPr>
          <w:rFonts w:ascii="Georgia" w:eastAsia="Times New Roman" w:hAnsi="Georgia" w:cs="Arial Unicode MS"/>
          <w:b/>
          <w:i/>
          <w:color w:val="821A1A"/>
          <w:sz w:val="32"/>
          <w:szCs w:val="26"/>
          <w:lang w:val="lt-LT"/>
        </w:rPr>
      </w:pPr>
      <w:bookmarkStart w:id="133" w:name="_Toc25589915"/>
      <w:r w:rsidRPr="002142B8">
        <w:rPr>
          <w:rFonts w:ascii="Georgia" w:eastAsia="Times New Roman" w:hAnsi="Georgia" w:cs="Arial Unicode MS"/>
          <w:b/>
          <w:i/>
          <w:color w:val="821A1A"/>
          <w:sz w:val="32"/>
          <w:szCs w:val="26"/>
          <w:lang w:val="lt-LT"/>
        </w:rPr>
        <w:t>Infrastruktūriniai fondai</w:t>
      </w:r>
      <w:bookmarkEnd w:id="133"/>
    </w:p>
    <w:p w14:paraId="364DEF4B" w14:textId="6ED88C43" w:rsidR="00FE679C" w:rsidRPr="002142B8" w:rsidRDefault="00FE679C" w:rsidP="00583EB1">
      <w:pPr>
        <w:jc w:val="both"/>
        <w:rPr>
          <w:rFonts w:ascii="Georgia" w:hAnsi="Georgia"/>
          <w:sz w:val="20"/>
          <w:szCs w:val="20"/>
          <w:lang w:val="lt-LT"/>
        </w:rPr>
      </w:pPr>
      <w:r w:rsidRPr="002142B8">
        <w:rPr>
          <w:rFonts w:ascii="Georgia" w:hAnsi="Georgia"/>
          <w:sz w:val="20"/>
          <w:szCs w:val="20"/>
          <w:lang w:val="lt-LT"/>
        </w:rPr>
        <w:t xml:space="preserve">Šiuo metu Lietuvoje </w:t>
      </w:r>
      <w:r w:rsidR="00343824" w:rsidRPr="002142B8">
        <w:rPr>
          <w:rFonts w:ascii="Georgia" w:hAnsi="Georgia"/>
          <w:sz w:val="20"/>
          <w:szCs w:val="20"/>
          <w:lang w:val="lt-LT"/>
        </w:rPr>
        <w:t>įregistruoti</w:t>
      </w:r>
      <w:r w:rsidRPr="002142B8">
        <w:rPr>
          <w:rFonts w:ascii="Georgia" w:hAnsi="Georgia"/>
          <w:sz w:val="20"/>
          <w:szCs w:val="20"/>
          <w:lang w:val="lt-LT"/>
        </w:rPr>
        <w:t xml:space="preserve"> </w:t>
      </w:r>
      <w:r w:rsidR="00343824" w:rsidRPr="002142B8">
        <w:rPr>
          <w:rFonts w:ascii="Georgia" w:hAnsi="Georgia"/>
          <w:sz w:val="20"/>
          <w:szCs w:val="20"/>
          <w:lang w:val="lt-LT"/>
        </w:rPr>
        <w:t>trys</w:t>
      </w:r>
      <w:r w:rsidRPr="002142B8">
        <w:rPr>
          <w:rFonts w:ascii="Georgia" w:hAnsi="Georgia"/>
          <w:sz w:val="20"/>
          <w:szCs w:val="20"/>
          <w:lang w:val="lt-LT"/>
        </w:rPr>
        <w:t xml:space="preserve"> infrastruktūr</w:t>
      </w:r>
      <w:r w:rsidR="00181123" w:rsidRPr="002142B8">
        <w:rPr>
          <w:rFonts w:ascii="Georgia" w:hAnsi="Georgia"/>
          <w:sz w:val="20"/>
          <w:szCs w:val="20"/>
          <w:lang w:val="lt-LT"/>
        </w:rPr>
        <w:t>os</w:t>
      </w:r>
      <w:r w:rsidRPr="002142B8">
        <w:rPr>
          <w:rFonts w:ascii="Georgia" w:hAnsi="Georgia"/>
          <w:sz w:val="20"/>
          <w:szCs w:val="20"/>
          <w:lang w:val="lt-LT"/>
        </w:rPr>
        <w:t xml:space="preserve"> fondai, kurių strategijoje energetika nurodyta kaip viena iš prioritetinių sričių</w:t>
      </w:r>
      <w:r w:rsidR="00343824" w:rsidRPr="002142B8">
        <w:rPr>
          <w:rFonts w:ascii="Georgia" w:hAnsi="Georgia"/>
          <w:sz w:val="20"/>
          <w:szCs w:val="20"/>
          <w:lang w:val="lt-LT"/>
        </w:rPr>
        <w:t>, tačiau atlikus trumpą šių fondų analizę (žemiau), realus papildomų privačių lėšų šaltinis galėtų būti tik vienas – BaltCap Infrastruktūros Fondas.</w:t>
      </w:r>
      <w:r w:rsidRPr="002142B8">
        <w:rPr>
          <w:rFonts w:ascii="Georgia" w:hAnsi="Georgia"/>
          <w:sz w:val="20"/>
          <w:szCs w:val="20"/>
          <w:lang w:val="lt-LT"/>
        </w:rPr>
        <w:t xml:space="preserve"> </w:t>
      </w:r>
    </w:p>
    <w:p w14:paraId="0127F4EB" w14:textId="77777777" w:rsidR="005271EB" w:rsidRDefault="005271EB">
      <w:pPr>
        <w:rPr>
          <w:rFonts w:ascii="Georgia" w:hAnsi="Georgia"/>
          <w:b/>
          <w:sz w:val="20"/>
          <w:szCs w:val="20"/>
          <w:lang w:val="lt-LT"/>
        </w:rPr>
      </w:pPr>
      <w:r>
        <w:rPr>
          <w:rFonts w:ascii="Georgia" w:hAnsi="Georgia"/>
          <w:b/>
          <w:sz w:val="20"/>
          <w:szCs w:val="20"/>
          <w:lang w:val="lt-LT"/>
        </w:rPr>
        <w:br w:type="page"/>
      </w:r>
    </w:p>
    <w:p w14:paraId="78314175" w14:textId="0BB02FD7" w:rsidR="00FE679C" w:rsidRPr="002142B8" w:rsidRDefault="00FE679C" w:rsidP="00FE679C">
      <w:pPr>
        <w:jc w:val="both"/>
        <w:rPr>
          <w:rFonts w:ascii="Georgia" w:hAnsi="Georgia"/>
          <w:b/>
          <w:sz w:val="20"/>
          <w:szCs w:val="20"/>
          <w:lang w:val="lt-LT"/>
        </w:rPr>
      </w:pPr>
      <w:r w:rsidRPr="002142B8">
        <w:rPr>
          <w:rFonts w:ascii="Georgia" w:hAnsi="Georgia"/>
          <w:b/>
          <w:sz w:val="20"/>
          <w:szCs w:val="20"/>
          <w:lang w:val="lt-LT"/>
        </w:rPr>
        <w:lastRenderedPageBreak/>
        <w:t xml:space="preserve">BaltCap </w:t>
      </w:r>
      <w:r w:rsidR="00D4264C" w:rsidRPr="002142B8">
        <w:rPr>
          <w:rFonts w:ascii="Georgia" w:hAnsi="Georgia"/>
          <w:b/>
          <w:sz w:val="20"/>
          <w:szCs w:val="20"/>
          <w:lang w:val="lt-LT"/>
        </w:rPr>
        <w:t>Infrastruktūros Fondas</w:t>
      </w:r>
      <w:r w:rsidRPr="002142B8">
        <w:rPr>
          <w:rFonts w:ascii="Georgia" w:hAnsi="Georgia"/>
          <w:b/>
          <w:sz w:val="20"/>
          <w:szCs w:val="20"/>
          <w:lang w:val="lt-LT"/>
        </w:rPr>
        <w:t xml:space="preserve"> (BInF)</w:t>
      </w:r>
    </w:p>
    <w:p w14:paraId="6C0EA0E1" w14:textId="01C9EE10" w:rsidR="00FE679C" w:rsidRPr="002142B8" w:rsidRDefault="00FE679C" w:rsidP="0063781D">
      <w:pPr>
        <w:jc w:val="both"/>
        <w:rPr>
          <w:rFonts w:ascii="Georgia" w:hAnsi="Georgia"/>
          <w:sz w:val="20"/>
          <w:szCs w:val="20"/>
          <w:lang w:val="lt-LT"/>
        </w:rPr>
      </w:pPr>
      <w:r w:rsidRPr="002142B8">
        <w:rPr>
          <w:rFonts w:ascii="Georgia" w:hAnsi="Georgia"/>
          <w:sz w:val="20"/>
          <w:szCs w:val="20"/>
          <w:lang w:val="lt-LT"/>
        </w:rPr>
        <w:t xml:space="preserve">2017 m. liepos </w:t>
      </w:r>
      <w:r w:rsidR="00D4264C" w:rsidRPr="002142B8">
        <w:rPr>
          <w:rFonts w:ascii="Georgia" w:hAnsi="Georgia"/>
          <w:sz w:val="20"/>
          <w:szCs w:val="20"/>
          <w:lang w:val="lt-LT"/>
        </w:rPr>
        <w:t xml:space="preserve">3 d. didžiausias Baltijos šalyse privataus ir rizikos kapitalo fondų valdytojas BaltCap įsteigė </w:t>
      </w:r>
      <w:r w:rsidR="00D22577" w:rsidRPr="002142B8">
        <w:rPr>
          <w:rFonts w:ascii="Georgia" w:hAnsi="Georgia"/>
          <w:sz w:val="20"/>
          <w:szCs w:val="20"/>
          <w:lang w:val="lt-LT"/>
        </w:rPr>
        <w:t xml:space="preserve">pirmąjį Baltijos šalyse infrastruktūros </w:t>
      </w:r>
      <w:r w:rsidR="00D4264C" w:rsidRPr="002142B8">
        <w:rPr>
          <w:rFonts w:ascii="Georgia" w:hAnsi="Georgia"/>
          <w:sz w:val="20"/>
          <w:szCs w:val="20"/>
          <w:lang w:val="lt-LT"/>
        </w:rPr>
        <w:t xml:space="preserve">fondą “BaltCap Infrastructure Fund”. </w:t>
      </w:r>
      <w:r w:rsidR="00D22577" w:rsidRPr="002142B8">
        <w:rPr>
          <w:rFonts w:ascii="Georgia" w:hAnsi="Georgia"/>
          <w:sz w:val="20"/>
          <w:szCs w:val="20"/>
          <w:lang w:val="lt-LT"/>
        </w:rPr>
        <w:t>Fondas skirs ypatingą dėmesį investicijoms transporto, energijos vartojimo efektyvumo didinimo, atsinaujinanči</w:t>
      </w:r>
      <w:r w:rsidR="00181123" w:rsidRPr="002142B8">
        <w:rPr>
          <w:rFonts w:ascii="Georgia" w:hAnsi="Georgia"/>
          <w:sz w:val="20"/>
          <w:szCs w:val="20"/>
          <w:lang w:val="lt-LT"/>
        </w:rPr>
        <w:t>os</w:t>
      </w:r>
      <w:r w:rsidR="00D22577" w:rsidRPr="002142B8">
        <w:rPr>
          <w:rFonts w:ascii="Georgia" w:hAnsi="Georgia"/>
          <w:sz w:val="20"/>
          <w:szCs w:val="20"/>
          <w:lang w:val="lt-LT"/>
        </w:rPr>
        <w:t xml:space="preserve"> energijos </w:t>
      </w:r>
      <w:r w:rsidR="00181123" w:rsidRPr="002142B8">
        <w:rPr>
          <w:rFonts w:ascii="Georgia" w:hAnsi="Georgia"/>
          <w:sz w:val="20"/>
          <w:szCs w:val="20"/>
          <w:lang w:val="lt-LT"/>
        </w:rPr>
        <w:t>gamybos</w:t>
      </w:r>
      <w:r w:rsidR="00D22577" w:rsidRPr="002142B8">
        <w:rPr>
          <w:rFonts w:ascii="Georgia" w:hAnsi="Georgia"/>
          <w:sz w:val="20"/>
          <w:szCs w:val="20"/>
          <w:lang w:val="lt-LT"/>
        </w:rPr>
        <w:t xml:space="preserve"> sektoriuose, kuriuose matomas didelis finansavimo trūkumas</w:t>
      </w:r>
      <w:r w:rsidR="00BB058D" w:rsidRPr="002142B8">
        <w:rPr>
          <w:rStyle w:val="Puslapioinaosnuoroda"/>
          <w:rFonts w:ascii="Georgia" w:hAnsi="Georgia"/>
          <w:sz w:val="20"/>
          <w:szCs w:val="20"/>
          <w:lang w:val="lt-LT"/>
        </w:rPr>
        <w:footnoteReference w:id="114"/>
      </w:r>
      <w:r w:rsidR="00D22577" w:rsidRPr="002142B8">
        <w:rPr>
          <w:rFonts w:ascii="Georgia" w:hAnsi="Georgia"/>
          <w:sz w:val="20"/>
          <w:szCs w:val="20"/>
          <w:lang w:val="lt-LT"/>
        </w:rPr>
        <w:t xml:space="preserve">. Fondo dydis – 100 mln. </w:t>
      </w:r>
      <w:r w:rsidR="00660FB3" w:rsidRPr="002142B8">
        <w:rPr>
          <w:rFonts w:ascii="Georgia" w:hAnsi="Georgia"/>
          <w:sz w:val="20"/>
          <w:szCs w:val="20"/>
          <w:lang w:val="lt-LT"/>
        </w:rPr>
        <w:t>eurų</w:t>
      </w:r>
      <w:r w:rsidR="00D22577" w:rsidRPr="002142B8">
        <w:rPr>
          <w:rFonts w:ascii="Georgia" w:hAnsi="Georgia"/>
          <w:sz w:val="20"/>
          <w:szCs w:val="20"/>
          <w:lang w:val="lt-LT"/>
        </w:rPr>
        <w:t>, iš kurių EIB įsipareig</w:t>
      </w:r>
      <w:r w:rsidR="00D9139B" w:rsidRPr="002142B8">
        <w:rPr>
          <w:rFonts w:ascii="Georgia" w:hAnsi="Georgia"/>
          <w:sz w:val="20"/>
          <w:szCs w:val="20"/>
          <w:lang w:val="lt-LT"/>
        </w:rPr>
        <w:t>oj</w:t>
      </w:r>
      <w:r w:rsidR="00BB058D" w:rsidRPr="002142B8">
        <w:rPr>
          <w:rFonts w:ascii="Georgia" w:hAnsi="Georgia"/>
          <w:sz w:val="20"/>
          <w:szCs w:val="20"/>
          <w:lang w:val="lt-LT"/>
        </w:rPr>
        <w:t>ęs</w:t>
      </w:r>
      <w:r w:rsidR="00D22577" w:rsidRPr="002142B8">
        <w:rPr>
          <w:rFonts w:ascii="Georgia" w:hAnsi="Georgia"/>
          <w:sz w:val="20"/>
          <w:szCs w:val="20"/>
          <w:lang w:val="lt-LT"/>
        </w:rPr>
        <w:t xml:space="preserve"> investuoti 20 mln. </w:t>
      </w:r>
      <w:r w:rsidR="00660FB3" w:rsidRPr="002142B8">
        <w:rPr>
          <w:rFonts w:ascii="Georgia" w:hAnsi="Georgia"/>
          <w:sz w:val="20"/>
          <w:szCs w:val="20"/>
          <w:lang w:val="lt-LT"/>
        </w:rPr>
        <w:t>eurų</w:t>
      </w:r>
      <w:r w:rsidR="00D22577" w:rsidRPr="002142B8">
        <w:rPr>
          <w:rFonts w:ascii="Georgia" w:hAnsi="Georgia"/>
          <w:sz w:val="20"/>
          <w:szCs w:val="20"/>
          <w:lang w:val="lt-LT"/>
        </w:rPr>
        <w:t>.</w:t>
      </w:r>
      <w:r w:rsidR="00181123" w:rsidRPr="002142B8">
        <w:rPr>
          <w:rFonts w:ascii="Georgia" w:hAnsi="Georgia"/>
          <w:sz w:val="20"/>
          <w:szCs w:val="20"/>
          <w:lang w:val="lt-LT"/>
        </w:rPr>
        <w:t xml:space="preserve"> pagal Europos Strateginių Investicijų Fondo (ESIF) programą</w:t>
      </w:r>
      <w:r w:rsidR="00D22577" w:rsidRPr="002142B8">
        <w:rPr>
          <w:rFonts w:ascii="Georgia" w:hAnsi="Georgia"/>
          <w:sz w:val="20"/>
          <w:szCs w:val="20"/>
          <w:lang w:val="lt-LT"/>
        </w:rPr>
        <w:t>, o likusią dalį</w:t>
      </w:r>
      <w:r w:rsidR="00181123" w:rsidRPr="002142B8">
        <w:rPr>
          <w:rFonts w:ascii="Georgia" w:hAnsi="Georgia"/>
          <w:sz w:val="20"/>
          <w:szCs w:val="20"/>
          <w:lang w:val="lt-LT"/>
        </w:rPr>
        <w:t xml:space="preserve"> </w:t>
      </w:r>
      <w:r w:rsidR="00D22577" w:rsidRPr="002142B8">
        <w:rPr>
          <w:rFonts w:ascii="Georgia" w:hAnsi="Georgia"/>
          <w:sz w:val="20"/>
          <w:szCs w:val="20"/>
          <w:lang w:val="lt-LT"/>
        </w:rPr>
        <w:t>padeng</w:t>
      </w:r>
      <w:r w:rsidR="00181123" w:rsidRPr="002142B8">
        <w:rPr>
          <w:rFonts w:ascii="Georgia" w:hAnsi="Georgia"/>
          <w:sz w:val="20"/>
          <w:szCs w:val="20"/>
          <w:lang w:val="lt-LT"/>
        </w:rPr>
        <w:t>s</w:t>
      </w:r>
      <w:r w:rsidR="00D22577" w:rsidRPr="002142B8">
        <w:rPr>
          <w:rFonts w:ascii="Georgia" w:hAnsi="Georgia"/>
          <w:sz w:val="20"/>
          <w:szCs w:val="20"/>
          <w:lang w:val="lt-LT"/>
        </w:rPr>
        <w:t xml:space="preserve"> pensijų fondai (Swedbank, SEB ir LHV)</w:t>
      </w:r>
      <w:r w:rsidR="00181123" w:rsidRPr="002142B8">
        <w:rPr>
          <w:rStyle w:val="Puslapioinaosnuoroda"/>
          <w:rFonts w:ascii="Georgia" w:hAnsi="Georgia"/>
          <w:sz w:val="20"/>
          <w:szCs w:val="20"/>
          <w:lang w:val="lt-LT"/>
        </w:rPr>
        <w:footnoteReference w:id="115"/>
      </w:r>
      <w:r w:rsidR="00D22577" w:rsidRPr="002142B8">
        <w:rPr>
          <w:rFonts w:ascii="Georgia" w:hAnsi="Georgia"/>
          <w:sz w:val="20"/>
          <w:szCs w:val="20"/>
          <w:lang w:val="lt-LT"/>
        </w:rPr>
        <w:t xml:space="preserve">. </w:t>
      </w:r>
      <w:r w:rsidR="00181123" w:rsidRPr="002142B8">
        <w:rPr>
          <w:rFonts w:ascii="Georgia" w:hAnsi="Georgia"/>
          <w:sz w:val="20"/>
          <w:szCs w:val="20"/>
          <w:lang w:val="lt-LT"/>
        </w:rPr>
        <w:t xml:space="preserve">Fondo investavimo strategijoje numatyta, jog fondo veiklos trukmė – 20 metų, o vienos investicijos dydis gali siekti nuo </w:t>
      </w:r>
      <w:r w:rsidR="00BB058D" w:rsidRPr="002142B8">
        <w:rPr>
          <w:rFonts w:ascii="Georgia" w:hAnsi="Georgia"/>
          <w:sz w:val="20"/>
          <w:szCs w:val="20"/>
          <w:lang w:val="lt-LT"/>
        </w:rPr>
        <w:t xml:space="preserve">3-12 mln. </w:t>
      </w:r>
      <w:r w:rsidR="00660FB3" w:rsidRPr="002142B8">
        <w:rPr>
          <w:rFonts w:ascii="Georgia" w:hAnsi="Georgia"/>
          <w:sz w:val="20"/>
          <w:szCs w:val="20"/>
          <w:lang w:val="lt-LT"/>
        </w:rPr>
        <w:t xml:space="preserve">eurų </w:t>
      </w:r>
      <w:r w:rsidR="00BB058D" w:rsidRPr="002142B8">
        <w:rPr>
          <w:rFonts w:ascii="Georgia" w:hAnsi="Georgia"/>
          <w:sz w:val="20"/>
          <w:szCs w:val="20"/>
          <w:lang w:val="lt-LT"/>
        </w:rPr>
        <w:t>vienai investicijai.</w:t>
      </w:r>
      <w:r w:rsidR="00D22577" w:rsidRPr="002142B8">
        <w:rPr>
          <w:rFonts w:ascii="Georgia" w:hAnsi="Georgia"/>
          <w:sz w:val="20"/>
          <w:szCs w:val="20"/>
          <w:lang w:val="lt-LT"/>
        </w:rPr>
        <w:t xml:space="preserve">    </w:t>
      </w:r>
      <w:r w:rsidR="00D4264C" w:rsidRPr="002142B8">
        <w:rPr>
          <w:rFonts w:ascii="Georgia" w:hAnsi="Georgia"/>
          <w:sz w:val="20"/>
          <w:szCs w:val="20"/>
          <w:lang w:val="lt-LT"/>
        </w:rPr>
        <w:t xml:space="preserve">   </w:t>
      </w:r>
      <w:r w:rsidR="00FD2539" w:rsidRPr="002142B8">
        <w:rPr>
          <w:rFonts w:ascii="Georgia" w:hAnsi="Georgia"/>
          <w:sz w:val="20"/>
          <w:szCs w:val="20"/>
          <w:lang w:val="lt-LT"/>
        </w:rPr>
        <w:t xml:space="preserve"> </w:t>
      </w:r>
    </w:p>
    <w:p w14:paraId="164C85B1" w14:textId="3C0775FF" w:rsidR="00FE679C" w:rsidRPr="002142B8" w:rsidRDefault="00BB058D" w:rsidP="00BB058D">
      <w:pPr>
        <w:jc w:val="both"/>
        <w:rPr>
          <w:rFonts w:ascii="Georgia" w:hAnsi="Georgia"/>
          <w:sz w:val="20"/>
          <w:szCs w:val="20"/>
          <w:lang w:val="lt-LT"/>
        </w:rPr>
      </w:pPr>
      <w:r w:rsidRPr="002142B8">
        <w:rPr>
          <w:rFonts w:ascii="Georgia" w:hAnsi="Georgia"/>
          <w:sz w:val="20"/>
          <w:szCs w:val="20"/>
          <w:lang w:val="lt-LT"/>
        </w:rPr>
        <w:t xml:space="preserve">Tikimasi, kad investicijoms į viešąją infrastruktūrą </w:t>
      </w:r>
      <w:r w:rsidR="00446BD3" w:rsidRPr="002142B8">
        <w:rPr>
          <w:rFonts w:ascii="Georgia" w:hAnsi="Georgia"/>
          <w:sz w:val="20"/>
          <w:szCs w:val="20"/>
          <w:lang w:val="lt-LT"/>
        </w:rPr>
        <w:t>fondas pritrauks papildomai</w:t>
      </w:r>
      <w:r w:rsidRPr="002142B8">
        <w:rPr>
          <w:rFonts w:ascii="Georgia" w:hAnsi="Georgia"/>
          <w:sz w:val="20"/>
          <w:szCs w:val="20"/>
          <w:lang w:val="lt-LT"/>
        </w:rPr>
        <w:t xml:space="preserve"> 480 mln. </w:t>
      </w:r>
      <w:r w:rsidR="00660FB3" w:rsidRPr="002142B8">
        <w:rPr>
          <w:rFonts w:ascii="Georgia" w:hAnsi="Georgia"/>
          <w:sz w:val="20"/>
          <w:szCs w:val="20"/>
          <w:lang w:val="lt-LT"/>
        </w:rPr>
        <w:t>eurų</w:t>
      </w:r>
      <w:r w:rsidRPr="002142B8">
        <w:rPr>
          <w:rFonts w:ascii="Georgia" w:hAnsi="Georgia"/>
          <w:sz w:val="20"/>
          <w:szCs w:val="20"/>
          <w:lang w:val="lt-LT"/>
        </w:rPr>
        <w:t>.</w:t>
      </w:r>
      <w:r w:rsidR="00446BD3" w:rsidRPr="002142B8">
        <w:rPr>
          <w:rStyle w:val="Puslapioinaosnuoroda"/>
          <w:rFonts w:ascii="Georgia" w:hAnsi="Georgia"/>
          <w:sz w:val="20"/>
          <w:szCs w:val="20"/>
          <w:lang w:val="lt-LT"/>
        </w:rPr>
        <w:footnoteReference w:id="116"/>
      </w:r>
    </w:p>
    <w:p w14:paraId="06DD423F" w14:textId="3B16FFA6" w:rsidR="00FD2539" w:rsidRPr="002142B8" w:rsidRDefault="00FD2539" w:rsidP="00583EB1">
      <w:pPr>
        <w:jc w:val="both"/>
        <w:rPr>
          <w:rFonts w:ascii="Georgia" w:hAnsi="Georgia"/>
          <w:b/>
          <w:sz w:val="20"/>
          <w:szCs w:val="20"/>
          <w:lang w:val="lt-LT"/>
        </w:rPr>
      </w:pPr>
      <w:r w:rsidRPr="002142B8">
        <w:rPr>
          <w:rFonts w:ascii="Georgia" w:hAnsi="Georgia"/>
          <w:b/>
          <w:sz w:val="20"/>
          <w:szCs w:val="20"/>
          <w:lang w:val="lt-LT"/>
        </w:rPr>
        <w:t>Energy and Infrastructure SME Fund</w:t>
      </w:r>
    </w:p>
    <w:p w14:paraId="7C5A6143" w14:textId="05469048" w:rsidR="00BB058D" w:rsidRPr="002142B8" w:rsidRDefault="00446BD3" w:rsidP="00583EB1">
      <w:pPr>
        <w:jc w:val="both"/>
        <w:rPr>
          <w:rFonts w:ascii="Georgia" w:hAnsi="Georgia"/>
          <w:sz w:val="20"/>
          <w:szCs w:val="20"/>
          <w:lang w:val="lt-LT"/>
        </w:rPr>
      </w:pPr>
      <w:r w:rsidRPr="002142B8">
        <w:rPr>
          <w:rFonts w:ascii="Georgia" w:hAnsi="Georgia"/>
          <w:sz w:val="20"/>
          <w:szCs w:val="20"/>
          <w:lang w:val="lt-LT"/>
        </w:rPr>
        <w:t xml:space="preserve">2016 m. liepos 5 d. Lords LB įsteigė Energetikos ir Infrastruktūros SME fondą, </w:t>
      </w:r>
      <w:r w:rsidR="00241FB9" w:rsidRPr="002142B8">
        <w:rPr>
          <w:rFonts w:ascii="Georgia" w:hAnsi="Georgia"/>
          <w:sz w:val="20"/>
          <w:szCs w:val="20"/>
          <w:lang w:val="lt-LT"/>
        </w:rPr>
        <w:t xml:space="preserve">kuris skirtas investicijoms į mažesnius jau įgyvendintus projektus. Siekiamas fondo dydis – 25 mln. </w:t>
      </w:r>
      <w:r w:rsidR="00660FB3" w:rsidRPr="002142B8">
        <w:rPr>
          <w:rFonts w:ascii="Georgia" w:hAnsi="Georgia"/>
          <w:sz w:val="20"/>
          <w:szCs w:val="20"/>
          <w:lang w:val="lt-LT"/>
        </w:rPr>
        <w:t>eurų</w:t>
      </w:r>
      <w:r w:rsidR="00241FB9" w:rsidRPr="002142B8">
        <w:rPr>
          <w:rFonts w:ascii="Georgia" w:hAnsi="Georgia"/>
          <w:sz w:val="20"/>
          <w:szCs w:val="20"/>
          <w:lang w:val="lt-LT"/>
        </w:rPr>
        <w:t>, fondo trukmė – iki 10 metų. Šiuo metu fondas yra investavęs į vieno infrastruktūros objekto –M.K.Čiurlionio tilto Kaune – koncesiją.</w:t>
      </w:r>
      <w:r w:rsidR="003617A8" w:rsidRPr="002142B8">
        <w:rPr>
          <w:rFonts w:ascii="Georgia" w:hAnsi="Georgia"/>
          <w:sz w:val="20"/>
          <w:szCs w:val="20"/>
          <w:lang w:val="lt-LT"/>
        </w:rPr>
        <w:t xml:space="preserve"> </w:t>
      </w:r>
      <w:r w:rsidR="00241FB9" w:rsidRPr="002142B8">
        <w:rPr>
          <w:rFonts w:ascii="Georgia" w:hAnsi="Georgia"/>
          <w:sz w:val="20"/>
          <w:szCs w:val="20"/>
          <w:lang w:val="lt-LT"/>
        </w:rPr>
        <w:t xml:space="preserve">   </w:t>
      </w:r>
    </w:p>
    <w:p w14:paraId="548C0273" w14:textId="7089C033" w:rsidR="00FD2539" w:rsidRPr="002142B8" w:rsidRDefault="00D4264C" w:rsidP="00583EB1">
      <w:pPr>
        <w:jc w:val="both"/>
        <w:rPr>
          <w:rFonts w:ascii="Georgia" w:hAnsi="Georgia"/>
          <w:b/>
          <w:sz w:val="20"/>
          <w:szCs w:val="20"/>
          <w:lang w:val="lt-LT"/>
        </w:rPr>
      </w:pPr>
      <w:r w:rsidRPr="002142B8">
        <w:rPr>
          <w:rFonts w:ascii="Georgia" w:hAnsi="Georgia"/>
          <w:b/>
          <w:sz w:val="20"/>
          <w:szCs w:val="20"/>
          <w:lang w:val="lt-LT"/>
        </w:rPr>
        <w:t>Baltijos energetikos ir infrastruktūros fondas (BEIF)</w:t>
      </w:r>
    </w:p>
    <w:p w14:paraId="4A78F7F1" w14:textId="7F19C90F" w:rsidR="00330295" w:rsidRPr="002142B8" w:rsidRDefault="003617A8" w:rsidP="003617A8">
      <w:pPr>
        <w:jc w:val="both"/>
        <w:rPr>
          <w:rFonts w:ascii="Georgia" w:hAnsi="Georgia"/>
          <w:sz w:val="20"/>
          <w:szCs w:val="20"/>
          <w:lang w:val="lt-LT"/>
        </w:rPr>
      </w:pPr>
      <w:r w:rsidRPr="002142B8">
        <w:rPr>
          <w:rFonts w:ascii="Georgia" w:hAnsi="Georgia"/>
          <w:sz w:val="20"/>
          <w:szCs w:val="20"/>
          <w:lang w:val="lt-LT"/>
        </w:rPr>
        <w:t xml:space="preserve">2016 m. sausio 5 d. Lords LB įsteigė Baltijos Energetikos ir Infrastruktūros fondą, kurio prioritetinės investavimo sritys - atsinaujinanti energetika ir energijos efektyvumo projektai. Planuojama, jog fondo dydis per tris metus nuo fondo įsteigimo pradžios pasieks 200 mln. Eur. </w:t>
      </w:r>
      <w:r w:rsidR="00343824" w:rsidRPr="002142B8">
        <w:rPr>
          <w:rFonts w:ascii="Georgia" w:hAnsi="Georgia"/>
          <w:sz w:val="20"/>
          <w:szCs w:val="20"/>
          <w:lang w:val="lt-LT"/>
        </w:rPr>
        <w:t>Tačiau</w:t>
      </w:r>
      <w:r w:rsidRPr="002142B8">
        <w:rPr>
          <w:rFonts w:ascii="Georgia" w:hAnsi="Georgia"/>
          <w:sz w:val="20"/>
          <w:szCs w:val="20"/>
          <w:lang w:val="lt-LT"/>
        </w:rPr>
        <w:t xml:space="preserve"> per pirmus d</w:t>
      </w:r>
      <w:r w:rsidR="00660FB3" w:rsidRPr="002142B8">
        <w:rPr>
          <w:rFonts w:ascii="Georgia" w:hAnsi="Georgia"/>
          <w:sz w:val="20"/>
          <w:szCs w:val="20"/>
          <w:lang w:val="lt-LT"/>
        </w:rPr>
        <w:t>vejus</w:t>
      </w:r>
      <w:r w:rsidRPr="002142B8">
        <w:rPr>
          <w:rFonts w:ascii="Georgia" w:hAnsi="Georgia"/>
          <w:sz w:val="20"/>
          <w:szCs w:val="20"/>
          <w:lang w:val="lt-LT"/>
        </w:rPr>
        <w:t xml:space="preserve"> metus dar nebuvo atlikta jokių investicijų, todėl tikėtina, jog fondas </w:t>
      </w:r>
      <w:r w:rsidR="00343824" w:rsidRPr="002142B8">
        <w:rPr>
          <w:rFonts w:ascii="Georgia" w:hAnsi="Georgia"/>
          <w:sz w:val="20"/>
          <w:szCs w:val="20"/>
          <w:lang w:val="lt-LT"/>
        </w:rPr>
        <w:t xml:space="preserve">arba nebesusikurs arba nepritrauks pakankamai lėšų investicijoms. </w:t>
      </w:r>
    </w:p>
    <w:p w14:paraId="683E1E58" w14:textId="77777777" w:rsidR="00583EB1" w:rsidRPr="002142B8" w:rsidRDefault="00583EB1" w:rsidP="00446BD3">
      <w:pPr>
        <w:pStyle w:val="Antrat2"/>
        <w:numPr>
          <w:ilvl w:val="1"/>
          <w:numId w:val="2"/>
        </w:numPr>
        <w:spacing w:after="120"/>
        <w:ind w:left="709" w:hanging="851"/>
        <w:rPr>
          <w:rFonts w:ascii="Georgia" w:hAnsi="Georgia"/>
          <w:lang w:val="lt-LT"/>
        </w:rPr>
      </w:pPr>
      <w:bookmarkStart w:id="134" w:name="_Toc25589916"/>
      <w:r w:rsidRPr="002142B8">
        <w:rPr>
          <w:rFonts w:ascii="Georgia" w:hAnsi="Georgia"/>
          <w:lang w:val="lt-LT"/>
        </w:rPr>
        <w:t>Lygio ir būdo privačių lėšų pritraukimui nustatymas</w:t>
      </w:r>
      <w:bookmarkEnd w:id="134"/>
    </w:p>
    <w:p w14:paraId="6A91AAF6" w14:textId="1B43396A" w:rsidR="00583EB1" w:rsidRPr="002142B8" w:rsidRDefault="00583EB1" w:rsidP="00583EB1">
      <w:pPr>
        <w:jc w:val="both"/>
        <w:rPr>
          <w:rFonts w:ascii="Georgia" w:hAnsi="Georgia"/>
          <w:sz w:val="20"/>
          <w:szCs w:val="20"/>
          <w:lang w:val="lt-LT"/>
        </w:rPr>
      </w:pPr>
      <w:r w:rsidRPr="002142B8">
        <w:rPr>
          <w:rFonts w:ascii="Georgia" w:hAnsi="Georgia" w:cs="Georgia"/>
          <w:sz w:val="20"/>
          <w:szCs w:val="20"/>
          <w:lang w:val="lt-LT"/>
        </w:rPr>
        <w:t>Kaip nurodo e</w:t>
      </w:r>
      <w:r w:rsidR="00300FF4" w:rsidRPr="002142B8">
        <w:rPr>
          <w:rFonts w:ascii="Georgia" w:hAnsi="Georgia" w:cs="Georgia"/>
          <w:sz w:val="20"/>
          <w:szCs w:val="20"/>
          <w:lang w:val="lt-LT"/>
        </w:rPr>
        <w:t>x-ante</w:t>
      </w:r>
      <w:r w:rsidRPr="002142B8">
        <w:rPr>
          <w:rFonts w:ascii="Georgia" w:hAnsi="Georgia" w:cs="Georgia"/>
          <w:sz w:val="20"/>
          <w:szCs w:val="20"/>
          <w:lang w:val="lt-LT"/>
        </w:rPr>
        <w:t xml:space="preserve"> vertinimo metodologija, remiantis Bendrųjų nuostatų reglamento </w:t>
      </w:r>
      <w:r w:rsidRPr="002142B8">
        <w:rPr>
          <w:rFonts w:ascii="Georgia" w:hAnsi="Georgia"/>
          <w:sz w:val="20"/>
          <w:szCs w:val="20"/>
          <w:lang w:val="lt-LT"/>
        </w:rPr>
        <w:t xml:space="preserve">38 straipsniu, nacionalinių viešųjų ar privačiųjų subjektų įnašai gali būti atliekami visais lygiais, taip pat ir galutinių gavėjų lygyje, išskyrus galutinių naudos gavėjų įnašus. </w:t>
      </w:r>
    </w:p>
    <w:p w14:paraId="71588544" w14:textId="77777777" w:rsidR="00583EB1" w:rsidRPr="002142B8" w:rsidRDefault="00583EB1" w:rsidP="00583EB1">
      <w:pPr>
        <w:jc w:val="both"/>
        <w:rPr>
          <w:rFonts w:ascii="Georgia" w:hAnsi="Georgia"/>
          <w:sz w:val="20"/>
          <w:szCs w:val="20"/>
          <w:lang w:val="lt-LT"/>
        </w:rPr>
      </w:pPr>
      <w:r w:rsidRPr="002142B8">
        <w:rPr>
          <w:rFonts w:ascii="Georgia" w:hAnsi="Georgia"/>
          <w:noProof/>
          <w:sz w:val="20"/>
          <w:szCs w:val="20"/>
          <w:lang w:val="lt-LT" w:eastAsia="lt-LT"/>
        </w:rPr>
        <w:lastRenderedPageBreak/>
        <mc:AlternateContent>
          <mc:Choice Requires="wpc">
            <w:drawing>
              <wp:inline distT="0" distB="0" distL="0" distR="0" wp14:anchorId="60E92F08" wp14:editId="1A408308">
                <wp:extent cx="5686425" cy="4095115"/>
                <wp:effectExtent l="0" t="0" r="0" b="19685"/>
                <wp:docPr id="4114" name="Drobė 4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9"/>
                        <wps:cNvSpPr>
                          <a:spLocks noChangeArrowheads="1"/>
                        </wps:cNvSpPr>
                        <wps:spPr bwMode="auto">
                          <a:xfrm>
                            <a:off x="3121541" y="35999"/>
                            <a:ext cx="1801324" cy="405913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 name="AutoShape 11"/>
                        <wps:cNvSpPr>
                          <a:spLocks noChangeArrowheads="1"/>
                        </wps:cNvSpPr>
                        <wps:spPr bwMode="auto">
                          <a:xfrm>
                            <a:off x="489006" y="206901"/>
                            <a:ext cx="2365831" cy="258802"/>
                          </a:xfrm>
                          <a:prstGeom prst="roundRect">
                            <a:avLst>
                              <a:gd name="adj" fmla="val 16667"/>
                            </a:avLst>
                          </a:prstGeom>
                          <a:solidFill>
                            <a:srgbClr val="E36C0A"/>
                          </a:solidFill>
                          <a:ln w="9525">
                            <a:solidFill>
                              <a:srgbClr val="974706"/>
                            </a:solidFill>
                            <a:round/>
                            <a:headEnd/>
                            <a:tailEnd/>
                          </a:ln>
                        </wps:spPr>
                        <wps:txbx>
                          <w:txbxContent>
                            <w:p w14:paraId="7584CD1D"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21" name="AutoShape 12"/>
                        <wps:cNvSpPr>
                          <a:spLocks noChangeArrowheads="1"/>
                        </wps:cNvSpPr>
                        <wps:spPr bwMode="auto">
                          <a:xfrm>
                            <a:off x="3296933" y="217601"/>
                            <a:ext cx="1423519" cy="241202"/>
                          </a:xfrm>
                          <a:prstGeom prst="roundRect">
                            <a:avLst>
                              <a:gd name="adj" fmla="val 16667"/>
                            </a:avLst>
                          </a:prstGeom>
                          <a:solidFill>
                            <a:srgbClr val="E36C0A"/>
                          </a:solidFill>
                          <a:ln w="9525">
                            <a:solidFill>
                              <a:srgbClr val="974706"/>
                            </a:solidFill>
                            <a:round/>
                            <a:headEnd/>
                            <a:tailEnd/>
                          </a:ln>
                        </wps:spPr>
                        <wps:txbx>
                          <w:txbxContent>
                            <w:p w14:paraId="4812A6BF" w14:textId="77777777" w:rsidR="00133798" w:rsidRDefault="00133798"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wps:txbx>
                        <wps:bodyPr rot="0" vert="horz" wrap="square" lIns="91440" tIns="45720" rIns="91440" bIns="45720" anchor="t" anchorCtr="0" upright="1">
                          <a:noAutofit/>
                        </wps:bodyPr>
                      </wps:wsp>
                      <wps:wsp>
                        <wps:cNvPr id="22" name="AutoShape 15"/>
                        <wps:cNvSpPr>
                          <a:spLocks noChangeArrowheads="1"/>
                        </wps:cNvSpPr>
                        <wps:spPr bwMode="auto">
                          <a:xfrm>
                            <a:off x="3295133" y="3385831"/>
                            <a:ext cx="1423519" cy="466204"/>
                          </a:xfrm>
                          <a:prstGeom prst="roundRect">
                            <a:avLst>
                              <a:gd name="adj" fmla="val 16667"/>
                            </a:avLst>
                          </a:prstGeom>
                          <a:solidFill>
                            <a:srgbClr val="E36C0A"/>
                          </a:solidFill>
                          <a:ln w="9525">
                            <a:solidFill>
                              <a:srgbClr val="974706"/>
                            </a:solidFill>
                            <a:round/>
                            <a:headEnd/>
                            <a:tailEnd/>
                          </a:ln>
                        </wps:spPr>
                        <wps:txbx>
                          <w:txbxContent>
                            <w:p w14:paraId="58CFE7E7" w14:textId="2CA37C8B"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naudos</w:t>
                              </w:r>
                            </w:p>
                            <w:p w14:paraId="3B008154"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133798" w:rsidRDefault="00133798" w:rsidP="00583EB1">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3" name="AutoShape 17"/>
                        <wps:cNvSpPr>
                          <a:spLocks noChangeArrowheads="1"/>
                        </wps:cNvSpPr>
                        <wps:spPr bwMode="auto">
                          <a:xfrm>
                            <a:off x="3296933" y="2504242"/>
                            <a:ext cx="1424319" cy="242002"/>
                          </a:xfrm>
                          <a:prstGeom prst="roundRect">
                            <a:avLst>
                              <a:gd name="adj" fmla="val 16667"/>
                            </a:avLst>
                          </a:prstGeom>
                          <a:solidFill>
                            <a:srgbClr val="E36C0A"/>
                          </a:solidFill>
                          <a:ln w="9525">
                            <a:solidFill>
                              <a:srgbClr val="974706"/>
                            </a:solidFill>
                            <a:round/>
                            <a:headEnd/>
                            <a:tailEnd/>
                          </a:ln>
                        </wps:spPr>
                        <wps:txbx>
                          <w:txbxContent>
                            <w:p w14:paraId="09DC8C1F"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wps:txbx>
                        <wps:bodyPr rot="0" vert="horz" wrap="square" lIns="91440" tIns="45720" rIns="91440" bIns="45720" anchor="t" anchorCtr="0" upright="1">
                          <a:noAutofit/>
                        </wps:bodyPr>
                      </wps:wsp>
                      <wps:wsp>
                        <wps:cNvPr id="459" name="AutoShape 18"/>
                        <wps:cNvSpPr>
                          <a:spLocks noChangeArrowheads="1"/>
                        </wps:cNvSpPr>
                        <wps:spPr bwMode="auto">
                          <a:xfrm>
                            <a:off x="3296000" y="895370"/>
                            <a:ext cx="1423519" cy="242102"/>
                          </a:xfrm>
                          <a:prstGeom prst="roundRect">
                            <a:avLst>
                              <a:gd name="adj" fmla="val 16667"/>
                            </a:avLst>
                          </a:prstGeom>
                          <a:solidFill>
                            <a:srgbClr val="E36C0A"/>
                          </a:solidFill>
                          <a:ln w="9525">
                            <a:solidFill>
                              <a:srgbClr val="974706"/>
                            </a:solidFill>
                            <a:round/>
                            <a:headEnd/>
                            <a:tailEnd/>
                          </a:ln>
                        </wps:spPr>
                        <wps:txbx>
                          <w:txbxContent>
                            <w:p w14:paraId="0A147C70"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wps:txbx>
                        <wps:bodyPr rot="0" vert="horz" wrap="square" lIns="91440" tIns="45720" rIns="91440" bIns="45720" anchor="t" anchorCtr="0" upright="1">
                          <a:noAutofit/>
                        </wps:bodyPr>
                      </wps:wsp>
                      <wps:wsp>
                        <wps:cNvPr id="461" name="AutoShape 24"/>
                        <wps:cNvCnPr>
                          <a:cxnSpLocks noChangeShapeType="1"/>
                        </wps:cNvCnPr>
                        <wps:spPr bwMode="auto">
                          <a:xfrm>
                            <a:off x="2854837" y="336302"/>
                            <a:ext cx="445906"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27"/>
                        <wps:cNvCnPr>
                          <a:cxnSpLocks noChangeShapeType="1"/>
                          <a:stCxn id="21" idx="2"/>
                          <a:endCxn id="459" idx="0"/>
                        </wps:cNvCnPr>
                        <wps:spPr bwMode="auto">
                          <a:xfrm flipH="1">
                            <a:off x="4007760" y="458803"/>
                            <a:ext cx="933" cy="43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28"/>
                        <wps:cNvCnPr>
                          <a:cxnSpLocks noChangeShapeType="1"/>
                          <a:stCxn id="218" idx="4"/>
                          <a:endCxn id="453" idx="0"/>
                        </wps:cNvCnPr>
                        <wps:spPr bwMode="auto">
                          <a:xfrm flipH="1">
                            <a:off x="4009093" y="2068732"/>
                            <a:ext cx="124" cy="43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9"/>
                        <wps:cNvCnPr>
                          <a:cxnSpLocks noChangeShapeType="1"/>
                          <a:stCxn id="453" idx="2"/>
                          <a:endCxn id="22" idx="0"/>
                        </wps:cNvCnPr>
                        <wps:spPr bwMode="auto">
                          <a:xfrm flipH="1">
                            <a:off x="4006893" y="2746244"/>
                            <a:ext cx="2200" cy="639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6" name="AutoShape 11"/>
                        <wps:cNvSpPr>
                          <a:spLocks noChangeArrowheads="1"/>
                        </wps:cNvSpPr>
                        <wps:spPr bwMode="auto">
                          <a:xfrm>
                            <a:off x="489006" y="890607"/>
                            <a:ext cx="2365431" cy="258502"/>
                          </a:xfrm>
                          <a:prstGeom prst="roundRect">
                            <a:avLst>
                              <a:gd name="adj" fmla="val 16667"/>
                            </a:avLst>
                          </a:prstGeom>
                          <a:solidFill>
                            <a:srgbClr val="E36C0A"/>
                          </a:solidFill>
                          <a:ln w="9525">
                            <a:solidFill>
                              <a:srgbClr val="974706"/>
                            </a:solidFill>
                            <a:round/>
                            <a:headEnd/>
                            <a:tailEnd/>
                          </a:ln>
                        </wps:spPr>
                        <wps:txbx>
                          <w:txbxContent>
                            <w:p w14:paraId="63737DB0"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wps:txbx>
                        <wps:bodyPr rot="0" vert="horz" wrap="square" lIns="91440" tIns="45720" rIns="91440" bIns="45720" anchor="t" anchorCtr="0" upright="1">
                          <a:noAutofit/>
                        </wps:bodyPr>
                      </wps:wsp>
                      <wps:wsp>
                        <wps:cNvPr id="4097" name="AutoShape 24"/>
                        <wps:cNvCnPr>
                          <a:stCxn id="4096" idx="3"/>
                          <a:endCxn id="459" idx="1"/>
                        </wps:cNvCnPr>
                        <wps:spPr bwMode="auto">
                          <a:xfrm flipV="1">
                            <a:off x="2854437" y="1016421"/>
                            <a:ext cx="441563" cy="3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8" name="AutoShape 11"/>
                        <wps:cNvSpPr>
                          <a:spLocks noChangeArrowheads="1"/>
                        </wps:cNvSpPr>
                        <wps:spPr bwMode="auto">
                          <a:xfrm>
                            <a:off x="491306" y="3488332"/>
                            <a:ext cx="2364831" cy="257802"/>
                          </a:xfrm>
                          <a:prstGeom prst="roundRect">
                            <a:avLst>
                              <a:gd name="adj" fmla="val 16667"/>
                            </a:avLst>
                          </a:prstGeom>
                          <a:solidFill>
                            <a:srgbClr val="E36C0A"/>
                          </a:solidFill>
                          <a:ln w="9525">
                            <a:solidFill>
                              <a:srgbClr val="974706"/>
                            </a:solidFill>
                            <a:round/>
                            <a:headEnd/>
                            <a:tailEnd/>
                          </a:ln>
                        </wps:spPr>
                        <wps:txbx>
                          <w:txbxContent>
                            <w:p w14:paraId="66AE3FC6"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2" name="AutoShape 24"/>
                        <wps:cNvCnPr>
                          <a:stCxn id="4098" idx="3"/>
                          <a:endCxn id="22" idx="1"/>
                        </wps:cNvCnPr>
                        <wps:spPr bwMode="auto">
                          <a:xfrm>
                            <a:off x="2856137" y="3617233"/>
                            <a:ext cx="438996"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3" name="AutoShape 11"/>
                        <wps:cNvSpPr>
                          <a:spLocks noChangeArrowheads="1"/>
                        </wps:cNvSpPr>
                        <wps:spPr bwMode="auto">
                          <a:xfrm>
                            <a:off x="435906" y="2493022"/>
                            <a:ext cx="2364731" cy="257802"/>
                          </a:xfrm>
                          <a:prstGeom prst="roundRect">
                            <a:avLst>
                              <a:gd name="adj" fmla="val 16667"/>
                            </a:avLst>
                          </a:prstGeom>
                          <a:solidFill>
                            <a:srgbClr val="E36C0A"/>
                          </a:solidFill>
                          <a:ln w="9525">
                            <a:solidFill>
                              <a:srgbClr val="974706"/>
                            </a:solidFill>
                            <a:round/>
                            <a:headEnd/>
                            <a:tailEnd/>
                          </a:ln>
                        </wps:spPr>
                        <wps:txbx>
                          <w:txbxContent>
                            <w:p w14:paraId="10817EA7"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4" name="AutoShape 24"/>
                        <wps:cNvCnPr>
                          <a:endCxn id="453" idx="1"/>
                        </wps:cNvCnPr>
                        <wps:spPr bwMode="auto">
                          <a:xfrm>
                            <a:off x="2800637" y="2625243"/>
                            <a:ext cx="496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5" name="AutoShape 11"/>
                        <wps:cNvSpPr>
                          <a:spLocks noChangeArrowheads="1"/>
                        </wps:cNvSpPr>
                        <wps:spPr bwMode="auto">
                          <a:xfrm>
                            <a:off x="490106" y="1619914"/>
                            <a:ext cx="2364731" cy="257802"/>
                          </a:xfrm>
                          <a:prstGeom prst="roundRect">
                            <a:avLst>
                              <a:gd name="adj" fmla="val 16667"/>
                            </a:avLst>
                          </a:prstGeom>
                          <a:solidFill>
                            <a:srgbClr val="E36C0A"/>
                          </a:solidFill>
                          <a:ln w="9525">
                            <a:solidFill>
                              <a:srgbClr val="974706"/>
                            </a:solidFill>
                            <a:round/>
                            <a:headEnd/>
                            <a:tailEnd/>
                          </a:ln>
                        </wps:spPr>
                        <wps:txbx>
                          <w:txbxContent>
                            <w:p w14:paraId="229C228C"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6" name="AutoShape 24"/>
                        <wps:cNvCnPr>
                          <a:stCxn id="4105" idx="3"/>
                          <a:endCxn id="218" idx="2"/>
                        </wps:cNvCnPr>
                        <wps:spPr bwMode="auto">
                          <a:xfrm flipV="1">
                            <a:off x="2854837" y="1746470"/>
                            <a:ext cx="584467" cy="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Oval 218"/>
                        <wps:cNvSpPr>
                          <a:spLocks noChangeArrowheads="1"/>
                        </wps:cNvSpPr>
                        <wps:spPr bwMode="auto">
                          <a:xfrm>
                            <a:off x="3439304" y="1424207"/>
                            <a:ext cx="1139825" cy="644525"/>
                          </a:xfrm>
                          <a:prstGeom prst="ellipse">
                            <a:avLst/>
                          </a:prstGeom>
                          <a:solidFill>
                            <a:srgbClr val="FFC000"/>
                          </a:solidFill>
                          <a:ln w="9525">
                            <a:solidFill>
                              <a:srgbClr val="974706"/>
                            </a:solidFill>
                            <a:round/>
                            <a:headEnd/>
                            <a:tailEnd/>
                          </a:ln>
                        </wps:spPr>
                        <wps:txbx>
                          <w:txbxContent>
                            <w:p w14:paraId="48BA7BCE" w14:textId="77777777" w:rsidR="00133798" w:rsidRDefault="00133798"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wps:txbx>
                        <wps:bodyPr rot="0" vert="horz" wrap="square" lIns="91440" tIns="45720" rIns="91440" bIns="45720" anchor="t" anchorCtr="0" upright="1">
                          <a:noAutofit/>
                        </wps:bodyPr>
                      </wps:wsp>
                      <wps:wsp>
                        <wps:cNvPr id="219" name="AutoShape 27"/>
                        <wps:cNvCnPr>
                          <a:cxnSpLocks noChangeShapeType="1"/>
                          <a:stCxn id="459" idx="2"/>
                          <a:endCxn id="218" idx="0"/>
                        </wps:cNvCnPr>
                        <wps:spPr bwMode="auto">
                          <a:xfrm>
                            <a:off x="4007760" y="1137472"/>
                            <a:ext cx="1457" cy="28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4114" o:spid="_x0000_s1065" editas="canvas" style="width:447.75pt;height:322.45pt;mso-position-horizontal-relative:char;mso-position-vertical-relative:line" coordsize="56864,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">
                <v:shape id="_x0000_s1066" type="#_x0000_t75" style="position:absolute;width:56864;height:40951;visibility:visible;mso-wrap-style:square">
                  <v:fill o:detectmouseclick="t"/>
                  <v:path o:connecttype="none"/>
                </v:shape>
                <v:rect id="_x0000_s1067" style="position:absolute;left:31215;top:359;width:18013;height:40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ipcMA&#10;AADaAAAADwAAAGRycy9kb3ducmV2LnhtbESPwWrDMBBE74X8g9hAb7XcFEpxLZtQCIT4kiaB0tvW&#10;2tgm1spIiu38fVQo9DjMzBsmL2fTi5Gc7ywreE5SEMS11R03Ck7HzdMbCB+QNfaWScGNPJTF4iHH&#10;TNuJP2k8hEZECPsMFbQhDJmUvm7JoE/sQBy9s3UGQ5SukdrhFOGml6s0fZUGO44LLQ700VJ9OVyN&#10;guF7R3oKWn7NR/ezddV6XzV7pR6X8/odRKA5/If/2lut4AV+r8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ipcMAAADaAAAADwAAAAAAAAAAAAAAAACYAgAAZHJzL2Rv&#10;d25yZXYueG1sUEsFBgAAAAAEAAQA9QAAAIgDAAAAAA==&#10;" strokecolor="#e36c0a" strokeweight="1.5pt"/>
                <v:roundrect id="_x0000_s1068" style="position:absolute;left:4890;top:2069;width:23658;height:2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5MMEA&#10;AADaAAAADwAAAGRycy9kb3ducmV2LnhtbESPwWrDMBBE74X8g9hAb40cY0xxooRQUsitdRpyXqyN&#10;ZGqtjKXaTr++KhR6HGbmDbPdz64TIw2h9axgvcpAEDdet2wUXD5en55BhIissfNMCu4UYL9bPGyx&#10;0n7imsZzNCJBOFSowMbYV1KGxpLDsPI9cfJufnAYkxyM1ANOCe46mWdZKR22nBYs9vRiqfk8fzkF&#10;RttD/f5m6mNminCJZY7f01Wpx+V82ICINMf/8F/7pBUU8Hsl3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y+TDBAAAA2gAAAA8AAAAAAAAAAAAAAAAAmAIAAGRycy9kb3du&#10;cmV2LnhtbFBLBQYAAAAABAAEAPUAAACGAwAAAAA=&#10;" fillcolor="#e36c0a" strokecolor="#974706">
                  <v:textbox>
                    <w:txbxContent>
                      <w:p w14:paraId="7584CD1D"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v:textbox>
                </v:roundrect>
                <v:roundrect id="_x0000_s1069" style="position:absolute;left:32969;top:2176;width:1423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qeMIA&#10;AADbAAAADwAAAGRycy9kb3ducmV2LnhtbESPQWvCQBSE7wX/w/IEb3VjEJHUTRCx0FsbFc+P7Otu&#10;MPs2ZFeT9td3C4Ueh5n5htlVk+vEg4bQelawWmYgiBuvWzYKLufX5y2IEJE1dp5JwRcFqMrZ0w4L&#10;7Ueu6XGKRiQIhwIV2Bj7QsrQWHIYlr4nTt6nHxzGJAcj9YBjgrtO5lm2kQ5bTgsWezpYam6nu1Ng&#10;tN3XH++mPmZmHS5xk+P3eFVqMZ/2LyAiTfE//Nd+0wryF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yp4wgAAANsAAAAPAAAAAAAAAAAAAAAAAJgCAABkcnMvZG93&#10;bnJldi54bWxQSwUGAAAAAAQABAD1AAAAhwMAAAAA&#10;" fillcolor="#e36c0a" strokecolor="#974706">
                  <v:textbox>
                    <w:txbxContent>
                      <w:p w14:paraId="4812A6BF" w14:textId="77777777" w:rsidR="00133798" w:rsidRDefault="00133798"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v:textbox>
                </v:roundrect>
                <v:roundrect id="_x0000_s1070" style="position:absolute;left:32951;top:33858;width:14235;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0D8EA&#10;AADbAAAADwAAAGRycy9kb3ducmV2LnhtbESPQYvCMBSE74L/ITxhb5paFpGuUURc2JtWZc+P5pkU&#10;m5fSRFv312+EhT0OM/MNs9oMrhEP6kLtWcF8loEgrryu2Si4nD+nSxAhImtsPJOCJwXYrMejFRba&#10;91zS4xSNSBAOBSqwMbaFlKGy5DDMfEucvKvvHMYkOyN1h32Cu0bmWbaQDmtOCxZb2lmqbqe7U2C0&#10;3ZbHgyn3mXkPl7jI8af/VuptMmw/QEQa4n/4r/2lFeQ5vL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9tA/BAAAA2wAAAA8AAAAAAAAAAAAAAAAAmAIAAGRycy9kb3du&#10;cmV2LnhtbFBLBQYAAAAABAAEAPUAAACGAwAAAAA=&#10;" fillcolor="#e36c0a" strokecolor="#974706">
                  <v:textbox>
                    <w:txbxContent>
                      <w:p w14:paraId="58CFE7E7" w14:textId="2CA37C8B"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naudos</w:t>
                        </w:r>
                      </w:p>
                      <w:p w14:paraId="3B008154"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133798" w:rsidRDefault="00133798" w:rsidP="00583EB1">
                        <w:pPr>
                          <w:spacing w:after="0" w:line="240" w:lineRule="auto"/>
                          <w:jc w:val="center"/>
                          <w:rPr>
                            <w:b/>
                            <w:color w:val="FFFFFF"/>
                            <w:sz w:val="16"/>
                            <w:szCs w:val="16"/>
                          </w:rPr>
                        </w:pPr>
                      </w:p>
                    </w:txbxContent>
                  </v:textbox>
                </v:roundrect>
                <v:roundrect id="_x0000_s1071" style="position:absolute;left:32969;top:25042;width:14243;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WqMMA&#10;AADcAAAADwAAAGRycy9kb3ducmV2LnhtbESPQWsCMRSE74X+h/AKvdVsrRVZjSKi0JuuiufH5pks&#10;3bwsm+hu/fVGEHocZuYbZrboXS2u1IbKs4LPQQaCuPS6YqPgeNh8TECEiKyx9kwK/ijAYv76MsNc&#10;+44Luu6jEQnCIUcFNsYmlzKUlhyGgW+Ik3f2rcOYZGukbrFLcFfLYZaNpcOK04LFhlaWyt/9xSkw&#10;2i6L3dYU68yMwjGOh3jrTkq9v/XLKYhIffwPP9s/WsHo+ws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WqMMAAADcAAAADwAAAAAAAAAAAAAAAACYAgAAZHJzL2Rv&#10;d25yZXYueG1sUEsFBgAAAAAEAAQA9QAAAIgDAAAAAA==&#10;" fillcolor="#e36c0a" strokecolor="#974706">
                  <v:textbox>
                    <w:txbxContent>
                      <w:p w14:paraId="09DC8C1F"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v:textbox>
                </v:roundrect>
                <v:roundrect id="_x0000_s1072" style="position:absolute;left:32960;top:8953;width:1423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hQsMA&#10;AADcAAAADwAAAGRycy9kb3ducmV2LnhtbESPQWsCMRSE7wX/Q3iF3mq2omK3RhGx0JuuiufH5pks&#10;bl6WTXS3/nojFHocZuYbZr7sXS1u1IbKs4KPYQaCuPS6YqPgePh+n4EIEVlj7ZkU/FKA5WLwMsdc&#10;+44Luu2jEQnCIUcFNsYmlzKUlhyGoW+Ik3f2rcOYZGukbrFLcFfLUZZNpcOK04LFhtaWysv+6hQY&#10;bVfFbmuKTWbG4RinI7x3J6XeXvvVF4hIffwP/7V/tILx5BO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hQsMAAADcAAAADwAAAAAAAAAAAAAAAACYAgAAZHJzL2Rv&#10;d25yZXYueG1sUEsFBgAAAAAEAAQA9QAAAIgDAAAAAA==&#10;" fillcolor="#e36c0a" strokecolor="#974706">
                  <v:textbox>
                    <w:txbxContent>
                      <w:p w14:paraId="0A147C70" w14:textId="77777777" w:rsidR="00133798" w:rsidRDefault="00133798"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v:textbox>
                </v:roundrect>
                <v:shape id="AutoShape 24" o:spid="_x0000_s1073" type="#_x0000_t32" style="position:absolute;left:28548;top:3363;width:445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27" o:spid="_x0000_s1074" type="#_x0000_t32" style="position:absolute;left:40077;top:4588;width:9;height:4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YH8IAAADcAAAADwAAAGRycy9kb3ducmV2LnhtbESPQWsCMRSE70L/Q3gFb5qtqJTVKFYo&#10;iBdRC+3xsXnuBjcvyybdrP/eCILHYWa+YZbr3taio9Ybxwo+xhkI4sJpw6WCn/P36BOED8gaa8ek&#10;4EYe1qu3wRJz7SIfqTuFUiQI+xwVVCE0uZS+qMiiH7uGOHkX11oMSbal1C3GBLe1nGTZXFo0nBYq&#10;bGhbUXE9/VsFJh5M1+y28Wv/++d1JHObOaPU8L3fLEAE6sMr/GzvtILpf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EYH8IAAADcAAAADwAAAAAAAAAAAAAA&#10;AAChAgAAZHJzL2Rvd25yZXYueG1sUEsFBgAAAAAEAAQA+QAAAJADAAAAAA==&#10;">
                  <v:stroke endarrow="block"/>
                </v:shape>
                <v:shape id="AutoShape 28" o:spid="_x0000_s1075" type="#_x0000_t32" style="position:absolute;left:40090;top:20687;width:2;height:4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shape id="AutoShape 29" o:spid="_x0000_s1076" type="#_x0000_t32" style="position:absolute;left:40068;top:27462;width:22;height:6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roundrect id="_x0000_s1077" style="position:absolute;left:4890;top:8906;width:23654;height:2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bRcMA&#10;AADdAAAADwAAAGRycy9kb3ducmV2LnhtbESPQWsCMRSE74X+h/AKvdWkIotujSKlhd7qqvT82DyT&#10;xc3LskndbX+9EQSPw8x8wyzXo2/FmfrYBNbwOlEgiOtgGrYaDvvPlzmImJANtoFJwx9FWK8eH5ZY&#10;mjBwReddsiJDOJaowaXUlVLG2pHHOAkdcfaOofeYsuytND0OGe5bOVWqkB4bzgsOO3p3VJ92v16D&#10;NW5Tbb9t9aHsLB5SMcX/4Ufr56dx8wYi0Zju4Vv7y2iYqUUB1zf5Cc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bRcMAAADdAAAADwAAAAAAAAAAAAAAAACYAgAAZHJzL2Rv&#10;d25yZXYueG1sUEsFBgAAAAAEAAQA9QAAAIgDAAAAAA==&#10;" fillcolor="#e36c0a" strokecolor="#974706">
                  <v:textbox>
                    <w:txbxContent>
                      <w:p w14:paraId="63737DB0"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v:textbox>
                </v:roundrect>
                <v:shape id="AutoShape 24" o:spid="_x0000_s1078" type="#_x0000_t32" style="position:absolute;left:28544;top:10164;width:4416;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PC8UAAADdAAAADwAAAGRycy9kb3ducmV2LnhtbESPT2sCMRTE7wW/Q3hCbzVrsVVXo1ih&#10;IL0U/4AeH5vnbnDzsmziZv32TaHQ4zAzv2GW697WoqPWG8cKxqMMBHHhtOFSwen4+TID4QOyxtox&#10;KXiQh/Vq8LTEXLvIe+oOoRQJwj5HBVUITS6lLyqy6EeuIU7e1bUWQ5JtKXWLMcFtLV+z7F1aNJwW&#10;KmxoW1FxO9ytAhO/TdfstvHj63zxOpJ5vDmj1POw3yxABOrDf/ivvdMKJtl8C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PC8UAAADdAAAADwAAAAAAAAAA&#10;AAAAAAChAgAAZHJzL2Rvd25yZXYueG1sUEsFBgAAAAAEAAQA+QAAAJMDAAAAAA==&#10;">
                  <v:stroke endarrow="block"/>
                </v:shape>
                <v:roundrect id="_x0000_s1079" style="position:absolute;left:4913;top:34883;width:23648;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qrMAA&#10;AADdAAAADwAAAGRycy9kb3ducmV2LnhtbERPTWsCMRC9C/6HMEJvmlRE2q1RRBR601XpedhMk6Wb&#10;ybKJ7ra/3hyEHh/ve7UZfCPu1MU6sIbXmQJBXAVTs9VwvRymbyBiQjbYBCYNvxRhsx6PVliY0HNJ&#10;93OyIodwLFCDS6ktpIyVI49xFlrizH2HzmPKsLPSdNjncN/IuVJL6bHm3OCwpZ2j6ud88xqscdvy&#10;dLTlXtlFvKblHP/6L61fJsP2A0SiIf2Ln+5Po2Gh3vPc/CY/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qrMAAAADdAAAADwAAAAAAAAAAAAAAAACYAgAAZHJzL2Rvd25y&#10;ZXYueG1sUEsFBgAAAAAEAAQA9QAAAIUDAAAAAA==&#10;" fillcolor="#e36c0a" strokecolor="#974706">
                  <v:textbox>
                    <w:txbxContent>
                      <w:p w14:paraId="66AE3FC6"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0" type="#_x0000_t32" style="position:absolute;left:28561;top:36172;width:439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F48YAAADdAAAADwAAAGRycy9kb3ducmV2LnhtbESPQWvCQBSE74L/YXmCN91ERDS6SilU&#10;ROlBLaG9PbLPJDT7NuyuGvvruwWhx2FmvmFWm8404kbO15YVpOMEBHFhdc2lgo/z22gOwgdkjY1l&#10;UvAgD5t1v7fCTNs7H+l2CqWIEPYZKqhCaDMpfVGRQT+2LXH0LtYZDFG6UmqH9wg3jZwkyUwarDku&#10;VNjSa0XF9+lqFHweFtf8kb/TPk8X+y90xv+ct0oNB93LEkSgLvyHn+2dVjBNk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xePGAAAA3QAAAA8AAAAAAAAA&#10;AAAAAAAAoQIAAGRycy9kb3ducmV2LnhtbFBLBQYAAAAABAAEAPkAAACUAwAAAAA=&#10;">
                  <v:stroke endarrow="block"/>
                </v:shape>
                <v:roundrect id="_x0000_s1081" style="position:absolute;left:4359;top:24930;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ix8QA&#10;AADdAAAADwAAAGRycy9kb3ducmV2LnhtbESPT2sCMRTE74V+h/AEbzXxD1K2RpFSwVtdlZ4fm9dk&#10;cfOybFJ320/fCILHYWZ+w6w2g2/ElbpYB9YwnSgQxFUwNVsN59Pu5RVETMgGm8Ck4ZcibNbPTyss&#10;TOi5pOsxWZEhHAvU4FJqCylj5chjnISWOHvfofOYsuysNB32Ge4bOVNqKT3WnBcctvTuqLocf7wG&#10;a9y2PHza8kPZRTyn5Qz/+i+tx6Nh+wYi0ZAe4Xt7bzQspmoOtzf5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YsfEAAAA3QAAAA8AAAAAAAAAAAAAAAAAmAIAAGRycy9k&#10;b3ducmV2LnhtbFBLBQYAAAAABAAEAPUAAACJAwAAAAA=&#10;" fillcolor="#e36c0a" strokecolor="#974706">
                  <v:textbox>
                    <w:txbxContent>
                      <w:p w14:paraId="10817EA7"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2" type="#_x0000_t32" style="position:absolute;left:28006;top:26252;width:4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4DMYAAADdAAAADwAAAGRycy9kb3ducmV2LnhtbESPQWvCQBSE7wX/w/IEb3WTIqLRVUqh&#10;RRQPagnt7ZF9JqHZt2F31eivdwWhx2FmvmHmy8404kzO15YVpMMEBHFhdc2lgu/D5+sEhA/IGhvL&#10;pOBKHpaL3sscM20vvKPzPpQiQthnqKAKoc2k9EVFBv3QtsTRO1pnMETpSqkdXiLcNPItScbSYM1x&#10;ocKWPioq/vYno+BnMz3l13xL6zydrn/RGX87fCk16HfvMxCBuvAffrZXWsEoTUb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1+AzGAAAA3QAAAA8AAAAAAAAA&#10;AAAAAAAAoQIAAGRycy9kb3ducmV2LnhtbFBLBQYAAAAABAAEAPkAAACUAwAAAAA=&#10;">
                  <v:stroke endarrow="block"/>
                </v:shape>
                <v:roundrect id="_x0000_s1083" style="position:absolute;left:4901;top:16199;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fKMQA&#10;AADdAAAADwAAAGRycy9kb3ducmV2LnhtbESPQWsCMRSE74X+h/CE3mqiqJStUaRY6K1dXXp+bF6T&#10;xc3Lsonutr++EQSPw8x8w6y3o2/FhfrYBNYwmyoQxHUwDVsN1fH9+QVETMgG28Ck4ZcibDePD2ss&#10;TBi4pMshWZEhHAvU4FLqCilj7chjnIaOOHs/ofeYsuytND0OGe5bOVdqJT02nBccdvTmqD4dzl6D&#10;NW5Xfn3acq/sIlZpNce/4Vvrp8m4ewWRaEz38K39YTQsZmoJ1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XyjEAAAA3QAAAA8AAAAAAAAAAAAAAAAAmAIAAGRycy9k&#10;b3ducmV2LnhtbFBLBQYAAAAABAAEAPUAAACJAwAAAAA=&#10;" fillcolor="#e36c0a" strokecolor="#974706">
                  <v:textbox>
                    <w:txbxContent>
                      <w:p w14:paraId="229C228C" w14:textId="77777777" w:rsidR="00133798" w:rsidRDefault="00133798"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4" type="#_x0000_t32" style="position:absolute;left:28548;top:17464;width:584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wisMAAADdAAAADwAAAGRycy9kb3ducmV2LnhtbESPQWsCMRSE7wX/Q3hCbzWrtFJWo6gg&#10;iJeiFvT42Dx3g5uXZRM36783hYLHYWa+YebL3taio9YbxwrGowwEceG04VLB72n78Q3CB2SNtWNS&#10;8CAPy8XgbY65dpEP1B1DKRKEfY4KqhCaXEpfVGTRj1xDnLyray2GJNtS6hZjgttaTrJsKi0aTgsV&#10;NrSpqLgd71aBiT+ma3abuN6fL15HMo8vZ5R6H/arGYhAfXiF/9s7reBznE3h7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AMIrDAAAA3QAAAA8AAAAAAAAAAAAA&#10;AAAAoQIAAGRycy9kb3ducmV2LnhtbFBLBQYAAAAABAAEAPkAAACRAwAAAAA=&#10;">
                  <v:stroke endarrow="block"/>
                </v:shape>
                <v:oval id="Oval 218" o:spid="_x0000_s1085" style="position:absolute;left:34393;top:14242;width:1139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xpcEA&#10;AADcAAAADwAAAGRycy9kb3ducmV2LnhtbERPS4vCMBC+C/sfwix401QRkWqUZdlFxYP4OOhtbMa2&#10;bDMpTVbrv3cOgseP7z1btK5SN2pC6dnAoJ+AIs68LTk3cDz89iagQkS2WHkmAw8KsJh/dGaYWn/n&#10;Hd32MVcSwiFFA0WMdap1yApyGPq+Jhbu6huHUWCTa9vgXcJdpYdJMtYOS5aGAmv6Lij72/87A8Pz&#10;9rKp16PlKY5CtdysE5ysfozpfrZfU1CR2vgWv9wrK76B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8aXBAAAA3AAAAA8AAAAAAAAAAAAAAAAAmAIAAGRycy9kb3du&#10;cmV2LnhtbFBLBQYAAAAABAAEAPUAAACGAwAAAAA=&#10;" fillcolor="#ffc000" strokecolor="#974706">
                  <v:textbox>
                    <w:txbxContent>
                      <w:p w14:paraId="48BA7BCE" w14:textId="77777777" w:rsidR="00133798" w:rsidRDefault="00133798"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v:textbox>
                </v:oval>
                <v:shape id="AutoShape 27" o:spid="_x0000_s1086" type="#_x0000_t32" style="position:absolute;left:40077;top:11374;width:15;height:2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w10:anchorlock/>
              </v:group>
            </w:pict>
          </mc:Fallback>
        </mc:AlternateContent>
      </w:r>
    </w:p>
    <w:p w14:paraId="6BFD831A" w14:textId="00253837" w:rsidR="00583EB1" w:rsidRPr="002142B8" w:rsidRDefault="00583EB1" w:rsidP="00583EB1">
      <w:pPr>
        <w:pStyle w:val="Antrat"/>
        <w:spacing w:line="276" w:lineRule="auto"/>
        <w:jc w:val="both"/>
        <w:rPr>
          <w:szCs w:val="20"/>
          <w:lang w:val="lt-LT"/>
        </w:rPr>
      </w:pPr>
      <w:bookmarkStart w:id="135" w:name="_Toc507939270"/>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11</w:t>
      </w:r>
      <w:r w:rsidRPr="002142B8">
        <w:rPr>
          <w:lang w:val="lt-LT"/>
        </w:rPr>
        <w:fldChar w:fldCharType="end"/>
      </w:r>
      <w:r w:rsidRPr="002142B8">
        <w:rPr>
          <w:lang w:val="lt-LT"/>
        </w:rPr>
        <w:t>. Finansinės priemonės lygiai, kuriuose galimas papildomų lėšų pritraukimas.</w:t>
      </w:r>
      <w:bookmarkEnd w:id="135"/>
      <w:r w:rsidRPr="002142B8">
        <w:rPr>
          <w:lang w:val="lt-LT"/>
        </w:rPr>
        <w:t xml:space="preserve"> </w:t>
      </w:r>
    </w:p>
    <w:p w14:paraId="779B70F5" w14:textId="4FA2257E" w:rsidR="00583EB1" w:rsidRPr="002142B8" w:rsidRDefault="00583EB1" w:rsidP="00583EB1">
      <w:pPr>
        <w:jc w:val="both"/>
        <w:rPr>
          <w:rFonts w:ascii="Georgia" w:hAnsi="Georgia"/>
          <w:sz w:val="20"/>
          <w:szCs w:val="20"/>
          <w:lang w:val="lt-LT"/>
        </w:rPr>
      </w:pPr>
      <w:r w:rsidRPr="002142B8">
        <w:rPr>
          <w:rFonts w:ascii="Georgia" w:hAnsi="Georgia"/>
          <w:sz w:val="20"/>
          <w:szCs w:val="20"/>
          <w:lang w:val="lt-LT"/>
        </w:rPr>
        <w:t xml:space="preserve">Pokalbių su potencialiais investuotojais metu buvo nustatyta, jog investuotojai būtų suinteresuoti investuoti į investicinį fondą (juridinio asmens statusą turintį fondą), kuriam galėtų teikti paskolas ar kitaip investuoti ir kurio pirmąją nuostolių dalį prisiimtų valstybė. </w:t>
      </w:r>
      <w:r w:rsidR="008F65CF" w:rsidRPr="002142B8">
        <w:rPr>
          <w:rFonts w:ascii="Georgia" w:hAnsi="Georgia"/>
          <w:sz w:val="20"/>
          <w:szCs w:val="20"/>
          <w:lang w:val="lt-LT"/>
        </w:rPr>
        <w:t>Susidomėjimą</w:t>
      </w:r>
      <w:r w:rsidRPr="002142B8">
        <w:rPr>
          <w:rFonts w:ascii="Georgia" w:hAnsi="Georgia"/>
          <w:sz w:val="20"/>
          <w:szCs w:val="20"/>
          <w:lang w:val="lt-LT"/>
        </w:rPr>
        <w:t xml:space="preserve"> </w:t>
      </w:r>
      <w:r w:rsidR="008F65CF" w:rsidRPr="002142B8">
        <w:rPr>
          <w:rFonts w:ascii="Georgia" w:hAnsi="Georgia"/>
          <w:sz w:val="20"/>
          <w:szCs w:val="20"/>
          <w:lang w:val="lt-LT"/>
        </w:rPr>
        <w:t>tokiu principiniu</w:t>
      </w:r>
      <w:r w:rsidRPr="002142B8">
        <w:rPr>
          <w:rFonts w:ascii="Georgia" w:hAnsi="Georgia"/>
          <w:sz w:val="20"/>
          <w:szCs w:val="20"/>
          <w:lang w:val="lt-LT"/>
        </w:rPr>
        <w:t xml:space="preserve"> modeliu išreiškė </w:t>
      </w:r>
      <w:r w:rsidR="002523D4" w:rsidRPr="002142B8">
        <w:rPr>
          <w:rFonts w:ascii="Georgia" w:hAnsi="Georgia"/>
          <w:sz w:val="20"/>
          <w:szCs w:val="20"/>
          <w:lang w:val="lt-LT"/>
        </w:rPr>
        <w:t>EIB</w:t>
      </w:r>
      <w:r w:rsidRPr="002142B8">
        <w:rPr>
          <w:rFonts w:ascii="Georgia" w:hAnsi="Georgia"/>
          <w:sz w:val="20"/>
          <w:szCs w:val="20"/>
          <w:lang w:val="lt-LT"/>
        </w:rPr>
        <w:t>, ERPB, komerciniai bankai ir pensijų fondai.</w:t>
      </w:r>
    </w:p>
    <w:p w14:paraId="2149523A" w14:textId="7CFE5FCF" w:rsidR="00583EB1" w:rsidRPr="002142B8" w:rsidRDefault="00583EB1" w:rsidP="00583EB1">
      <w:pPr>
        <w:jc w:val="both"/>
        <w:rPr>
          <w:rFonts w:ascii="Georgia" w:hAnsi="Georgia"/>
          <w:sz w:val="20"/>
          <w:szCs w:val="20"/>
          <w:lang w:val="lt-LT"/>
        </w:rPr>
      </w:pPr>
      <w:r w:rsidRPr="002142B8">
        <w:rPr>
          <w:rFonts w:ascii="Georgia" w:hAnsi="Georgia"/>
          <w:sz w:val="20"/>
          <w:szCs w:val="20"/>
          <w:lang w:val="lt-LT"/>
        </w:rPr>
        <w:t>Šio e</w:t>
      </w:r>
      <w:r w:rsidR="00300FF4" w:rsidRPr="002142B8">
        <w:rPr>
          <w:rFonts w:ascii="Georgia" w:hAnsi="Georgia"/>
          <w:sz w:val="20"/>
          <w:szCs w:val="20"/>
          <w:lang w:val="lt-LT"/>
        </w:rPr>
        <w:t>x-ante</w:t>
      </w:r>
      <w:r w:rsidRPr="002142B8">
        <w:rPr>
          <w:rFonts w:ascii="Georgia" w:hAnsi="Georgia"/>
          <w:sz w:val="20"/>
          <w:szCs w:val="20"/>
          <w:lang w:val="lt-LT"/>
        </w:rPr>
        <w:t xml:space="preserve"> vertinimo 4 dalyje </w:t>
      </w:r>
      <w:r w:rsidR="008F65CF" w:rsidRPr="002142B8">
        <w:rPr>
          <w:rFonts w:ascii="Georgia" w:hAnsi="Georgia"/>
          <w:sz w:val="20"/>
          <w:szCs w:val="20"/>
          <w:lang w:val="lt-LT"/>
        </w:rPr>
        <w:t>nagrinėjamuose</w:t>
      </w:r>
      <w:r w:rsidRPr="002142B8">
        <w:rPr>
          <w:rFonts w:ascii="Georgia" w:hAnsi="Georgia"/>
          <w:sz w:val="20"/>
          <w:szCs w:val="20"/>
          <w:lang w:val="lt-LT"/>
        </w:rPr>
        <w:t xml:space="preserve"> įgyvendinimo modeliuose ir finansavimo scenarijuose privačios lėšos </w:t>
      </w:r>
      <w:r w:rsidR="008F65CF" w:rsidRPr="002142B8">
        <w:rPr>
          <w:rFonts w:ascii="Georgia" w:hAnsi="Georgia"/>
          <w:sz w:val="20"/>
          <w:szCs w:val="20"/>
          <w:lang w:val="lt-LT"/>
        </w:rPr>
        <w:t xml:space="preserve">gali būti </w:t>
      </w:r>
      <w:r w:rsidRPr="002142B8">
        <w:rPr>
          <w:rFonts w:ascii="Georgia" w:hAnsi="Georgia"/>
          <w:sz w:val="20"/>
          <w:szCs w:val="20"/>
          <w:lang w:val="lt-LT"/>
        </w:rPr>
        <w:t>pritraukiamos įvairiuose lygiuose. Galimuose įgyvendinimo modeliuose lėšos pritraukiamos į fondų fondo lygmenį, o scenarijuose aprašytos situacijos kai lėšos pritraukiamos įgyvendinant finansines priemones.</w:t>
      </w:r>
    </w:p>
    <w:p w14:paraId="14E45237" w14:textId="2D67A784" w:rsidR="00583EB1" w:rsidRPr="005A1A99" w:rsidRDefault="00583EB1" w:rsidP="00583EB1">
      <w:pPr>
        <w:pStyle w:val="Antrat"/>
        <w:rPr>
          <w:b w:val="0"/>
          <w:i/>
          <w:szCs w:val="20"/>
          <w:lang w:val="lt-LT"/>
        </w:rPr>
      </w:pPr>
      <w:bookmarkStart w:id="136" w:name="_Toc507939156"/>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34</w:t>
      </w:r>
      <w:r w:rsidRPr="005A1A99">
        <w:rPr>
          <w:b w:val="0"/>
          <w:i/>
          <w:lang w:val="lt-LT"/>
        </w:rPr>
        <w:fldChar w:fldCharType="end"/>
      </w:r>
      <w:r w:rsidRPr="005A1A99">
        <w:rPr>
          <w:b w:val="0"/>
          <w:i/>
          <w:lang w:val="lt-LT"/>
        </w:rPr>
        <w:t xml:space="preserve">. </w:t>
      </w:r>
      <w:r w:rsidRPr="005A1A99">
        <w:rPr>
          <w:b w:val="0"/>
          <w:i/>
          <w:szCs w:val="20"/>
          <w:lang w:val="lt-LT"/>
        </w:rPr>
        <w:t>Privačių investuotojų lėšų pritraukimas į fondų fondo lygmenį.</w:t>
      </w:r>
      <w:bookmarkEnd w:id="136"/>
    </w:p>
    <w:tbl>
      <w:tblPr>
        <w:tblStyle w:val="LightList-Accent21"/>
        <w:tblW w:w="5000" w:type="pct"/>
        <w:tblLook w:val="04A0" w:firstRow="1" w:lastRow="0" w:firstColumn="1" w:lastColumn="0" w:noHBand="0" w:noVBand="1"/>
      </w:tblPr>
      <w:tblGrid>
        <w:gridCol w:w="4548"/>
        <w:gridCol w:w="4694"/>
      </w:tblGrid>
      <w:tr w:rsidR="00583EB1" w:rsidRPr="002142B8" w14:paraId="1248A4DB" w14:textId="77777777" w:rsidTr="005B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632C4FA" w14:textId="77777777" w:rsidR="00583EB1" w:rsidRPr="002142B8" w:rsidRDefault="00583EB1" w:rsidP="00583EB1">
            <w:pPr>
              <w:keepNext/>
              <w:autoSpaceDE w:val="0"/>
              <w:autoSpaceDN w:val="0"/>
              <w:adjustRightInd w:val="0"/>
              <w:jc w:val="center"/>
              <w:rPr>
                <w:rFonts w:ascii="Georgia" w:hAnsi="Georgia" w:cs="Georgia"/>
                <w:sz w:val="20"/>
                <w:szCs w:val="20"/>
              </w:rPr>
            </w:pPr>
            <w:r w:rsidRPr="002142B8">
              <w:rPr>
                <w:rFonts w:ascii="Georgia" w:hAnsi="Georgia" w:cs="Georgia"/>
                <w:sz w:val="20"/>
                <w:szCs w:val="20"/>
              </w:rPr>
              <w:t>Modelis</w:t>
            </w:r>
          </w:p>
        </w:tc>
        <w:tc>
          <w:tcPr>
            <w:tcW w:w="0" w:type="pct"/>
            <w:hideMark/>
          </w:tcPr>
          <w:p w14:paraId="34BB58C1" w14:textId="77777777" w:rsidR="00583EB1" w:rsidRPr="002142B8" w:rsidRDefault="00583EB1" w:rsidP="00583EB1">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Privačių lėšų pritraukimo galimybės</w:t>
            </w:r>
          </w:p>
        </w:tc>
      </w:tr>
      <w:tr w:rsidR="00583EB1" w:rsidRPr="002142B8" w14:paraId="353E9D71"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07E916A4" w14:textId="7CAC744E" w:rsidR="00583EB1" w:rsidRPr="002142B8" w:rsidRDefault="00583EB1">
            <w:pPr>
              <w:autoSpaceDE w:val="0"/>
              <w:autoSpaceDN w:val="0"/>
              <w:adjustRightInd w:val="0"/>
              <w:rPr>
                <w:rFonts w:ascii="Georgia" w:hAnsi="Georgia" w:cs="Georgia"/>
                <w:sz w:val="20"/>
                <w:szCs w:val="20"/>
              </w:rPr>
            </w:pPr>
            <w:r w:rsidRPr="002142B8">
              <w:rPr>
                <w:rFonts w:ascii="Georgia" w:hAnsi="Georgia" w:cs="Georgia"/>
                <w:sz w:val="20"/>
                <w:szCs w:val="20"/>
              </w:rPr>
              <w:t xml:space="preserve">Fondų fondo veiklos vykdymas </w:t>
            </w:r>
          </w:p>
        </w:tc>
        <w:tc>
          <w:tcPr>
            <w:tcW w:w="0" w:type="pct"/>
            <w:hideMark/>
          </w:tcPr>
          <w:p w14:paraId="14164415" w14:textId="45AE9344" w:rsidR="00583EB1" w:rsidRPr="002142B8" w:rsidRDefault="00583EB1" w:rsidP="006378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Šiame modelyje nėra pritraukiama papildomų lėšų į fondų fondo lygmenį, todėl multiplikatorius yra sukuriamas tik iš finansinio produkto. Plačiau modelis aprašytas 4</w:t>
            </w:r>
            <w:r w:rsidR="00660FB3" w:rsidRPr="002142B8">
              <w:rPr>
                <w:rFonts w:ascii="Georgia" w:hAnsi="Georgia" w:cs="Georgia"/>
                <w:sz w:val="20"/>
                <w:szCs w:val="20"/>
              </w:rPr>
              <w:t>-ajame</w:t>
            </w:r>
            <w:r w:rsidRPr="002142B8">
              <w:rPr>
                <w:rFonts w:ascii="Georgia" w:hAnsi="Georgia" w:cs="Georgia"/>
                <w:sz w:val="20"/>
                <w:szCs w:val="20"/>
              </w:rPr>
              <w:t xml:space="preserve"> e</w:t>
            </w:r>
            <w:r w:rsidR="00300FF4" w:rsidRPr="002142B8">
              <w:rPr>
                <w:rFonts w:ascii="Georgia" w:hAnsi="Georgia" w:cs="Georgia"/>
                <w:sz w:val="20"/>
                <w:szCs w:val="20"/>
              </w:rPr>
              <w:t>x-ante</w:t>
            </w:r>
            <w:r w:rsidRPr="002142B8">
              <w:rPr>
                <w:rFonts w:ascii="Georgia" w:hAnsi="Georgia" w:cs="Georgia"/>
                <w:sz w:val="20"/>
                <w:szCs w:val="20"/>
              </w:rPr>
              <w:t xml:space="preserve"> </w:t>
            </w:r>
            <w:r w:rsidR="00C02C72" w:rsidRPr="002142B8">
              <w:rPr>
                <w:rFonts w:ascii="Georgia" w:hAnsi="Georgia" w:cs="Georgia"/>
                <w:sz w:val="20"/>
                <w:szCs w:val="20"/>
              </w:rPr>
              <w:t xml:space="preserve">skyriuje. </w:t>
            </w:r>
          </w:p>
        </w:tc>
      </w:tr>
      <w:tr w:rsidR="00583EB1" w:rsidRPr="002142B8" w14:paraId="1EE06155" w14:textId="77777777" w:rsidTr="005B31C6">
        <w:tc>
          <w:tcPr>
            <w:cnfStyle w:val="001000000000" w:firstRow="0" w:lastRow="0" w:firstColumn="1" w:lastColumn="0" w:oddVBand="0" w:evenVBand="0" w:oddHBand="0" w:evenHBand="0" w:firstRowFirstColumn="0" w:firstRowLastColumn="0" w:lastRowFirstColumn="0" w:lastRowLastColumn="0"/>
            <w:tcW w:w="0" w:type="pct"/>
            <w:hideMark/>
          </w:tcPr>
          <w:p w14:paraId="3E2ABA4A" w14:textId="7EF6E146" w:rsidR="00583EB1" w:rsidRPr="002142B8" w:rsidRDefault="008E53D8" w:rsidP="007B254D">
            <w:pPr>
              <w:autoSpaceDE w:val="0"/>
              <w:autoSpaceDN w:val="0"/>
              <w:adjustRightInd w:val="0"/>
              <w:rPr>
                <w:rFonts w:ascii="Georgia" w:hAnsi="Georgia" w:cs="Georgia"/>
                <w:sz w:val="20"/>
                <w:szCs w:val="20"/>
              </w:rPr>
            </w:pPr>
            <w:r w:rsidRPr="002142B8">
              <w:rPr>
                <w:rFonts w:ascii="Georgia" w:hAnsi="Georgia" w:cs="Georgia"/>
                <w:sz w:val="20"/>
                <w:szCs w:val="20"/>
              </w:rPr>
              <w:t>Asimetrinio rizikos pasidalijimo fondas</w:t>
            </w:r>
            <w:r w:rsidR="00583EB1" w:rsidRPr="002142B8">
              <w:rPr>
                <w:rFonts w:ascii="Georgia" w:hAnsi="Georgia" w:cs="Georgia"/>
                <w:sz w:val="20"/>
                <w:szCs w:val="20"/>
              </w:rPr>
              <w:t xml:space="preserve"> </w:t>
            </w:r>
          </w:p>
        </w:tc>
        <w:tc>
          <w:tcPr>
            <w:tcW w:w="0" w:type="pct"/>
            <w:hideMark/>
          </w:tcPr>
          <w:p w14:paraId="0839723E" w14:textId="2C44CB04" w:rsidR="00583EB1" w:rsidRPr="002142B8" w:rsidRDefault="00583EB1" w:rsidP="006378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Šiame modelyje privačios lėšos pritraukiamos į fondų fondo lygmenį investuo</w:t>
            </w:r>
            <w:r w:rsidR="00D91A49" w:rsidRPr="002142B8">
              <w:rPr>
                <w:rFonts w:ascii="Georgia" w:hAnsi="Georgia" w:cs="Georgia"/>
                <w:sz w:val="20"/>
                <w:szCs w:val="20"/>
              </w:rPr>
              <w:t>tomis viešosiomis lėšomis prisiimant pirmojo praradimo riziką</w:t>
            </w:r>
            <w:r w:rsidRPr="002142B8">
              <w:rPr>
                <w:rFonts w:ascii="Georgia" w:hAnsi="Georgia" w:cs="Georgia"/>
                <w:sz w:val="20"/>
                <w:szCs w:val="20"/>
              </w:rPr>
              <w:t>. Plačiau modelis aprašytas 4</w:t>
            </w:r>
            <w:r w:rsidR="00660FB3" w:rsidRPr="002142B8">
              <w:rPr>
                <w:rFonts w:ascii="Georgia" w:hAnsi="Georgia" w:cs="Georgia"/>
                <w:sz w:val="20"/>
                <w:szCs w:val="20"/>
              </w:rPr>
              <w:t>-ajame</w:t>
            </w:r>
            <w:r w:rsidRPr="002142B8">
              <w:rPr>
                <w:rFonts w:ascii="Georgia" w:hAnsi="Georgia" w:cs="Georgia"/>
                <w:sz w:val="20"/>
                <w:szCs w:val="20"/>
              </w:rPr>
              <w:t xml:space="preserve"> e</w:t>
            </w:r>
            <w:r w:rsidR="00300FF4" w:rsidRPr="002142B8">
              <w:rPr>
                <w:rFonts w:ascii="Georgia" w:hAnsi="Georgia" w:cs="Georgia"/>
                <w:sz w:val="20"/>
                <w:szCs w:val="20"/>
              </w:rPr>
              <w:t>x-ante</w:t>
            </w:r>
            <w:r w:rsidRPr="002142B8">
              <w:rPr>
                <w:rFonts w:ascii="Georgia" w:hAnsi="Georgia" w:cs="Georgia"/>
                <w:sz w:val="20"/>
                <w:szCs w:val="20"/>
              </w:rPr>
              <w:t xml:space="preserve"> </w:t>
            </w:r>
            <w:r w:rsidR="00C02C72" w:rsidRPr="002142B8">
              <w:rPr>
                <w:rFonts w:ascii="Georgia" w:hAnsi="Georgia" w:cs="Georgia"/>
                <w:sz w:val="20"/>
                <w:szCs w:val="20"/>
              </w:rPr>
              <w:t xml:space="preserve">skyriuje. </w:t>
            </w:r>
          </w:p>
        </w:tc>
      </w:tr>
      <w:tr w:rsidR="00583EB1" w:rsidRPr="002142B8" w14:paraId="5447618E" w14:textId="77777777" w:rsidTr="005B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102C52F" w14:textId="0D217E21" w:rsidR="00583EB1" w:rsidRPr="002142B8" w:rsidRDefault="00583EB1">
            <w:pPr>
              <w:autoSpaceDE w:val="0"/>
              <w:autoSpaceDN w:val="0"/>
              <w:adjustRightInd w:val="0"/>
              <w:rPr>
                <w:rFonts w:ascii="Georgia" w:hAnsi="Georgia" w:cs="Georgia"/>
                <w:sz w:val="20"/>
                <w:szCs w:val="20"/>
              </w:rPr>
            </w:pPr>
            <w:r w:rsidRPr="002142B8">
              <w:rPr>
                <w:rFonts w:ascii="Georgia" w:hAnsi="Georgia" w:cs="Georgia"/>
                <w:sz w:val="20"/>
                <w:szCs w:val="20"/>
              </w:rPr>
              <w:t xml:space="preserve">Fondų fondo ir investicinio fondo  steigimas </w:t>
            </w:r>
          </w:p>
        </w:tc>
        <w:tc>
          <w:tcPr>
            <w:tcW w:w="0" w:type="pct"/>
            <w:hideMark/>
          </w:tcPr>
          <w:p w14:paraId="0253649C" w14:textId="662D184A" w:rsidR="00583EB1" w:rsidRPr="002142B8" w:rsidRDefault="00583EB1" w:rsidP="006378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Sukuriamas fondų fondas, kuris įgyvendina finansines priemones, o atskirai privačių investuotojų sukurtas investicinis fondas</w:t>
            </w:r>
            <w:r w:rsidR="00D91A49" w:rsidRPr="002142B8">
              <w:rPr>
                <w:rFonts w:ascii="Georgia" w:hAnsi="Georgia" w:cs="Georgia"/>
                <w:sz w:val="20"/>
                <w:szCs w:val="20"/>
              </w:rPr>
              <w:t xml:space="preserve"> ar kita institucija</w:t>
            </w:r>
            <w:r w:rsidRPr="002142B8">
              <w:rPr>
                <w:rFonts w:ascii="Georgia" w:hAnsi="Georgia" w:cs="Georgia"/>
                <w:sz w:val="20"/>
                <w:szCs w:val="20"/>
              </w:rPr>
              <w:t xml:space="preserve"> išperka sėkmingų projektų ateities finansinius srautus iš fondų fondo. </w:t>
            </w:r>
            <w:r w:rsidR="00966F54" w:rsidRPr="002142B8">
              <w:rPr>
                <w:rFonts w:ascii="Georgia" w:hAnsi="Georgia" w:cs="Georgia"/>
                <w:sz w:val="20"/>
                <w:szCs w:val="20"/>
              </w:rPr>
              <w:t>Toks fondas</w:t>
            </w:r>
            <w:r w:rsidR="00D91A49" w:rsidRPr="002142B8">
              <w:rPr>
                <w:rFonts w:ascii="Georgia" w:hAnsi="Georgia" w:cs="Georgia"/>
                <w:sz w:val="20"/>
                <w:szCs w:val="20"/>
              </w:rPr>
              <w:t xml:space="preserve"> </w:t>
            </w:r>
            <w:r w:rsidR="00D91A49" w:rsidRPr="002142B8">
              <w:rPr>
                <w:rFonts w:ascii="Georgia" w:hAnsi="Georgia" w:cs="Georgia"/>
                <w:sz w:val="20"/>
                <w:szCs w:val="20"/>
              </w:rPr>
              <w:lastRenderedPageBreak/>
              <w:t>gali atsirasti tik tada kai</w:t>
            </w:r>
            <w:r w:rsidR="00966F54" w:rsidRPr="002142B8">
              <w:rPr>
                <w:rFonts w:ascii="Georgia" w:hAnsi="Georgia" w:cs="Georgia"/>
                <w:sz w:val="20"/>
                <w:szCs w:val="20"/>
              </w:rPr>
              <w:t xml:space="preserve"> atsiranda projektų srautas</w:t>
            </w:r>
            <w:r w:rsidR="00D91A49" w:rsidRPr="002142B8">
              <w:rPr>
                <w:rFonts w:ascii="Georgia" w:hAnsi="Georgia" w:cs="Georgia"/>
                <w:sz w:val="20"/>
                <w:szCs w:val="20"/>
              </w:rPr>
              <w:t>. Tokiu atveju</w:t>
            </w:r>
            <w:r w:rsidR="00966F54" w:rsidRPr="002142B8">
              <w:rPr>
                <w:rFonts w:ascii="Georgia" w:hAnsi="Georgia" w:cs="Georgia"/>
                <w:sz w:val="20"/>
                <w:szCs w:val="20"/>
              </w:rPr>
              <w:t xml:space="preserve"> už </w:t>
            </w:r>
            <w:r w:rsidRPr="002142B8">
              <w:rPr>
                <w:rFonts w:ascii="Georgia" w:hAnsi="Georgia" w:cs="Georgia"/>
                <w:sz w:val="20"/>
                <w:szCs w:val="20"/>
              </w:rPr>
              <w:t>parduotus ateities pinigų srautus gautos lėšos pakartotinai panaudojamos naujų finansinių priemonių įgyvendinimui (paskolų, garantijų teikimui). Plačiau modelis aprašytas 4</w:t>
            </w:r>
            <w:r w:rsidR="00660FB3" w:rsidRPr="002142B8">
              <w:rPr>
                <w:rFonts w:ascii="Georgia" w:hAnsi="Georgia" w:cs="Georgia"/>
                <w:sz w:val="20"/>
                <w:szCs w:val="20"/>
              </w:rPr>
              <w:t>-ajame</w:t>
            </w:r>
            <w:r w:rsidRPr="002142B8">
              <w:rPr>
                <w:rFonts w:ascii="Georgia" w:hAnsi="Georgia" w:cs="Georgia"/>
                <w:sz w:val="20"/>
                <w:szCs w:val="20"/>
              </w:rPr>
              <w:t xml:space="preserve"> e</w:t>
            </w:r>
            <w:r w:rsidR="00300FF4" w:rsidRPr="002142B8">
              <w:rPr>
                <w:rFonts w:ascii="Georgia" w:hAnsi="Georgia" w:cs="Georgia"/>
                <w:sz w:val="20"/>
                <w:szCs w:val="20"/>
              </w:rPr>
              <w:t>x-ante</w:t>
            </w:r>
            <w:r w:rsidRPr="002142B8">
              <w:rPr>
                <w:rFonts w:ascii="Georgia" w:hAnsi="Georgia" w:cs="Georgia"/>
                <w:sz w:val="20"/>
                <w:szCs w:val="20"/>
              </w:rPr>
              <w:t xml:space="preserve"> </w:t>
            </w:r>
            <w:r w:rsidR="00C02C72" w:rsidRPr="002142B8">
              <w:rPr>
                <w:rFonts w:ascii="Georgia" w:hAnsi="Georgia" w:cs="Georgia"/>
                <w:sz w:val="20"/>
                <w:szCs w:val="20"/>
              </w:rPr>
              <w:t xml:space="preserve">skyriuje. </w:t>
            </w:r>
          </w:p>
        </w:tc>
      </w:tr>
    </w:tbl>
    <w:p w14:paraId="517656DC" w14:textId="77777777" w:rsidR="00583EB1" w:rsidRPr="002142B8" w:rsidRDefault="00583EB1" w:rsidP="00583EB1">
      <w:pPr>
        <w:autoSpaceDE w:val="0"/>
        <w:autoSpaceDN w:val="0"/>
        <w:adjustRightInd w:val="0"/>
        <w:spacing w:after="0" w:line="240" w:lineRule="auto"/>
        <w:jc w:val="both"/>
        <w:rPr>
          <w:rFonts w:ascii="Georgia" w:hAnsi="Georgia" w:cs="Georgia"/>
          <w:sz w:val="20"/>
          <w:szCs w:val="20"/>
          <w:lang w:val="lt-LT"/>
        </w:rPr>
      </w:pPr>
    </w:p>
    <w:p w14:paraId="43EF1156" w14:textId="77777777" w:rsidR="0005008F" w:rsidRPr="002142B8" w:rsidRDefault="0005008F" w:rsidP="00583EB1">
      <w:pPr>
        <w:pStyle w:val="Antrat"/>
        <w:jc w:val="both"/>
        <w:rPr>
          <w:lang w:val="lt-LT"/>
        </w:rPr>
      </w:pPr>
    </w:p>
    <w:p w14:paraId="4578DACC" w14:textId="24B3C935" w:rsidR="00583EB1" w:rsidRPr="005A1A99" w:rsidRDefault="00583EB1" w:rsidP="00583EB1">
      <w:pPr>
        <w:pStyle w:val="Antrat"/>
        <w:jc w:val="both"/>
        <w:rPr>
          <w:b w:val="0"/>
          <w:i/>
          <w:szCs w:val="20"/>
          <w:lang w:val="lt-LT"/>
        </w:rPr>
      </w:pPr>
      <w:bookmarkStart w:id="137" w:name="_Toc507939157"/>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35</w:t>
      </w:r>
      <w:r w:rsidRPr="005A1A99">
        <w:rPr>
          <w:b w:val="0"/>
          <w:i/>
          <w:lang w:val="lt-LT"/>
        </w:rPr>
        <w:fldChar w:fldCharType="end"/>
      </w:r>
      <w:r w:rsidRPr="005A1A99">
        <w:rPr>
          <w:b w:val="0"/>
          <w:i/>
          <w:lang w:val="lt-LT"/>
        </w:rPr>
        <w:t xml:space="preserve">. </w:t>
      </w:r>
      <w:r w:rsidRPr="005A1A99">
        <w:rPr>
          <w:b w:val="0"/>
          <w:i/>
          <w:szCs w:val="20"/>
          <w:lang w:val="lt-LT"/>
        </w:rPr>
        <w:t>Privačių investuotojų lėšų pritraukimas į finansinės priemonės lygmenį</w:t>
      </w:r>
      <w:bookmarkEnd w:id="137"/>
      <w:r w:rsidRPr="005A1A99">
        <w:rPr>
          <w:b w:val="0"/>
          <w:i/>
          <w:szCs w:val="20"/>
          <w:lang w:val="lt-LT"/>
        </w:rPr>
        <w:t xml:space="preserve"> </w:t>
      </w:r>
    </w:p>
    <w:tbl>
      <w:tblPr>
        <w:tblStyle w:val="LightList-Accent21"/>
        <w:tblW w:w="0" w:type="auto"/>
        <w:tblLook w:val="04A0" w:firstRow="1" w:lastRow="0" w:firstColumn="1" w:lastColumn="0" w:noHBand="0" w:noVBand="1"/>
      </w:tblPr>
      <w:tblGrid>
        <w:gridCol w:w="2660"/>
        <w:gridCol w:w="6582"/>
      </w:tblGrid>
      <w:tr w:rsidR="00583EB1" w:rsidRPr="002142B8" w14:paraId="72E94CA5" w14:textId="77777777" w:rsidTr="00D91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486E93AF" w14:textId="77777777" w:rsidR="00583EB1" w:rsidRPr="002142B8" w:rsidRDefault="00583EB1" w:rsidP="0005008F">
            <w:pPr>
              <w:autoSpaceDE w:val="0"/>
              <w:autoSpaceDN w:val="0"/>
              <w:adjustRightInd w:val="0"/>
              <w:jc w:val="center"/>
              <w:rPr>
                <w:rFonts w:ascii="Georgia" w:hAnsi="Georgia" w:cs="Georgia"/>
                <w:sz w:val="20"/>
                <w:szCs w:val="20"/>
              </w:rPr>
            </w:pPr>
            <w:r w:rsidRPr="002142B8">
              <w:rPr>
                <w:rFonts w:ascii="Georgia" w:hAnsi="Georgia" w:cs="Georgia"/>
                <w:sz w:val="20"/>
                <w:szCs w:val="20"/>
              </w:rPr>
              <w:t>Finansinės priemonės</w:t>
            </w:r>
          </w:p>
        </w:tc>
        <w:tc>
          <w:tcPr>
            <w:tcW w:w="6582" w:type="dxa"/>
            <w:hideMark/>
          </w:tcPr>
          <w:p w14:paraId="552476AA" w14:textId="77777777" w:rsidR="00583EB1" w:rsidRPr="002142B8" w:rsidRDefault="00583EB1" w:rsidP="000500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Privačių lėšų pritraukimo galimybės</w:t>
            </w:r>
          </w:p>
        </w:tc>
      </w:tr>
      <w:tr w:rsidR="00583EB1" w:rsidRPr="002142B8" w14:paraId="7735B4BB" w14:textId="77777777" w:rsidTr="00D9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7B2E3D90" w14:textId="77777777" w:rsidR="00583EB1" w:rsidRPr="002142B8" w:rsidRDefault="00583EB1" w:rsidP="00583EB1">
            <w:pPr>
              <w:autoSpaceDE w:val="0"/>
              <w:autoSpaceDN w:val="0"/>
              <w:adjustRightInd w:val="0"/>
              <w:jc w:val="both"/>
              <w:rPr>
                <w:rFonts w:ascii="Georgia" w:hAnsi="Georgia" w:cs="Georgia"/>
                <w:sz w:val="20"/>
                <w:szCs w:val="20"/>
              </w:rPr>
            </w:pPr>
            <w:r w:rsidRPr="002142B8">
              <w:rPr>
                <w:rFonts w:ascii="Georgia" w:hAnsi="Georgia" w:cs="Georgia"/>
                <w:sz w:val="20"/>
                <w:szCs w:val="20"/>
              </w:rPr>
              <w:t>Lengvatinės paskolos</w:t>
            </w:r>
          </w:p>
        </w:tc>
        <w:tc>
          <w:tcPr>
            <w:tcW w:w="6582" w:type="dxa"/>
            <w:hideMark/>
          </w:tcPr>
          <w:p w14:paraId="37FCC59C" w14:textId="6B09C5CB" w:rsidR="00583EB1" w:rsidRPr="002142B8" w:rsidRDefault="00583EB1" w:rsidP="00D90D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Lengvatinių paskolų modelyje gali būti rekomenduojama arba privaloma įgyvendinant finansinę priemonę finansiniams tarpininkams prisidėti savomis lėšomis bei prisiimti riziką. Pradiniame etape šis reikalavimas turėtų būti rekomendacinio pobūdžio, o rinkai vystantis (atsiradus gerajai praktikai ir projektų įgyvendinimo istorijai) atsirastų privalomojo pobūdžio reikalavimas, kuris galėtų būti įgyvendinamas per finansinių tarpininkų atrankos kriterijus. Plačiau lengvatinių paskol</w:t>
            </w:r>
            <w:r w:rsidR="00C02C72" w:rsidRPr="002142B8">
              <w:rPr>
                <w:rFonts w:ascii="Georgia" w:hAnsi="Georgia" w:cs="Georgia"/>
                <w:sz w:val="20"/>
                <w:szCs w:val="20"/>
              </w:rPr>
              <w:t>ų veikimo principai aprašyti 4 skyriuje</w:t>
            </w:r>
            <w:r w:rsidRPr="002142B8">
              <w:rPr>
                <w:rFonts w:ascii="Georgia" w:hAnsi="Georgia" w:cs="Georgia"/>
                <w:sz w:val="20"/>
                <w:szCs w:val="20"/>
              </w:rPr>
              <w:t xml:space="preserve">. </w:t>
            </w:r>
          </w:p>
        </w:tc>
      </w:tr>
      <w:tr w:rsidR="00583EB1" w:rsidRPr="002142B8" w14:paraId="27980F43" w14:textId="77777777" w:rsidTr="00D91A49">
        <w:tc>
          <w:tcPr>
            <w:cnfStyle w:val="001000000000" w:firstRow="0" w:lastRow="0" w:firstColumn="1" w:lastColumn="0" w:oddVBand="0" w:evenVBand="0" w:oddHBand="0" w:evenHBand="0" w:firstRowFirstColumn="0" w:firstRowLastColumn="0" w:lastRowFirstColumn="0" w:lastRowLastColumn="0"/>
            <w:tcW w:w="2660" w:type="dxa"/>
            <w:hideMark/>
          </w:tcPr>
          <w:p w14:paraId="62635993" w14:textId="77777777" w:rsidR="00583EB1" w:rsidRPr="002142B8" w:rsidRDefault="00583EB1" w:rsidP="00583EB1">
            <w:pPr>
              <w:autoSpaceDE w:val="0"/>
              <w:autoSpaceDN w:val="0"/>
              <w:adjustRightInd w:val="0"/>
              <w:jc w:val="both"/>
              <w:rPr>
                <w:rFonts w:ascii="Georgia" w:hAnsi="Georgia" w:cs="Georgia"/>
                <w:sz w:val="20"/>
                <w:szCs w:val="20"/>
              </w:rPr>
            </w:pPr>
            <w:r w:rsidRPr="002142B8">
              <w:rPr>
                <w:rFonts w:ascii="Georgia" w:hAnsi="Georgia" w:cs="Georgia"/>
                <w:sz w:val="20"/>
                <w:szCs w:val="20"/>
              </w:rPr>
              <w:t>Garantijos</w:t>
            </w:r>
          </w:p>
        </w:tc>
        <w:tc>
          <w:tcPr>
            <w:tcW w:w="6582" w:type="dxa"/>
            <w:hideMark/>
          </w:tcPr>
          <w:p w14:paraId="18704F1F" w14:textId="1C06A038" w:rsidR="00583EB1" w:rsidRPr="002142B8" w:rsidRDefault="00583EB1" w:rsidP="00D90D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2142B8">
              <w:rPr>
                <w:rFonts w:ascii="Georgia" w:hAnsi="Georgia" w:cs="Georgia"/>
                <w:sz w:val="20"/>
                <w:szCs w:val="20"/>
              </w:rPr>
              <w:t>Garantijų priemonės atveju komerciniai bankai ir kitos finansų įstaigos dalyvauja priemonės įgyvendinime savo lėšomis, lėšų praradimo rizikai sumažinti ir dalyvavimui paskatinti teikiamos individualios arba portfelinės garantijos. Plačiau garanti</w:t>
            </w:r>
            <w:r w:rsidR="00C02C72" w:rsidRPr="002142B8">
              <w:rPr>
                <w:rFonts w:ascii="Georgia" w:hAnsi="Georgia" w:cs="Georgia"/>
                <w:sz w:val="20"/>
                <w:szCs w:val="20"/>
              </w:rPr>
              <w:t xml:space="preserve">jų teikimo principai aprašyti </w:t>
            </w:r>
            <w:r w:rsidR="00361F6D">
              <w:rPr>
                <w:rFonts w:ascii="Georgia" w:hAnsi="Georgia" w:cs="Georgia"/>
                <w:sz w:val="20"/>
                <w:szCs w:val="20"/>
              </w:rPr>
              <w:br/>
            </w:r>
            <w:r w:rsidR="00C02C72" w:rsidRPr="002142B8">
              <w:rPr>
                <w:rFonts w:ascii="Georgia" w:hAnsi="Georgia" w:cs="Georgia"/>
                <w:sz w:val="20"/>
                <w:szCs w:val="20"/>
              </w:rPr>
              <w:t>4</w:t>
            </w:r>
            <w:r w:rsidR="00361F6D">
              <w:rPr>
                <w:rFonts w:ascii="Georgia" w:hAnsi="Georgia" w:cs="Georgia"/>
                <w:sz w:val="20"/>
                <w:szCs w:val="20"/>
              </w:rPr>
              <w:t>-ajame</w:t>
            </w:r>
            <w:r w:rsidRPr="002142B8">
              <w:rPr>
                <w:rFonts w:ascii="Georgia" w:hAnsi="Georgia" w:cs="Georgia"/>
                <w:sz w:val="20"/>
                <w:szCs w:val="20"/>
              </w:rPr>
              <w:t xml:space="preserve"> e</w:t>
            </w:r>
            <w:r w:rsidR="00300FF4" w:rsidRPr="002142B8">
              <w:rPr>
                <w:rFonts w:ascii="Georgia" w:hAnsi="Georgia" w:cs="Georgia"/>
                <w:sz w:val="20"/>
                <w:szCs w:val="20"/>
              </w:rPr>
              <w:t>x-ante</w:t>
            </w:r>
            <w:r w:rsidRPr="002142B8">
              <w:rPr>
                <w:rFonts w:ascii="Georgia" w:hAnsi="Georgia" w:cs="Georgia"/>
                <w:sz w:val="20"/>
                <w:szCs w:val="20"/>
              </w:rPr>
              <w:t xml:space="preserve"> </w:t>
            </w:r>
            <w:r w:rsidR="00C02C72" w:rsidRPr="002142B8">
              <w:rPr>
                <w:rFonts w:ascii="Georgia" w:hAnsi="Georgia" w:cs="Georgia"/>
                <w:sz w:val="20"/>
                <w:szCs w:val="20"/>
              </w:rPr>
              <w:t>skyriuje</w:t>
            </w:r>
            <w:r w:rsidRPr="002142B8">
              <w:rPr>
                <w:rFonts w:ascii="Georgia" w:hAnsi="Georgia" w:cs="Georgia"/>
                <w:sz w:val="20"/>
                <w:szCs w:val="20"/>
              </w:rPr>
              <w:t>.</w:t>
            </w:r>
          </w:p>
        </w:tc>
      </w:tr>
    </w:tbl>
    <w:p w14:paraId="0F8E3D42" w14:textId="77777777" w:rsidR="00583EB1" w:rsidRPr="002142B8" w:rsidRDefault="00583EB1" w:rsidP="00583EB1">
      <w:pPr>
        <w:jc w:val="both"/>
        <w:rPr>
          <w:rFonts w:ascii="Georgia" w:hAnsi="Georgia"/>
          <w:sz w:val="20"/>
          <w:szCs w:val="20"/>
          <w:lang w:val="lt-LT"/>
        </w:rPr>
      </w:pPr>
    </w:p>
    <w:p w14:paraId="5ED0BE21" w14:textId="16250124" w:rsidR="00583EB1" w:rsidRPr="002142B8" w:rsidRDefault="00583EB1" w:rsidP="007B254D">
      <w:pPr>
        <w:pStyle w:val="Antrat2"/>
        <w:numPr>
          <w:ilvl w:val="1"/>
          <w:numId w:val="2"/>
        </w:numPr>
        <w:ind w:left="709"/>
        <w:rPr>
          <w:lang w:val="lt-LT"/>
        </w:rPr>
      </w:pPr>
      <w:bookmarkStart w:id="138" w:name="_Toc25589917"/>
      <w:r w:rsidRPr="002142B8">
        <w:rPr>
          <w:lang w:val="lt-LT"/>
        </w:rPr>
        <w:t>Skatinamųjų elementų  įvertinimas</w:t>
      </w:r>
      <w:bookmarkEnd w:id="138"/>
    </w:p>
    <w:p w14:paraId="091AD7D3"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65D67957" w14:textId="35529DF6" w:rsidR="00583EB1" w:rsidRPr="002142B8" w:rsidRDefault="00C02C72"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Vadovaujantis Bendrų</w:t>
      </w:r>
      <w:r w:rsidR="00583EB1" w:rsidRPr="002142B8">
        <w:rPr>
          <w:rFonts w:ascii="Georgia" w:hAnsi="Georgia" w:cs="Georgia"/>
          <w:sz w:val="20"/>
          <w:szCs w:val="20"/>
          <w:lang w:val="lt-LT"/>
        </w:rPr>
        <w:t>j</w:t>
      </w:r>
      <w:r w:rsidRPr="002142B8">
        <w:rPr>
          <w:rFonts w:ascii="Georgia" w:hAnsi="Georgia" w:cs="Georgia"/>
          <w:sz w:val="20"/>
          <w:szCs w:val="20"/>
          <w:lang w:val="lt-LT"/>
        </w:rPr>
        <w:t>ų nuostatų</w:t>
      </w:r>
      <w:r w:rsidR="00583EB1" w:rsidRPr="002142B8">
        <w:rPr>
          <w:rFonts w:ascii="Georgia" w:hAnsi="Georgia" w:cs="Georgia"/>
          <w:sz w:val="20"/>
          <w:szCs w:val="20"/>
          <w:lang w:val="lt-LT"/>
        </w:rPr>
        <w:t xml:space="preserve"> reglamento nuostatomis, įgyvendinant finansines priemones panaudojant ESI fondų lėšas turi būti siekiama pritraukti privačių investuotojų </w:t>
      </w:r>
      <w:r w:rsidRPr="002142B8">
        <w:rPr>
          <w:rFonts w:ascii="Georgia" w:hAnsi="Georgia" w:cs="Georgia"/>
          <w:sz w:val="20"/>
          <w:szCs w:val="20"/>
          <w:lang w:val="lt-LT"/>
        </w:rPr>
        <w:t>lėšas</w:t>
      </w:r>
      <w:r w:rsidR="00583EB1" w:rsidRPr="002142B8">
        <w:rPr>
          <w:rFonts w:ascii="Georgia" w:hAnsi="Georgia" w:cs="Georgia"/>
          <w:sz w:val="20"/>
          <w:szCs w:val="20"/>
          <w:lang w:val="lt-LT"/>
        </w:rPr>
        <w:t xml:space="preserve">. </w:t>
      </w:r>
      <w:r w:rsidR="00B12A56" w:rsidRPr="002142B8">
        <w:rPr>
          <w:rFonts w:ascii="Georgia" w:hAnsi="Georgia" w:cs="Georgia"/>
          <w:sz w:val="20"/>
          <w:szCs w:val="20"/>
          <w:lang w:val="lt-LT"/>
        </w:rPr>
        <w:t xml:space="preserve">Komercinių bankų, tarptautinių finansų institucijų, pensijų fondų apklausų metu buvo išsakytas susidomėjimas investuoti į energijos efektyvumo didinimo srities projektus. </w:t>
      </w:r>
      <w:r w:rsidR="00F70886" w:rsidRPr="002142B8">
        <w:rPr>
          <w:rFonts w:ascii="Georgia" w:hAnsi="Georgia" w:cs="Georgia"/>
          <w:sz w:val="20"/>
          <w:szCs w:val="20"/>
          <w:lang w:val="lt-LT"/>
        </w:rPr>
        <w:t xml:space="preserve">Nors </w:t>
      </w:r>
      <w:r w:rsidR="00B12A56" w:rsidRPr="002142B8">
        <w:rPr>
          <w:rFonts w:ascii="Georgia" w:hAnsi="Georgia" w:cs="Georgia"/>
          <w:sz w:val="20"/>
          <w:szCs w:val="20"/>
          <w:lang w:val="lt-LT"/>
        </w:rPr>
        <w:t>šie</w:t>
      </w:r>
      <w:r w:rsidR="00F70886" w:rsidRPr="002142B8">
        <w:rPr>
          <w:rFonts w:ascii="Georgia" w:hAnsi="Georgia" w:cs="Georgia"/>
          <w:sz w:val="20"/>
          <w:szCs w:val="20"/>
          <w:lang w:val="lt-LT"/>
        </w:rPr>
        <w:t xml:space="preserve"> investuotojai </w:t>
      </w:r>
      <w:r w:rsidR="00B12A56" w:rsidRPr="002142B8">
        <w:rPr>
          <w:rFonts w:ascii="Georgia" w:hAnsi="Georgia" w:cs="Georgia"/>
          <w:sz w:val="20"/>
          <w:szCs w:val="20"/>
          <w:lang w:val="lt-LT"/>
        </w:rPr>
        <w:t>jau dabar</w:t>
      </w:r>
      <w:r w:rsidR="00F70886" w:rsidRPr="002142B8">
        <w:rPr>
          <w:rFonts w:ascii="Georgia" w:hAnsi="Georgia" w:cs="Georgia"/>
          <w:sz w:val="20"/>
          <w:szCs w:val="20"/>
          <w:lang w:val="lt-LT"/>
        </w:rPr>
        <w:t xml:space="preserve"> prisideda prie </w:t>
      </w:r>
      <w:r w:rsidR="00253CB3" w:rsidRPr="002142B8">
        <w:rPr>
          <w:rFonts w:ascii="Georgia" w:hAnsi="Georgia" w:cs="Georgia"/>
          <w:sz w:val="20"/>
          <w:szCs w:val="20"/>
          <w:lang w:val="lt-LT"/>
        </w:rPr>
        <w:t>pastatų</w:t>
      </w:r>
      <w:r w:rsidR="00F70886" w:rsidRPr="002142B8">
        <w:rPr>
          <w:rFonts w:ascii="Georgia" w:hAnsi="Georgia" w:cs="Georgia"/>
          <w:sz w:val="20"/>
          <w:szCs w:val="20"/>
          <w:lang w:val="lt-LT"/>
        </w:rPr>
        <w:t xml:space="preserve"> </w:t>
      </w:r>
      <w:r w:rsidR="00253CB3" w:rsidRPr="002142B8">
        <w:rPr>
          <w:rFonts w:ascii="Georgia" w:hAnsi="Georgia" w:cs="Georgia"/>
          <w:sz w:val="20"/>
          <w:szCs w:val="20"/>
          <w:lang w:val="lt-LT"/>
        </w:rPr>
        <w:t xml:space="preserve">energinio efektyvumo </w:t>
      </w:r>
      <w:r w:rsidR="00F70886" w:rsidRPr="002142B8">
        <w:rPr>
          <w:rFonts w:ascii="Georgia" w:hAnsi="Georgia" w:cs="Georgia"/>
          <w:sz w:val="20"/>
          <w:szCs w:val="20"/>
          <w:lang w:val="lt-LT"/>
        </w:rPr>
        <w:t xml:space="preserve">modernizavimo </w:t>
      </w:r>
      <w:r w:rsidR="00253CB3" w:rsidRPr="002142B8">
        <w:rPr>
          <w:rFonts w:ascii="Georgia" w:hAnsi="Georgia" w:cs="Georgia"/>
          <w:sz w:val="20"/>
          <w:szCs w:val="20"/>
          <w:lang w:val="lt-LT"/>
        </w:rPr>
        <w:t xml:space="preserve">projektų (Šiaulių Bankas – Jessica II, </w:t>
      </w:r>
      <w:r w:rsidR="0011549E" w:rsidRPr="002142B8">
        <w:rPr>
          <w:rFonts w:ascii="Georgia" w:hAnsi="Georgia" w:cs="Arial"/>
          <w:sz w:val="20"/>
          <w:szCs w:val="20"/>
          <w:lang w:val="lt-LT"/>
        </w:rPr>
        <w:t>ERPB</w:t>
      </w:r>
      <w:r w:rsidR="00253CB3" w:rsidRPr="002142B8">
        <w:rPr>
          <w:rFonts w:ascii="Georgia" w:hAnsi="Georgia" w:cs="Georgia"/>
          <w:sz w:val="20"/>
          <w:szCs w:val="20"/>
          <w:lang w:val="lt-LT"/>
        </w:rPr>
        <w:t xml:space="preserve"> - DNMF),</w:t>
      </w:r>
      <w:r w:rsidR="00F70886" w:rsidRPr="002142B8">
        <w:rPr>
          <w:rFonts w:ascii="Georgia" w:hAnsi="Georgia" w:cs="Georgia"/>
          <w:sz w:val="20"/>
          <w:szCs w:val="20"/>
          <w:lang w:val="lt-LT"/>
        </w:rPr>
        <w:t xml:space="preserve"> </w:t>
      </w:r>
      <w:r w:rsidR="00253CB3" w:rsidRPr="002142B8">
        <w:rPr>
          <w:rFonts w:ascii="Georgia" w:hAnsi="Georgia" w:cs="Georgia"/>
          <w:sz w:val="20"/>
          <w:szCs w:val="20"/>
          <w:lang w:val="lt-LT"/>
        </w:rPr>
        <w:t xml:space="preserve">vis </w:t>
      </w:r>
      <w:r w:rsidR="00583EB1" w:rsidRPr="002142B8">
        <w:rPr>
          <w:rFonts w:ascii="Georgia" w:hAnsi="Georgia" w:cs="Georgia"/>
          <w:sz w:val="20"/>
          <w:szCs w:val="20"/>
          <w:lang w:val="lt-LT"/>
        </w:rPr>
        <w:t>dėl</w:t>
      </w:r>
      <w:r w:rsidR="00253CB3" w:rsidRPr="002142B8">
        <w:rPr>
          <w:rFonts w:ascii="Georgia" w:hAnsi="Georgia" w:cs="Georgia"/>
          <w:sz w:val="20"/>
          <w:szCs w:val="20"/>
          <w:lang w:val="lt-LT"/>
        </w:rPr>
        <w:t>to</w:t>
      </w:r>
      <w:r w:rsidR="00583EB1" w:rsidRPr="002142B8">
        <w:rPr>
          <w:rFonts w:ascii="Georgia" w:hAnsi="Georgia" w:cs="Georgia"/>
          <w:sz w:val="20"/>
          <w:szCs w:val="20"/>
          <w:lang w:val="lt-LT"/>
        </w:rPr>
        <w:t xml:space="preserve"> </w:t>
      </w:r>
      <w:r w:rsidR="00253CB3" w:rsidRPr="002142B8">
        <w:rPr>
          <w:rFonts w:ascii="Georgia" w:hAnsi="Georgia" w:cs="Georgia"/>
          <w:sz w:val="20"/>
          <w:szCs w:val="20"/>
          <w:lang w:val="lt-LT"/>
        </w:rPr>
        <w:t xml:space="preserve">tai daugiausiai vyksta daugiabučių namų sektoriuje, kuriame </w:t>
      </w:r>
      <w:r w:rsidR="00B12A56" w:rsidRPr="002142B8">
        <w:rPr>
          <w:rFonts w:ascii="Georgia" w:hAnsi="Georgia" w:cs="Georgia"/>
          <w:sz w:val="20"/>
          <w:szCs w:val="20"/>
          <w:lang w:val="lt-LT"/>
        </w:rPr>
        <w:t>jau yra susidaręs pakankamas projektų srautas, yra prieinama šių projektų kredito istorija, galima gana tiksliai įvertinti tokių projektų finansavimo rizikas.</w:t>
      </w:r>
      <w:r w:rsidR="00583EB1" w:rsidRPr="002142B8">
        <w:rPr>
          <w:rFonts w:ascii="Georgia" w:hAnsi="Georgia" w:cs="Georgia"/>
          <w:sz w:val="20"/>
          <w:szCs w:val="20"/>
          <w:lang w:val="lt-LT"/>
        </w:rPr>
        <w:t xml:space="preserve"> </w:t>
      </w:r>
      <w:r w:rsidR="0066232C" w:rsidRPr="002142B8">
        <w:rPr>
          <w:rFonts w:ascii="Georgia" w:hAnsi="Georgia" w:cs="Georgia"/>
          <w:sz w:val="20"/>
          <w:szCs w:val="20"/>
          <w:lang w:val="lt-LT"/>
        </w:rPr>
        <w:t xml:space="preserve">Kaip jau buvo aprašyta 2.2.4 skyriuje, privačių investicijų stygius </w:t>
      </w:r>
      <w:r w:rsidR="00583EB1" w:rsidRPr="002142B8">
        <w:rPr>
          <w:rFonts w:ascii="Georgia" w:hAnsi="Georgia" w:cs="Georgia"/>
          <w:sz w:val="20"/>
          <w:szCs w:val="20"/>
          <w:lang w:val="lt-LT"/>
        </w:rPr>
        <w:t xml:space="preserve">yra </w:t>
      </w:r>
      <w:r w:rsidR="0066232C" w:rsidRPr="002142B8">
        <w:rPr>
          <w:rFonts w:ascii="Georgia" w:hAnsi="Georgia" w:cs="Georgia"/>
          <w:sz w:val="20"/>
          <w:szCs w:val="20"/>
          <w:lang w:val="lt-LT"/>
        </w:rPr>
        <w:t xml:space="preserve">taip pat </w:t>
      </w:r>
      <w:r w:rsidR="00583EB1" w:rsidRPr="002142B8">
        <w:rPr>
          <w:rFonts w:ascii="Georgia" w:hAnsi="Georgia" w:cs="Georgia"/>
          <w:sz w:val="20"/>
          <w:szCs w:val="20"/>
          <w:lang w:val="lt-LT"/>
        </w:rPr>
        <w:t>sąlygota</w:t>
      </w:r>
      <w:r w:rsidR="0066232C" w:rsidRPr="002142B8">
        <w:rPr>
          <w:rFonts w:ascii="Georgia" w:hAnsi="Georgia" w:cs="Georgia"/>
          <w:sz w:val="20"/>
          <w:szCs w:val="20"/>
          <w:lang w:val="lt-LT"/>
        </w:rPr>
        <w:t>s</w:t>
      </w:r>
      <w:r w:rsidR="00583EB1" w:rsidRPr="002142B8">
        <w:rPr>
          <w:rFonts w:ascii="Georgia" w:hAnsi="Georgia" w:cs="Georgia"/>
          <w:sz w:val="20"/>
          <w:szCs w:val="20"/>
          <w:lang w:val="lt-LT"/>
        </w:rPr>
        <w:t xml:space="preserve"> tokių veiksnių kaip investicijų grąžos istorijos trūkumas, informacijos asimetrija, gerosios praktikos pavyzdžių trūkumas, reguliavimo apribojimai, maža projektų vertė ir kiekis ir kita. </w:t>
      </w:r>
    </w:p>
    <w:p w14:paraId="6FF9E794"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613604F6"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Siekiant, kad į energijos efektyvumo didinimo sritis investuotų privatūs subjektai, reikalinga paskatinti jų dalyvavimą, užtikrinti jų pasitikėjimą. Įvairios institucijos, su kuriomis buvo diskutuota apie jų potencialias investicijas energijos efektyvumo srityje, potencialių rizikų mažinimą įvardijo kaip vieną iš pagrindinių kriterijų, lemiančių teigiamo sprendimo priėmimą. </w:t>
      </w:r>
    </w:p>
    <w:p w14:paraId="7069364B"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0F54CECA"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Skatinimo priemonės gali būti taikomos keliuose lygmenyse, kaip tai buvo aprašyta 3.2 skyriuje. Atsižvelgiant į Bendrųjų nuostatų reglamento reikalavimus visi skatinimo elementai turi būti prienami visiems pageidaujantiems ir atitinkantiems nustatytus reikalavimus, finansin</w:t>
      </w:r>
      <w:r w:rsidR="00C02C72" w:rsidRPr="002142B8">
        <w:rPr>
          <w:rFonts w:ascii="Georgia" w:hAnsi="Georgia" w:cs="Georgia"/>
          <w:sz w:val="20"/>
          <w:szCs w:val="20"/>
          <w:lang w:val="lt-LT"/>
        </w:rPr>
        <w:t>e</w:t>
      </w:r>
      <w:r w:rsidRPr="002142B8">
        <w:rPr>
          <w:rFonts w:ascii="Georgia" w:hAnsi="Georgia" w:cs="Georgia"/>
          <w:sz w:val="20"/>
          <w:szCs w:val="20"/>
          <w:lang w:val="lt-LT"/>
        </w:rPr>
        <w:t>s priemon</w:t>
      </w:r>
      <w:r w:rsidR="00C02C72" w:rsidRPr="002142B8">
        <w:rPr>
          <w:rFonts w:ascii="Georgia" w:hAnsi="Georgia" w:cs="Georgia"/>
          <w:sz w:val="20"/>
          <w:szCs w:val="20"/>
          <w:lang w:val="lt-LT"/>
        </w:rPr>
        <w:t>e</w:t>
      </w:r>
      <w:r w:rsidRPr="002142B8">
        <w:rPr>
          <w:rFonts w:ascii="Georgia" w:hAnsi="Georgia" w:cs="Georgia"/>
          <w:sz w:val="20"/>
          <w:szCs w:val="20"/>
          <w:lang w:val="lt-LT"/>
        </w:rPr>
        <w:t xml:space="preserve">s įgyvendinantys tarpininkai parenkami skaidriai, o skatinimo </w:t>
      </w:r>
      <w:r w:rsidR="00C02C72" w:rsidRPr="002142B8">
        <w:rPr>
          <w:rFonts w:ascii="Georgia" w:hAnsi="Georgia" w:cs="Georgia"/>
          <w:sz w:val="20"/>
          <w:szCs w:val="20"/>
          <w:lang w:val="lt-LT"/>
        </w:rPr>
        <w:t>elementai nediskriminuojanty</w:t>
      </w:r>
      <w:r w:rsidRPr="002142B8">
        <w:rPr>
          <w:rFonts w:ascii="Georgia" w:hAnsi="Georgia" w:cs="Georgia"/>
          <w:sz w:val="20"/>
          <w:szCs w:val="20"/>
          <w:lang w:val="lt-LT"/>
        </w:rPr>
        <w:t>s.</w:t>
      </w:r>
    </w:p>
    <w:p w14:paraId="438DD275"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32CF9963"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Toliau šiame skyriuje yra nurodytos įvairios potencialių investuotojų skatinimo priemonės, kurios galėtų padėti pritraukti privačias investicijas bei kartu su ESI fondų lėšomis sukurti didesnį sverto efektą</w:t>
      </w:r>
      <w:r w:rsidR="00C02C72" w:rsidRPr="002142B8">
        <w:rPr>
          <w:rFonts w:ascii="Georgia" w:hAnsi="Georgia" w:cs="Georgia"/>
          <w:sz w:val="20"/>
          <w:szCs w:val="20"/>
          <w:lang w:val="lt-LT"/>
        </w:rPr>
        <w:t>,</w:t>
      </w:r>
      <w:r w:rsidRPr="002142B8">
        <w:rPr>
          <w:rFonts w:ascii="Georgia" w:hAnsi="Georgia" w:cs="Georgia"/>
          <w:sz w:val="20"/>
          <w:szCs w:val="20"/>
          <w:lang w:val="lt-LT"/>
        </w:rPr>
        <w:t xml:space="preserve"> tuo pačiu ir projektų multiplikatorių. Skatinimo priemonės yra sugrupuotos pagal tai, į kokį lygmenį būtų siekiama pritraukti privačias lėšas. </w:t>
      </w:r>
    </w:p>
    <w:p w14:paraId="613C3E5C"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3B8378D9" w14:textId="77777777" w:rsidR="00361F6D" w:rsidRDefault="00361F6D">
      <w:pPr>
        <w:rPr>
          <w:rFonts w:ascii="Georgia" w:hAnsi="Georgia" w:cs="Georgia"/>
          <w:b/>
          <w:sz w:val="20"/>
          <w:szCs w:val="20"/>
          <w:lang w:val="lt-LT"/>
        </w:rPr>
      </w:pPr>
      <w:r>
        <w:rPr>
          <w:rFonts w:ascii="Georgia" w:hAnsi="Georgia" w:cs="Georgia"/>
          <w:b/>
          <w:sz w:val="20"/>
          <w:szCs w:val="20"/>
          <w:lang w:val="lt-LT"/>
        </w:rPr>
        <w:br w:type="page"/>
      </w:r>
    </w:p>
    <w:p w14:paraId="5F312FA1" w14:textId="36F6F78C" w:rsidR="00583EB1" w:rsidRPr="002142B8" w:rsidRDefault="00583EB1" w:rsidP="00583EB1">
      <w:pPr>
        <w:autoSpaceDE w:val="0"/>
        <w:autoSpaceDN w:val="0"/>
        <w:adjustRightInd w:val="0"/>
        <w:spacing w:after="0"/>
        <w:jc w:val="both"/>
        <w:rPr>
          <w:rFonts w:ascii="Georgia" w:hAnsi="Georgia" w:cs="Georgia"/>
          <w:b/>
          <w:sz w:val="20"/>
          <w:szCs w:val="20"/>
          <w:lang w:val="lt-LT"/>
        </w:rPr>
      </w:pPr>
      <w:r w:rsidRPr="002142B8">
        <w:rPr>
          <w:rFonts w:ascii="Georgia" w:hAnsi="Georgia" w:cs="Georgia"/>
          <w:b/>
          <w:sz w:val="20"/>
          <w:szCs w:val="20"/>
          <w:lang w:val="lt-LT"/>
        </w:rPr>
        <w:lastRenderedPageBreak/>
        <w:t>Skatinimo priemonės fondų fondo lygyje</w:t>
      </w:r>
    </w:p>
    <w:p w14:paraId="7CFD1604"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14429230"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Skatinimo priemonės fondų fondo lygyje yra siejamos su didesnio masto investicijų pritraukimu, investuotojų pasitikėjimo užtikrinimu. Tokių skatinimo priemonių pavyzdžiai galėtų būti:</w:t>
      </w:r>
    </w:p>
    <w:p w14:paraId="58EF034B"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asimetrinis rizikos prisiėmimas; </w:t>
      </w:r>
    </w:p>
    <w:p w14:paraId="645E3580"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asimetrinis pelno pasidalijimas;</w:t>
      </w:r>
    </w:p>
    <w:p w14:paraId="0D3766DD"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ateities pinigų srautų perpardavimas su diskonto norma;</w:t>
      </w:r>
    </w:p>
    <w:p w14:paraId="2171ED53"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suteikiama galimybė išpirkti geriausius rezultatus pasiekusių projektų ateities pinigų srautus;</w:t>
      </w:r>
    </w:p>
    <w:p w14:paraId="2AAA561B"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išperkamų ateities piniginių srautų garantijos;</w:t>
      </w:r>
    </w:p>
    <w:p w14:paraId="63B61230"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mokestinės priemonių mažinimo taikymas;</w:t>
      </w:r>
    </w:p>
    <w:p w14:paraId="10EBB7B0" w14:textId="6791DF12"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įvairus šių variantų derinys.</w:t>
      </w:r>
    </w:p>
    <w:p w14:paraId="3DF29E99" w14:textId="77777777" w:rsidR="00583EB1" w:rsidRPr="002142B8" w:rsidRDefault="00583EB1" w:rsidP="00583EB1">
      <w:pPr>
        <w:autoSpaceDE w:val="0"/>
        <w:autoSpaceDN w:val="0"/>
        <w:adjustRightInd w:val="0"/>
        <w:spacing w:after="0"/>
        <w:jc w:val="both"/>
        <w:rPr>
          <w:rFonts w:ascii="Georgia" w:hAnsi="Georgia" w:cs="Georgia"/>
          <w:i/>
          <w:sz w:val="20"/>
          <w:szCs w:val="20"/>
          <w:lang w:val="lt-LT"/>
        </w:rPr>
      </w:pPr>
    </w:p>
    <w:p w14:paraId="1FBB2E3F" w14:textId="77777777" w:rsidR="00583EB1" w:rsidRPr="002142B8" w:rsidRDefault="00583EB1" w:rsidP="00583EB1">
      <w:pPr>
        <w:autoSpaceDE w:val="0"/>
        <w:autoSpaceDN w:val="0"/>
        <w:adjustRightInd w:val="0"/>
        <w:spacing w:after="0"/>
        <w:jc w:val="both"/>
        <w:rPr>
          <w:rFonts w:ascii="Georgia" w:hAnsi="Georgia" w:cs="Georgia"/>
          <w:b/>
          <w:sz w:val="20"/>
          <w:szCs w:val="20"/>
          <w:lang w:val="lt-LT"/>
        </w:rPr>
      </w:pPr>
      <w:r w:rsidRPr="002142B8">
        <w:rPr>
          <w:rFonts w:ascii="Georgia" w:hAnsi="Georgia" w:cs="Georgia"/>
          <w:b/>
          <w:sz w:val="20"/>
          <w:szCs w:val="20"/>
          <w:lang w:val="lt-LT"/>
        </w:rPr>
        <w:t>Skatinimo priemonės finansinės priemonės (finansinio tarpininko) lygyje</w:t>
      </w:r>
    </w:p>
    <w:p w14:paraId="6AE9F87B"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2CEE7F78"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Siekiant pritraukti lėšas finansinės priemonės lygyje, galima panaudoti šiuos skatinimo elementus:</w:t>
      </w:r>
    </w:p>
    <w:p w14:paraId="549CF0F0"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garantijų teikimas (individualių ir portfelinių);</w:t>
      </w:r>
    </w:p>
    <w:p w14:paraId="23D418EE"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paskolų palūkanų kompensavimas;</w:t>
      </w:r>
    </w:p>
    <w:p w14:paraId="1ACD31F6"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techninės pagalbos teikimas;</w:t>
      </w:r>
    </w:p>
    <w:p w14:paraId="4D02797E"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administravimo mokesčio mokėjimas;</w:t>
      </w:r>
    </w:p>
    <w:p w14:paraId="72FBA96B"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paskolos dalies suteikimas iš ESI fondų lėšų, dalies – iš finansinę priemonę įgyvendinančios institucijos lėšų;</w:t>
      </w:r>
    </w:p>
    <w:p w14:paraId="3B9F551F"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asimetrinis rizikos prisiėmimas, kai finansiniai tarpininkai dalyvauja ir savo lėšomis;</w:t>
      </w:r>
    </w:p>
    <w:p w14:paraId="6A916BCA"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šių priemonių derinys.</w:t>
      </w:r>
    </w:p>
    <w:p w14:paraId="67E102F1"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6E074BBD" w14:textId="4FCA97F7"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Po kelerių metų susikūrus energijos efektyvumo projektų patirčiai ir istorijai, vietoje dabartinio rekomenduojamo finansinių tarpininkų dalyvavimo savo lėšomis galima būtų įvesti privalomą reikalavimą dalyvauti savomis lėšomis. Tokio reikalavimo sąlygos ir atrankos kriterijai būtų kuriami pagal iki tol sukauptą patirt</w:t>
      </w:r>
      <w:r w:rsidR="007D2D58" w:rsidRPr="002142B8">
        <w:rPr>
          <w:rFonts w:ascii="Georgia" w:hAnsi="Georgia" w:cs="Georgia"/>
          <w:sz w:val="20"/>
          <w:szCs w:val="20"/>
          <w:lang w:val="lt-LT"/>
        </w:rPr>
        <w:t>į ir egzistuojančia situaciją.</w:t>
      </w:r>
    </w:p>
    <w:p w14:paraId="28F1777D" w14:textId="77777777" w:rsidR="00583EB1" w:rsidRPr="002142B8" w:rsidRDefault="00583EB1" w:rsidP="00583EB1">
      <w:pPr>
        <w:autoSpaceDE w:val="0"/>
        <w:autoSpaceDN w:val="0"/>
        <w:adjustRightInd w:val="0"/>
        <w:spacing w:after="0"/>
        <w:jc w:val="both"/>
        <w:rPr>
          <w:rFonts w:ascii="Georgia" w:hAnsi="Georgia" w:cs="Georgia"/>
          <w:i/>
          <w:sz w:val="20"/>
          <w:szCs w:val="20"/>
          <w:lang w:val="lt-LT"/>
        </w:rPr>
      </w:pPr>
    </w:p>
    <w:p w14:paraId="5281CA8E" w14:textId="77777777" w:rsidR="00583EB1" w:rsidRPr="002142B8" w:rsidRDefault="00583EB1" w:rsidP="00583EB1">
      <w:pPr>
        <w:autoSpaceDE w:val="0"/>
        <w:autoSpaceDN w:val="0"/>
        <w:adjustRightInd w:val="0"/>
        <w:spacing w:after="0"/>
        <w:jc w:val="both"/>
        <w:rPr>
          <w:rFonts w:ascii="Georgia" w:hAnsi="Georgia" w:cs="Georgia"/>
          <w:b/>
          <w:sz w:val="20"/>
          <w:szCs w:val="20"/>
          <w:lang w:val="lt-LT"/>
        </w:rPr>
      </w:pPr>
      <w:r w:rsidRPr="002142B8">
        <w:rPr>
          <w:rFonts w:ascii="Georgia" w:hAnsi="Georgia" w:cs="Georgia"/>
          <w:b/>
          <w:sz w:val="20"/>
          <w:szCs w:val="20"/>
          <w:lang w:val="lt-LT"/>
        </w:rPr>
        <w:t>Skatinimo priemonės galutinio naudos gavėjo lygmenyje</w:t>
      </w:r>
    </w:p>
    <w:p w14:paraId="4CBB00C8" w14:textId="77777777" w:rsidR="007D2D58" w:rsidRPr="002142B8" w:rsidRDefault="007D2D58" w:rsidP="00583EB1">
      <w:pPr>
        <w:autoSpaceDE w:val="0"/>
        <w:autoSpaceDN w:val="0"/>
        <w:adjustRightInd w:val="0"/>
        <w:spacing w:after="0"/>
        <w:jc w:val="both"/>
        <w:rPr>
          <w:rFonts w:ascii="Georgia" w:hAnsi="Georgia" w:cs="Georgia"/>
          <w:sz w:val="20"/>
          <w:szCs w:val="20"/>
          <w:lang w:val="lt-LT"/>
        </w:rPr>
      </w:pPr>
    </w:p>
    <w:p w14:paraId="5758DF6F" w14:textId="2273BA33" w:rsidR="00583EB1"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Galutinio naudos gavėjo lygmeniu gali būti taikomi šie elementai:</w:t>
      </w:r>
    </w:p>
    <w:p w14:paraId="07807D72"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žemesnių negu rinkos, fiksuotų palūkanų taikymas; </w:t>
      </w:r>
    </w:p>
    <w:p w14:paraId="675922E7"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subsidijų teikimas projekto dalies finansavimui;</w:t>
      </w:r>
    </w:p>
    <w:p w14:paraId="619CE35D"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palūkanų kompensavimas galutiniams naudos gavėjams (galutiniams naudos gavėjams suteikiant galimybę naudotis geresnėmis sąlygomis, t.y. palūkanomis ir terminais);</w:t>
      </w:r>
    </w:p>
    <w:p w14:paraId="5ACB52C1"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ilgesnio negu rinkoje esančio termino paskoloms taikymas;</w:t>
      </w:r>
    </w:p>
    <w:p w14:paraId="4532AC80"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užstato nereikalavimas;</w:t>
      </w:r>
    </w:p>
    <w:p w14:paraId="4410840A"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papildoma parama renovacijos dokumentų parengimui ir įgyvendinimo administravimui;</w:t>
      </w:r>
    </w:p>
    <w:p w14:paraId="48A64FCB" w14:textId="77777777" w:rsidR="00583EB1" w:rsidRPr="002142B8" w:rsidRDefault="00583EB1" w:rsidP="00162BF5">
      <w:pPr>
        <w:pStyle w:val="Sraopastraipa"/>
        <w:numPr>
          <w:ilvl w:val="0"/>
          <w:numId w:val="7"/>
        </w:num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įvairus šių variantų derinys.</w:t>
      </w:r>
    </w:p>
    <w:p w14:paraId="2F50089F"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2C67887D" w14:textId="77777777" w:rsidR="00583EB1" w:rsidRPr="002142B8" w:rsidRDefault="00583EB1" w:rsidP="00583EB1">
      <w:pPr>
        <w:autoSpaceDE w:val="0"/>
        <w:autoSpaceDN w:val="0"/>
        <w:adjustRightInd w:val="0"/>
        <w:spacing w:after="0"/>
        <w:jc w:val="both"/>
        <w:rPr>
          <w:rFonts w:ascii="Georgia" w:hAnsi="Georgia" w:cs="Georgia"/>
          <w:i/>
          <w:sz w:val="20"/>
          <w:szCs w:val="20"/>
          <w:lang w:val="lt-LT"/>
        </w:rPr>
      </w:pPr>
      <w:r w:rsidRPr="002142B8">
        <w:rPr>
          <w:rFonts w:ascii="Georgia" w:hAnsi="Georgia" w:cs="Georgia"/>
          <w:i/>
          <w:sz w:val="20"/>
          <w:szCs w:val="20"/>
          <w:lang w:val="lt-LT"/>
        </w:rPr>
        <w:t>Valdymo mokestis finansiniams tarpininkams ir fondo valdytojams</w:t>
      </w:r>
    </w:p>
    <w:p w14:paraId="1AEBFD40" w14:textId="77777777" w:rsidR="00583EB1" w:rsidRPr="002142B8" w:rsidRDefault="00583EB1" w:rsidP="00583EB1">
      <w:pPr>
        <w:autoSpaceDE w:val="0"/>
        <w:autoSpaceDN w:val="0"/>
        <w:adjustRightInd w:val="0"/>
        <w:spacing w:after="0"/>
        <w:jc w:val="both"/>
        <w:rPr>
          <w:rFonts w:ascii="Georgia" w:hAnsi="Georgia" w:cs="Georgia"/>
          <w:sz w:val="20"/>
          <w:szCs w:val="20"/>
          <w:lang w:val="lt-LT"/>
        </w:rPr>
      </w:pPr>
    </w:p>
    <w:p w14:paraId="6A5F51EB" w14:textId="17E491EF" w:rsidR="00021F53" w:rsidRPr="002142B8" w:rsidRDefault="00583EB1" w:rsidP="00583EB1">
      <w:pPr>
        <w:autoSpaceDE w:val="0"/>
        <w:autoSpaceDN w:val="0"/>
        <w:adjustRightInd w:val="0"/>
        <w:spacing w:after="0"/>
        <w:jc w:val="both"/>
        <w:rPr>
          <w:rFonts w:ascii="Georgia" w:hAnsi="Georgia" w:cs="Georgia"/>
          <w:sz w:val="20"/>
          <w:szCs w:val="20"/>
          <w:lang w:val="lt-LT"/>
        </w:rPr>
      </w:pPr>
      <w:r w:rsidRPr="002142B8">
        <w:rPr>
          <w:rFonts w:ascii="Georgia" w:hAnsi="Georgia" w:cs="Georgia"/>
          <w:sz w:val="20"/>
          <w:szCs w:val="20"/>
          <w:lang w:val="lt-LT"/>
        </w:rPr>
        <w:t xml:space="preserve">Už finansinių priemonių įgyvendinimą fondų fondo valdytojui ir finansiniams tarpininkams gali būti mokamas valdymo mokestis. Šio valdymo mokesčio mokėjimo principai ir dydžiai apibrėžti Deleguoto reglamento 12 ir 13 straipsniuose. Valdymo mokestis susideda iš dviejų dalių: bazinio valdymo mokesčio ir nuo veiklos rezultatų priklausančio valdymo mokesčio. </w:t>
      </w:r>
    </w:p>
    <w:p w14:paraId="7B5D529F" w14:textId="77777777" w:rsidR="00021F53" w:rsidRPr="002142B8" w:rsidRDefault="00021F53">
      <w:pPr>
        <w:rPr>
          <w:rFonts w:ascii="Georgia" w:hAnsi="Georgia" w:cs="Georgia"/>
          <w:sz w:val="20"/>
          <w:szCs w:val="20"/>
          <w:lang w:val="lt-LT"/>
        </w:rPr>
      </w:pPr>
      <w:r w:rsidRPr="002142B8">
        <w:rPr>
          <w:rFonts w:ascii="Georgia" w:hAnsi="Georgia" w:cs="Georgia"/>
          <w:sz w:val="20"/>
          <w:szCs w:val="20"/>
          <w:lang w:val="lt-LT"/>
        </w:rPr>
        <w:br w:type="page"/>
      </w:r>
    </w:p>
    <w:p w14:paraId="79506954" w14:textId="77777777" w:rsidR="00280058" w:rsidRPr="002142B8" w:rsidRDefault="00280058" w:rsidP="00FF5654">
      <w:pPr>
        <w:pStyle w:val="Antrat1"/>
        <w:numPr>
          <w:ilvl w:val="0"/>
          <w:numId w:val="2"/>
        </w:numPr>
        <w:ind w:left="567" w:hanging="567"/>
        <w:rPr>
          <w:lang w:val="lt-LT"/>
        </w:rPr>
      </w:pPr>
      <w:bookmarkStart w:id="139" w:name="_Toc402352622"/>
      <w:bookmarkStart w:id="140" w:name="_Toc25589918"/>
      <w:r w:rsidRPr="002142B8">
        <w:rPr>
          <w:lang w:val="lt-LT"/>
        </w:rPr>
        <w:lastRenderedPageBreak/>
        <w:t>Finansinės priemonės pridėtinė vertė ir suderinamumas su kitomis viešųjų intervencijų formomis</w:t>
      </w:r>
      <w:bookmarkEnd w:id="139"/>
      <w:bookmarkEnd w:id="140"/>
    </w:p>
    <w:p w14:paraId="1CE5A35E" w14:textId="77777777" w:rsidR="00280058" w:rsidRPr="002142B8" w:rsidRDefault="00280058" w:rsidP="00280058">
      <w:pPr>
        <w:jc w:val="both"/>
        <w:rPr>
          <w:rFonts w:ascii="Georgia" w:hAnsi="Georgia"/>
          <w:sz w:val="20"/>
          <w:lang w:val="lt-LT"/>
        </w:rPr>
      </w:pPr>
    </w:p>
    <w:p w14:paraId="07EB58F6" w14:textId="77777777" w:rsidR="00280058" w:rsidRPr="002142B8" w:rsidRDefault="00280058" w:rsidP="00C15C81">
      <w:pPr>
        <w:pStyle w:val="Antrat2"/>
        <w:numPr>
          <w:ilvl w:val="1"/>
          <w:numId w:val="2"/>
        </w:numPr>
        <w:ind w:left="709"/>
        <w:rPr>
          <w:lang w:val="lt-LT"/>
        </w:rPr>
      </w:pPr>
      <w:bookmarkStart w:id="141" w:name="_Toc402352623"/>
      <w:bookmarkStart w:id="142" w:name="_Toc25589919"/>
      <w:r w:rsidRPr="002142B8">
        <w:rPr>
          <w:lang w:val="lt-LT"/>
        </w:rPr>
        <w:t>Kiekybinis pridėtinės vertės vertinimas - jautrumo analizė ir alternatyvų palyginimas</w:t>
      </w:r>
      <w:bookmarkEnd w:id="141"/>
      <w:bookmarkEnd w:id="142"/>
    </w:p>
    <w:p w14:paraId="2C13C8A8" w14:textId="0F6C874E" w:rsidR="00C15C81" w:rsidRPr="002142B8" w:rsidRDefault="00C15C81" w:rsidP="00C15C81">
      <w:pPr>
        <w:pStyle w:val="Antrat2"/>
        <w:numPr>
          <w:ilvl w:val="2"/>
          <w:numId w:val="2"/>
        </w:numPr>
        <w:spacing w:after="120"/>
        <w:ind w:left="1077"/>
        <w:rPr>
          <w:lang w:val="lt-LT"/>
        </w:rPr>
      </w:pPr>
      <w:bookmarkStart w:id="143" w:name="_Toc402352624"/>
      <w:bookmarkStart w:id="144" w:name="_Toc25589920"/>
      <w:r w:rsidRPr="002142B8">
        <w:rPr>
          <w:lang w:val="lt-LT"/>
        </w:rPr>
        <w:t>Šilumos kainos prognozės Lietuvoje</w:t>
      </w:r>
      <w:bookmarkEnd w:id="144"/>
    </w:p>
    <w:p w14:paraId="04F26D9D" w14:textId="73A985FC" w:rsidR="003C0878" w:rsidRPr="002142B8" w:rsidRDefault="00660FB3" w:rsidP="0063781D">
      <w:pPr>
        <w:jc w:val="both"/>
        <w:rPr>
          <w:rFonts w:ascii="Georgia" w:hAnsi="Georgia"/>
          <w:sz w:val="20"/>
          <w:lang w:val="lt-LT"/>
        </w:rPr>
      </w:pPr>
      <w:r w:rsidRPr="002142B8">
        <w:rPr>
          <w:rFonts w:ascii="Georgia" w:hAnsi="Georgia"/>
          <w:sz w:val="20"/>
          <w:lang w:val="lt-LT"/>
        </w:rPr>
        <w:t>VKKEK</w:t>
      </w:r>
      <w:r w:rsidR="00C15C81" w:rsidRPr="002142B8">
        <w:rPr>
          <w:rFonts w:ascii="Georgia" w:hAnsi="Georgia"/>
          <w:sz w:val="20"/>
          <w:lang w:val="lt-LT"/>
        </w:rPr>
        <w:t xml:space="preserve"> duomenimis vidutinė šilumos kaina</w:t>
      </w:r>
      <w:r w:rsidR="00325FB1" w:rsidRPr="002142B8">
        <w:rPr>
          <w:rFonts w:ascii="Georgia" w:hAnsi="Georgia"/>
          <w:sz w:val="20"/>
          <w:lang w:val="lt-LT"/>
        </w:rPr>
        <w:t xml:space="preserve"> 2012 metais</w:t>
      </w:r>
      <w:r w:rsidR="00C15C81" w:rsidRPr="002142B8">
        <w:rPr>
          <w:rFonts w:ascii="Georgia" w:hAnsi="Georgia"/>
          <w:sz w:val="20"/>
          <w:lang w:val="lt-LT"/>
        </w:rPr>
        <w:t xml:space="preserve"> pasiekus</w:t>
      </w:r>
      <w:r w:rsidR="00325FB1" w:rsidRPr="002142B8">
        <w:rPr>
          <w:rFonts w:ascii="Georgia" w:hAnsi="Georgia"/>
          <w:sz w:val="20"/>
          <w:lang w:val="lt-LT"/>
        </w:rPr>
        <w:t>i</w:t>
      </w:r>
      <w:r w:rsidR="00C15C81" w:rsidRPr="002142B8">
        <w:rPr>
          <w:rFonts w:ascii="Georgia" w:hAnsi="Georgia"/>
          <w:sz w:val="20"/>
          <w:lang w:val="lt-LT"/>
        </w:rPr>
        <w:t xml:space="preserve"> 7</w:t>
      </w:r>
      <w:r w:rsidRPr="002142B8">
        <w:rPr>
          <w:rFonts w:ascii="Georgia" w:hAnsi="Georgia"/>
          <w:sz w:val="20"/>
          <w:lang w:val="lt-LT"/>
        </w:rPr>
        <w:t>,</w:t>
      </w:r>
      <w:r w:rsidR="00C15C81" w:rsidRPr="002142B8">
        <w:rPr>
          <w:rFonts w:ascii="Georgia" w:hAnsi="Georgia"/>
          <w:sz w:val="20"/>
          <w:lang w:val="lt-LT"/>
        </w:rPr>
        <w:t xml:space="preserve">66 ct/kWh </w:t>
      </w:r>
      <w:r w:rsidR="00325FB1" w:rsidRPr="002142B8">
        <w:rPr>
          <w:rFonts w:ascii="Georgia" w:hAnsi="Georgia"/>
          <w:sz w:val="20"/>
          <w:lang w:val="lt-LT"/>
        </w:rPr>
        <w:t xml:space="preserve">vėliau </w:t>
      </w:r>
      <w:r w:rsidR="00C15C81" w:rsidRPr="002142B8">
        <w:rPr>
          <w:rFonts w:ascii="Georgia" w:hAnsi="Georgia"/>
          <w:sz w:val="20"/>
          <w:lang w:val="lt-LT"/>
        </w:rPr>
        <w:t>nuosekliai mažėjo iki 201</w:t>
      </w:r>
      <w:r w:rsidRPr="002142B8">
        <w:rPr>
          <w:rFonts w:ascii="Georgia" w:hAnsi="Georgia"/>
          <w:sz w:val="20"/>
          <w:lang w:val="lt-LT"/>
        </w:rPr>
        <w:t xml:space="preserve">7 m. lapkričio mėn. </w:t>
      </w:r>
      <w:r w:rsidR="00C15C81" w:rsidRPr="002142B8">
        <w:rPr>
          <w:rFonts w:ascii="Georgia" w:hAnsi="Georgia"/>
          <w:sz w:val="20"/>
          <w:lang w:val="lt-LT"/>
        </w:rPr>
        <w:t xml:space="preserve">ir pasiekė </w:t>
      </w:r>
      <w:r w:rsidRPr="002142B8">
        <w:rPr>
          <w:rFonts w:ascii="Georgia" w:hAnsi="Georgia"/>
          <w:sz w:val="20"/>
          <w:lang w:val="lt-LT"/>
        </w:rPr>
        <w:t>4,99</w:t>
      </w:r>
      <w:r w:rsidR="00C15C81" w:rsidRPr="002142B8">
        <w:rPr>
          <w:rFonts w:ascii="Georgia" w:hAnsi="Georgia"/>
          <w:sz w:val="20"/>
          <w:lang w:val="lt-LT"/>
        </w:rPr>
        <w:t xml:space="preserve"> ct/kWh (3</w:t>
      </w:r>
      <w:r w:rsidRPr="002142B8">
        <w:rPr>
          <w:rFonts w:ascii="Georgia" w:hAnsi="Georgia"/>
          <w:sz w:val="20"/>
          <w:lang w:val="lt-LT"/>
        </w:rPr>
        <w:t>5</w:t>
      </w:r>
      <w:r w:rsidR="00C15C81" w:rsidRPr="002142B8">
        <w:rPr>
          <w:rFonts w:ascii="Georgia" w:hAnsi="Georgia"/>
          <w:sz w:val="20"/>
          <w:lang w:val="lt-LT"/>
        </w:rPr>
        <w:t>% sumažėjimas)</w:t>
      </w:r>
      <w:r w:rsidR="00C15C81" w:rsidRPr="002142B8">
        <w:rPr>
          <w:rStyle w:val="Puslapioinaosnuoroda"/>
          <w:rFonts w:ascii="Georgia" w:hAnsi="Georgia"/>
          <w:sz w:val="20"/>
          <w:lang w:val="lt-LT"/>
        </w:rPr>
        <w:footnoteReference w:id="117"/>
      </w:r>
      <w:r w:rsidR="00C15C81" w:rsidRPr="002142B8">
        <w:rPr>
          <w:rFonts w:ascii="Georgia" w:hAnsi="Georgia"/>
          <w:sz w:val="20"/>
          <w:lang w:val="lt-LT"/>
        </w:rPr>
        <w:t>.</w:t>
      </w:r>
      <w:r w:rsidR="003C0878" w:rsidRPr="002142B8">
        <w:rPr>
          <w:rFonts w:ascii="Georgia" w:hAnsi="Georgia"/>
          <w:sz w:val="20"/>
          <w:lang w:val="lt-LT"/>
        </w:rPr>
        <w:t xml:space="preserve"> 2017 m. sausio – spalio mėn. vidutinė mėnesinė šilumos kaina (įskaitant PVM, kadangi gyventojai negali šio mokesčio susigrąžinti) buvo 5,328 ct/kWh. Ši vidutinė kaina naudojama jautrumo analizėje.</w:t>
      </w:r>
    </w:p>
    <w:p w14:paraId="0EC391EF" w14:textId="582EA97C" w:rsidR="00C15C81" w:rsidRPr="002142B8" w:rsidRDefault="00C15C81" w:rsidP="0063781D">
      <w:pPr>
        <w:jc w:val="both"/>
        <w:rPr>
          <w:rFonts w:ascii="Georgia" w:hAnsi="Georgia"/>
          <w:sz w:val="20"/>
          <w:lang w:val="lt-LT"/>
        </w:rPr>
      </w:pPr>
      <w:r w:rsidRPr="002142B8">
        <w:rPr>
          <w:rFonts w:ascii="Georgia" w:hAnsi="Georgia"/>
          <w:sz w:val="20"/>
          <w:lang w:val="lt-LT"/>
        </w:rPr>
        <w:t>Viena iš pagrindinių</w:t>
      </w:r>
      <w:r w:rsidR="006146D8" w:rsidRPr="002142B8">
        <w:rPr>
          <w:rFonts w:ascii="Georgia" w:hAnsi="Georgia"/>
          <w:sz w:val="20"/>
          <w:lang w:val="lt-LT"/>
        </w:rPr>
        <w:t xml:space="preserve"> šilumos kainų mažėjimo</w:t>
      </w:r>
      <w:r w:rsidRPr="002142B8">
        <w:rPr>
          <w:rFonts w:ascii="Georgia" w:hAnsi="Georgia"/>
          <w:sz w:val="20"/>
          <w:lang w:val="lt-LT"/>
        </w:rPr>
        <w:t xml:space="preserve"> priežasčių – biokuro panaudojimas šilumos gamyboje, kuris išaugo iki 64%. Tuo pačiu metu buvo priimti reikalavimai visą biokurą pirkti per </w:t>
      </w:r>
      <w:r w:rsidR="00255903" w:rsidRPr="002142B8">
        <w:rPr>
          <w:rFonts w:ascii="Georgia" w:hAnsi="Georgia"/>
          <w:sz w:val="20"/>
          <w:lang w:val="lt-LT"/>
        </w:rPr>
        <w:t xml:space="preserve">biržą, kas lėmė intensyvesnę konkurenciją ir atitinkamai biokuro kainos mažėjimą. </w:t>
      </w:r>
      <w:r w:rsidRPr="002142B8">
        <w:rPr>
          <w:rFonts w:ascii="Georgia" w:hAnsi="Georgia"/>
          <w:sz w:val="20"/>
          <w:lang w:val="lt-LT"/>
        </w:rPr>
        <w:t xml:space="preserve">Papildomos reikšmės turėjo ir dujų iš </w:t>
      </w:r>
      <w:r w:rsidR="00A31A06" w:rsidRPr="002142B8">
        <w:rPr>
          <w:rFonts w:ascii="Georgia" w:eastAsia="Calibri" w:hAnsi="Georgia" w:cs="Arial"/>
          <w:bCs/>
          <w:sz w:val="20"/>
          <w:szCs w:val="20"/>
          <w:lang w:val="lt-LT"/>
        </w:rPr>
        <w:t>„</w:t>
      </w:r>
      <w:r w:rsidRPr="002142B8">
        <w:rPr>
          <w:rFonts w:ascii="Georgia" w:hAnsi="Georgia"/>
          <w:sz w:val="20"/>
          <w:lang w:val="lt-LT"/>
        </w:rPr>
        <w:t>Gazprom</w:t>
      </w:r>
      <w:r w:rsidR="00A31A06" w:rsidRPr="002142B8">
        <w:rPr>
          <w:rFonts w:ascii="Georgia" w:hAnsi="Georgia"/>
          <w:sz w:val="20"/>
          <w:szCs w:val="20"/>
          <w:lang w:val="lt-LT"/>
        </w:rPr>
        <w:t>“</w:t>
      </w:r>
      <w:r w:rsidRPr="002142B8">
        <w:rPr>
          <w:rFonts w:ascii="Georgia" w:hAnsi="Georgia"/>
          <w:sz w:val="20"/>
          <w:lang w:val="lt-LT"/>
        </w:rPr>
        <w:t xml:space="preserve"> tiekimo kainos, kurios smarkiai sumažėjo pastačius SGD terminalą Klaipėdoje. Ateityje, </w:t>
      </w:r>
      <w:r w:rsidR="000D71A1" w:rsidRPr="002142B8">
        <w:rPr>
          <w:rFonts w:ascii="Georgia" w:hAnsi="Georgia"/>
          <w:sz w:val="20"/>
          <w:lang w:val="lt-LT"/>
        </w:rPr>
        <w:t xml:space="preserve">galutinei </w:t>
      </w:r>
      <w:r w:rsidRPr="002142B8">
        <w:rPr>
          <w:rFonts w:ascii="Georgia" w:hAnsi="Georgia"/>
          <w:sz w:val="20"/>
          <w:lang w:val="lt-LT"/>
        </w:rPr>
        <w:t xml:space="preserve">šilumos kainai Lietuvoje didelės reikšmės gali turėti šie veiksniai: </w:t>
      </w:r>
    </w:p>
    <w:p w14:paraId="791D8F9E" w14:textId="22C4EC1A" w:rsidR="00255903" w:rsidRPr="002142B8" w:rsidRDefault="00985A07" w:rsidP="0063781D">
      <w:pPr>
        <w:pStyle w:val="Sraopastraipa"/>
        <w:numPr>
          <w:ilvl w:val="0"/>
          <w:numId w:val="77"/>
        </w:numPr>
        <w:jc w:val="both"/>
        <w:rPr>
          <w:rFonts w:ascii="Georgia" w:hAnsi="Georgia"/>
          <w:sz w:val="20"/>
          <w:lang w:val="lt-LT"/>
        </w:rPr>
      </w:pPr>
      <w:r w:rsidRPr="002142B8">
        <w:rPr>
          <w:rFonts w:ascii="Georgia" w:hAnsi="Georgia"/>
          <w:sz w:val="20"/>
          <w:lang w:val="lt-LT"/>
        </w:rPr>
        <w:t xml:space="preserve">Kogeneracinės elektrinės </w:t>
      </w:r>
      <w:r w:rsidR="00C15C81" w:rsidRPr="002142B8">
        <w:rPr>
          <w:rFonts w:ascii="Georgia" w:hAnsi="Georgia"/>
          <w:sz w:val="20"/>
          <w:lang w:val="lt-LT"/>
        </w:rPr>
        <w:t>statyba Vilniuje</w:t>
      </w:r>
      <w:r w:rsidR="00255903" w:rsidRPr="002142B8">
        <w:rPr>
          <w:rFonts w:ascii="Georgia" w:hAnsi="Georgia"/>
          <w:sz w:val="20"/>
          <w:lang w:val="lt-LT"/>
        </w:rPr>
        <w:t>.</w:t>
      </w:r>
      <w:r w:rsidR="00C15C81" w:rsidRPr="002142B8">
        <w:rPr>
          <w:rFonts w:ascii="Georgia" w:hAnsi="Georgia"/>
          <w:sz w:val="20"/>
          <w:lang w:val="lt-LT"/>
        </w:rPr>
        <w:t xml:space="preserve"> </w:t>
      </w:r>
      <w:r w:rsidR="00255903" w:rsidRPr="002142B8">
        <w:rPr>
          <w:rFonts w:ascii="Georgia" w:hAnsi="Georgia"/>
          <w:sz w:val="20"/>
          <w:lang w:val="lt-LT"/>
        </w:rPr>
        <w:t xml:space="preserve">Neabejotinai </w:t>
      </w:r>
      <w:r w:rsidRPr="002142B8">
        <w:rPr>
          <w:rFonts w:ascii="Georgia" w:hAnsi="Georgia"/>
          <w:sz w:val="20"/>
          <w:lang w:val="lt-LT"/>
        </w:rPr>
        <w:t xml:space="preserve">šios elektrinės </w:t>
      </w:r>
      <w:r w:rsidR="00255903" w:rsidRPr="002142B8">
        <w:rPr>
          <w:rFonts w:ascii="Georgia" w:hAnsi="Georgia"/>
          <w:sz w:val="20"/>
          <w:lang w:val="lt-LT"/>
        </w:rPr>
        <w:t xml:space="preserve">statyba, dalinai finansuojama ES lėšomis, dar labiau mažins šilumos kainas Vilniuje. Skaičiuojama, jog </w:t>
      </w:r>
      <w:r w:rsidRPr="002142B8">
        <w:rPr>
          <w:rFonts w:ascii="Georgia" w:hAnsi="Georgia"/>
          <w:sz w:val="20"/>
          <w:lang w:val="lt-LT"/>
        </w:rPr>
        <w:t xml:space="preserve">įgyvendintas projektas </w:t>
      </w:r>
      <w:r w:rsidR="00255903" w:rsidRPr="002142B8">
        <w:rPr>
          <w:rFonts w:ascii="Georgia" w:hAnsi="Georgia"/>
          <w:sz w:val="20"/>
          <w:lang w:val="lt-LT"/>
        </w:rPr>
        <w:t xml:space="preserve">galėtų sutaupyti iki 20 proc. šilumos kainos </w:t>
      </w:r>
      <w:r w:rsidRPr="002142B8">
        <w:rPr>
          <w:rFonts w:ascii="Georgia" w:hAnsi="Georgia"/>
          <w:sz w:val="20"/>
          <w:lang w:val="lt-LT"/>
        </w:rPr>
        <w:t xml:space="preserve">sostinės </w:t>
      </w:r>
      <w:r w:rsidR="00255903" w:rsidRPr="002142B8">
        <w:rPr>
          <w:rFonts w:ascii="Georgia" w:hAnsi="Georgia"/>
          <w:sz w:val="20"/>
          <w:lang w:val="lt-LT"/>
        </w:rPr>
        <w:t>gyventojams ir įmonėms.</w:t>
      </w:r>
      <w:r w:rsidR="00255903" w:rsidRPr="002142B8">
        <w:rPr>
          <w:rStyle w:val="Puslapioinaosnuoroda"/>
          <w:rFonts w:ascii="Georgia" w:hAnsi="Georgia"/>
          <w:sz w:val="20"/>
          <w:lang w:val="lt-LT"/>
        </w:rPr>
        <w:footnoteReference w:id="118"/>
      </w:r>
      <w:r w:rsidR="00255903" w:rsidRPr="002142B8">
        <w:rPr>
          <w:rFonts w:ascii="Georgia" w:hAnsi="Georgia"/>
          <w:sz w:val="20"/>
          <w:lang w:val="lt-LT"/>
        </w:rPr>
        <w:t xml:space="preserve">  </w:t>
      </w:r>
    </w:p>
    <w:p w14:paraId="33E61CDC" w14:textId="5C2EBCEE" w:rsidR="00C15C81" w:rsidRPr="002142B8" w:rsidRDefault="00C15C81" w:rsidP="0063781D">
      <w:pPr>
        <w:pStyle w:val="Sraopastraipa"/>
        <w:numPr>
          <w:ilvl w:val="0"/>
          <w:numId w:val="77"/>
        </w:numPr>
        <w:jc w:val="both"/>
        <w:rPr>
          <w:rFonts w:ascii="Georgia" w:hAnsi="Georgia"/>
          <w:sz w:val="20"/>
          <w:lang w:val="lt-LT"/>
        </w:rPr>
      </w:pPr>
      <w:r w:rsidRPr="002142B8">
        <w:rPr>
          <w:rFonts w:ascii="Georgia" w:hAnsi="Georgia"/>
          <w:sz w:val="20"/>
          <w:lang w:val="lt-LT"/>
        </w:rPr>
        <w:t xml:space="preserve">Kuro balanso sudėties pokyčiai. </w:t>
      </w:r>
      <w:r w:rsidR="00637559" w:rsidRPr="002142B8">
        <w:rPr>
          <w:rFonts w:ascii="Georgia" w:hAnsi="Georgia"/>
          <w:sz w:val="20"/>
          <w:lang w:val="lt-LT"/>
        </w:rPr>
        <w:t>Iki 2025 metų</w:t>
      </w:r>
      <w:r w:rsidR="00256C31" w:rsidRPr="002142B8">
        <w:rPr>
          <w:rFonts w:ascii="Georgia" w:hAnsi="Georgia"/>
          <w:sz w:val="20"/>
          <w:lang w:val="lt-LT"/>
        </w:rPr>
        <w:t xml:space="preserve"> prognozuojama, jog biokuras sudarys apie 7</w:t>
      </w:r>
      <w:r w:rsidR="00637559" w:rsidRPr="002142B8">
        <w:rPr>
          <w:rFonts w:ascii="Georgia" w:hAnsi="Georgia"/>
          <w:sz w:val="20"/>
          <w:lang w:val="lt-LT"/>
        </w:rPr>
        <w:t>5</w:t>
      </w:r>
      <w:r w:rsidR="00325FB1" w:rsidRPr="002142B8">
        <w:rPr>
          <w:rFonts w:ascii="Georgia" w:hAnsi="Georgia"/>
          <w:sz w:val="20"/>
          <w:lang w:val="lt-LT"/>
        </w:rPr>
        <w:t>-</w:t>
      </w:r>
      <w:r w:rsidR="00325FB1" w:rsidRPr="002142B8">
        <w:rPr>
          <w:rFonts w:ascii="Georgia" w:hAnsi="Georgia"/>
          <w:sz w:val="20"/>
        </w:rPr>
        <w:t>80</w:t>
      </w:r>
      <w:r w:rsidR="00256C31" w:rsidRPr="002142B8">
        <w:rPr>
          <w:rFonts w:ascii="Georgia" w:hAnsi="Georgia"/>
          <w:sz w:val="20"/>
          <w:lang w:val="lt-LT"/>
        </w:rPr>
        <w:t>% viso centralizuotos šilumos gamyboje</w:t>
      </w:r>
      <w:r w:rsidR="00637559" w:rsidRPr="002142B8">
        <w:rPr>
          <w:rFonts w:ascii="Georgia" w:hAnsi="Georgia"/>
          <w:sz w:val="20"/>
          <w:lang w:val="lt-LT"/>
        </w:rPr>
        <w:t>,</w:t>
      </w:r>
      <w:r w:rsidR="00256C31" w:rsidRPr="002142B8">
        <w:rPr>
          <w:rFonts w:ascii="Georgia" w:hAnsi="Georgia"/>
          <w:sz w:val="20"/>
          <w:lang w:val="lt-LT"/>
        </w:rPr>
        <w:t xml:space="preserve"> dar labiau sustiprinant šilumos kainų priklausomybė nuo biokuro</w:t>
      </w:r>
      <w:r w:rsidR="00637559" w:rsidRPr="002142B8">
        <w:rPr>
          <w:rStyle w:val="Puslapioinaosnuoroda"/>
          <w:rFonts w:ascii="Georgia" w:hAnsi="Georgia"/>
          <w:sz w:val="20"/>
          <w:lang w:val="lt-LT"/>
        </w:rPr>
        <w:footnoteReference w:id="119"/>
      </w:r>
      <w:r w:rsidR="00256C31" w:rsidRPr="002142B8">
        <w:rPr>
          <w:rFonts w:ascii="Georgia" w:hAnsi="Georgia"/>
          <w:sz w:val="20"/>
          <w:lang w:val="lt-LT"/>
        </w:rPr>
        <w:t xml:space="preserve">. </w:t>
      </w:r>
    </w:p>
    <w:p w14:paraId="533351F3" w14:textId="5A95851F" w:rsidR="0021497C" w:rsidRPr="002142B8" w:rsidRDefault="0021497C" w:rsidP="0063781D">
      <w:pPr>
        <w:pStyle w:val="Sraopastraipa"/>
        <w:numPr>
          <w:ilvl w:val="0"/>
          <w:numId w:val="77"/>
        </w:numPr>
        <w:jc w:val="both"/>
        <w:rPr>
          <w:rFonts w:ascii="Georgia" w:hAnsi="Georgia"/>
          <w:sz w:val="20"/>
          <w:lang w:val="lt-LT"/>
        </w:rPr>
      </w:pPr>
      <w:r w:rsidRPr="002142B8">
        <w:rPr>
          <w:rFonts w:ascii="Georgia" w:hAnsi="Georgia"/>
          <w:sz w:val="20"/>
          <w:lang w:val="lt-LT"/>
        </w:rPr>
        <w:t>Biokuro, gamtinių ir SGD kainų svyravimai Lietuvoje ir pasaulyje.</w:t>
      </w:r>
      <w:r w:rsidR="00256C31" w:rsidRPr="002142B8">
        <w:rPr>
          <w:rFonts w:ascii="Georgia" w:hAnsi="Georgia"/>
          <w:sz w:val="20"/>
          <w:lang w:val="lt-LT"/>
        </w:rPr>
        <w:t xml:space="preserve"> </w:t>
      </w:r>
      <w:r w:rsidR="00637559" w:rsidRPr="002142B8">
        <w:rPr>
          <w:rFonts w:ascii="Georgia" w:hAnsi="Georgia"/>
          <w:sz w:val="20"/>
          <w:lang w:val="lt-LT"/>
        </w:rPr>
        <w:t>Remiantis Pasaulinio Banko gamtinių dujų prognoze 2017-2023 m. laikotarpiu, numatomas 3,1% kasmetinis gamtinių dujų kainos augimas ir 2,1%  - SGD kainos augimas</w:t>
      </w:r>
      <w:r w:rsidR="00B34B72" w:rsidRPr="002142B8">
        <w:rPr>
          <w:rStyle w:val="Puslapioinaosnuoroda"/>
          <w:rFonts w:ascii="Georgia" w:hAnsi="Georgia"/>
          <w:sz w:val="20"/>
          <w:lang w:val="lt-LT"/>
        </w:rPr>
        <w:footnoteReference w:id="120"/>
      </w:r>
      <w:r w:rsidR="00637559" w:rsidRPr="002142B8">
        <w:rPr>
          <w:rFonts w:ascii="Georgia" w:hAnsi="Georgia"/>
          <w:sz w:val="20"/>
          <w:lang w:val="lt-LT"/>
        </w:rPr>
        <w:t xml:space="preserve">. Tuo tarpu pagal 2013 metais atliktą biokuro potencialo studiją Lietuvoje, numatoma jog medienos skiedrų kaina 2025 metais pagal prognozuojamą paklausą ir pasiūlą turėtų siekti bent 220 eurus/tne, arba 3,2% kasmetinį augimą nuo esamos Baltpool biokuro kainos lapkričio mėn. </w:t>
      </w:r>
      <w:r w:rsidR="00B34B72" w:rsidRPr="002142B8">
        <w:rPr>
          <w:rStyle w:val="Puslapioinaosnuoroda"/>
          <w:rFonts w:ascii="Georgia" w:hAnsi="Georgia"/>
          <w:sz w:val="20"/>
          <w:lang w:val="lt-LT"/>
        </w:rPr>
        <w:footnoteReference w:id="121"/>
      </w:r>
      <w:r w:rsidR="00637559" w:rsidRPr="002142B8">
        <w:rPr>
          <w:rFonts w:ascii="Georgia" w:hAnsi="Georgia"/>
          <w:sz w:val="20"/>
          <w:lang w:val="lt-LT"/>
        </w:rPr>
        <w:t xml:space="preserve"> </w:t>
      </w:r>
      <w:r w:rsidRPr="002142B8">
        <w:rPr>
          <w:rFonts w:ascii="Georgia" w:hAnsi="Georgia"/>
          <w:sz w:val="20"/>
          <w:lang w:val="lt-LT"/>
        </w:rPr>
        <w:t xml:space="preserve"> </w:t>
      </w:r>
    </w:p>
    <w:p w14:paraId="4ED4DD85" w14:textId="35D45292" w:rsidR="000D71A1" w:rsidRPr="002142B8" w:rsidRDefault="0061566A" w:rsidP="0063781D">
      <w:pPr>
        <w:pStyle w:val="Sraopastraipa"/>
        <w:numPr>
          <w:ilvl w:val="0"/>
          <w:numId w:val="77"/>
        </w:numPr>
        <w:jc w:val="both"/>
        <w:rPr>
          <w:rFonts w:ascii="Georgia" w:hAnsi="Georgia"/>
          <w:sz w:val="20"/>
          <w:lang w:val="lt-LT"/>
        </w:rPr>
      </w:pPr>
      <w:r w:rsidRPr="002142B8">
        <w:rPr>
          <w:rFonts w:ascii="Georgia" w:hAnsi="Georgia"/>
          <w:sz w:val="20"/>
          <w:lang w:val="lt-LT"/>
        </w:rPr>
        <w:t>JAV d</w:t>
      </w:r>
      <w:r w:rsidR="00C15C81" w:rsidRPr="002142B8">
        <w:rPr>
          <w:rFonts w:ascii="Georgia" w:hAnsi="Georgia"/>
          <w:sz w:val="20"/>
          <w:lang w:val="lt-LT"/>
        </w:rPr>
        <w:t xml:space="preserve">olerio kurso pokytis euro atžvilgiu. </w:t>
      </w:r>
      <w:r w:rsidR="0021497C" w:rsidRPr="002142B8">
        <w:rPr>
          <w:rFonts w:ascii="Georgia" w:hAnsi="Georgia"/>
          <w:sz w:val="20"/>
          <w:lang w:val="lt-LT"/>
        </w:rPr>
        <w:t xml:space="preserve">Tikėtina, jog </w:t>
      </w:r>
      <w:r w:rsidRPr="002142B8">
        <w:rPr>
          <w:rFonts w:ascii="Georgia" w:hAnsi="Georgia"/>
          <w:sz w:val="20"/>
          <w:lang w:val="lt-LT"/>
        </w:rPr>
        <w:t xml:space="preserve">JAV </w:t>
      </w:r>
      <w:r w:rsidR="0021497C" w:rsidRPr="002142B8">
        <w:rPr>
          <w:rFonts w:ascii="Georgia" w:hAnsi="Georgia"/>
          <w:sz w:val="20"/>
          <w:lang w:val="lt-LT"/>
        </w:rPr>
        <w:t xml:space="preserve">dolerio ir euro santykis artimiausiu metu išliks panašus, tačiau ilgesniu laikotarpiu blogesnės ekonominės ar politinės naujienos vienoje ar kitoje pusėje gali šį santykį smarkiai pakoreguoti. </w:t>
      </w:r>
      <w:r w:rsidRPr="002142B8">
        <w:rPr>
          <w:rFonts w:ascii="Georgia" w:hAnsi="Georgia"/>
          <w:sz w:val="20"/>
          <w:lang w:val="lt-LT"/>
        </w:rPr>
        <w:t>JAV d</w:t>
      </w:r>
      <w:r w:rsidR="0021497C" w:rsidRPr="002142B8">
        <w:rPr>
          <w:rFonts w:ascii="Georgia" w:hAnsi="Georgia"/>
          <w:sz w:val="20"/>
          <w:lang w:val="lt-LT"/>
        </w:rPr>
        <w:t>oleriui sustiprėjus, kiltų naftos, gamtinių dujų ir SGD kaina Lietuvoje.</w:t>
      </w:r>
      <w:r w:rsidR="00C15C81" w:rsidRPr="002142B8">
        <w:rPr>
          <w:rFonts w:ascii="Georgia" w:hAnsi="Georgia"/>
          <w:sz w:val="20"/>
          <w:lang w:val="lt-LT"/>
        </w:rPr>
        <w:t xml:space="preserve"> </w:t>
      </w:r>
      <w:r w:rsidR="00D704C4" w:rsidRPr="002142B8">
        <w:rPr>
          <w:rFonts w:ascii="Georgia" w:hAnsi="Georgia"/>
          <w:sz w:val="20"/>
          <w:lang w:val="lt-LT"/>
        </w:rPr>
        <w:t>Darom</w:t>
      </w:r>
      <w:r w:rsidRPr="002142B8">
        <w:rPr>
          <w:rFonts w:ascii="Georgia" w:hAnsi="Georgia"/>
          <w:sz w:val="20"/>
          <w:lang w:val="lt-LT"/>
        </w:rPr>
        <w:t>e</w:t>
      </w:r>
      <w:r w:rsidR="00D704C4" w:rsidRPr="002142B8">
        <w:rPr>
          <w:rFonts w:ascii="Georgia" w:hAnsi="Georgia"/>
          <w:sz w:val="20"/>
          <w:lang w:val="lt-LT"/>
        </w:rPr>
        <w:t xml:space="preserve"> prielaida, jog valiutų kursai išsilaikys esamame lygyje.</w:t>
      </w:r>
    </w:p>
    <w:p w14:paraId="20FEBCCC" w14:textId="6EADE865" w:rsidR="000D71A1" w:rsidRPr="002142B8" w:rsidRDefault="000D71A1" w:rsidP="0063781D">
      <w:pPr>
        <w:pStyle w:val="Sraopastraipa"/>
        <w:numPr>
          <w:ilvl w:val="0"/>
          <w:numId w:val="77"/>
        </w:numPr>
        <w:jc w:val="both"/>
        <w:rPr>
          <w:rFonts w:ascii="Georgia" w:hAnsi="Georgia"/>
          <w:sz w:val="20"/>
          <w:lang w:val="lt-LT"/>
        </w:rPr>
      </w:pPr>
      <w:r w:rsidRPr="002142B8">
        <w:rPr>
          <w:rFonts w:ascii="Georgia" w:hAnsi="Georgia"/>
          <w:sz w:val="20"/>
          <w:lang w:val="lt-LT"/>
        </w:rPr>
        <w:t xml:space="preserve">PVM tarifas. Taip pat svarbu paminėti, jog nuo </w:t>
      </w:r>
      <w:r w:rsidR="0061566A" w:rsidRPr="002142B8">
        <w:rPr>
          <w:rFonts w:ascii="Georgia" w:hAnsi="Georgia"/>
          <w:sz w:val="20"/>
          <w:lang w:val="lt-LT"/>
        </w:rPr>
        <w:t xml:space="preserve">2017 m. </w:t>
      </w:r>
      <w:r w:rsidRPr="002142B8">
        <w:rPr>
          <w:rFonts w:ascii="Georgia" w:hAnsi="Georgia"/>
          <w:sz w:val="20"/>
          <w:lang w:val="lt-LT"/>
        </w:rPr>
        <w:t>spalio 1 d. galutiniams šilumos vartotojams buvo</w:t>
      </w:r>
      <w:r w:rsidR="00ED4ADE" w:rsidRPr="002142B8">
        <w:rPr>
          <w:rFonts w:ascii="Georgia" w:hAnsi="Georgia"/>
          <w:sz w:val="20"/>
          <w:lang w:val="lt-LT"/>
        </w:rPr>
        <w:t xml:space="preserve"> vėl pradėtas taikyti lengvatinis 9 proc. </w:t>
      </w:r>
      <w:r w:rsidRPr="002142B8">
        <w:rPr>
          <w:rFonts w:ascii="Georgia" w:hAnsi="Georgia"/>
          <w:sz w:val="20"/>
          <w:lang w:val="lt-LT"/>
        </w:rPr>
        <w:t xml:space="preserve">PVM tarifas. </w:t>
      </w:r>
      <w:r w:rsidR="00587A9E" w:rsidRPr="002142B8">
        <w:rPr>
          <w:rFonts w:ascii="Georgia" w:hAnsi="Georgia"/>
          <w:sz w:val="20"/>
          <w:lang w:val="lt-LT"/>
        </w:rPr>
        <w:t xml:space="preserve">Pagal </w:t>
      </w:r>
      <w:r w:rsidR="00D721F3" w:rsidRPr="002142B8">
        <w:rPr>
          <w:rFonts w:ascii="Georgia" w:hAnsi="Georgia"/>
          <w:sz w:val="20"/>
          <w:lang w:val="lt-LT"/>
        </w:rPr>
        <w:t xml:space="preserve">2017 m. lapkričio 20 d. </w:t>
      </w:r>
      <w:r w:rsidR="00587A9E" w:rsidRPr="002142B8">
        <w:rPr>
          <w:rFonts w:ascii="Georgia" w:hAnsi="Georgia"/>
          <w:sz w:val="20"/>
          <w:lang w:val="lt-LT"/>
        </w:rPr>
        <w:t>PVM įstatymo Nr.IX-751</w:t>
      </w:r>
      <w:r w:rsidR="00712190" w:rsidRPr="002142B8">
        <w:rPr>
          <w:rFonts w:ascii="Georgia" w:hAnsi="Georgia"/>
          <w:sz w:val="20"/>
          <w:lang w:val="lt-LT"/>
        </w:rPr>
        <w:t xml:space="preserve"> pakeitimą</w:t>
      </w:r>
      <w:r w:rsidR="00D721F3" w:rsidRPr="002142B8">
        <w:rPr>
          <w:rFonts w:ascii="Georgia" w:hAnsi="Georgia"/>
          <w:sz w:val="20"/>
          <w:lang w:val="lt-LT"/>
        </w:rPr>
        <w:t>,</w:t>
      </w:r>
      <w:r w:rsidR="00587A9E" w:rsidRPr="002142B8">
        <w:rPr>
          <w:rFonts w:ascii="Georgia" w:hAnsi="Georgia"/>
          <w:sz w:val="20"/>
          <w:lang w:val="lt-LT"/>
        </w:rPr>
        <w:t xml:space="preserve"> </w:t>
      </w:r>
      <w:r w:rsidR="004B21E6" w:rsidRPr="002142B8">
        <w:rPr>
          <w:rFonts w:ascii="Georgia" w:hAnsi="Georgia"/>
          <w:sz w:val="20"/>
          <w:lang w:val="lt-LT"/>
        </w:rPr>
        <w:t>n</w:t>
      </w:r>
      <w:r w:rsidRPr="002142B8">
        <w:rPr>
          <w:rFonts w:ascii="Georgia" w:hAnsi="Georgia"/>
          <w:sz w:val="20"/>
          <w:lang w:val="lt-LT"/>
        </w:rPr>
        <w:t>uo 2018 m. sausio 1 d. šis PVM tarifas</w:t>
      </w:r>
      <w:r w:rsidR="00191963" w:rsidRPr="002142B8">
        <w:rPr>
          <w:rFonts w:ascii="Georgia" w:hAnsi="Georgia"/>
          <w:sz w:val="20"/>
          <w:lang w:val="lt-LT"/>
        </w:rPr>
        <w:t xml:space="preserve"> </w:t>
      </w:r>
      <w:r w:rsidR="00587A9E" w:rsidRPr="002142B8">
        <w:rPr>
          <w:rFonts w:ascii="Georgia" w:hAnsi="Georgia"/>
          <w:sz w:val="20"/>
          <w:lang w:val="lt-LT"/>
        </w:rPr>
        <w:t xml:space="preserve">išliks </w:t>
      </w:r>
      <w:r w:rsidR="004B21E6" w:rsidRPr="002142B8">
        <w:rPr>
          <w:rFonts w:ascii="Georgia" w:hAnsi="Georgia"/>
          <w:sz w:val="20"/>
          <w:lang w:val="lt-LT"/>
        </w:rPr>
        <w:t xml:space="preserve">ties 9 </w:t>
      </w:r>
      <w:r w:rsidR="004B21E6" w:rsidRPr="002142B8">
        <w:rPr>
          <w:rFonts w:ascii="Georgia" w:hAnsi="Georgia"/>
          <w:sz w:val="20"/>
          <w:lang w:val="lt-LT"/>
        </w:rPr>
        <w:lastRenderedPageBreak/>
        <w:t>proc. neri</w:t>
      </w:r>
      <w:r w:rsidR="00A532C8" w:rsidRPr="002142B8">
        <w:rPr>
          <w:rFonts w:ascii="Georgia" w:hAnsi="Georgia"/>
          <w:sz w:val="20"/>
          <w:lang w:val="lt-LT"/>
        </w:rPr>
        <w:t>botam laikui, todėl</w:t>
      </w:r>
      <w:r w:rsidRPr="002142B8">
        <w:rPr>
          <w:rFonts w:ascii="Georgia" w:hAnsi="Georgia"/>
          <w:sz w:val="20"/>
          <w:lang w:val="lt-LT"/>
        </w:rPr>
        <w:t xml:space="preserve"> </w:t>
      </w:r>
      <w:r w:rsidR="00A532C8" w:rsidRPr="002142B8">
        <w:rPr>
          <w:rFonts w:ascii="Georgia" w:hAnsi="Georgia"/>
          <w:sz w:val="20"/>
          <w:lang w:val="lt-LT"/>
        </w:rPr>
        <w:t xml:space="preserve">skaičiavimuose </w:t>
      </w:r>
      <w:r w:rsidRPr="002142B8">
        <w:rPr>
          <w:rFonts w:ascii="Georgia" w:hAnsi="Georgia"/>
          <w:sz w:val="20"/>
          <w:lang w:val="lt-LT"/>
        </w:rPr>
        <w:t xml:space="preserve">daroma prielaida, jog šis PVM tarifas </w:t>
      </w:r>
      <w:r w:rsidR="00D721F3" w:rsidRPr="002142B8">
        <w:rPr>
          <w:rFonts w:ascii="Georgia" w:hAnsi="Georgia"/>
          <w:sz w:val="20"/>
          <w:lang w:val="lt-LT"/>
        </w:rPr>
        <w:t xml:space="preserve">nesikeis </w:t>
      </w:r>
      <w:r w:rsidRPr="002142B8">
        <w:rPr>
          <w:rFonts w:ascii="Georgia" w:hAnsi="Georgia"/>
          <w:sz w:val="20"/>
          <w:lang w:val="lt-LT"/>
        </w:rPr>
        <w:t>iki 2023 metų galo.</w:t>
      </w:r>
    </w:p>
    <w:p w14:paraId="6DA0542A" w14:textId="168BB980" w:rsidR="00C15C81" w:rsidRPr="002142B8" w:rsidRDefault="000D71A1" w:rsidP="00F91954">
      <w:pPr>
        <w:jc w:val="both"/>
        <w:rPr>
          <w:rFonts w:ascii="Georgia" w:hAnsi="Georgia"/>
          <w:sz w:val="20"/>
          <w:lang w:val="lt-LT"/>
        </w:rPr>
      </w:pPr>
      <w:r w:rsidRPr="002142B8">
        <w:rPr>
          <w:rFonts w:ascii="Georgia" w:hAnsi="Georgia"/>
          <w:sz w:val="20"/>
          <w:lang w:val="lt-LT"/>
        </w:rPr>
        <w:t>Galima daryti prielaidą, jog</w:t>
      </w:r>
      <w:r w:rsidR="00C15C81" w:rsidRPr="002142B8">
        <w:rPr>
          <w:rFonts w:ascii="Georgia" w:hAnsi="Georgia"/>
          <w:sz w:val="20"/>
          <w:lang w:val="lt-LT"/>
        </w:rPr>
        <w:t xml:space="preserve"> kintamoji šilumos kainos dedamoji (biokuro ir SGD kainos) ir pastovioji dedamoji (investicinė grąža, veiklos sąnaudos ir kt.) iki 2023 metų augs apie </w:t>
      </w:r>
      <w:r w:rsidRPr="002142B8">
        <w:rPr>
          <w:rFonts w:ascii="Georgia" w:hAnsi="Georgia"/>
          <w:sz w:val="20"/>
          <w:lang w:val="lt-LT"/>
        </w:rPr>
        <w:t>1</w:t>
      </w:r>
      <w:r w:rsidR="00C15C81" w:rsidRPr="002142B8">
        <w:rPr>
          <w:rFonts w:ascii="Georgia" w:hAnsi="Georgia"/>
          <w:sz w:val="20"/>
          <w:lang w:val="lt-LT"/>
        </w:rPr>
        <w:t>-3%</w:t>
      </w:r>
      <w:r w:rsidRPr="002142B8">
        <w:rPr>
          <w:rFonts w:ascii="Georgia" w:hAnsi="Georgia"/>
          <w:sz w:val="20"/>
          <w:lang w:val="lt-LT"/>
        </w:rPr>
        <w:t>, priklausomai nuo aukščiau išvardintų prognozuojamų veiksnių poveikio</w:t>
      </w:r>
      <w:r w:rsidR="00C15C81" w:rsidRPr="002142B8">
        <w:rPr>
          <w:rFonts w:ascii="Georgia" w:hAnsi="Georgia"/>
          <w:sz w:val="20"/>
          <w:lang w:val="lt-LT"/>
        </w:rPr>
        <w:t xml:space="preserve">. </w:t>
      </w:r>
      <w:r w:rsidRPr="002142B8">
        <w:rPr>
          <w:rFonts w:ascii="Georgia" w:hAnsi="Georgia"/>
          <w:sz w:val="20"/>
          <w:lang w:val="lt-LT"/>
        </w:rPr>
        <w:t>Ska</w:t>
      </w:r>
      <w:r w:rsidR="00660FB3" w:rsidRPr="002142B8">
        <w:rPr>
          <w:rFonts w:ascii="Georgia" w:hAnsi="Georgia"/>
          <w:sz w:val="20"/>
          <w:lang w:val="lt-LT"/>
        </w:rPr>
        <w:t>i</w:t>
      </w:r>
      <w:r w:rsidRPr="002142B8">
        <w:rPr>
          <w:rFonts w:ascii="Georgia" w:hAnsi="Georgia"/>
          <w:sz w:val="20"/>
          <w:lang w:val="lt-LT"/>
        </w:rPr>
        <w:t xml:space="preserve">čiavimuose žemiau </w:t>
      </w:r>
      <w:r w:rsidR="00FE5176" w:rsidRPr="002142B8">
        <w:rPr>
          <w:rFonts w:ascii="Georgia" w:hAnsi="Georgia"/>
          <w:sz w:val="20"/>
          <w:lang w:val="lt-LT"/>
        </w:rPr>
        <w:t xml:space="preserve">naudojamas </w:t>
      </w:r>
      <w:r w:rsidRPr="002142B8">
        <w:rPr>
          <w:rFonts w:ascii="Georgia" w:hAnsi="Georgia"/>
          <w:sz w:val="20"/>
          <w:lang w:val="lt-LT"/>
        </w:rPr>
        <w:t xml:space="preserve">2 proc. </w:t>
      </w:r>
      <w:r w:rsidR="00FE5176" w:rsidRPr="002142B8">
        <w:rPr>
          <w:rFonts w:ascii="Georgia" w:hAnsi="Georgia"/>
          <w:sz w:val="20"/>
          <w:lang w:val="lt-LT"/>
        </w:rPr>
        <w:t xml:space="preserve">vidutinis </w:t>
      </w:r>
      <w:r w:rsidRPr="002142B8">
        <w:rPr>
          <w:rFonts w:ascii="Georgia" w:hAnsi="Georgia"/>
          <w:sz w:val="20"/>
          <w:lang w:val="lt-LT"/>
        </w:rPr>
        <w:t xml:space="preserve">šilumos kainos augimo </w:t>
      </w:r>
      <w:r w:rsidR="00FE5176" w:rsidRPr="002142B8">
        <w:rPr>
          <w:rFonts w:ascii="Georgia" w:hAnsi="Georgia"/>
          <w:sz w:val="20"/>
          <w:lang w:val="lt-LT"/>
        </w:rPr>
        <w:t xml:space="preserve">tempas </w:t>
      </w:r>
      <w:r w:rsidRPr="002142B8">
        <w:rPr>
          <w:rFonts w:ascii="Georgia" w:hAnsi="Georgia"/>
          <w:sz w:val="20"/>
          <w:lang w:val="lt-LT"/>
        </w:rPr>
        <w:t>2017 – 2023 metų laikotarpiu.</w:t>
      </w:r>
    </w:p>
    <w:tbl>
      <w:tblPr>
        <w:tblStyle w:val="Lentelstinklelis"/>
        <w:tblW w:w="0" w:type="auto"/>
        <w:shd w:val="clear" w:color="auto" w:fill="FDE9D9" w:themeFill="accent6" w:themeFillTint="33"/>
        <w:tblLook w:val="04A0" w:firstRow="1" w:lastRow="0" w:firstColumn="1" w:lastColumn="0" w:noHBand="0" w:noVBand="1"/>
      </w:tblPr>
      <w:tblGrid>
        <w:gridCol w:w="9242"/>
      </w:tblGrid>
      <w:tr w:rsidR="004456F5" w:rsidRPr="002142B8" w14:paraId="37F3A02D" w14:textId="77777777" w:rsidTr="005B31C6">
        <w:tc>
          <w:tcPr>
            <w:tcW w:w="9242" w:type="dxa"/>
            <w:shd w:val="clear" w:color="auto" w:fill="FDE9D9" w:themeFill="accent6" w:themeFillTint="33"/>
          </w:tcPr>
          <w:p w14:paraId="523AE1C2" w14:textId="5F452F8A" w:rsidR="004456F5" w:rsidRPr="002142B8" w:rsidRDefault="004456F5" w:rsidP="0063781D">
            <w:pPr>
              <w:jc w:val="both"/>
              <w:rPr>
                <w:rFonts w:ascii="Georgia" w:hAnsi="Georgia"/>
                <w:sz w:val="20"/>
                <w:lang w:val="lt-LT"/>
              </w:rPr>
            </w:pPr>
            <w:r w:rsidRPr="002142B8">
              <w:rPr>
                <w:rFonts w:ascii="Georgia" w:hAnsi="Georgia"/>
                <w:sz w:val="20"/>
                <w:lang w:val="lt-LT"/>
              </w:rPr>
              <w:t>Remiantis galiojančia šilumos kainų nustatymo metodika</w:t>
            </w:r>
            <w:r w:rsidRPr="002142B8">
              <w:rPr>
                <w:rStyle w:val="Puslapioinaosnuoroda"/>
                <w:rFonts w:ascii="Georgia" w:hAnsi="Georgia"/>
                <w:sz w:val="20"/>
                <w:lang w:val="lt-LT"/>
              </w:rPr>
              <w:footnoteReference w:id="122"/>
            </w:r>
            <w:r w:rsidRPr="002142B8">
              <w:rPr>
                <w:rFonts w:ascii="Georgia" w:hAnsi="Georgia"/>
                <w:sz w:val="20"/>
                <w:lang w:val="lt-LT"/>
              </w:rPr>
              <w:t>, ilgalaikio turto vertės dalį, sukurtą už ES struktūrinių fondų lėšas, dotacijas ir subsidijas yra draudžiama įtraukti į šilumos kainų tarifus, todėl investicijų sąnaudos statant naujas biokurą naudojančias elektrines, kurios nemaža dalimi subsidijuojamos ES paramos ir dotacijų lėšomis neatsispindi šilumos kainose. Per 2012-2016 metų laikotarpį ES lėšos ir kitos dotacijos, subsidijos sudarė apie 26% (arba 71 mln. eurų) visų šilumos energijos įmonių investicijų. Planuojamo Vilniaus kogeneracinės projekto statybos kaštų dalis, finansuojama ES lėšomis gali sudaryti apie 40%, todėl tikėtina kad tai dar labiau mažins šilumos kain</w:t>
            </w:r>
            <w:r w:rsidR="00FE5176" w:rsidRPr="002142B8">
              <w:rPr>
                <w:rFonts w:ascii="Georgia" w:hAnsi="Georgia"/>
                <w:sz w:val="20"/>
                <w:lang w:val="lt-LT"/>
              </w:rPr>
              <w:t>ą</w:t>
            </w:r>
            <w:r w:rsidRPr="002142B8">
              <w:rPr>
                <w:rFonts w:ascii="Georgia" w:hAnsi="Georgia"/>
                <w:sz w:val="20"/>
                <w:lang w:val="lt-LT"/>
              </w:rPr>
              <w:t xml:space="preserve"> artimuoju laikotarpiu. Vis dėlto ilgesnėje perspektyvoje sumažėjus ES paramai, tikėtina, jog investicijos bus vykdomos įmonių nuosavomis ar skolintomis lėšomis ir atsispindės šilumos kainoje. Taip pat vertėtų apsvarstyti uždavinių veiksmų programoje suderinamumą, siekiant skatinti energinį efektyvumą ir didinti alternatyvių energijos išteklių panaudojimą, nes šilumos kainos subsidijavimas per biokuro projektus mažina daugiabučių, viešųjų pastatų ir gatvių apšvietimo renovacijos projektų patrauklumą.</w:t>
            </w:r>
          </w:p>
        </w:tc>
      </w:tr>
    </w:tbl>
    <w:p w14:paraId="2B712950" w14:textId="5255BB5B" w:rsidR="004456F5" w:rsidRPr="002142B8" w:rsidRDefault="004456F5" w:rsidP="00C15C81">
      <w:pPr>
        <w:rPr>
          <w:rFonts w:ascii="Georgia" w:hAnsi="Georgia"/>
          <w:sz w:val="20"/>
          <w:lang w:val="lt-LT"/>
        </w:rPr>
      </w:pPr>
    </w:p>
    <w:p w14:paraId="7DC61A93" w14:textId="77777777" w:rsidR="0032111C" w:rsidRPr="002142B8" w:rsidRDefault="0032111C" w:rsidP="0032111C">
      <w:pPr>
        <w:pStyle w:val="Antrat2"/>
        <w:numPr>
          <w:ilvl w:val="2"/>
          <w:numId w:val="2"/>
        </w:numPr>
        <w:rPr>
          <w:lang w:val="lt-LT"/>
        </w:rPr>
      </w:pPr>
      <w:bookmarkStart w:id="145" w:name="_Toc25589921"/>
      <w:r w:rsidRPr="002142B8">
        <w:rPr>
          <w:lang w:val="lt-LT"/>
        </w:rPr>
        <w:t>Daugiabučių modernizavimo jautrumo analizė</w:t>
      </w:r>
      <w:bookmarkEnd w:id="145"/>
    </w:p>
    <w:p w14:paraId="33F686DE" w14:textId="77777777" w:rsidR="0032111C" w:rsidRPr="002142B8" w:rsidRDefault="0032111C" w:rsidP="0032111C">
      <w:pPr>
        <w:jc w:val="both"/>
        <w:rPr>
          <w:rFonts w:ascii="Georgia" w:hAnsi="Georgia"/>
          <w:sz w:val="20"/>
          <w:lang w:val="lt-LT"/>
        </w:rPr>
      </w:pPr>
    </w:p>
    <w:p w14:paraId="13A0CA18" w14:textId="45171611" w:rsidR="0032111C" w:rsidRPr="002142B8" w:rsidRDefault="0032111C" w:rsidP="0032111C">
      <w:pPr>
        <w:jc w:val="both"/>
        <w:rPr>
          <w:rFonts w:ascii="Georgia" w:hAnsi="Georgia"/>
          <w:sz w:val="20"/>
          <w:lang w:val="lt-LT"/>
        </w:rPr>
      </w:pPr>
      <w:r w:rsidRPr="002142B8">
        <w:rPr>
          <w:rFonts w:ascii="Georgia" w:hAnsi="Georgia"/>
          <w:sz w:val="20"/>
          <w:lang w:val="lt-LT"/>
        </w:rPr>
        <w:t xml:space="preserve">Siekiant išsiaiškinti, ar daugiabučių </w:t>
      </w:r>
      <w:r w:rsidR="00A136CD" w:rsidRPr="002142B8">
        <w:rPr>
          <w:rFonts w:ascii="Georgia" w:hAnsi="Georgia"/>
          <w:sz w:val="20"/>
          <w:lang w:val="lt-LT"/>
        </w:rPr>
        <w:t>namų</w:t>
      </w:r>
      <w:r w:rsidRPr="002142B8">
        <w:rPr>
          <w:rFonts w:ascii="Georgia" w:hAnsi="Georgia"/>
          <w:sz w:val="20"/>
          <w:lang w:val="lt-LT"/>
        </w:rPr>
        <w:t xml:space="preserve"> renovacijos finansavimui, teikiant lengvatines paskolas, yra reikalinga subsidija tam, kad investicijos pastato renovacijai atsipirktų per paskolos laikotarpį, buvo atlikta jautrumo analizė.</w:t>
      </w:r>
    </w:p>
    <w:p w14:paraId="1A75AD39" w14:textId="77777777" w:rsidR="0032111C" w:rsidRPr="002142B8" w:rsidRDefault="0032111C" w:rsidP="0032111C">
      <w:pPr>
        <w:jc w:val="both"/>
        <w:rPr>
          <w:rFonts w:ascii="Georgia" w:hAnsi="Georgia"/>
          <w:sz w:val="20"/>
          <w:lang w:val="lt-LT"/>
        </w:rPr>
      </w:pPr>
      <w:r w:rsidRPr="002142B8">
        <w:rPr>
          <w:rFonts w:ascii="Georgia" w:hAnsi="Georgia"/>
          <w:sz w:val="20"/>
          <w:lang w:val="lt-LT"/>
        </w:rPr>
        <w:t>Atskiri Lietuvos regionai pagal vartojamos energijos rūšį ar mokamą šilumos kainą nėra išskiriami, kadangi nėra planuojama taikyti atskirų subsidijavimo schemų. Visgi reiktų paminėti, kad pagal VKEKK skelbiamus duomenis šilumos didžiausia ir mažiausia šilumos kaina skirtinguose Lietuvos miestuose skiriasi daugiau nei du kartus (pvz., 2017 m. lapkričio mėn. mažiausia kaina buvo Utenoje – 4,24 ct/kWh su PVM, o tuo pačiu metu Biržuose šilumos energija kainavo – 9,21 ct/kWh su PVM).</w:t>
      </w:r>
      <w:r w:rsidRPr="002142B8">
        <w:rPr>
          <w:rStyle w:val="Puslapioinaosnuoroda"/>
          <w:rFonts w:ascii="Georgia" w:hAnsi="Georgia"/>
          <w:sz w:val="20"/>
          <w:lang w:val="lt-LT"/>
        </w:rPr>
        <w:footnoteReference w:id="123"/>
      </w:r>
    </w:p>
    <w:p w14:paraId="2F832785" w14:textId="447569C4" w:rsidR="0032111C" w:rsidRPr="002142B8" w:rsidRDefault="0032111C" w:rsidP="0032111C">
      <w:pPr>
        <w:jc w:val="both"/>
        <w:rPr>
          <w:rFonts w:ascii="Georgia" w:hAnsi="Georgia"/>
          <w:sz w:val="20"/>
          <w:lang w:val="lt-LT"/>
        </w:rPr>
      </w:pPr>
      <w:r w:rsidRPr="002142B8">
        <w:rPr>
          <w:rFonts w:ascii="Georgia" w:hAnsi="Georgia"/>
          <w:sz w:val="20"/>
          <w:lang w:val="lt-LT"/>
        </w:rPr>
        <w:t>Taip pat labai svarbu atkreipti dėmesį į prielaidą dėl šilumos energijos sutaupymo įgyvendinus projektą, kadangi, vadovaujantis galiojančiais teisės aktais, siekiant gauti valstybės paramą po renovacijos</w:t>
      </w:r>
      <w:r w:rsidR="00A136CD" w:rsidRPr="002142B8">
        <w:rPr>
          <w:rFonts w:ascii="Georgia" w:hAnsi="Georgia"/>
          <w:sz w:val="20"/>
          <w:lang w:val="lt-LT"/>
        </w:rPr>
        <w:t>,</w:t>
      </w:r>
      <w:r w:rsidRPr="002142B8">
        <w:rPr>
          <w:rFonts w:ascii="Georgia" w:hAnsi="Georgia"/>
          <w:sz w:val="20"/>
          <w:lang w:val="lt-LT"/>
        </w:rPr>
        <w:t xml:space="preserve"> namo suvartojamos šilumos energijos sąnaudos turi būti sumažintos ne mažiau kaip 40 proc. Remiantis 2017 m. BETA atlikto energinio audito duomenimis (audito apimtis -  574 daugiabučiai namai, atnaujinti 2015 metais), daugiau kaip pusėje vertintų atnaujintų daugiabučių namų po renovacijos sutaupoma nuo 50 iki 70 proc. šilumos energijos, ir net 11 proc. namų sutaupymai siekia nuo 70 proc. iki 87 proc</w:t>
      </w:r>
      <w:r w:rsidRPr="002142B8">
        <w:rPr>
          <w:rStyle w:val="Puslapioinaosnuoroda"/>
          <w:rFonts w:ascii="Georgia" w:hAnsi="Georgia"/>
          <w:sz w:val="20"/>
          <w:lang w:val="lt-LT"/>
        </w:rPr>
        <w:footnoteReference w:id="124"/>
      </w:r>
      <w:r w:rsidRPr="002142B8">
        <w:rPr>
          <w:rFonts w:ascii="Georgia" w:hAnsi="Georgia"/>
          <w:sz w:val="20"/>
          <w:lang w:val="lt-LT"/>
        </w:rPr>
        <w:t xml:space="preserve">.  </w:t>
      </w:r>
      <w:r w:rsidR="00A136CD" w:rsidRPr="002142B8">
        <w:rPr>
          <w:rFonts w:ascii="Georgia" w:hAnsi="Georgia"/>
          <w:sz w:val="20"/>
          <w:lang w:val="lt-LT"/>
        </w:rPr>
        <w:t>Taigi v</w:t>
      </w:r>
      <w:r w:rsidRPr="002142B8">
        <w:rPr>
          <w:rFonts w:ascii="Georgia" w:hAnsi="Georgia"/>
          <w:sz w:val="20"/>
          <w:lang w:val="lt-LT"/>
        </w:rPr>
        <w:t>idutiniškai</w:t>
      </w:r>
      <w:r w:rsidR="00302F74" w:rsidRPr="002142B8">
        <w:rPr>
          <w:rFonts w:ascii="Georgia" w:hAnsi="Georgia"/>
          <w:sz w:val="20"/>
          <w:lang w:val="lt-LT"/>
        </w:rPr>
        <w:t>,</w:t>
      </w:r>
      <w:r w:rsidRPr="002142B8">
        <w:rPr>
          <w:rFonts w:ascii="Georgia" w:hAnsi="Georgia"/>
          <w:sz w:val="20"/>
          <w:lang w:val="lt-LT"/>
        </w:rPr>
        <w:t xml:space="preserve"> BETA duomenimis</w:t>
      </w:r>
      <w:r w:rsidR="00302F74" w:rsidRPr="002142B8">
        <w:rPr>
          <w:rFonts w:ascii="Georgia" w:hAnsi="Georgia"/>
          <w:sz w:val="20"/>
          <w:lang w:val="lt-LT"/>
        </w:rPr>
        <w:t>,</w:t>
      </w:r>
      <w:r w:rsidRPr="002142B8">
        <w:rPr>
          <w:rFonts w:ascii="Georgia" w:hAnsi="Georgia"/>
          <w:sz w:val="20"/>
          <w:lang w:val="lt-LT"/>
        </w:rPr>
        <w:t xml:space="preserve"> daugiabutis </w:t>
      </w:r>
      <w:r w:rsidR="00302F74" w:rsidRPr="002142B8">
        <w:rPr>
          <w:rFonts w:ascii="Georgia" w:hAnsi="Georgia"/>
          <w:sz w:val="20"/>
          <w:lang w:val="lt-LT"/>
        </w:rPr>
        <w:t xml:space="preserve">namas </w:t>
      </w:r>
      <w:r w:rsidRPr="002142B8">
        <w:rPr>
          <w:rFonts w:ascii="Georgia" w:hAnsi="Georgia"/>
          <w:sz w:val="20"/>
          <w:lang w:val="lt-LT"/>
        </w:rPr>
        <w:t xml:space="preserve">po renovacijos sutaupo </w:t>
      </w:r>
      <w:r w:rsidR="00302F74" w:rsidRPr="002142B8">
        <w:rPr>
          <w:rFonts w:ascii="Georgia" w:hAnsi="Georgia"/>
          <w:sz w:val="20"/>
          <w:lang w:val="lt-LT"/>
        </w:rPr>
        <w:t xml:space="preserve">apie </w:t>
      </w:r>
      <w:r w:rsidR="00302F74" w:rsidRPr="002142B8">
        <w:rPr>
          <w:rFonts w:ascii="Georgia" w:hAnsi="Georgia"/>
          <w:sz w:val="20"/>
        </w:rPr>
        <w:t>60</w:t>
      </w:r>
      <w:r w:rsidRPr="002142B8">
        <w:rPr>
          <w:rFonts w:ascii="Georgia" w:hAnsi="Georgia"/>
          <w:sz w:val="20"/>
        </w:rPr>
        <w:t xml:space="preserve"> proc. </w:t>
      </w:r>
      <w:r w:rsidRPr="002142B8">
        <w:rPr>
          <w:rFonts w:ascii="Georgia" w:hAnsi="Georgia"/>
          <w:sz w:val="20"/>
          <w:lang w:val="lt-LT"/>
        </w:rPr>
        <w:t xml:space="preserve">šilumos energijos. </w:t>
      </w:r>
    </w:p>
    <w:p w14:paraId="558FDB8D" w14:textId="1128F096" w:rsidR="0032111C" w:rsidRPr="002142B8" w:rsidRDefault="0032111C" w:rsidP="0032111C">
      <w:pPr>
        <w:jc w:val="both"/>
        <w:rPr>
          <w:rFonts w:ascii="Georgia" w:hAnsi="Georgia"/>
          <w:sz w:val="20"/>
          <w:lang w:val="lt-LT"/>
        </w:rPr>
      </w:pPr>
      <w:r w:rsidRPr="002142B8">
        <w:rPr>
          <w:rFonts w:ascii="Georgia" w:hAnsi="Georgia"/>
          <w:sz w:val="20"/>
          <w:lang w:val="lt-LT"/>
        </w:rPr>
        <w:t>Kita prielaida, daranti ženklią įtaką, yra daugiabučių modernizavimo projektų atsiperkamumo rodiklis – investicijų</w:t>
      </w:r>
      <w:r w:rsidR="00D95009" w:rsidRPr="002142B8">
        <w:rPr>
          <w:rFonts w:ascii="Georgia" w:hAnsi="Georgia"/>
          <w:sz w:val="20"/>
          <w:lang w:val="lt-LT"/>
        </w:rPr>
        <w:t>(</w:t>
      </w:r>
      <w:r w:rsidRPr="002142B8">
        <w:rPr>
          <w:rFonts w:ascii="Georgia" w:hAnsi="Georgia"/>
          <w:sz w:val="20"/>
          <w:lang w:val="lt-LT"/>
        </w:rPr>
        <w:t>statybos darbų</w:t>
      </w:r>
      <w:r w:rsidR="00D95009" w:rsidRPr="002142B8">
        <w:rPr>
          <w:rFonts w:ascii="Georgia" w:hAnsi="Georgia"/>
          <w:sz w:val="20"/>
          <w:lang w:val="lt-LT"/>
        </w:rPr>
        <w:t>)</w:t>
      </w:r>
      <w:r w:rsidRPr="002142B8">
        <w:rPr>
          <w:rFonts w:ascii="Georgia" w:hAnsi="Georgia"/>
          <w:sz w:val="20"/>
          <w:lang w:val="lt-LT"/>
        </w:rPr>
        <w:t xml:space="preserve"> kainos. Šiuo metu reikia apie 195 eurų investicijų </w:t>
      </w:r>
      <w:r w:rsidR="00A136CD" w:rsidRPr="002142B8">
        <w:rPr>
          <w:rFonts w:ascii="Georgia" w:hAnsi="Georgia"/>
          <w:sz w:val="20"/>
          <w:lang w:val="lt-LT"/>
        </w:rPr>
        <w:t xml:space="preserve">siekiant </w:t>
      </w:r>
      <w:r w:rsidRPr="002142B8">
        <w:rPr>
          <w:rFonts w:ascii="Georgia" w:hAnsi="Georgia"/>
          <w:sz w:val="20"/>
          <w:lang w:val="lt-LT"/>
        </w:rPr>
        <w:t>renovuoti vieną kvadratinį metrą vidutiniame daugiabutyje. BETA duomenimis</w:t>
      </w:r>
      <w:r w:rsidR="00A136CD" w:rsidRPr="002142B8">
        <w:rPr>
          <w:rFonts w:ascii="Georgia" w:hAnsi="Georgia"/>
          <w:sz w:val="20"/>
          <w:lang w:val="lt-LT"/>
        </w:rPr>
        <w:t>,</w:t>
      </w:r>
      <w:r w:rsidRPr="002142B8">
        <w:rPr>
          <w:rFonts w:ascii="Georgia" w:hAnsi="Georgia"/>
          <w:sz w:val="20"/>
          <w:lang w:val="lt-LT"/>
        </w:rPr>
        <w:t xml:space="preserve"> pastaraisiais metais statybos darbų kainos stabilizavosi (pvz. 2016 m. investicijos siekė 191 eurą/</w:t>
      </w:r>
      <w:r w:rsidRPr="002142B8">
        <w:rPr>
          <w:rFonts w:ascii="Georgia" w:eastAsia="Times New Roman" w:hAnsi="Georgia" w:cs="Arial"/>
          <w:sz w:val="20"/>
          <w:szCs w:val="20"/>
          <w:lang w:val="lt-LT"/>
        </w:rPr>
        <w:t>m</w:t>
      </w:r>
      <w:r w:rsidRPr="002142B8">
        <w:rPr>
          <w:rFonts w:ascii="Georgia" w:eastAsia="Times New Roman" w:hAnsi="Georgia" w:cs="Arial"/>
          <w:sz w:val="20"/>
          <w:szCs w:val="20"/>
          <w:vertAlign w:val="superscript"/>
          <w:lang w:val="lt-LT"/>
        </w:rPr>
        <w:t>2</w:t>
      </w:r>
      <w:r w:rsidRPr="002142B8">
        <w:rPr>
          <w:rFonts w:ascii="Georgia" w:hAnsi="Georgia"/>
          <w:sz w:val="20"/>
          <w:lang w:val="lt-LT"/>
        </w:rPr>
        <w:t xml:space="preserve">, taigi lyginant su praėjusiu </w:t>
      </w:r>
      <w:r w:rsidRPr="002142B8">
        <w:rPr>
          <w:rFonts w:ascii="Georgia" w:hAnsi="Georgia"/>
          <w:sz w:val="20"/>
          <w:lang w:val="lt-LT"/>
        </w:rPr>
        <w:lastRenderedPageBreak/>
        <w:t>laikotarpiu kaina ūgtelėjo 2 proc.)</w:t>
      </w:r>
      <w:r w:rsidRPr="002142B8">
        <w:rPr>
          <w:rStyle w:val="Puslapioinaosnuoroda"/>
          <w:rFonts w:ascii="Georgia" w:hAnsi="Georgia"/>
          <w:sz w:val="20"/>
          <w:lang w:val="lt-LT"/>
        </w:rPr>
        <w:footnoteReference w:id="125"/>
      </w:r>
      <w:r w:rsidRPr="002142B8">
        <w:rPr>
          <w:rFonts w:ascii="Georgia" w:hAnsi="Georgia"/>
          <w:sz w:val="20"/>
          <w:lang w:val="lt-LT"/>
        </w:rPr>
        <w:t>. Visgi lyginant su skaičiavimais ankstesnėje Energijos efektyvumo išankstinio (ex-ante) vertinimo ataskaitoje kaina augo nuo 145 euro/</w:t>
      </w:r>
      <w:r w:rsidRPr="002142B8">
        <w:rPr>
          <w:rFonts w:ascii="Georgia" w:eastAsia="Times New Roman" w:hAnsi="Georgia" w:cs="Arial"/>
          <w:sz w:val="20"/>
          <w:szCs w:val="20"/>
          <w:lang w:val="lt-LT"/>
        </w:rPr>
        <w:t>m</w:t>
      </w:r>
      <w:r w:rsidRPr="002142B8">
        <w:rPr>
          <w:rFonts w:ascii="Georgia" w:eastAsia="Times New Roman" w:hAnsi="Georgia" w:cs="Arial"/>
          <w:sz w:val="20"/>
          <w:szCs w:val="20"/>
          <w:vertAlign w:val="superscript"/>
          <w:lang w:val="lt-LT"/>
        </w:rPr>
        <w:t>2</w:t>
      </w:r>
      <w:r w:rsidRPr="002142B8">
        <w:rPr>
          <w:rFonts w:ascii="Georgia" w:hAnsi="Georgia"/>
          <w:sz w:val="20"/>
          <w:lang w:val="lt-LT"/>
        </w:rPr>
        <w:t xml:space="preserve"> iki 195 euro/</w:t>
      </w:r>
      <w:r w:rsidRPr="002142B8">
        <w:rPr>
          <w:rFonts w:ascii="Georgia" w:eastAsia="Times New Roman" w:hAnsi="Georgia" w:cs="Arial"/>
          <w:sz w:val="20"/>
          <w:szCs w:val="20"/>
          <w:lang w:val="lt-LT"/>
        </w:rPr>
        <w:t>m</w:t>
      </w:r>
      <w:r w:rsidRPr="002142B8">
        <w:rPr>
          <w:rFonts w:ascii="Georgia" w:eastAsia="Times New Roman" w:hAnsi="Georgia" w:cs="Arial"/>
          <w:sz w:val="20"/>
          <w:szCs w:val="20"/>
          <w:vertAlign w:val="superscript"/>
          <w:lang w:val="lt-LT"/>
        </w:rPr>
        <w:t>2</w:t>
      </w:r>
      <w:r w:rsidRPr="002142B8">
        <w:rPr>
          <w:rFonts w:ascii="Georgia" w:hAnsi="Georgia"/>
          <w:sz w:val="20"/>
          <w:lang w:val="lt-LT"/>
        </w:rPr>
        <w:t xml:space="preserve"> arba daugiau nei 34 proc. </w:t>
      </w:r>
    </w:p>
    <w:p w14:paraId="730BF06E" w14:textId="01666DDD" w:rsidR="00AC59CC" w:rsidRPr="002142B8" w:rsidRDefault="00AC695C" w:rsidP="0032111C">
      <w:pPr>
        <w:jc w:val="both"/>
        <w:rPr>
          <w:rFonts w:ascii="Georgia" w:hAnsi="Georgia"/>
          <w:sz w:val="20"/>
          <w:lang w:val="lt-LT"/>
        </w:rPr>
      </w:pPr>
      <w:r w:rsidRPr="002142B8">
        <w:rPr>
          <w:rFonts w:ascii="Georgia" w:hAnsi="Georgia"/>
          <w:sz w:val="20"/>
          <w:lang w:val="lt-LT"/>
        </w:rPr>
        <w:t>Dar viena svarbi prielaida, įtakojanti daugiabučių namų renovacijos projektų atsipekamumą</w:t>
      </w:r>
      <w:r w:rsidR="00D95009" w:rsidRPr="002142B8">
        <w:rPr>
          <w:rFonts w:ascii="Georgia" w:hAnsi="Georgia"/>
          <w:sz w:val="20"/>
          <w:lang w:val="lt-LT"/>
        </w:rPr>
        <w:t>,</w:t>
      </w:r>
      <w:r w:rsidRPr="002142B8">
        <w:rPr>
          <w:rFonts w:ascii="Georgia" w:hAnsi="Georgia"/>
          <w:sz w:val="20"/>
          <w:lang w:val="lt-LT"/>
        </w:rPr>
        <w:t xml:space="preserve"> yra pastato šilumos energijos suvartojimas prieš renovaciją </w:t>
      </w:r>
      <w:r w:rsidRPr="002142B8">
        <w:rPr>
          <w:rFonts w:ascii="Georgia" w:eastAsia="Times New Roman" w:hAnsi="Georgia" w:cs="Times New Roman"/>
          <w:color w:val="000000"/>
          <w:sz w:val="20"/>
          <w:szCs w:val="20"/>
          <w:lang w:eastAsia="lt-LT"/>
        </w:rPr>
        <w:t xml:space="preserve">Pagal Lietuvos šilumos tiekėjų asociacijos </w:t>
      </w:r>
      <w:r w:rsidR="00D95009" w:rsidRPr="002142B8">
        <w:rPr>
          <w:rFonts w:ascii="Georgia" w:eastAsia="Times New Roman" w:hAnsi="Georgia" w:cs="Times New Roman"/>
          <w:color w:val="000000"/>
          <w:sz w:val="20"/>
          <w:szCs w:val="20"/>
          <w:lang w:eastAsia="lt-LT"/>
        </w:rPr>
        <w:t xml:space="preserve">pateikiamus </w:t>
      </w:r>
      <w:r w:rsidRPr="002142B8">
        <w:rPr>
          <w:rFonts w:ascii="Georgia" w:eastAsia="Times New Roman" w:hAnsi="Georgia" w:cs="Times New Roman"/>
          <w:color w:val="000000"/>
          <w:sz w:val="20"/>
          <w:szCs w:val="20"/>
          <w:lang w:eastAsia="lt-LT"/>
        </w:rPr>
        <w:t xml:space="preserve">2016-2017 m. </w:t>
      </w:r>
      <w:r w:rsidRPr="002142B8">
        <w:rPr>
          <w:rFonts w:ascii="Georgia" w:eastAsia="Times New Roman" w:hAnsi="Georgia" w:cs="Times New Roman"/>
          <w:color w:val="000000"/>
          <w:sz w:val="20"/>
          <w:szCs w:val="20"/>
          <w:lang w:val="lt-LT" w:eastAsia="lt-LT"/>
        </w:rPr>
        <w:t>šild</w:t>
      </w:r>
      <w:r w:rsidR="00D95009" w:rsidRPr="002142B8">
        <w:rPr>
          <w:rFonts w:ascii="Georgia" w:eastAsia="Times New Roman" w:hAnsi="Georgia" w:cs="Times New Roman"/>
          <w:color w:val="000000"/>
          <w:sz w:val="20"/>
          <w:szCs w:val="20"/>
          <w:lang w:val="lt-LT" w:eastAsia="lt-LT"/>
        </w:rPr>
        <w:t>ymo sezono duomenis daugiabutis</w:t>
      </w:r>
      <w:r w:rsidRPr="002142B8">
        <w:rPr>
          <w:rFonts w:ascii="Georgia" w:eastAsia="Times New Roman" w:hAnsi="Georgia" w:cs="Times New Roman"/>
          <w:color w:val="000000"/>
          <w:sz w:val="20"/>
          <w:szCs w:val="20"/>
          <w:lang w:val="lt-LT" w:eastAsia="lt-LT"/>
        </w:rPr>
        <w:t xml:space="preserve"> suvartoja apie </w:t>
      </w:r>
      <w:r w:rsidRPr="002142B8">
        <w:rPr>
          <w:rFonts w:ascii="Georgia" w:eastAsia="Times New Roman" w:hAnsi="Georgia" w:cs="Times New Roman"/>
          <w:color w:val="000000"/>
          <w:sz w:val="20"/>
          <w:szCs w:val="20"/>
          <w:lang w:eastAsia="lt-LT"/>
        </w:rPr>
        <w:t>175</w:t>
      </w:r>
      <w:r w:rsidR="00AC59CC" w:rsidRPr="002142B8">
        <w:rPr>
          <w:rFonts w:ascii="Georgia" w:eastAsia="Times New Roman" w:hAnsi="Georgia" w:cs="Times New Roman"/>
          <w:color w:val="000000"/>
          <w:sz w:val="20"/>
          <w:szCs w:val="20"/>
          <w:lang w:eastAsia="lt-LT"/>
        </w:rPr>
        <w:t xml:space="preserve"> kWh </w:t>
      </w:r>
      <w:r w:rsidR="00AC59CC" w:rsidRPr="002142B8">
        <w:rPr>
          <w:rFonts w:ascii="Georgia" w:eastAsia="Times New Roman" w:hAnsi="Georgia" w:cs="Arial"/>
          <w:sz w:val="20"/>
          <w:szCs w:val="20"/>
        </w:rPr>
        <w:t>m</w:t>
      </w:r>
      <w:r w:rsidR="00AC59CC" w:rsidRPr="002142B8">
        <w:rPr>
          <w:rFonts w:ascii="Georgia" w:eastAsia="Times New Roman" w:hAnsi="Georgia" w:cs="Arial"/>
          <w:sz w:val="20"/>
          <w:szCs w:val="20"/>
          <w:vertAlign w:val="superscript"/>
        </w:rPr>
        <w:t xml:space="preserve">2 </w:t>
      </w:r>
      <w:r w:rsidR="00AC59CC" w:rsidRPr="002142B8">
        <w:rPr>
          <w:rFonts w:ascii="Georgia" w:eastAsia="Times New Roman" w:hAnsi="Georgia" w:cs="Arial"/>
          <w:sz w:val="20"/>
          <w:szCs w:val="20"/>
        </w:rPr>
        <w:t>per metus. Kadangi, renovacijoje aktyviausiai dalyvaus energeti</w:t>
      </w:r>
      <w:r w:rsidR="00AC59CC" w:rsidRPr="002142B8">
        <w:rPr>
          <w:rFonts w:ascii="Georgia" w:eastAsia="Times New Roman" w:hAnsi="Georgia" w:cs="Arial"/>
          <w:sz w:val="20"/>
          <w:szCs w:val="20"/>
          <w:lang w:val="lt-LT"/>
        </w:rPr>
        <w:t xml:space="preserve">škai itin neefektyvių daugiabučių segmentas, daroma prielaida, kad šių pastatų metinis šilumos suvartojimas </w:t>
      </w:r>
      <w:r w:rsidR="00D95009" w:rsidRPr="002142B8">
        <w:rPr>
          <w:rFonts w:ascii="Georgia" w:eastAsia="Times New Roman" w:hAnsi="Georgia" w:cs="Arial"/>
          <w:sz w:val="20"/>
          <w:szCs w:val="20"/>
          <w:lang w:val="lt-LT"/>
        </w:rPr>
        <w:t xml:space="preserve">prieš renovaciją </w:t>
      </w:r>
      <w:r w:rsidR="00AC59CC" w:rsidRPr="002142B8">
        <w:rPr>
          <w:rFonts w:ascii="Georgia" w:eastAsia="Times New Roman" w:hAnsi="Georgia" w:cs="Arial"/>
          <w:sz w:val="20"/>
          <w:szCs w:val="20"/>
          <w:lang w:val="lt-LT"/>
        </w:rPr>
        <w:t xml:space="preserve">yra 20 kWh </w:t>
      </w:r>
      <w:r w:rsidR="00D95009" w:rsidRPr="002142B8">
        <w:rPr>
          <w:rFonts w:ascii="Georgia" w:eastAsia="Times New Roman" w:hAnsi="Georgia" w:cs="Arial"/>
          <w:sz w:val="20"/>
          <w:szCs w:val="20"/>
          <w:lang w:val="lt-LT"/>
        </w:rPr>
        <w:t xml:space="preserve">arba </w:t>
      </w:r>
      <w:r w:rsidR="00AC59CC" w:rsidRPr="002142B8">
        <w:rPr>
          <w:rFonts w:ascii="Georgia" w:eastAsia="Times New Roman" w:hAnsi="Georgia" w:cs="Arial"/>
          <w:sz w:val="20"/>
          <w:szCs w:val="20"/>
          <w:lang w:val="lt-LT"/>
        </w:rPr>
        <w:t xml:space="preserve">kiek daugiau nei 10 proc. didesnis. </w:t>
      </w:r>
    </w:p>
    <w:p w14:paraId="0AE69FF2" w14:textId="6E49CB2E" w:rsidR="0032111C" w:rsidRPr="005A1A99" w:rsidRDefault="0032111C" w:rsidP="0032111C">
      <w:pPr>
        <w:pStyle w:val="Antrat"/>
        <w:jc w:val="both"/>
        <w:rPr>
          <w:b w:val="0"/>
          <w:i/>
          <w:lang w:val="lt-LT"/>
        </w:rPr>
      </w:pPr>
      <w:bookmarkStart w:id="146" w:name="_Toc507939158"/>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36</w:t>
      </w:r>
      <w:r w:rsidRPr="005A1A99">
        <w:rPr>
          <w:b w:val="0"/>
          <w:i/>
          <w:lang w:val="lt-LT"/>
        </w:rPr>
        <w:fldChar w:fldCharType="end"/>
      </w:r>
      <w:r w:rsidRPr="005A1A99">
        <w:rPr>
          <w:b w:val="0"/>
          <w:i/>
          <w:lang w:val="lt-LT"/>
        </w:rPr>
        <w:t>. Daugiabučių namų renovacijos jautrumo analizės prielaidos</w:t>
      </w:r>
      <w:bookmarkEnd w:id="146"/>
    </w:p>
    <w:tbl>
      <w:tblPr>
        <w:tblStyle w:val="LightList-Accent21"/>
        <w:tblW w:w="5000" w:type="pct"/>
        <w:tblLook w:val="04A0" w:firstRow="1" w:lastRow="0" w:firstColumn="1" w:lastColumn="0" w:noHBand="0" w:noVBand="1"/>
      </w:tblPr>
      <w:tblGrid>
        <w:gridCol w:w="6408"/>
        <w:gridCol w:w="2834"/>
      </w:tblGrid>
      <w:tr w:rsidR="0032111C" w:rsidRPr="002142B8" w14:paraId="76C5E91E" w14:textId="77777777" w:rsidTr="00321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4C92B3B9" w14:textId="77777777" w:rsidR="0032111C" w:rsidRPr="002142B8" w:rsidRDefault="0032111C" w:rsidP="0032111C">
            <w:pPr>
              <w:rPr>
                <w:rFonts w:ascii="Georgia" w:eastAsia="Times New Roman" w:hAnsi="Georgia" w:cs="Arial"/>
                <w:b w:val="0"/>
                <w:sz w:val="20"/>
                <w:szCs w:val="18"/>
              </w:rPr>
            </w:pPr>
            <w:r w:rsidRPr="002142B8">
              <w:rPr>
                <w:rFonts w:ascii="Georgia" w:eastAsia="Times New Roman" w:hAnsi="Georgia" w:cs="Arial"/>
                <w:sz w:val="20"/>
                <w:szCs w:val="18"/>
              </w:rPr>
              <w:t>Prielaida</w:t>
            </w:r>
          </w:p>
        </w:tc>
        <w:tc>
          <w:tcPr>
            <w:tcW w:w="1533" w:type="pct"/>
            <w:noWrap/>
            <w:hideMark/>
          </w:tcPr>
          <w:p w14:paraId="33058B83" w14:textId="77777777" w:rsidR="0032111C" w:rsidRPr="002142B8" w:rsidRDefault="0032111C" w:rsidP="0032111C">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2142B8">
              <w:rPr>
                <w:rFonts w:ascii="Georgia" w:eastAsia="Times New Roman" w:hAnsi="Georgia" w:cs="Arial"/>
                <w:sz w:val="20"/>
                <w:szCs w:val="18"/>
              </w:rPr>
              <w:t> Reikšmė</w:t>
            </w:r>
          </w:p>
        </w:tc>
      </w:tr>
      <w:tr w:rsidR="0032111C" w:rsidRPr="002142B8" w14:paraId="6A8190C7"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18D1D82"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Tipinio daugiabučio bendras pastato plotas, m</w:t>
            </w:r>
            <w:r w:rsidRPr="002142B8">
              <w:rPr>
                <w:rFonts w:ascii="Georgia" w:eastAsia="Times New Roman" w:hAnsi="Georgia" w:cs="Arial"/>
                <w:sz w:val="20"/>
                <w:szCs w:val="20"/>
                <w:vertAlign w:val="superscript"/>
              </w:rPr>
              <w:t>2</w:t>
            </w:r>
          </w:p>
        </w:tc>
        <w:tc>
          <w:tcPr>
            <w:tcW w:w="1533" w:type="pct"/>
            <w:noWrap/>
            <w:hideMark/>
          </w:tcPr>
          <w:p w14:paraId="3DB1D693" w14:textId="77777777" w:rsidR="0032111C" w:rsidRPr="002142B8"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1,287</w:t>
            </w:r>
          </w:p>
        </w:tc>
      </w:tr>
      <w:tr w:rsidR="0032111C" w:rsidRPr="002142B8" w14:paraId="5AAF50AD"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079C1829"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Investicijos, eurais/m</w:t>
            </w:r>
            <w:r w:rsidRPr="002142B8">
              <w:rPr>
                <w:rFonts w:ascii="Georgia" w:eastAsia="Times New Roman" w:hAnsi="Georgia" w:cs="Arial"/>
                <w:sz w:val="20"/>
                <w:szCs w:val="20"/>
                <w:vertAlign w:val="superscript"/>
              </w:rPr>
              <w:t>2</w:t>
            </w:r>
          </w:p>
        </w:tc>
        <w:tc>
          <w:tcPr>
            <w:tcW w:w="1533" w:type="pct"/>
            <w:noWrap/>
            <w:hideMark/>
          </w:tcPr>
          <w:p w14:paraId="0A5785A9" w14:textId="77777777" w:rsidR="0032111C" w:rsidRPr="002142B8"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195</w:t>
            </w:r>
          </w:p>
        </w:tc>
      </w:tr>
      <w:tr w:rsidR="0032111C" w:rsidRPr="002142B8" w14:paraId="3C6F177E"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12B6E41A"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Investicijos projektui, eurais</w:t>
            </w:r>
          </w:p>
        </w:tc>
        <w:tc>
          <w:tcPr>
            <w:tcW w:w="1533" w:type="pct"/>
            <w:noWrap/>
            <w:hideMark/>
          </w:tcPr>
          <w:p w14:paraId="0D597877" w14:textId="77777777" w:rsidR="0032111C" w:rsidRPr="002142B8"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250 965</w:t>
            </w:r>
          </w:p>
        </w:tc>
      </w:tr>
      <w:tr w:rsidR="0032111C" w:rsidRPr="002142B8" w14:paraId="316ABE32"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0CE50156"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Dabartinis suvartojimas kWh/m</w:t>
            </w:r>
            <w:r w:rsidRPr="002142B8">
              <w:rPr>
                <w:rFonts w:ascii="Georgia" w:eastAsia="Times New Roman" w:hAnsi="Georgia" w:cs="Arial"/>
                <w:sz w:val="20"/>
                <w:szCs w:val="20"/>
                <w:vertAlign w:val="superscript"/>
              </w:rPr>
              <w:t xml:space="preserve">2 </w:t>
            </w:r>
            <w:r w:rsidRPr="002142B8">
              <w:rPr>
                <w:rFonts w:ascii="Georgia" w:eastAsia="Times New Roman" w:hAnsi="Georgia" w:cs="Arial"/>
                <w:sz w:val="20"/>
                <w:szCs w:val="20"/>
              </w:rPr>
              <w:t xml:space="preserve">per metus </w:t>
            </w:r>
          </w:p>
        </w:tc>
        <w:tc>
          <w:tcPr>
            <w:tcW w:w="1533" w:type="pct"/>
            <w:noWrap/>
            <w:hideMark/>
          </w:tcPr>
          <w:p w14:paraId="4870FB6F" w14:textId="43F13E10" w:rsidR="0032111C" w:rsidRPr="002142B8"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1</w:t>
            </w:r>
            <w:r w:rsidR="006C01FB" w:rsidRPr="002142B8">
              <w:rPr>
                <w:rFonts w:ascii="Georgia" w:eastAsia="Times New Roman" w:hAnsi="Georgia" w:cs="Arial"/>
                <w:sz w:val="20"/>
                <w:szCs w:val="20"/>
              </w:rPr>
              <w:t>9</w:t>
            </w:r>
            <w:r w:rsidRPr="002142B8">
              <w:rPr>
                <w:rFonts w:ascii="Georgia" w:eastAsia="Times New Roman" w:hAnsi="Georgia" w:cs="Arial"/>
                <w:sz w:val="20"/>
                <w:szCs w:val="20"/>
              </w:rPr>
              <w:t>5</w:t>
            </w:r>
          </w:p>
        </w:tc>
      </w:tr>
      <w:tr w:rsidR="0032111C" w:rsidRPr="002142B8" w14:paraId="7450F6EC"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670F5B14"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 xml:space="preserve">Dabartinis pastato suvartojimas per metus, kWh </w:t>
            </w:r>
          </w:p>
        </w:tc>
        <w:tc>
          <w:tcPr>
            <w:tcW w:w="1533" w:type="pct"/>
            <w:noWrap/>
            <w:hideMark/>
          </w:tcPr>
          <w:p w14:paraId="53260314" w14:textId="77777777" w:rsidR="0032111C" w:rsidRPr="002142B8"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225 225</w:t>
            </w:r>
          </w:p>
        </w:tc>
      </w:tr>
      <w:tr w:rsidR="0032111C" w:rsidRPr="002142B8" w14:paraId="2DBB6674"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611DA1B6"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Šilumos energijos kaina eurais/kWh</w:t>
            </w:r>
            <w:r w:rsidRPr="002142B8">
              <w:rPr>
                <w:rFonts w:ascii="Georgia" w:eastAsia="Times New Roman" w:hAnsi="Georgia" w:cs="Arial"/>
                <w:sz w:val="20"/>
                <w:szCs w:val="20"/>
                <w:vertAlign w:val="superscript"/>
              </w:rPr>
              <w:t xml:space="preserve"> </w:t>
            </w:r>
          </w:p>
        </w:tc>
        <w:tc>
          <w:tcPr>
            <w:tcW w:w="1533" w:type="pct"/>
            <w:noWrap/>
            <w:hideMark/>
          </w:tcPr>
          <w:p w14:paraId="48D1A533" w14:textId="77777777" w:rsidR="0032111C" w:rsidRPr="002142B8"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2142B8">
              <w:rPr>
                <w:rFonts w:ascii="Georgia" w:hAnsi="Georgia"/>
                <w:sz w:val="20"/>
              </w:rPr>
              <w:t>0,053</w:t>
            </w:r>
          </w:p>
        </w:tc>
      </w:tr>
      <w:tr w:rsidR="0032111C" w:rsidRPr="002142B8" w14:paraId="53D8904E"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09562A37"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 xml:space="preserve">Šilumos kainos augimas kas metus </w:t>
            </w:r>
          </w:p>
        </w:tc>
        <w:tc>
          <w:tcPr>
            <w:tcW w:w="1533" w:type="pct"/>
            <w:noWrap/>
            <w:hideMark/>
          </w:tcPr>
          <w:p w14:paraId="499E2AB0" w14:textId="77777777" w:rsidR="0032111C" w:rsidRPr="002142B8"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2%</w:t>
            </w:r>
          </w:p>
        </w:tc>
      </w:tr>
      <w:tr w:rsidR="0032111C" w:rsidRPr="002142B8" w14:paraId="7ACDF60B" w14:textId="77777777" w:rsidTr="0032111C">
        <w:tc>
          <w:tcPr>
            <w:cnfStyle w:val="001000000000" w:firstRow="0" w:lastRow="0" w:firstColumn="1" w:lastColumn="0" w:oddVBand="0" w:evenVBand="0" w:oddHBand="0" w:evenHBand="0" w:firstRowFirstColumn="0" w:firstRowLastColumn="0" w:lastRowFirstColumn="0" w:lastRowLastColumn="0"/>
            <w:tcW w:w="3467" w:type="pct"/>
            <w:noWrap/>
            <w:hideMark/>
          </w:tcPr>
          <w:p w14:paraId="3624EF88"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Šilumos energijos sutaupymas įgyvendinus projektą</w:t>
            </w:r>
          </w:p>
        </w:tc>
        <w:tc>
          <w:tcPr>
            <w:tcW w:w="1533" w:type="pct"/>
            <w:noWrap/>
            <w:hideMark/>
          </w:tcPr>
          <w:p w14:paraId="4205FD29" w14:textId="77777777" w:rsidR="0032111C" w:rsidRPr="002142B8" w:rsidRDefault="0032111C" w:rsidP="0032111C">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lang w:val="en-US"/>
              </w:rPr>
              <w:t>60</w:t>
            </w:r>
            <w:r w:rsidRPr="002142B8">
              <w:rPr>
                <w:rFonts w:ascii="Georgia" w:eastAsia="Times New Roman" w:hAnsi="Georgia" w:cs="Arial"/>
                <w:sz w:val="20"/>
                <w:szCs w:val="20"/>
              </w:rPr>
              <w:t>%</w:t>
            </w:r>
          </w:p>
        </w:tc>
      </w:tr>
      <w:tr w:rsidR="0032111C" w:rsidRPr="002142B8" w14:paraId="05FF9E7B" w14:textId="77777777" w:rsidTr="0032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10723C8E" w14:textId="77777777" w:rsidR="0032111C" w:rsidRPr="002142B8" w:rsidRDefault="0032111C" w:rsidP="0032111C">
            <w:pPr>
              <w:rPr>
                <w:rFonts w:ascii="Georgia" w:eastAsia="Times New Roman" w:hAnsi="Georgia" w:cs="Arial"/>
                <w:b w:val="0"/>
                <w:sz w:val="20"/>
                <w:szCs w:val="20"/>
              </w:rPr>
            </w:pPr>
            <w:r w:rsidRPr="002142B8">
              <w:rPr>
                <w:rFonts w:ascii="Georgia" w:eastAsia="Times New Roman" w:hAnsi="Georgia" w:cs="Arial"/>
                <w:sz w:val="20"/>
                <w:szCs w:val="20"/>
              </w:rPr>
              <w:t>Paskolos terminas, metais</w:t>
            </w:r>
          </w:p>
        </w:tc>
        <w:tc>
          <w:tcPr>
            <w:tcW w:w="1533" w:type="pct"/>
            <w:noWrap/>
            <w:hideMark/>
          </w:tcPr>
          <w:p w14:paraId="0989C963" w14:textId="77777777" w:rsidR="0032111C" w:rsidRPr="002142B8" w:rsidRDefault="0032111C" w:rsidP="0032111C">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2142B8">
              <w:rPr>
                <w:rFonts w:ascii="Georgia" w:eastAsia="Times New Roman" w:hAnsi="Georgia" w:cs="Arial"/>
                <w:sz w:val="20"/>
                <w:szCs w:val="20"/>
              </w:rPr>
              <w:t>20</w:t>
            </w:r>
          </w:p>
        </w:tc>
      </w:tr>
    </w:tbl>
    <w:p w14:paraId="1FFA5A5F" w14:textId="77777777" w:rsidR="00A136CD" w:rsidRPr="002142B8" w:rsidRDefault="00A136CD" w:rsidP="0032111C">
      <w:pPr>
        <w:jc w:val="both"/>
        <w:rPr>
          <w:rFonts w:ascii="Georgia" w:hAnsi="Georgia"/>
          <w:sz w:val="20"/>
          <w:lang w:val="lt-LT"/>
        </w:rPr>
      </w:pPr>
    </w:p>
    <w:p w14:paraId="3A6F7B0C" w14:textId="1E7FFD36" w:rsidR="0032111C" w:rsidRPr="002142B8" w:rsidRDefault="0032111C" w:rsidP="0032111C">
      <w:pPr>
        <w:jc w:val="both"/>
        <w:rPr>
          <w:rFonts w:ascii="Georgia" w:hAnsi="Georgia"/>
          <w:sz w:val="20"/>
          <w:lang w:val="lt-LT"/>
        </w:rPr>
      </w:pPr>
      <w:r w:rsidRPr="002142B8">
        <w:rPr>
          <w:rFonts w:ascii="Georgia" w:hAnsi="Georgia"/>
          <w:sz w:val="20"/>
          <w:lang w:val="lt-LT"/>
        </w:rPr>
        <w:t>Atsižvelgiant į aukščiau esančioje lentelėje išvardintas prielaidas, žemiau esančioje lentelėje pateikiama sutaupytos energijos ir subsidijos poreikio jautrumo analizė.</w:t>
      </w:r>
    </w:p>
    <w:p w14:paraId="10615734" w14:textId="23A8EA06" w:rsidR="0032111C" w:rsidRPr="005A1A99" w:rsidRDefault="0032111C" w:rsidP="007935A3">
      <w:pPr>
        <w:pStyle w:val="Antrat"/>
        <w:jc w:val="both"/>
        <w:rPr>
          <w:b w:val="0"/>
          <w:i/>
          <w:lang w:val="lt-LT"/>
        </w:rPr>
      </w:pPr>
      <w:bookmarkStart w:id="147" w:name="_Toc507939159"/>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37</w:t>
      </w:r>
      <w:r w:rsidRPr="005A1A99">
        <w:rPr>
          <w:b w:val="0"/>
          <w:i/>
          <w:lang w:val="lt-LT"/>
        </w:rPr>
        <w:fldChar w:fldCharType="end"/>
      </w:r>
      <w:r w:rsidRPr="005A1A99">
        <w:rPr>
          <w:b w:val="0"/>
          <w:i/>
          <w:lang w:val="lt-LT"/>
        </w:rPr>
        <w:t>. Sutaupytos energijos ir subsidijos poreikio santykio jautrumo analizė</w:t>
      </w:r>
      <w:bookmarkEnd w:id="147"/>
    </w:p>
    <w:p w14:paraId="33E04E68" w14:textId="0F3695A5" w:rsidR="006C01FB" w:rsidRPr="002142B8" w:rsidRDefault="00B0018A" w:rsidP="0032111C">
      <w:pPr>
        <w:rPr>
          <w:lang w:val="lt-LT"/>
        </w:rPr>
      </w:pPr>
      <w:r w:rsidRPr="002142B8">
        <w:rPr>
          <w:noProof/>
          <w:lang w:val="lt-LT" w:eastAsia="lt-LT"/>
        </w:rPr>
        <w:drawing>
          <wp:inline distT="0" distB="0" distL="0" distR="0" wp14:anchorId="3164E6D9" wp14:editId="37EF8686">
            <wp:extent cx="5731510" cy="17792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779270"/>
                    </a:xfrm>
                    <a:prstGeom prst="rect">
                      <a:avLst/>
                    </a:prstGeom>
                  </pic:spPr>
                </pic:pic>
              </a:graphicData>
            </a:graphic>
          </wp:inline>
        </w:drawing>
      </w:r>
    </w:p>
    <w:p w14:paraId="015B18EC" w14:textId="5C6BA517" w:rsidR="0032111C" w:rsidRPr="002142B8" w:rsidRDefault="0032111C" w:rsidP="0032111C">
      <w:pPr>
        <w:jc w:val="both"/>
        <w:rPr>
          <w:rFonts w:ascii="Georgia" w:hAnsi="Georgia"/>
          <w:sz w:val="20"/>
          <w:lang w:val="lt-LT"/>
        </w:rPr>
      </w:pPr>
      <w:r w:rsidRPr="002142B8">
        <w:rPr>
          <w:rFonts w:ascii="Georgia" w:hAnsi="Georgia"/>
          <w:sz w:val="20"/>
          <w:lang w:val="lt-LT"/>
        </w:rPr>
        <w:t>Pagal lentelėje pateiktus duomenis matyti, kad jei pasitvirtintų visos anksčiau išvardintos prielaidos su 30 proc. subsidija daugiabučio mode</w:t>
      </w:r>
      <w:r w:rsidR="00A136CD" w:rsidRPr="002142B8">
        <w:rPr>
          <w:rFonts w:ascii="Georgia" w:hAnsi="Georgia"/>
          <w:sz w:val="20"/>
          <w:lang w:val="lt-LT"/>
        </w:rPr>
        <w:t xml:space="preserve">rnizavimo projektas atsipirktų per apytiksliai 20 metų jeigu </w:t>
      </w:r>
      <w:r w:rsidRPr="002142B8">
        <w:rPr>
          <w:rFonts w:ascii="Georgia" w:hAnsi="Georgia"/>
          <w:sz w:val="20"/>
          <w:lang w:val="lt-LT"/>
        </w:rPr>
        <w:t>š</w:t>
      </w:r>
      <w:r w:rsidR="00A136CD" w:rsidRPr="002142B8">
        <w:rPr>
          <w:rFonts w:ascii="Georgia" w:hAnsi="Georgia"/>
          <w:sz w:val="20"/>
          <w:lang w:val="lt-LT"/>
        </w:rPr>
        <w:t xml:space="preserve">ilumos energijos sutaupymai </w:t>
      </w:r>
      <w:r w:rsidR="00C31CD5" w:rsidRPr="002142B8">
        <w:rPr>
          <w:rFonts w:ascii="Georgia" w:hAnsi="Georgia"/>
          <w:sz w:val="20"/>
          <w:lang w:val="lt-LT"/>
        </w:rPr>
        <w:t>siektų</w:t>
      </w:r>
      <w:r w:rsidR="00A136CD" w:rsidRPr="002142B8">
        <w:rPr>
          <w:rFonts w:ascii="Georgia" w:hAnsi="Georgia"/>
          <w:sz w:val="20"/>
          <w:lang w:val="lt-LT"/>
        </w:rPr>
        <w:t xml:space="preserve"> </w:t>
      </w:r>
      <w:r w:rsidR="006C01FB" w:rsidRPr="002142B8">
        <w:rPr>
          <w:rFonts w:ascii="Georgia" w:hAnsi="Georgia"/>
          <w:sz w:val="20"/>
          <w:lang w:val="lt-LT"/>
        </w:rPr>
        <w:t>a</w:t>
      </w:r>
      <w:r w:rsidR="00B0018A" w:rsidRPr="002142B8">
        <w:rPr>
          <w:rFonts w:ascii="Georgia" w:hAnsi="Georgia"/>
          <w:sz w:val="20"/>
          <w:lang w:val="lt-LT"/>
        </w:rPr>
        <w:t>pie 70-75</w:t>
      </w:r>
      <w:r w:rsidR="006C01FB" w:rsidRPr="002142B8">
        <w:rPr>
          <w:rFonts w:ascii="Georgia" w:hAnsi="Georgia"/>
          <w:sz w:val="20"/>
          <w:lang w:val="lt-LT"/>
        </w:rPr>
        <w:t xml:space="preserve"> proc.</w:t>
      </w:r>
      <w:r w:rsidR="00C31CD5" w:rsidRPr="002142B8">
        <w:rPr>
          <w:rFonts w:ascii="Georgia" w:hAnsi="Georgia"/>
          <w:sz w:val="20"/>
          <w:lang w:val="lt-LT"/>
        </w:rPr>
        <w:t xml:space="preserve"> </w:t>
      </w:r>
      <w:r w:rsidR="006C01FB" w:rsidRPr="002142B8">
        <w:rPr>
          <w:rFonts w:ascii="Georgia" w:hAnsi="Georgia"/>
          <w:sz w:val="20"/>
          <w:lang w:val="lt-LT"/>
        </w:rPr>
        <w:t xml:space="preserve">Aukščiau </w:t>
      </w:r>
      <w:r w:rsidRPr="002142B8">
        <w:rPr>
          <w:rFonts w:ascii="Georgia" w:hAnsi="Georgia"/>
          <w:sz w:val="20"/>
          <w:lang w:val="lt-LT"/>
        </w:rPr>
        <w:t>minėtas BETA renovuotų daugiabučių tyrimas rodo, kad</w:t>
      </w:r>
      <w:r w:rsidR="00B0018A" w:rsidRPr="002142B8">
        <w:rPr>
          <w:rFonts w:ascii="Georgia" w:hAnsi="Georgia"/>
          <w:sz w:val="20"/>
          <w:lang w:val="lt-LT"/>
        </w:rPr>
        <w:t>,</w:t>
      </w:r>
      <w:r w:rsidRPr="002142B8">
        <w:rPr>
          <w:rFonts w:ascii="Georgia" w:hAnsi="Georgia"/>
          <w:sz w:val="20"/>
          <w:lang w:val="lt-LT"/>
        </w:rPr>
        <w:t xml:space="preserve"> nemaža dalis moder</w:t>
      </w:r>
      <w:r w:rsidR="00C31CD5" w:rsidRPr="002142B8">
        <w:rPr>
          <w:rFonts w:ascii="Georgia" w:hAnsi="Georgia"/>
          <w:sz w:val="20"/>
          <w:lang w:val="lt-LT"/>
        </w:rPr>
        <w:t>nizuotų daugiabučių pasiekia</w:t>
      </w:r>
      <w:r w:rsidRPr="002142B8">
        <w:rPr>
          <w:rFonts w:ascii="Georgia" w:hAnsi="Georgia"/>
          <w:sz w:val="20"/>
          <w:lang w:val="lt-LT"/>
        </w:rPr>
        <w:t xml:space="preserve"> šilumos energijos sutaupymus gerokai viršijančius 60 proc.</w:t>
      </w:r>
      <w:r w:rsidR="00B0018A" w:rsidRPr="002142B8">
        <w:rPr>
          <w:rFonts w:ascii="Georgia" w:hAnsi="Georgia"/>
          <w:sz w:val="20"/>
          <w:lang w:val="lt-LT"/>
        </w:rPr>
        <w:t xml:space="preserve"> (ar 64 proc.</w:t>
      </w:r>
      <w:r w:rsidR="00020E0D" w:rsidRPr="002142B8">
        <w:rPr>
          <w:rFonts w:ascii="Georgia" w:hAnsi="Georgia"/>
          <w:sz w:val="20"/>
          <w:lang w:val="lt-LT"/>
        </w:rPr>
        <w:t>,</w:t>
      </w:r>
      <w:r w:rsidR="00B0018A" w:rsidRPr="002142B8">
        <w:rPr>
          <w:rFonts w:ascii="Georgia" w:hAnsi="Georgia"/>
          <w:sz w:val="20"/>
          <w:lang w:val="lt-LT"/>
        </w:rPr>
        <w:t xml:space="preserve"> jei </w:t>
      </w:r>
      <w:r w:rsidR="00020E0D" w:rsidRPr="002142B8">
        <w:rPr>
          <w:rFonts w:ascii="Georgia" w:hAnsi="Georgia"/>
          <w:sz w:val="20"/>
          <w:lang w:val="lt-LT"/>
        </w:rPr>
        <w:t xml:space="preserve">skaičiavimuose </w:t>
      </w:r>
      <w:r w:rsidR="00B0018A" w:rsidRPr="002142B8">
        <w:rPr>
          <w:rFonts w:ascii="Georgia" w:hAnsi="Georgia"/>
          <w:sz w:val="20"/>
          <w:lang w:val="lt-LT"/>
        </w:rPr>
        <w:t>būtų naudojamas nesuapvalintas sutaupymų lygis)</w:t>
      </w:r>
      <w:r w:rsidRPr="002142B8">
        <w:rPr>
          <w:rFonts w:ascii="Georgia" w:hAnsi="Georgia"/>
          <w:sz w:val="20"/>
          <w:lang w:val="lt-LT"/>
        </w:rPr>
        <w:t xml:space="preserve"> </w:t>
      </w:r>
      <w:r w:rsidR="00C31CD5" w:rsidRPr="002142B8">
        <w:rPr>
          <w:rFonts w:ascii="Georgia" w:hAnsi="Georgia"/>
          <w:sz w:val="20"/>
          <w:lang w:val="lt-LT"/>
        </w:rPr>
        <w:t xml:space="preserve">ir ligšiolinė teigiama </w:t>
      </w:r>
      <w:r w:rsidR="00020E0D" w:rsidRPr="002142B8">
        <w:rPr>
          <w:rFonts w:ascii="Georgia" w:hAnsi="Georgia"/>
          <w:sz w:val="20"/>
          <w:lang w:val="lt-LT"/>
        </w:rPr>
        <w:t xml:space="preserve">šios finansinės priemonės </w:t>
      </w:r>
      <w:r w:rsidR="00C31CD5" w:rsidRPr="002142B8">
        <w:rPr>
          <w:rFonts w:ascii="Georgia" w:hAnsi="Georgia"/>
          <w:sz w:val="20"/>
          <w:lang w:val="lt-LT"/>
        </w:rPr>
        <w:t>įgyvendinimo patirtis leidžia daryti išvadą, kad 30 proc. subsidija yra pakankama.</w:t>
      </w:r>
    </w:p>
    <w:p w14:paraId="1ED7BD99" w14:textId="77777777" w:rsidR="0032111C" w:rsidRPr="002142B8" w:rsidRDefault="0032111C" w:rsidP="0032111C">
      <w:pPr>
        <w:jc w:val="both"/>
        <w:rPr>
          <w:lang w:val="lt-LT"/>
        </w:rPr>
      </w:pPr>
      <w:r w:rsidRPr="002142B8">
        <w:rPr>
          <w:rFonts w:ascii="Georgia" w:hAnsi="Georgia"/>
          <w:sz w:val="20"/>
          <w:lang w:val="lt-LT"/>
        </w:rPr>
        <w:t>Toliau lentelėje pateikiami projektų atsiperkamumo jautrumo analizės rezultatai vertinant investicijas (statybos darbų kainas) ir subsidijos elementą.</w:t>
      </w:r>
    </w:p>
    <w:p w14:paraId="55916256" w14:textId="0FC84864" w:rsidR="0032111C" w:rsidRPr="005A1A99" w:rsidRDefault="0032111C" w:rsidP="0032111C">
      <w:pPr>
        <w:pStyle w:val="Antrat"/>
        <w:jc w:val="both"/>
        <w:rPr>
          <w:b w:val="0"/>
          <w:i/>
          <w:lang w:val="lt-LT"/>
        </w:rPr>
      </w:pPr>
      <w:bookmarkStart w:id="148" w:name="_Toc507939160"/>
      <w:r w:rsidRPr="005A1A99">
        <w:rPr>
          <w:b w:val="0"/>
          <w:i/>
          <w:lang w:val="lt-LT"/>
        </w:rPr>
        <w:lastRenderedPageBreak/>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38</w:t>
      </w:r>
      <w:r w:rsidRPr="005A1A99">
        <w:rPr>
          <w:b w:val="0"/>
          <w:i/>
          <w:lang w:val="lt-LT"/>
        </w:rPr>
        <w:fldChar w:fldCharType="end"/>
      </w:r>
      <w:r w:rsidRPr="005A1A99">
        <w:rPr>
          <w:b w:val="0"/>
          <w:i/>
          <w:lang w:val="lt-LT"/>
        </w:rPr>
        <w:t>. Investicijų ir subsidijos poreikio santykio jautrumo analizė</w:t>
      </w:r>
      <w:bookmarkEnd w:id="148"/>
    </w:p>
    <w:p w14:paraId="15493241" w14:textId="3E1CD717" w:rsidR="006C01FB" w:rsidRPr="002142B8" w:rsidRDefault="00B0018A" w:rsidP="0032111C">
      <w:pPr>
        <w:jc w:val="both"/>
        <w:rPr>
          <w:sz w:val="16"/>
          <w:szCs w:val="16"/>
          <w:lang w:val="lt-LT"/>
        </w:rPr>
      </w:pPr>
      <w:r w:rsidRPr="002142B8">
        <w:rPr>
          <w:noProof/>
          <w:lang w:val="lt-LT" w:eastAsia="lt-LT"/>
        </w:rPr>
        <w:drawing>
          <wp:inline distT="0" distB="0" distL="0" distR="0" wp14:anchorId="737460BF" wp14:editId="7B089A7E">
            <wp:extent cx="5731510" cy="19354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935480"/>
                    </a:xfrm>
                    <a:prstGeom prst="rect">
                      <a:avLst/>
                    </a:prstGeom>
                  </pic:spPr>
                </pic:pic>
              </a:graphicData>
            </a:graphic>
          </wp:inline>
        </w:drawing>
      </w:r>
    </w:p>
    <w:p w14:paraId="679D0656" w14:textId="13894378" w:rsidR="0032111C" w:rsidRPr="002142B8" w:rsidRDefault="0032111C" w:rsidP="0032111C">
      <w:pPr>
        <w:jc w:val="both"/>
        <w:rPr>
          <w:rFonts w:ascii="Georgia" w:hAnsi="Georgia"/>
          <w:sz w:val="20"/>
          <w:lang w:val="lt-LT"/>
        </w:rPr>
      </w:pPr>
      <w:r w:rsidRPr="002142B8">
        <w:rPr>
          <w:rFonts w:ascii="Georgia" w:hAnsi="Georgia"/>
          <w:sz w:val="20"/>
          <w:lang w:val="lt-LT"/>
        </w:rPr>
        <w:t>Daugiabučių investicijų vienam kvadratiniam metrui rodiklis gali ženkliai svyruoti dėl pirkim</w:t>
      </w:r>
      <w:r w:rsidR="00325FB1" w:rsidRPr="002142B8">
        <w:rPr>
          <w:rFonts w:ascii="Georgia" w:hAnsi="Georgia"/>
          <w:sz w:val="20"/>
          <w:lang w:val="lt-LT"/>
        </w:rPr>
        <w:t>ų</w:t>
      </w:r>
      <w:r w:rsidRPr="002142B8">
        <w:rPr>
          <w:rFonts w:ascii="Georgia" w:hAnsi="Georgia"/>
          <w:sz w:val="20"/>
          <w:lang w:val="lt-LT"/>
        </w:rPr>
        <w:t xml:space="preserve"> procedūrų, pastato dydžio, jo aukštingumo, miesto, kuriame vykdomas projektas,</w:t>
      </w:r>
      <w:r w:rsidR="00C31CD5" w:rsidRPr="002142B8">
        <w:rPr>
          <w:rFonts w:ascii="Georgia" w:hAnsi="Georgia"/>
          <w:sz w:val="20"/>
          <w:lang w:val="lt-LT"/>
        </w:rPr>
        <w:t xml:space="preserve"> ir daugelio kitų veiksnių. Remiantis šiomis prielaidomis, matome, kad j</w:t>
      </w:r>
      <w:r w:rsidRPr="002142B8">
        <w:rPr>
          <w:rFonts w:ascii="Georgia" w:hAnsi="Georgia"/>
          <w:sz w:val="20"/>
          <w:lang w:val="lt-LT"/>
        </w:rPr>
        <w:t>ei investicijos vienam kvadratiniam metrui būtų</w:t>
      </w:r>
      <w:r w:rsidR="006C01FB" w:rsidRPr="002142B8">
        <w:rPr>
          <w:rFonts w:ascii="Georgia" w:hAnsi="Georgia"/>
          <w:sz w:val="20"/>
          <w:lang w:val="lt-LT"/>
        </w:rPr>
        <w:t xml:space="preserve"> apie</w:t>
      </w:r>
      <w:r w:rsidRPr="002142B8">
        <w:rPr>
          <w:rFonts w:ascii="Georgia" w:hAnsi="Georgia"/>
          <w:sz w:val="20"/>
          <w:lang w:val="lt-LT"/>
        </w:rPr>
        <w:t xml:space="preserve"> 20 proc.</w:t>
      </w:r>
      <w:r w:rsidR="00C31CD5" w:rsidRPr="002142B8">
        <w:rPr>
          <w:rFonts w:ascii="Georgia" w:hAnsi="Georgia"/>
          <w:sz w:val="20"/>
          <w:lang w:val="lt-LT"/>
        </w:rPr>
        <w:t xml:space="preserve"> mažesnės</w:t>
      </w:r>
      <w:r w:rsidR="006C01FB" w:rsidRPr="002142B8">
        <w:rPr>
          <w:rFonts w:ascii="Georgia" w:hAnsi="Georgia"/>
          <w:sz w:val="20"/>
          <w:lang w:val="lt-LT"/>
        </w:rPr>
        <w:t xml:space="preserve"> (t.y. 155 eurai/m</w:t>
      </w:r>
      <w:r w:rsidR="006C01FB" w:rsidRPr="002142B8">
        <w:rPr>
          <w:rFonts w:ascii="Georgia" w:hAnsi="Georgia"/>
          <w:sz w:val="20"/>
          <w:vertAlign w:val="superscript"/>
          <w:lang w:val="lt-LT"/>
        </w:rPr>
        <w:t>2</w:t>
      </w:r>
      <w:r w:rsidR="006C01FB" w:rsidRPr="002142B8">
        <w:rPr>
          <w:rFonts w:ascii="Georgia" w:hAnsi="Georgia"/>
          <w:sz w:val="20"/>
          <w:lang w:val="lt-LT"/>
        </w:rPr>
        <w:t xml:space="preserve">) </w:t>
      </w:r>
      <w:r w:rsidRPr="002142B8">
        <w:rPr>
          <w:rFonts w:ascii="Georgia" w:hAnsi="Georgia"/>
          <w:sz w:val="20"/>
          <w:lang w:val="lt-LT"/>
        </w:rPr>
        <w:t xml:space="preserve">lyginant su vidutiniu dydžiu, projektui suteikus 30 proc. subsidiją jis </w:t>
      </w:r>
      <w:r w:rsidR="00C31CD5" w:rsidRPr="002142B8">
        <w:rPr>
          <w:rFonts w:ascii="Georgia" w:hAnsi="Georgia"/>
          <w:sz w:val="20"/>
          <w:lang w:val="lt-LT"/>
        </w:rPr>
        <w:t xml:space="preserve">pilnai atsipirktų per </w:t>
      </w:r>
      <w:r w:rsidR="006C01FB" w:rsidRPr="002142B8">
        <w:rPr>
          <w:rFonts w:ascii="Georgia" w:hAnsi="Georgia"/>
          <w:sz w:val="20"/>
          <w:lang w:val="lt-LT"/>
        </w:rPr>
        <w:t xml:space="preserve">19 </w:t>
      </w:r>
      <w:r w:rsidR="00C31CD5" w:rsidRPr="002142B8">
        <w:rPr>
          <w:rFonts w:ascii="Georgia" w:hAnsi="Georgia"/>
          <w:sz w:val="20"/>
          <w:lang w:val="lt-LT"/>
        </w:rPr>
        <w:t>met</w:t>
      </w:r>
      <w:r w:rsidR="006C01FB" w:rsidRPr="002142B8">
        <w:rPr>
          <w:rFonts w:ascii="Georgia" w:hAnsi="Georgia"/>
          <w:sz w:val="20"/>
          <w:lang w:val="lt-LT"/>
        </w:rPr>
        <w:t>ų</w:t>
      </w:r>
      <w:r w:rsidR="00C31CD5" w:rsidRPr="002142B8">
        <w:rPr>
          <w:rFonts w:ascii="Georgia" w:hAnsi="Georgia"/>
          <w:sz w:val="20"/>
          <w:lang w:val="lt-LT"/>
        </w:rPr>
        <w:t>. Atsižvelgiant į tai, kad prielaidos nėra svyruojančios, darytina išvada, jog šis</w:t>
      </w:r>
      <w:r w:rsidRPr="002142B8">
        <w:rPr>
          <w:rFonts w:ascii="Georgia" w:hAnsi="Georgia"/>
          <w:sz w:val="20"/>
          <w:lang w:val="lt-LT"/>
        </w:rPr>
        <w:t xml:space="preserve"> rodiklis </w:t>
      </w:r>
      <w:r w:rsidR="00C31CD5" w:rsidRPr="002142B8">
        <w:rPr>
          <w:rFonts w:ascii="Georgia" w:hAnsi="Georgia"/>
          <w:sz w:val="20"/>
          <w:lang w:val="lt-LT"/>
        </w:rPr>
        <w:t xml:space="preserve">yra </w:t>
      </w:r>
      <w:r w:rsidR="006C01FB" w:rsidRPr="002142B8">
        <w:rPr>
          <w:rFonts w:ascii="Georgia" w:hAnsi="Georgia"/>
          <w:sz w:val="20"/>
          <w:lang w:val="lt-LT"/>
        </w:rPr>
        <w:t>atitinka</w:t>
      </w:r>
      <w:r w:rsidR="00C31CD5" w:rsidRPr="002142B8">
        <w:rPr>
          <w:rFonts w:ascii="Georgia" w:hAnsi="Georgia"/>
          <w:sz w:val="20"/>
          <w:lang w:val="lt-LT"/>
        </w:rPr>
        <w:t xml:space="preserve"> siektin</w:t>
      </w:r>
      <w:r w:rsidR="006C01FB" w:rsidRPr="002142B8">
        <w:rPr>
          <w:rFonts w:ascii="Georgia" w:hAnsi="Georgia"/>
          <w:sz w:val="20"/>
          <w:lang w:val="lt-LT"/>
        </w:rPr>
        <w:t>ą</w:t>
      </w:r>
      <w:r w:rsidR="00C31CD5" w:rsidRPr="002142B8">
        <w:rPr>
          <w:rFonts w:ascii="Georgia" w:hAnsi="Georgia"/>
          <w:sz w:val="20"/>
          <w:lang w:val="lt-LT"/>
        </w:rPr>
        <w:t xml:space="preserve"> </w:t>
      </w:r>
      <w:r w:rsidRPr="002142B8">
        <w:rPr>
          <w:rFonts w:ascii="Georgia" w:hAnsi="Georgia"/>
          <w:sz w:val="20"/>
          <w:lang w:val="lt-LT"/>
        </w:rPr>
        <w:t xml:space="preserve">paskolos </w:t>
      </w:r>
      <w:r w:rsidR="00C31CD5" w:rsidRPr="002142B8">
        <w:rPr>
          <w:rFonts w:ascii="Georgia" w:hAnsi="Georgia"/>
          <w:sz w:val="20"/>
          <w:lang w:val="lt-LT"/>
        </w:rPr>
        <w:t xml:space="preserve">atsipirkimo </w:t>
      </w:r>
      <w:r w:rsidRPr="002142B8">
        <w:rPr>
          <w:rFonts w:ascii="Georgia" w:hAnsi="Georgia"/>
          <w:sz w:val="20"/>
          <w:lang w:val="lt-LT"/>
        </w:rPr>
        <w:t>laikotarp</w:t>
      </w:r>
      <w:r w:rsidR="006C01FB" w:rsidRPr="002142B8">
        <w:rPr>
          <w:rFonts w:ascii="Georgia" w:hAnsi="Georgia"/>
          <w:sz w:val="20"/>
          <w:lang w:val="lt-LT"/>
        </w:rPr>
        <w:t>į</w:t>
      </w:r>
      <w:r w:rsidRPr="002142B8">
        <w:rPr>
          <w:rFonts w:ascii="Georgia" w:hAnsi="Georgia"/>
          <w:sz w:val="20"/>
          <w:lang w:val="lt-LT"/>
        </w:rPr>
        <w:t xml:space="preserve"> (20 metų)</w:t>
      </w:r>
      <w:r w:rsidR="00C31CD5" w:rsidRPr="002142B8">
        <w:rPr>
          <w:rFonts w:ascii="Georgia" w:hAnsi="Georgia"/>
          <w:sz w:val="20"/>
          <w:lang w:val="lt-LT"/>
        </w:rPr>
        <w:t xml:space="preserve"> bei teigiama praktinė fondų įgyvendinimo patirtis leidžia daryti išvadą, kad 30 proc. subsidija yra optimali.</w:t>
      </w:r>
    </w:p>
    <w:p w14:paraId="0E08F5E0" w14:textId="77777777" w:rsidR="0032111C" w:rsidRPr="002142B8" w:rsidRDefault="0032111C" w:rsidP="0032111C">
      <w:pPr>
        <w:jc w:val="both"/>
        <w:rPr>
          <w:lang w:val="lt-LT"/>
        </w:rPr>
      </w:pPr>
      <w:r w:rsidRPr="002142B8">
        <w:rPr>
          <w:rFonts w:ascii="Georgia" w:hAnsi="Georgia"/>
          <w:sz w:val="20"/>
          <w:lang w:val="lt-LT"/>
        </w:rPr>
        <w:t>Projektų atsiperkamumo jautrumo analizės rezultatai vertinant šilumos kainos ir galimo sutaupymo pokyčius (esant 30 proc. subsidijos elementui ir nekeičiant kitų prielaidų) pateikti lentelėje.</w:t>
      </w:r>
    </w:p>
    <w:p w14:paraId="08CD43AE" w14:textId="793958F6" w:rsidR="0032111C" w:rsidRPr="005A1A99" w:rsidRDefault="0032111C" w:rsidP="0032111C">
      <w:pPr>
        <w:pStyle w:val="Antrat"/>
        <w:jc w:val="both"/>
        <w:rPr>
          <w:b w:val="0"/>
          <w:i/>
          <w:lang w:val="lt-LT"/>
        </w:rPr>
      </w:pPr>
      <w:bookmarkStart w:id="149" w:name="_Toc507939161"/>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39</w:t>
      </w:r>
      <w:r w:rsidRPr="005A1A99">
        <w:rPr>
          <w:b w:val="0"/>
          <w:i/>
          <w:lang w:val="lt-LT"/>
        </w:rPr>
        <w:fldChar w:fldCharType="end"/>
      </w:r>
      <w:r w:rsidRPr="005A1A99">
        <w:rPr>
          <w:b w:val="0"/>
          <w:i/>
          <w:lang w:val="lt-LT"/>
        </w:rPr>
        <w:t>. Šilumos kainos ir galimo sutaupymo santykio jautrumo analizės rezultatai (su subsidija)</w:t>
      </w:r>
      <w:bookmarkEnd w:id="149"/>
    </w:p>
    <w:p w14:paraId="31164549" w14:textId="2E06EB3B" w:rsidR="006C01FB" w:rsidRPr="002142B8" w:rsidRDefault="00B0018A" w:rsidP="0032111C">
      <w:pPr>
        <w:rPr>
          <w:noProof/>
        </w:rPr>
      </w:pPr>
      <w:r w:rsidRPr="002142B8">
        <w:rPr>
          <w:noProof/>
          <w:lang w:val="lt-LT" w:eastAsia="lt-LT"/>
        </w:rPr>
        <w:drawing>
          <wp:inline distT="0" distB="0" distL="0" distR="0" wp14:anchorId="620C6855" wp14:editId="141BCF7C">
            <wp:extent cx="5731510" cy="18484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48485"/>
                    </a:xfrm>
                    <a:prstGeom prst="rect">
                      <a:avLst/>
                    </a:prstGeom>
                  </pic:spPr>
                </pic:pic>
              </a:graphicData>
            </a:graphic>
          </wp:inline>
        </w:drawing>
      </w:r>
    </w:p>
    <w:p w14:paraId="2D3E5836" w14:textId="70871834" w:rsidR="0032111C" w:rsidRPr="002142B8" w:rsidRDefault="0032111C" w:rsidP="0032111C">
      <w:pPr>
        <w:rPr>
          <w:lang w:val="lt-LT"/>
        </w:rPr>
      </w:pPr>
      <w:r w:rsidRPr="002142B8">
        <w:rPr>
          <w:rFonts w:ascii="Georgia" w:hAnsi="Georgia"/>
          <w:sz w:val="16"/>
          <w:szCs w:val="16"/>
          <w:lang w:val="lt-LT"/>
        </w:rPr>
        <w:t xml:space="preserve">Pastaba: Čia ir kitose lentelėse šioje ataskaitos dalyse #NUM! reiškia, kad reikšmės apskaičiuoti neįmanoma </w:t>
      </w:r>
    </w:p>
    <w:p w14:paraId="4BCAD2FA" w14:textId="0B45EF53" w:rsidR="0032111C" w:rsidRPr="002142B8" w:rsidRDefault="0032111C" w:rsidP="0032111C">
      <w:pPr>
        <w:jc w:val="both"/>
        <w:rPr>
          <w:lang w:val="lt-LT"/>
        </w:rPr>
      </w:pPr>
      <w:r w:rsidRPr="002142B8">
        <w:rPr>
          <w:rFonts w:ascii="Georgia" w:hAnsi="Georgia"/>
          <w:sz w:val="20"/>
          <w:lang w:val="lt-LT"/>
        </w:rPr>
        <w:t>Iš anksčiau pateiktos lentelės duomenų galima daryti išvadą, kad renovacijos projektas s</w:t>
      </w:r>
      <w:r w:rsidR="00C31CD5" w:rsidRPr="002142B8">
        <w:rPr>
          <w:rFonts w:ascii="Georgia" w:hAnsi="Georgia"/>
          <w:sz w:val="20"/>
          <w:lang w:val="lt-LT"/>
        </w:rPr>
        <w:t xml:space="preserve">u 30 proc. subsidija atsipirktų, </w:t>
      </w:r>
      <w:r w:rsidRPr="002142B8">
        <w:rPr>
          <w:rFonts w:ascii="Georgia" w:hAnsi="Georgia"/>
          <w:sz w:val="20"/>
          <w:lang w:val="lt-LT"/>
        </w:rPr>
        <w:t xml:space="preserve">jei būtų pasiekti </w:t>
      </w:r>
      <w:r w:rsidR="00B0018A" w:rsidRPr="002142B8">
        <w:rPr>
          <w:rFonts w:ascii="Georgia" w:hAnsi="Georgia"/>
          <w:sz w:val="20"/>
          <w:lang w:val="lt-LT"/>
        </w:rPr>
        <w:t>50-55</w:t>
      </w:r>
      <w:r w:rsidRPr="002142B8">
        <w:rPr>
          <w:rFonts w:ascii="Georgia" w:hAnsi="Georgia"/>
          <w:sz w:val="20"/>
          <w:lang w:val="lt-LT"/>
        </w:rPr>
        <w:t xml:space="preserve"> proc. šilumos sutaupymai, o šilumos kaina būtų 0,073 euro/kWh. Pagal VKEKK skelbiamus duomenis, 2017 m. lapkričio mėn. dešimties iš penkiasdešimt šilumos tiekimo bendrovių kaina buvo didesnė nei 0,073 euro/kWh. Tiesa, galima pastebėti </w:t>
      </w:r>
      <w:r w:rsidR="00C31CD5" w:rsidRPr="002142B8">
        <w:rPr>
          <w:rFonts w:ascii="Georgia" w:hAnsi="Georgia"/>
          <w:sz w:val="20"/>
          <w:lang w:val="lt-LT"/>
        </w:rPr>
        <w:t>tendenciją</w:t>
      </w:r>
      <w:r w:rsidRPr="002142B8">
        <w:rPr>
          <w:rFonts w:ascii="Georgia" w:hAnsi="Georgia"/>
          <w:sz w:val="20"/>
          <w:lang w:val="lt-LT"/>
        </w:rPr>
        <w:t>, kad tai mažesnių miestų ir miestelių bendrovės.</w:t>
      </w:r>
    </w:p>
    <w:p w14:paraId="67A63526" w14:textId="77777777" w:rsidR="007B305E" w:rsidRDefault="007B305E">
      <w:pPr>
        <w:rPr>
          <w:rFonts w:ascii="Georgia" w:eastAsia="PMingLiU" w:hAnsi="Georgia" w:cs="Times New Roman"/>
          <w:bCs/>
          <w:i/>
          <w:color w:val="A32020"/>
          <w:sz w:val="20"/>
          <w:szCs w:val="18"/>
          <w:lang w:val="lt-LT"/>
        </w:rPr>
      </w:pPr>
      <w:r>
        <w:rPr>
          <w:b/>
          <w:i/>
          <w:lang w:val="lt-LT"/>
        </w:rPr>
        <w:br w:type="page"/>
      </w:r>
    </w:p>
    <w:p w14:paraId="63482389" w14:textId="77DAE495" w:rsidR="0032111C" w:rsidRPr="002142B8" w:rsidRDefault="0032111C" w:rsidP="00F91954">
      <w:pPr>
        <w:pStyle w:val="Antrat"/>
        <w:jc w:val="both"/>
        <w:rPr>
          <w:lang w:val="lt-LT"/>
        </w:rPr>
      </w:pPr>
      <w:bookmarkStart w:id="150" w:name="_Toc507939162"/>
      <w:r w:rsidRPr="005A1A99">
        <w:rPr>
          <w:b w:val="0"/>
          <w:i/>
          <w:lang w:val="lt-LT"/>
        </w:rPr>
        <w:lastRenderedPageBreak/>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40</w:t>
      </w:r>
      <w:r w:rsidRPr="005A1A99">
        <w:rPr>
          <w:b w:val="0"/>
          <w:i/>
          <w:lang w:val="lt-LT"/>
        </w:rPr>
        <w:fldChar w:fldCharType="end"/>
      </w:r>
      <w:r w:rsidRPr="005A1A99">
        <w:rPr>
          <w:b w:val="0"/>
          <w:i/>
          <w:lang w:val="lt-LT"/>
        </w:rPr>
        <w:t>. Šilumos kainos ir galimo sutaupymo santykio jautrumo analizės rezultatai (be subsidijos)</w:t>
      </w:r>
      <w:bookmarkEnd w:id="150"/>
    </w:p>
    <w:p w14:paraId="478E6CAF" w14:textId="1EE571EA" w:rsidR="00B0018A" w:rsidRPr="002142B8" w:rsidRDefault="00B0018A" w:rsidP="0032111C">
      <w:pPr>
        <w:jc w:val="both"/>
        <w:rPr>
          <w:rFonts w:ascii="Georgia" w:hAnsi="Georgia"/>
          <w:sz w:val="20"/>
          <w:lang w:val="lt-LT"/>
        </w:rPr>
      </w:pPr>
      <w:r w:rsidRPr="002142B8">
        <w:rPr>
          <w:noProof/>
          <w:lang w:val="lt-LT" w:eastAsia="lt-LT"/>
        </w:rPr>
        <w:drawing>
          <wp:inline distT="0" distB="0" distL="0" distR="0" wp14:anchorId="634FEC15" wp14:editId="09F37755">
            <wp:extent cx="5731510" cy="17602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60220"/>
                    </a:xfrm>
                    <a:prstGeom prst="rect">
                      <a:avLst/>
                    </a:prstGeom>
                  </pic:spPr>
                </pic:pic>
              </a:graphicData>
            </a:graphic>
          </wp:inline>
        </w:drawing>
      </w:r>
    </w:p>
    <w:p w14:paraId="6188360E" w14:textId="78BAC857" w:rsidR="0032111C" w:rsidRPr="002142B8" w:rsidRDefault="0032111C" w:rsidP="0032111C">
      <w:pPr>
        <w:jc w:val="both"/>
        <w:rPr>
          <w:lang w:val="lt-LT"/>
        </w:rPr>
      </w:pPr>
      <w:r w:rsidRPr="002142B8">
        <w:rPr>
          <w:rFonts w:ascii="Georgia" w:hAnsi="Georgia"/>
          <w:sz w:val="20"/>
          <w:lang w:val="lt-LT"/>
        </w:rPr>
        <w:t xml:space="preserve">Iš lentelėje pateiktų duomenų matyti, kad jei subsidija </w:t>
      </w:r>
      <w:r w:rsidR="00C31CD5" w:rsidRPr="002142B8">
        <w:rPr>
          <w:rFonts w:ascii="Georgia" w:hAnsi="Georgia"/>
          <w:sz w:val="20"/>
          <w:lang w:val="lt-LT"/>
        </w:rPr>
        <w:t xml:space="preserve">apskritai </w:t>
      </w:r>
      <w:r w:rsidRPr="002142B8">
        <w:rPr>
          <w:rFonts w:ascii="Georgia" w:hAnsi="Georgia"/>
          <w:sz w:val="20"/>
          <w:lang w:val="lt-LT"/>
        </w:rPr>
        <w:t>nebūtų taikoma, renovacijos projektas atsipirktų per paskolos laikotarpį</w:t>
      </w:r>
      <w:r w:rsidR="00020E0D" w:rsidRPr="002142B8">
        <w:rPr>
          <w:rFonts w:ascii="Georgia" w:hAnsi="Georgia"/>
          <w:sz w:val="20"/>
          <w:lang w:val="lt-LT"/>
        </w:rPr>
        <w:t>,</w:t>
      </w:r>
      <w:r w:rsidRPr="002142B8">
        <w:rPr>
          <w:rFonts w:ascii="Georgia" w:hAnsi="Georgia"/>
          <w:sz w:val="20"/>
          <w:lang w:val="lt-LT"/>
        </w:rPr>
        <w:t xml:space="preserve"> jei šilumos kaina išaugtų </w:t>
      </w:r>
      <w:r w:rsidR="00B0018A" w:rsidRPr="002142B8">
        <w:rPr>
          <w:rFonts w:ascii="Georgia" w:hAnsi="Georgia"/>
          <w:sz w:val="20"/>
          <w:lang w:val="lt-LT"/>
        </w:rPr>
        <w:t>beveik</w:t>
      </w:r>
      <w:r w:rsidRPr="002142B8">
        <w:rPr>
          <w:rFonts w:ascii="Georgia" w:hAnsi="Georgia"/>
          <w:sz w:val="20"/>
          <w:lang w:val="lt-LT"/>
        </w:rPr>
        <w:t xml:space="preserve"> dvigubai lyginant su skaičiavimuose naudotu lygiu ir projektas sutaupytų </w:t>
      </w:r>
      <w:r w:rsidRPr="002142B8">
        <w:rPr>
          <w:rFonts w:ascii="Georgia" w:hAnsi="Georgia"/>
          <w:sz w:val="20"/>
        </w:rPr>
        <w:t>60</w:t>
      </w:r>
      <w:r w:rsidRPr="002142B8">
        <w:rPr>
          <w:rFonts w:ascii="Georgia" w:hAnsi="Georgia"/>
          <w:sz w:val="20"/>
          <w:lang w:val="lt-LT"/>
        </w:rPr>
        <w:t xml:space="preserve"> proc. šilumos energijos.</w:t>
      </w:r>
    </w:p>
    <w:p w14:paraId="16579A64" w14:textId="06C74F4F" w:rsidR="0032111C" w:rsidRPr="005A1A99" w:rsidRDefault="0032111C" w:rsidP="005A1A99">
      <w:pPr>
        <w:pStyle w:val="Antrat"/>
        <w:jc w:val="both"/>
        <w:rPr>
          <w:b w:val="0"/>
          <w:i/>
          <w:noProof/>
        </w:rPr>
      </w:pPr>
      <w:bookmarkStart w:id="151" w:name="_Toc507939163"/>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41</w:t>
      </w:r>
      <w:r w:rsidRPr="005A1A99">
        <w:rPr>
          <w:b w:val="0"/>
          <w:i/>
          <w:lang w:val="lt-LT"/>
        </w:rPr>
        <w:fldChar w:fldCharType="end"/>
      </w:r>
      <w:r w:rsidRPr="005A1A99">
        <w:rPr>
          <w:b w:val="0"/>
          <w:i/>
          <w:lang w:val="lt-LT"/>
        </w:rPr>
        <w:t>. Energijos kainos ir subsidijos elemento santykio analizė</w:t>
      </w:r>
      <w:bookmarkEnd w:id="151"/>
      <w:r w:rsidRPr="005A1A99">
        <w:rPr>
          <w:b w:val="0"/>
          <w:i/>
          <w:noProof/>
        </w:rPr>
        <w:t xml:space="preserve"> </w:t>
      </w:r>
    </w:p>
    <w:p w14:paraId="31EEF450" w14:textId="691D1B30" w:rsidR="00096FB5" w:rsidRPr="002142B8" w:rsidRDefault="00096FB5" w:rsidP="0032111C">
      <w:pPr>
        <w:rPr>
          <w:lang w:val="lt-LT"/>
        </w:rPr>
      </w:pPr>
      <w:r w:rsidRPr="002142B8">
        <w:rPr>
          <w:noProof/>
          <w:lang w:val="lt-LT" w:eastAsia="lt-LT"/>
        </w:rPr>
        <w:drawing>
          <wp:inline distT="0" distB="0" distL="0" distR="0" wp14:anchorId="1CA8EEA9" wp14:editId="5C359C98">
            <wp:extent cx="5731510" cy="17487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748790"/>
                    </a:xfrm>
                    <a:prstGeom prst="rect">
                      <a:avLst/>
                    </a:prstGeom>
                  </pic:spPr>
                </pic:pic>
              </a:graphicData>
            </a:graphic>
          </wp:inline>
        </w:drawing>
      </w:r>
    </w:p>
    <w:p w14:paraId="39CAB656" w14:textId="39B63ED4" w:rsidR="0032111C" w:rsidRPr="002142B8" w:rsidRDefault="0032111C" w:rsidP="0032111C">
      <w:pPr>
        <w:jc w:val="both"/>
        <w:rPr>
          <w:lang w:val="lt-LT"/>
        </w:rPr>
      </w:pPr>
      <w:r w:rsidRPr="002142B8">
        <w:rPr>
          <w:rFonts w:ascii="Georgia" w:hAnsi="Georgia"/>
          <w:sz w:val="20"/>
          <w:lang w:val="lt-LT"/>
        </w:rPr>
        <w:t>Šioje lentelėje pateikti duomenys dar kartą parodo, kad miestuose ir gyvenvietėse, kuriose šiuo metu šilumos kaina yra apie 0,073 Eur/kWh, daugiabučių modernizavimo projektai</w:t>
      </w:r>
      <w:r w:rsidR="00C31CD5" w:rsidRPr="002142B8">
        <w:rPr>
          <w:rFonts w:ascii="Georgia" w:hAnsi="Georgia"/>
          <w:sz w:val="20"/>
          <w:lang w:val="lt-LT"/>
        </w:rPr>
        <w:t>,</w:t>
      </w:r>
      <w:r w:rsidRPr="002142B8">
        <w:rPr>
          <w:rFonts w:ascii="Georgia" w:hAnsi="Georgia"/>
          <w:sz w:val="20"/>
          <w:lang w:val="lt-LT"/>
        </w:rPr>
        <w:t xml:space="preserve"> gaudami 30 proc. subsidiją</w:t>
      </w:r>
      <w:r w:rsidR="00C31CD5" w:rsidRPr="002142B8">
        <w:rPr>
          <w:rFonts w:ascii="Georgia" w:hAnsi="Georgia"/>
          <w:sz w:val="20"/>
          <w:lang w:val="lt-LT"/>
        </w:rPr>
        <w:t>,</w:t>
      </w:r>
      <w:r w:rsidRPr="002142B8">
        <w:rPr>
          <w:rFonts w:ascii="Georgia" w:hAnsi="Georgia"/>
          <w:sz w:val="20"/>
          <w:lang w:val="lt-LT"/>
        </w:rPr>
        <w:t xml:space="preserve"> atsiperka per </w:t>
      </w:r>
      <w:r w:rsidR="00096FB5" w:rsidRPr="002142B8">
        <w:rPr>
          <w:rFonts w:ascii="Georgia" w:hAnsi="Georgia"/>
          <w:sz w:val="20"/>
          <w:lang w:val="lt-LT"/>
        </w:rPr>
        <w:t>kiek</w:t>
      </w:r>
      <w:r w:rsidRPr="002142B8">
        <w:rPr>
          <w:rFonts w:ascii="Georgia" w:hAnsi="Georgia"/>
          <w:sz w:val="20"/>
          <w:lang w:val="lt-LT"/>
        </w:rPr>
        <w:t xml:space="preserve"> trumpesnį laikotarpį, nei lengvatinės paskolos terminas.</w:t>
      </w:r>
    </w:p>
    <w:p w14:paraId="157203A9" w14:textId="2FD8D58A" w:rsidR="0032111C" w:rsidRPr="005A1A99" w:rsidRDefault="0032111C" w:rsidP="005A1A99">
      <w:pPr>
        <w:pStyle w:val="Antrat"/>
        <w:jc w:val="both"/>
        <w:rPr>
          <w:b w:val="0"/>
          <w:i/>
          <w:lang w:val="lt-LT"/>
        </w:rPr>
      </w:pPr>
      <w:bookmarkStart w:id="152" w:name="_Toc507939164"/>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42</w:t>
      </w:r>
      <w:r w:rsidRPr="005A1A99">
        <w:rPr>
          <w:b w:val="0"/>
          <w:i/>
          <w:lang w:val="lt-LT"/>
        </w:rPr>
        <w:fldChar w:fldCharType="end"/>
      </w:r>
      <w:r w:rsidRPr="005A1A99">
        <w:rPr>
          <w:b w:val="0"/>
          <w:i/>
          <w:lang w:val="lt-LT"/>
        </w:rPr>
        <w:t>. Energijos kainos augimo ir subsidijos elemento santykio jautrumo analizė</w:t>
      </w:r>
      <w:bookmarkEnd w:id="152"/>
      <w:r w:rsidRPr="005A1A99">
        <w:rPr>
          <w:b w:val="0"/>
          <w:i/>
          <w:lang w:val="lt-LT"/>
        </w:rPr>
        <w:t xml:space="preserve"> </w:t>
      </w:r>
      <w:r w:rsidRPr="005A1A99">
        <w:rPr>
          <w:b w:val="0"/>
          <w:i/>
          <w:noProof/>
        </w:rPr>
        <w:t xml:space="preserve"> </w:t>
      </w:r>
    </w:p>
    <w:p w14:paraId="4F23C1E7" w14:textId="0720EDAF" w:rsidR="00096FB5" w:rsidRPr="002142B8" w:rsidRDefault="00096FB5" w:rsidP="0032111C">
      <w:pPr>
        <w:jc w:val="both"/>
        <w:rPr>
          <w:rFonts w:ascii="Georgia" w:hAnsi="Georgia"/>
          <w:sz w:val="20"/>
          <w:lang w:val="lt-LT"/>
        </w:rPr>
      </w:pPr>
      <w:r w:rsidRPr="002142B8">
        <w:rPr>
          <w:noProof/>
          <w:lang w:val="lt-LT" w:eastAsia="lt-LT"/>
        </w:rPr>
        <w:drawing>
          <wp:inline distT="0" distB="0" distL="0" distR="0" wp14:anchorId="154B11F7" wp14:editId="0FC54D36">
            <wp:extent cx="5731510" cy="17430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43075"/>
                    </a:xfrm>
                    <a:prstGeom prst="rect">
                      <a:avLst/>
                    </a:prstGeom>
                  </pic:spPr>
                </pic:pic>
              </a:graphicData>
            </a:graphic>
          </wp:inline>
        </w:drawing>
      </w:r>
    </w:p>
    <w:p w14:paraId="52032C2E" w14:textId="6F2DE7D5" w:rsidR="0032111C" w:rsidRPr="002142B8" w:rsidRDefault="0032111C" w:rsidP="0032111C">
      <w:pPr>
        <w:jc w:val="both"/>
        <w:rPr>
          <w:lang w:val="lt-LT"/>
        </w:rPr>
      </w:pPr>
      <w:r w:rsidRPr="002142B8">
        <w:rPr>
          <w:rFonts w:ascii="Georgia" w:hAnsi="Georgia"/>
          <w:sz w:val="20"/>
          <w:lang w:val="lt-LT"/>
        </w:rPr>
        <w:t>2016 m. Lietuvos šilumos tiekėjų asociacijos duomenimis biokuro dalis šilumos gamyboje sudarė 64,2 proc. Prognozuojama, kad biokuro dali</w:t>
      </w:r>
      <w:r w:rsidR="00DB2573" w:rsidRPr="002142B8">
        <w:rPr>
          <w:rFonts w:ascii="Georgia" w:hAnsi="Georgia"/>
          <w:sz w:val="20"/>
          <w:lang w:val="lt-LT"/>
        </w:rPr>
        <w:t>s</w:t>
      </w:r>
      <w:r w:rsidRPr="002142B8">
        <w:rPr>
          <w:rFonts w:ascii="Georgia" w:hAnsi="Georgia"/>
          <w:sz w:val="20"/>
          <w:lang w:val="lt-LT"/>
        </w:rPr>
        <w:t xml:space="preserve"> šilumos gamyboje toliau augs ir 2020 m.</w:t>
      </w:r>
      <w:r w:rsidR="00325FB1" w:rsidRPr="002142B8">
        <w:rPr>
          <w:rFonts w:ascii="Georgia" w:hAnsi="Georgia"/>
          <w:sz w:val="20"/>
          <w:lang w:val="lt-LT"/>
        </w:rPr>
        <w:t xml:space="preserve">- </w:t>
      </w:r>
      <w:r w:rsidR="00325FB1" w:rsidRPr="002142B8">
        <w:rPr>
          <w:rFonts w:ascii="Georgia" w:hAnsi="Georgia"/>
          <w:sz w:val="20"/>
        </w:rPr>
        <w:t>2025 m.</w:t>
      </w:r>
      <w:r w:rsidRPr="002142B8">
        <w:rPr>
          <w:rFonts w:ascii="Georgia" w:hAnsi="Georgia"/>
          <w:sz w:val="20"/>
          <w:lang w:val="lt-LT"/>
        </w:rPr>
        <w:t xml:space="preserve"> ji sudarys </w:t>
      </w:r>
      <w:r w:rsidRPr="002142B8">
        <w:rPr>
          <w:rFonts w:ascii="Georgia" w:hAnsi="Georgia"/>
          <w:sz w:val="20"/>
          <w:lang w:val="lt-LT"/>
        </w:rPr>
        <w:lastRenderedPageBreak/>
        <w:t xml:space="preserve">apie </w:t>
      </w:r>
      <w:r w:rsidR="00325FB1" w:rsidRPr="002142B8">
        <w:rPr>
          <w:rFonts w:ascii="Georgia" w:hAnsi="Georgia"/>
          <w:sz w:val="20"/>
          <w:lang w:val="lt-LT"/>
        </w:rPr>
        <w:t>75-</w:t>
      </w:r>
      <w:r w:rsidRPr="002142B8">
        <w:rPr>
          <w:rFonts w:ascii="Georgia" w:hAnsi="Georgia"/>
          <w:sz w:val="20"/>
          <w:lang w:val="lt-LT"/>
        </w:rPr>
        <w:t>80 proc.</w:t>
      </w:r>
      <w:r w:rsidRPr="002142B8">
        <w:rPr>
          <w:rStyle w:val="Puslapioinaosnuoroda"/>
          <w:rFonts w:ascii="Georgia" w:hAnsi="Georgia"/>
          <w:sz w:val="20"/>
          <w:lang w:val="lt-LT"/>
        </w:rPr>
        <w:footnoteReference w:id="126"/>
      </w:r>
      <w:r w:rsidRPr="002142B8">
        <w:rPr>
          <w:rFonts w:ascii="Georgia" w:hAnsi="Georgia"/>
          <w:sz w:val="20"/>
          <w:lang w:val="lt-LT"/>
        </w:rPr>
        <w:t xml:space="preserve"> Biokuras – vietinis energijos šaltinis, kurio kainos lyginant su iškastiniu kuru, žymiai mažiau priklauso nuo žaliavų kainų svyravimų pasaulinėse rinkose.  Todėl mažai tikėtina, kad biokuro kaina, o kartu ir šilumos kainos augimas ilgesniu laikotarpiu galėtų žymiai viršyti infliacijos rodiklį.   </w:t>
      </w:r>
    </w:p>
    <w:p w14:paraId="5EC2CCFB" w14:textId="49AEC6FE" w:rsidR="0032111C" w:rsidRPr="002142B8" w:rsidRDefault="0032111C" w:rsidP="0032111C">
      <w:pPr>
        <w:jc w:val="both"/>
        <w:rPr>
          <w:lang w:val="lt-LT"/>
        </w:rPr>
      </w:pPr>
      <w:r w:rsidRPr="002142B8">
        <w:rPr>
          <w:rFonts w:ascii="Georgia" w:hAnsi="Georgia"/>
          <w:sz w:val="20"/>
          <w:lang w:val="lt-LT"/>
        </w:rPr>
        <w:t xml:space="preserve">Iš lentelėje pateiktų duomenų matyti, kad esant dabartinei vidutinei šilumos energijos kainai, modernizacijos projektui sutaupant </w:t>
      </w:r>
      <w:r w:rsidRPr="002142B8">
        <w:rPr>
          <w:rFonts w:ascii="Georgia" w:hAnsi="Georgia"/>
          <w:sz w:val="20"/>
        </w:rPr>
        <w:t>6</w:t>
      </w:r>
      <w:r w:rsidRPr="002142B8">
        <w:rPr>
          <w:rFonts w:ascii="Georgia" w:hAnsi="Georgia"/>
          <w:sz w:val="20"/>
          <w:lang w:val="lt-LT"/>
        </w:rPr>
        <w:t>0 proc. šilumos energijos ir suteikus 30 proc. subsidiją</w:t>
      </w:r>
      <w:r w:rsidR="00D52327" w:rsidRPr="002142B8">
        <w:rPr>
          <w:rFonts w:ascii="Georgia" w:hAnsi="Georgia"/>
          <w:sz w:val="20"/>
          <w:lang w:val="lt-LT"/>
        </w:rPr>
        <w:t>,</w:t>
      </w:r>
      <w:r w:rsidRPr="002142B8">
        <w:rPr>
          <w:rFonts w:ascii="Georgia" w:hAnsi="Georgia"/>
          <w:sz w:val="20"/>
          <w:lang w:val="lt-LT"/>
        </w:rPr>
        <w:t xml:space="preserve"> jis atsipirktų</w:t>
      </w:r>
      <w:r w:rsidR="00325FB1" w:rsidRPr="002142B8">
        <w:rPr>
          <w:rFonts w:ascii="Georgia" w:hAnsi="Georgia"/>
          <w:sz w:val="20"/>
          <w:lang w:val="lt-LT"/>
        </w:rPr>
        <w:t xml:space="preserve"> </w:t>
      </w:r>
      <w:r w:rsidR="00D52327" w:rsidRPr="002142B8">
        <w:rPr>
          <w:rFonts w:ascii="Georgia" w:hAnsi="Georgia"/>
          <w:sz w:val="20"/>
          <w:lang w:val="lt-LT"/>
        </w:rPr>
        <w:t>per 19,</w:t>
      </w:r>
      <w:r w:rsidR="00096FB5" w:rsidRPr="002142B8">
        <w:rPr>
          <w:rFonts w:ascii="Georgia" w:hAnsi="Georgia"/>
          <w:sz w:val="20"/>
          <w:lang w:val="lt-LT"/>
        </w:rPr>
        <w:t>7</w:t>
      </w:r>
      <w:r w:rsidR="00D52327" w:rsidRPr="002142B8">
        <w:rPr>
          <w:rFonts w:ascii="Georgia" w:hAnsi="Georgia"/>
          <w:sz w:val="20"/>
          <w:lang w:val="lt-LT"/>
        </w:rPr>
        <w:t xml:space="preserve"> metų </w:t>
      </w:r>
      <w:r w:rsidRPr="002142B8">
        <w:rPr>
          <w:rFonts w:ascii="Georgia" w:hAnsi="Georgia"/>
          <w:sz w:val="20"/>
          <w:lang w:val="lt-LT"/>
        </w:rPr>
        <w:t xml:space="preserve">šilumos energijai viso paskolos grąžinimo laikotarpiu brangstant po apytiksliai </w:t>
      </w:r>
      <w:r w:rsidR="00096FB5" w:rsidRPr="002142B8">
        <w:rPr>
          <w:rFonts w:ascii="Georgia" w:hAnsi="Georgia"/>
          <w:sz w:val="20"/>
          <w:lang w:val="lt-LT"/>
        </w:rPr>
        <w:t>4</w:t>
      </w:r>
      <w:r w:rsidRPr="002142B8">
        <w:rPr>
          <w:rFonts w:ascii="Georgia" w:hAnsi="Georgia"/>
          <w:sz w:val="20"/>
          <w:lang w:val="lt-LT"/>
        </w:rPr>
        <w:t xml:space="preserve"> proc.  k</w:t>
      </w:r>
      <w:r w:rsidR="00D52327" w:rsidRPr="002142B8">
        <w:rPr>
          <w:rFonts w:ascii="Georgia" w:hAnsi="Georgia"/>
          <w:sz w:val="20"/>
          <w:lang w:val="lt-LT"/>
        </w:rPr>
        <w:t>asmet</w:t>
      </w:r>
      <w:r w:rsidRPr="002142B8">
        <w:rPr>
          <w:rFonts w:ascii="Georgia" w:hAnsi="Georgia"/>
          <w:sz w:val="20"/>
          <w:lang w:val="lt-LT"/>
        </w:rPr>
        <w:t xml:space="preserve">.  Nors absoliučia reikšme </w:t>
      </w:r>
      <w:r w:rsidR="00096FB5" w:rsidRPr="002142B8">
        <w:rPr>
          <w:rFonts w:ascii="Georgia" w:hAnsi="Georgia"/>
          <w:sz w:val="20"/>
          <w:lang w:val="lt-LT"/>
        </w:rPr>
        <w:t xml:space="preserve">4 </w:t>
      </w:r>
      <w:r w:rsidRPr="002142B8">
        <w:rPr>
          <w:rFonts w:ascii="Georgia" w:hAnsi="Georgia"/>
          <w:sz w:val="20"/>
          <w:lang w:val="lt-LT"/>
        </w:rPr>
        <w:t>proc. kainos augimas žaliavų rinkose nėra labai didelis, kaip jau minėta, aukščiau tokio dydžio nuolatinis ir ilgalaikis biokuro, o kartu ir šilumos gamybos kainų augimas</w:t>
      </w:r>
      <w:r w:rsidR="00D52327" w:rsidRPr="002142B8">
        <w:rPr>
          <w:rFonts w:ascii="Georgia" w:hAnsi="Georgia"/>
          <w:sz w:val="20"/>
          <w:lang w:val="lt-LT"/>
        </w:rPr>
        <w:t>,</w:t>
      </w:r>
      <w:r w:rsidRPr="002142B8">
        <w:rPr>
          <w:rFonts w:ascii="Georgia" w:hAnsi="Georgia"/>
          <w:sz w:val="20"/>
          <w:lang w:val="lt-LT"/>
        </w:rPr>
        <w:t xml:space="preserve"> yra labai mažai tikėtinas.</w:t>
      </w:r>
    </w:p>
    <w:p w14:paraId="723EA514" w14:textId="481F5A32" w:rsidR="0032111C" w:rsidRPr="005A1A99" w:rsidRDefault="0032111C" w:rsidP="0032111C">
      <w:pPr>
        <w:pStyle w:val="Antrat"/>
        <w:jc w:val="both"/>
        <w:rPr>
          <w:b w:val="0"/>
          <w:i/>
          <w:lang w:val="lt-LT"/>
        </w:rPr>
      </w:pPr>
      <w:bookmarkStart w:id="153" w:name="_Toc507939165"/>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43</w:t>
      </w:r>
      <w:r w:rsidRPr="005A1A99">
        <w:rPr>
          <w:b w:val="0"/>
          <w:i/>
          <w:lang w:val="lt-LT"/>
        </w:rPr>
        <w:fldChar w:fldCharType="end"/>
      </w:r>
      <w:r w:rsidRPr="005A1A99">
        <w:rPr>
          <w:b w:val="0"/>
          <w:i/>
          <w:lang w:val="lt-LT"/>
        </w:rPr>
        <w:t>. Energijos suvartojimo prieš renovaciją ir subsidijos elemento santykio jautrumo analizė</w:t>
      </w:r>
      <w:bookmarkEnd w:id="153"/>
    </w:p>
    <w:p w14:paraId="6EDC5899" w14:textId="4C7E57A4" w:rsidR="00096FB5" w:rsidRPr="002142B8" w:rsidRDefault="0032111C" w:rsidP="0032111C">
      <w:pPr>
        <w:jc w:val="both"/>
        <w:rPr>
          <w:rFonts w:ascii="Georgia" w:hAnsi="Georgia"/>
          <w:sz w:val="20"/>
          <w:lang w:val="lt-LT"/>
        </w:rPr>
      </w:pPr>
      <w:r w:rsidRPr="002142B8">
        <w:rPr>
          <w:lang w:val="lt-LT"/>
        </w:rPr>
        <w:t xml:space="preserve">  </w:t>
      </w:r>
      <w:r w:rsidRPr="002142B8">
        <w:rPr>
          <w:noProof/>
        </w:rPr>
        <w:t xml:space="preserve"> </w:t>
      </w:r>
      <w:r w:rsidR="00096FB5" w:rsidRPr="002142B8">
        <w:rPr>
          <w:noProof/>
          <w:lang w:val="lt-LT" w:eastAsia="lt-LT"/>
        </w:rPr>
        <w:drawing>
          <wp:inline distT="0" distB="0" distL="0" distR="0" wp14:anchorId="769103BF" wp14:editId="1F2FC9DD">
            <wp:extent cx="5731510" cy="173164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731645"/>
                    </a:xfrm>
                    <a:prstGeom prst="rect">
                      <a:avLst/>
                    </a:prstGeom>
                  </pic:spPr>
                </pic:pic>
              </a:graphicData>
            </a:graphic>
          </wp:inline>
        </w:drawing>
      </w:r>
    </w:p>
    <w:p w14:paraId="5B451A4F" w14:textId="069A38B2" w:rsidR="0032111C" w:rsidRPr="002142B8" w:rsidRDefault="0032111C" w:rsidP="0032111C">
      <w:pPr>
        <w:jc w:val="both"/>
        <w:rPr>
          <w:strike/>
          <w:lang w:val="lt-LT"/>
        </w:rPr>
      </w:pPr>
      <w:r w:rsidRPr="002142B8">
        <w:rPr>
          <w:rFonts w:ascii="Georgia" w:hAnsi="Georgia"/>
          <w:sz w:val="20"/>
          <w:lang w:val="lt-LT"/>
        </w:rPr>
        <w:t>Iš lentelėje pateiktų duomenų matyti, kad daugiabučio</w:t>
      </w:r>
      <w:r w:rsidR="00D52327" w:rsidRPr="002142B8">
        <w:rPr>
          <w:rFonts w:ascii="Georgia" w:hAnsi="Georgia"/>
          <w:sz w:val="20"/>
          <w:lang w:val="lt-LT"/>
        </w:rPr>
        <w:t xml:space="preserve"> namo</w:t>
      </w:r>
      <w:r w:rsidRPr="002142B8">
        <w:rPr>
          <w:rFonts w:ascii="Georgia" w:hAnsi="Georgia"/>
          <w:sz w:val="20"/>
          <w:lang w:val="lt-LT"/>
        </w:rPr>
        <w:t>, suvartojančio 215 kWh/m</w:t>
      </w:r>
      <w:r w:rsidRPr="002142B8">
        <w:rPr>
          <w:rFonts w:ascii="Georgia" w:hAnsi="Georgia"/>
          <w:sz w:val="20"/>
          <w:vertAlign w:val="superscript"/>
          <w:lang w:val="lt-LT"/>
        </w:rPr>
        <w:t>2</w:t>
      </w:r>
      <w:r w:rsidRPr="002142B8">
        <w:rPr>
          <w:rFonts w:ascii="Georgia" w:hAnsi="Georgia"/>
          <w:sz w:val="20"/>
          <w:lang w:val="lt-LT"/>
        </w:rPr>
        <w:t xml:space="preserve"> per šildymo sezoną, modernizavimas atsipirktų per</w:t>
      </w:r>
      <w:r w:rsidR="00D52327" w:rsidRPr="002142B8">
        <w:rPr>
          <w:rFonts w:ascii="Georgia" w:hAnsi="Georgia"/>
          <w:sz w:val="20"/>
          <w:lang w:val="lt-LT"/>
        </w:rPr>
        <w:t xml:space="preserve"> 22,8 m.,</w:t>
      </w:r>
      <w:r w:rsidRPr="002142B8">
        <w:rPr>
          <w:rFonts w:ascii="Georgia" w:hAnsi="Georgia"/>
          <w:sz w:val="20"/>
          <w:lang w:val="lt-LT"/>
        </w:rPr>
        <w:t xml:space="preserve"> jei </w:t>
      </w:r>
      <w:r w:rsidR="00D52327" w:rsidRPr="002142B8">
        <w:rPr>
          <w:rFonts w:ascii="Georgia" w:hAnsi="Georgia"/>
          <w:sz w:val="20"/>
          <w:lang w:val="lt-LT"/>
        </w:rPr>
        <w:t>būtų suteikta 30 proc. subsidija</w:t>
      </w:r>
      <w:r w:rsidRPr="002142B8">
        <w:rPr>
          <w:rFonts w:ascii="Georgia" w:hAnsi="Georgia"/>
          <w:sz w:val="20"/>
          <w:lang w:val="lt-LT"/>
        </w:rPr>
        <w:t xml:space="preserve"> ir būtų sutaupyta 6</w:t>
      </w:r>
      <w:r w:rsidRPr="002142B8">
        <w:rPr>
          <w:rFonts w:ascii="Georgia" w:hAnsi="Georgia"/>
          <w:sz w:val="20"/>
        </w:rPr>
        <w:t>0</w:t>
      </w:r>
      <w:r w:rsidRPr="002142B8">
        <w:rPr>
          <w:rFonts w:ascii="Georgia" w:hAnsi="Georgia"/>
          <w:sz w:val="20"/>
          <w:lang w:val="lt-LT"/>
        </w:rPr>
        <w:t xml:space="preserve"> proc. šilumos energijos.  </w:t>
      </w:r>
    </w:p>
    <w:p w14:paraId="050F2B75" w14:textId="77777777" w:rsidR="0032111C" w:rsidRPr="002142B8" w:rsidRDefault="0032111C" w:rsidP="0032111C">
      <w:pPr>
        <w:jc w:val="both"/>
        <w:rPr>
          <w:lang w:val="lt-LT"/>
        </w:rPr>
      </w:pPr>
      <w:r w:rsidRPr="002142B8">
        <w:rPr>
          <w:rFonts w:ascii="Georgia" w:hAnsi="Georgia"/>
          <w:b/>
          <w:sz w:val="20"/>
          <w:lang w:val="lt-LT"/>
        </w:rPr>
        <w:t>Išvada</w:t>
      </w:r>
    </w:p>
    <w:p w14:paraId="3202EA6B" w14:textId="745EAF40" w:rsidR="0032111C" w:rsidRPr="002142B8" w:rsidRDefault="0032111C" w:rsidP="0032111C">
      <w:pPr>
        <w:jc w:val="both"/>
        <w:rPr>
          <w:rFonts w:ascii="Georgia" w:hAnsi="Georgia"/>
          <w:sz w:val="20"/>
          <w:szCs w:val="20"/>
          <w:lang w:val="lt-LT"/>
        </w:rPr>
      </w:pPr>
      <w:r w:rsidRPr="002142B8">
        <w:rPr>
          <w:rFonts w:ascii="Georgia" w:hAnsi="Georgia"/>
          <w:sz w:val="20"/>
          <w:lang w:val="lt-LT"/>
        </w:rPr>
        <w:t xml:space="preserve">Pastaraisiais metais stebėtos tendencijos, kurios </w:t>
      </w:r>
      <w:r w:rsidR="00D52327" w:rsidRPr="002142B8">
        <w:rPr>
          <w:rFonts w:ascii="Georgia" w:hAnsi="Georgia"/>
          <w:sz w:val="20"/>
          <w:lang w:val="lt-LT"/>
        </w:rPr>
        <w:t xml:space="preserve">potencialiai </w:t>
      </w:r>
      <w:r w:rsidR="00715A0F" w:rsidRPr="002142B8">
        <w:rPr>
          <w:rFonts w:ascii="Georgia" w:hAnsi="Georgia"/>
          <w:sz w:val="20"/>
          <w:lang w:val="lt-LT"/>
        </w:rPr>
        <w:t xml:space="preserve">galėjo turėti </w:t>
      </w:r>
      <w:r w:rsidR="00D52327" w:rsidRPr="002142B8">
        <w:rPr>
          <w:rFonts w:ascii="Georgia" w:hAnsi="Georgia"/>
          <w:sz w:val="20"/>
          <w:lang w:val="lt-LT"/>
        </w:rPr>
        <w:t>neigiamą</w:t>
      </w:r>
      <w:r w:rsidRPr="002142B8">
        <w:rPr>
          <w:rFonts w:ascii="Georgia" w:hAnsi="Georgia"/>
          <w:sz w:val="20"/>
          <w:lang w:val="lt-LT"/>
        </w:rPr>
        <w:t xml:space="preserve"> </w:t>
      </w:r>
      <w:r w:rsidR="00D52327" w:rsidRPr="002142B8">
        <w:rPr>
          <w:rFonts w:ascii="Georgia" w:hAnsi="Georgia"/>
          <w:sz w:val="20"/>
          <w:lang w:val="lt-LT"/>
        </w:rPr>
        <w:t>įtaką</w:t>
      </w:r>
      <w:r w:rsidRPr="002142B8">
        <w:rPr>
          <w:rFonts w:ascii="Georgia" w:hAnsi="Georgia"/>
          <w:sz w:val="20"/>
          <w:lang w:val="lt-LT"/>
        </w:rPr>
        <w:t xml:space="preserve"> kiekybiniams daugiabučių namų modernizacijos </w:t>
      </w:r>
      <w:r w:rsidRPr="002142B8">
        <w:rPr>
          <w:rFonts w:ascii="Georgia" w:hAnsi="Georgia"/>
          <w:sz w:val="20"/>
          <w:szCs w:val="20"/>
          <w:lang w:val="lt-LT"/>
        </w:rPr>
        <w:t>projektų atsipirkimo rodikliams</w:t>
      </w:r>
      <w:r w:rsidR="00D52327" w:rsidRPr="002142B8">
        <w:rPr>
          <w:rFonts w:ascii="Georgia" w:hAnsi="Georgia"/>
          <w:sz w:val="20"/>
          <w:szCs w:val="20"/>
          <w:lang w:val="lt-LT"/>
        </w:rPr>
        <w:t xml:space="preserve">, tačiau privaloma pabrėžti, jog </w:t>
      </w:r>
      <w:r w:rsidRPr="002142B8">
        <w:rPr>
          <w:rFonts w:ascii="Georgia" w:hAnsi="Georgia"/>
          <w:sz w:val="20"/>
          <w:szCs w:val="20"/>
          <w:lang w:val="lt-LT"/>
        </w:rPr>
        <w:t xml:space="preserve"> </w:t>
      </w:r>
      <w:r w:rsidR="00D52327" w:rsidRPr="002142B8">
        <w:rPr>
          <w:rFonts w:ascii="Georgia" w:hAnsi="Georgia"/>
          <w:sz w:val="20"/>
          <w:szCs w:val="20"/>
          <w:lang w:val="lt-LT"/>
        </w:rPr>
        <w:t>būsto renovacijos projektai</w:t>
      </w:r>
      <w:r w:rsidRPr="002142B8">
        <w:rPr>
          <w:rFonts w:ascii="Georgia" w:hAnsi="Georgia"/>
          <w:sz w:val="20"/>
          <w:szCs w:val="20"/>
          <w:lang w:val="lt-LT"/>
        </w:rPr>
        <w:t xml:space="preserve"> atneša </w:t>
      </w:r>
      <w:r w:rsidR="00D52327" w:rsidRPr="002142B8">
        <w:rPr>
          <w:rFonts w:ascii="Georgia" w:hAnsi="Georgia"/>
          <w:sz w:val="20"/>
          <w:szCs w:val="20"/>
          <w:lang w:val="lt-LT"/>
        </w:rPr>
        <w:t xml:space="preserve">ir labai daug kokybinės naudos, tokios kaip padidėjusi nekilnojamojo turto kaina, higienos normų užtikrinimas, komfortas ir estetinis pastato vaizdas. </w:t>
      </w:r>
    </w:p>
    <w:p w14:paraId="23A091CE" w14:textId="38EB03C4" w:rsidR="00D52327" w:rsidRPr="002142B8" w:rsidRDefault="00D52327" w:rsidP="0032111C">
      <w:pPr>
        <w:jc w:val="both"/>
        <w:rPr>
          <w:szCs w:val="20"/>
          <w:lang w:val="lt-LT"/>
        </w:rPr>
      </w:pPr>
      <w:r w:rsidRPr="002142B8">
        <w:rPr>
          <w:rFonts w:ascii="Georgia" w:hAnsi="Georgia"/>
          <w:sz w:val="20"/>
          <w:szCs w:val="20"/>
          <w:lang w:val="lt-LT"/>
        </w:rPr>
        <w:t>Žemiau pateikiamas skyriaus apibendrinas:</w:t>
      </w:r>
    </w:p>
    <w:p w14:paraId="34E7C637" w14:textId="77777777" w:rsidR="0032111C" w:rsidRPr="002142B8" w:rsidRDefault="0032111C" w:rsidP="0032111C">
      <w:pPr>
        <w:pStyle w:val="Sraassunumeriais"/>
        <w:jc w:val="both"/>
        <w:rPr>
          <w:szCs w:val="22"/>
          <w:lang w:val="lt-LT"/>
        </w:rPr>
      </w:pPr>
      <w:r w:rsidRPr="002142B8">
        <w:rPr>
          <w:rFonts w:ascii="Georgia" w:hAnsi="Georgia"/>
          <w:szCs w:val="22"/>
          <w:lang w:val="lt-LT"/>
        </w:rPr>
        <w:t>Stebėtas reikšmingas vidutinės šilumos kainos sumažėjimas šalyje, kurį daugiausiai lėmė investicijos į šilumos gamybos įrenginius, naudojančius biokurą. Pradinėje ataskaitoje skaičiavimuose buvo naudojama šilumos kaina lygi 0,294 lito/kWh arba 0,085 euro/kWh. Šioje ataskaitoje naudojama šilumos kaina lygi 0,053 euro/kWh, t.y. beveik 38 proc. mažesnė nei ankstesnėje ataskaitoje.</w:t>
      </w:r>
    </w:p>
    <w:p w14:paraId="3AAC006D" w14:textId="4AE83536" w:rsidR="0032111C" w:rsidRPr="002142B8" w:rsidRDefault="0032111C" w:rsidP="00D52327">
      <w:pPr>
        <w:pStyle w:val="Sraassunumeriais"/>
        <w:jc w:val="both"/>
        <w:rPr>
          <w:szCs w:val="22"/>
          <w:lang w:val="lt-LT"/>
        </w:rPr>
      </w:pPr>
      <w:r w:rsidRPr="002142B8">
        <w:rPr>
          <w:rFonts w:ascii="Georgia" w:hAnsi="Georgia"/>
          <w:szCs w:val="22"/>
          <w:lang w:val="lt-LT"/>
        </w:rPr>
        <w:t xml:space="preserve">Tuo pačiu metu </w:t>
      </w:r>
      <w:r w:rsidR="00D52327" w:rsidRPr="002142B8">
        <w:rPr>
          <w:rFonts w:ascii="Georgia" w:hAnsi="Georgia"/>
          <w:szCs w:val="22"/>
          <w:lang w:val="lt-LT"/>
        </w:rPr>
        <w:t>statybos darbų kainos išaugo –</w:t>
      </w:r>
      <w:r w:rsidR="00D52327" w:rsidRPr="002142B8">
        <w:rPr>
          <w:szCs w:val="22"/>
          <w:lang w:val="lt-LT"/>
        </w:rPr>
        <w:t xml:space="preserve"> </w:t>
      </w:r>
      <w:r w:rsidRPr="002142B8">
        <w:rPr>
          <w:rFonts w:ascii="Georgia" w:hAnsi="Georgia"/>
          <w:szCs w:val="22"/>
          <w:lang w:val="lt-LT"/>
        </w:rPr>
        <w:t>ankstesnėje vertinimo ataskaitoje skaičiuojamos investicijos vienam kvadratiniam metrui modern</w:t>
      </w:r>
      <w:r w:rsidR="00D52327" w:rsidRPr="002142B8">
        <w:rPr>
          <w:rFonts w:ascii="Georgia" w:hAnsi="Georgia"/>
          <w:szCs w:val="22"/>
          <w:lang w:val="lt-LT"/>
        </w:rPr>
        <w:t>izuoti buvo lygios 145 eurui, tačiau š</w:t>
      </w:r>
      <w:r w:rsidRPr="002142B8">
        <w:rPr>
          <w:rFonts w:ascii="Georgia" w:hAnsi="Georgia"/>
          <w:szCs w:val="22"/>
          <w:lang w:val="lt-LT"/>
        </w:rPr>
        <w:t>ioje ataskaitoje investicijos reikalingos vienam kvadratiniam metrui modernizuoti yra lygios 195 eurams, t.y. 34 proc. didesnės.</w:t>
      </w:r>
    </w:p>
    <w:p w14:paraId="73992445" w14:textId="319D21C5" w:rsidR="0032111C" w:rsidRPr="002142B8" w:rsidRDefault="0032111C" w:rsidP="0032111C">
      <w:pPr>
        <w:pStyle w:val="Sraassunumeriais"/>
        <w:jc w:val="both"/>
        <w:rPr>
          <w:szCs w:val="22"/>
          <w:lang w:val="lt-LT"/>
        </w:rPr>
      </w:pPr>
      <w:r w:rsidRPr="002142B8">
        <w:rPr>
          <w:rFonts w:ascii="Georgia" w:hAnsi="Georgia"/>
          <w:szCs w:val="22"/>
          <w:lang w:val="lt-LT"/>
        </w:rPr>
        <w:t xml:space="preserve">Būtina pastebėti, kad šilumos kainos atskirose šilumos tiekimo sistemose skiriasi daugiau nei du kartus (2017 m. lapkričio mėn.  duomenimis didžiausia kaina </w:t>
      </w:r>
      <w:r w:rsidRPr="002142B8">
        <w:rPr>
          <w:rFonts w:ascii="Georgia" w:hAnsi="Georgia"/>
          <w:lang w:val="lt-LT"/>
        </w:rPr>
        <w:t>–</w:t>
      </w:r>
      <w:r w:rsidRPr="002142B8">
        <w:rPr>
          <w:rFonts w:ascii="Georgia" w:hAnsi="Georgia"/>
          <w:szCs w:val="22"/>
          <w:lang w:val="lt-LT"/>
        </w:rPr>
        <w:t xml:space="preserve"> </w:t>
      </w:r>
      <w:r w:rsidRPr="002142B8">
        <w:rPr>
          <w:rFonts w:ascii="Georgia" w:hAnsi="Georgia"/>
          <w:lang w:val="lt-LT"/>
        </w:rPr>
        <w:t>9,21 ct/kWh mažiausia kaina – 4,24 ct/kWh su PVM)</w:t>
      </w:r>
      <w:r w:rsidRPr="002142B8">
        <w:rPr>
          <w:rFonts w:ascii="Georgia" w:hAnsi="Georgia"/>
          <w:szCs w:val="22"/>
          <w:lang w:val="lt-LT"/>
        </w:rPr>
        <w:t xml:space="preserve">. Modernizavimo projektų atsiperkamumo rodikliai būtų žymiai geresni miestuose, kuriuose šiluma šiuo metu yra žymiai brangesnė nei šalies vidurkis. Visgi reikėtų </w:t>
      </w:r>
      <w:r w:rsidRPr="002142B8">
        <w:rPr>
          <w:rFonts w:ascii="Georgia" w:hAnsi="Georgia"/>
          <w:szCs w:val="22"/>
          <w:lang w:val="lt-LT"/>
        </w:rPr>
        <w:lastRenderedPageBreak/>
        <w:t>pastebėti, kad šiuose miestuose yra ir didžiausias šilumos kainosi mažėjimo potencialas, didinant biokuro dalį šilumos gamyboje ir diegiant kitas priemones.</w:t>
      </w:r>
      <w:r w:rsidR="007C3790" w:rsidRPr="002142B8">
        <w:rPr>
          <w:rFonts w:ascii="Georgia" w:hAnsi="Georgia"/>
          <w:szCs w:val="22"/>
          <w:lang w:val="lt-LT"/>
        </w:rPr>
        <w:t xml:space="preserve"> Šilumos energijos tiekimas daugiabučiams šildyti yra apmokestinamas 9 proc. lengvatiniu PVM tarifu. Ši lengvata</w:t>
      </w:r>
      <w:r w:rsidR="00325FB1" w:rsidRPr="002142B8">
        <w:rPr>
          <w:rFonts w:ascii="Georgia" w:hAnsi="Georgia"/>
          <w:szCs w:val="22"/>
          <w:lang w:val="lt-LT"/>
        </w:rPr>
        <w:t xml:space="preserve"> ženkliai</w:t>
      </w:r>
      <w:r w:rsidR="007C3790" w:rsidRPr="002142B8">
        <w:rPr>
          <w:rFonts w:ascii="Georgia" w:hAnsi="Georgia"/>
          <w:szCs w:val="22"/>
          <w:lang w:val="lt-LT"/>
        </w:rPr>
        <w:t xml:space="preserve"> mažina centralizuoto šildymo kainą visoje šalyje.</w:t>
      </w:r>
    </w:p>
    <w:p w14:paraId="551160A1" w14:textId="0E457B5C" w:rsidR="0032111C" w:rsidRPr="002142B8" w:rsidRDefault="0032111C" w:rsidP="00FC7C11">
      <w:pPr>
        <w:pStyle w:val="Sraassunumeriais"/>
        <w:jc w:val="both"/>
        <w:rPr>
          <w:szCs w:val="22"/>
          <w:lang w:val="lt-LT"/>
        </w:rPr>
      </w:pPr>
      <w:r w:rsidRPr="002142B8">
        <w:rPr>
          <w:rFonts w:ascii="Georgia" w:hAnsi="Georgia"/>
          <w:szCs w:val="22"/>
          <w:lang w:val="lt-LT"/>
        </w:rPr>
        <w:t>Šilumos sutaupy</w:t>
      </w:r>
      <w:r w:rsidR="00FC7C11" w:rsidRPr="002142B8">
        <w:rPr>
          <w:rFonts w:ascii="Georgia" w:hAnsi="Georgia"/>
          <w:szCs w:val="22"/>
          <w:lang w:val="lt-LT"/>
        </w:rPr>
        <w:t xml:space="preserve">mai po modernizavimo </w:t>
      </w:r>
      <w:r w:rsidRPr="002142B8">
        <w:rPr>
          <w:rFonts w:ascii="Georgia" w:hAnsi="Georgia"/>
          <w:szCs w:val="22"/>
          <w:lang w:val="lt-LT"/>
        </w:rPr>
        <w:t>skiriasi</w:t>
      </w:r>
      <w:r w:rsidR="00FC7C11" w:rsidRPr="002142B8">
        <w:rPr>
          <w:rFonts w:ascii="Georgia" w:hAnsi="Georgia"/>
          <w:szCs w:val="22"/>
          <w:lang w:val="lt-LT"/>
        </w:rPr>
        <w:t xml:space="preserve"> taro skirtingų projektų, tačiau dauguma užbaigtų projektų gerokai viršija minimalų 40 proc. sutaupymų slenkstį</w:t>
      </w:r>
      <w:r w:rsidRPr="002142B8">
        <w:rPr>
          <w:rFonts w:ascii="Georgia" w:hAnsi="Georgia"/>
          <w:szCs w:val="22"/>
          <w:lang w:val="lt-LT"/>
        </w:rPr>
        <w:t xml:space="preserve">. BETA pateikti duomenys rodo, kad vidutiniškai po renovacijos daugiabutis </w:t>
      </w:r>
      <w:r w:rsidR="00FC7C11" w:rsidRPr="002142B8">
        <w:rPr>
          <w:rFonts w:ascii="Georgia" w:hAnsi="Georgia"/>
          <w:szCs w:val="22"/>
          <w:lang w:val="lt-LT"/>
        </w:rPr>
        <w:t xml:space="preserve">namas </w:t>
      </w:r>
      <w:r w:rsidRPr="002142B8">
        <w:rPr>
          <w:rFonts w:ascii="Georgia" w:hAnsi="Georgia"/>
          <w:szCs w:val="22"/>
          <w:lang w:val="lt-LT"/>
        </w:rPr>
        <w:t xml:space="preserve">sutaupo </w:t>
      </w:r>
      <w:r w:rsidRPr="002142B8">
        <w:rPr>
          <w:rFonts w:ascii="Georgia" w:hAnsi="Georgia"/>
          <w:szCs w:val="22"/>
        </w:rPr>
        <w:t xml:space="preserve">64 proc. </w:t>
      </w:r>
      <w:r w:rsidRPr="002142B8">
        <w:rPr>
          <w:rFonts w:ascii="Georgia" w:hAnsi="Georgia"/>
          <w:szCs w:val="22"/>
          <w:lang w:val="lt-LT"/>
        </w:rPr>
        <w:t>šilumos energijos (skaičiavimuose naudotas konservatyvesnis suapvalintas 60 proc. rodiklis). Detalesni BETA renovuotų daugiabučių</w:t>
      </w:r>
      <w:r w:rsidR="00FC7C11" w:rsidRPr="002142B8">
        <w:rPr>
          <w:rFonts w:ascii="Georgia" w:hAnsi="Georgia"/>
          <w:szCs w:val="22"/>
          <w:lang w:val="lt-LT"/>
        </w:rPr>
        <w:t xml:space="preserve"> namų</w:t>
      </w:r>
      <w:r w:rsidRPr="002142B8">
        <w:rPr>
          <w:rFonts w:ascii="Georgia" w:hAnsi="Georgia"/>
          <w:szCs w:val="22"/>
          <w:lang w:val="lt-LT"/>
        </w:rPr>
        <w:t xml:space="preserve"> tyrimo duomenys rodo, kad nemaža modernizavimo </w:t>
      </w:r>
      <w:r w:rsidR="00FC7C11" w:rsidRPr="002142B8">
        <w:rPr>
          <w:rFonts w:ascii="Georgia" w:hAnsi="Georgia"/>
          <w:szCs w:val="22"/>
          <w:lang w:val="lt-LT"/>
        </w:rPr>
        <w:t xml:space="preserve">projektų </w:t>
      </w:r>
      <w:r w:rsidRPr="002142B8">
        <w:rPr>
          <w:rFonts w:ascii="Georgia" w:hAnsi="Georgia"/>
          <w:szCs w:val="22"/>
          <w:lang w:val="lt-LT"/>
        </w:rPr>
        <w:t xml:space="preserve">dalis sutaupo gerokai daugiau nei </w:t>
      </w:r>
      <w:r w:rsidRPr="002142B8">
        <w:rPr>
          <w:rFonts w:ascii="Georgia" w:hAnsi="Georgia"/>
          <w:szCs w:val="22"/>
        </w:rPr>
        <w:t>60</w:t>
      </w:r>
      <w:r w:rsidRPr="002142B8">
        <w:rPr>
          <w:rFonts w:ascii="Georgia" w:hAnsi="Georgia"/>
          <w:szCs w:val="22"/>
          <w:lang w:val="lt-LT"/>
        </w:rPr>
        <w:t xml:space="preserve"> proc. šilumos</w:t>
      </w:r>
      <w:r w:rsidR="00FC7C11" w:rsidRPr="002142B8">
        <w:rPr>
          <w:rFonts w:ascii="Georgia" w:hAnsi="Georgia"/>
          <w:szCs w:val="22"/>
          <w:lang w:val="lt-LT"/>
        </w:rPr>
        <w:t xml:space="preserve"> energijos –</w:t>
      </w:r>
      <w:r w:rsidR="00FC7C11" w:rsidRPr="002142B8">
        <w:rPr>
          <w:szCs w:val="22"/>
          <w:lang w:val="lt-LT"/>
        </w:rPr>
        <w:t xml:space="preserve"> </w:t>
      </w:r>
      <w:r w:rsidR="00C10743" w:rsidRPr="002142B8">
        <w:rPr>
          <w:rFonts w:ascii="Georgia" w:hAnsi="Georgia"/>
          <w:szCs w:val="22"/>
          <w:lang w:val="lt-LT"/>
        </w:rPr>
        <w:t>11 proc.</w:t>
      </w:r>
      <w:r w:rsidRPr="002142B8">
        <w:rPr>
          <w:rFonts w:ascii="Georgia" w:hAnsi="Georgia"/>
          <w:szCs w:val="22"/>
          <w:lang w:val="lt-LT"/>
        </w:rPr>
        <w:t xml:space="preserve"> visų </w:t>
      </w:r>
      <w:r w:rsidR="00C10743" w:rsidRPr="002142B8">
        <w:rPr>
          <w:rFonts w:ascii="Georgia" w:hAnsi="Georgia"/>
          <w:szCs w:val="22"/>
        </w:rPr>
        <w:t>2015 metais</w:t>
      </w:r>
      <w:r w:rsidRPr="002142B8">
        <w:rPr>
          <w:rFonts w:ascii="Georgia" w:hAnsi="Georgia"/>
          <w:szCs w:val="22"/>
        </w:rPr>
        <w:t xml:space="preserve"> modernizuot</w:t>
      </w:r>
      <w:r w:rsidRPr="002142B8">
        <w:rPr>
          <w:rFonts w:ascii="Georgia" w:hAnsi="Georgia"/>
          <w:szCs w:val="22"/>
          <w:lang w:val="lt-LT"/>
        </w:rPr>
        <w:t xml:space="preserve">ų daugiabučių sutaupė </w:t>
      </w:r>
      <w:r w:rsidRPr="002142B8">
        <w:rPr>
          <w:rFonts w:ascii="Georgia" w:hAnsi="Georgia"/>
          <w:szCs w:val="22"/>
        </w:rPr>
        <w:t>70 ir daugiau procent</w:t>
      </w:r>
      <w:r w:rsidRPr="002142B8">
        <w:rPr>
          <w:rFonts w:ascii="Georgia" w:hAnsi="Georgia"/>
          <w:szCs w:val="22"/>
          <w:lang w:val="lt-LT"/>
        </w:rPr>
        <w:t xml:space="preserve">ų šilumos </w:t>
      </w:r>
      <w:r w:rsidR="00C10743" w:rsidRPr="002142B8">
        <w:rPr>
          <w:rFonts w:ascii="Georgia" w:hAnsi="Georgia"/>
          <w:szCs w:val="22"/>
          <w:lang w:val="lt-LT"/>
        </w:rPr>
        <w:t>energijos</w:t>
      </w:r>
      <w:r w:rsidRPr="002142B8">
        <w:rPr>
          <w:rFonts w:ascii="Georgia" w:hAnsi="Georgia"/>
          <w:szCs w:val="22"/>
          <w:lang w:val="lt-LT"/>
        </w:rPr>
        <w:t>.</w:t>
      </w:r>
    </w:p>
    <w:p w14:paraId="16B4DA2E" w14:textId="7D6F5C6B" w:rsidR="0032111C" w:rsidRPr="002142B8" w:rsidRDefault="0032111C" w:rsidP="0032111C">
      <w:pPr>
        <w:pStyle w:val="Sraassunumeriais"/>
        <w:jc w:val="both"/>
        <w:rPr>
          <w:rFonts w:ascii="Georgia" w:hAnsi="Georgia"/>
          <w:b/>
          <w:szCs w:val="22"/>
          <w:lang w:val="lt-LT"/>
        </w:rPr>
      </w:pPr>
      <w:r w:rsidRPr="002142B8">
        <w:rPr>
          <w:rFonts w:ascii="Georgia" w:hAnsi="Georgia"/>
          <w:szCs w:val="22"/>
          <w:lang w:val="lt-LT"/>
        </w:rPr>
        <w:t>Šilumos su</w:t>
      </w:r>
      <w:r w:rsidR="00C10743" w:rsidRPr="002142B8">
        <w:rPr>
          <w:rFonts w:ascii="Georgia" w:hAnsi="Georgia"/>
          <w:szCs w:val="22"/>
          <w:lang w:val="lt-LT"/>
        </w:rPr>
        <w:t xml:space="preserve">taupymai yra tik viena iš daugiabučių modernizacijos naudų. </w:t>
      </w:r>
      <w:r w:rsidRPr="002142B8">
        <w:rPr>
          <w:rFonts w:ascii="Georgia" w:hAnsi="Georgia"/>
          <w:szCs w:val="22"/>
          <w:lang w:val="lt-LT"/>
        </w:rPr>
        <w:t>Kitos naudos, tokios kaip nekilnojamojo turto kainos išaugimas, patogesnė, sveikesnė gyvenamoji aplinka ir kiti panašūs veiksniai, kiekybiškai nebuvo vertinti.</w:t>
      </w:r>
      <w:r w:rsidRPr="002142B8">
        <w:rPr>
          <w:rFonts w:ascii="Georgia" w:hAnsi="Georgia"/>
          <w:b/>
          <w:szCs w:val="22"/>
          <w:lang w:val="lt-LT"/>
        </w:rPr>
        <w:t xml:space="preserve"> </w:t>
      </w:r>
    </w:p>
    <w:p w14:paraId="3322DA72" w14:textId="5B600D79" w:rsidR="0032111C" w:rsidRPr="002142B8" w:rsidRDefault="0032111C" w:rsidP="0032111C">
      <w:pPr>
        <w:pStyle w:val="Sraassunumeriais"/>
        <w:jc w:val="both"/>
        <w:rPr>
          <w:szCs w:val="22"/>
          <w:lang w:val="lt-LT"/>
        </w:rPr>
      </w:pPr>
      <w:r w:rsidRPr="002142B8">
        <w:rPr>
          <w:rFonts w:ascii="Georgia" w:hAnsi="Georgia"/>
          <w:b/>
          <w:szCs w:val="22"/>
          <w:lang w:val="lt-LT"/>
        </w:rPr>
        <w:t>Šiuo metu valstybės parama daugiabučių namų modernizavimo projektams sudaro 30 proc. investicijų, tenkančių energinį efektyvumą didinančioms priemonėms.</w:t>
      </w:r>
      <w:r w:rsidRPr="002142B8">
        <w:rPr>
          <w:rFonts w:ascii="Georgia" w:hAnsi="Georgia"/>
          <w:szCs w:val="22"/>
          <w:lang w:val="lt-LT"/>
        </w:rPr>
        <w:t xml:space="preserve"> </w:t>
      </w:r>
      <w:r w:rsidR="00C10743" w:rsidRPr="002142B8">
        <w:rPr>
          <w:rFonts w:ascii="Georgia" w:hAnsi="Georgia"/>
          <w:b/>
          <w:szCs w:val="22"/>
          <w:lang w:val="lt-LT"/>
        </w:rPr>
        <w:t xml:space="preserve">Teigiama pastarųjų metų patirtis rodo, kad </w:t>
      </w:r>
      <w:r w:rsidRPr="002142B8">
        <w:rPr>
          <w:rFonts w:ascii="Georgia" w:hAnsi="Georgia"/>
          <w:b/>
          <w:szCs w:val="22"/>
          <w:lang w:val="lt-LT"/>
        </w:rPr>
        <w:t>toks paramos dydis užtikrina didelį gyve</w:t>
      </w:r>
      <w:r w:rsidR="00C10743" w:rsidRPr="002142B8">
        <w:rPr>
          <w:rFonts w:ascii="Georgia" w:hAnsi="Georgia"/>
          <w:b/>
          <w:szCs w:val="22"/>
          <w:lang w:val="lt-LT"/>
        </w:rPr>
        <w:t>ntojų susidomėjimą modernizacija</w:t>
      </w:r>
      <w:r w:rsidRPr="002142B8">
        <w:rPr>
          <w:rFonts w:ascii="Georgia" w:hAnsi="Georgia"/>
          <w:b/>
          <w:szCs w:val="22"/>
          <w:lang w:val="lt-LT"/>
        </w:rPr>
        <w:t xml:space="preserve"> ir pakankamą projektų srautą</w:t>
      </w:r>
      <w:r w:rsidR="00C10743" w:rsidRPr="002142B8">
        <w:rPr>
          <w:rFonts w:ascii="Georgia" w:hAnsi="Georgia"/>
          <w:b/>
          <w:szCs w:val="22"/>
          <w:lang w:val="lt-LT"/>
        </w:rPr>
        <w:t>, bei pakankamą projektų atsiperkamumą</w:t>
      </w:r>
      <w:r w:rsidRPr="002142B8">
        <w:rPr>
          <w:rFonts w:ascii="Georgia" w:hAnsi="Georgia"/>
          <w:b/>
          <w:szCs w:val="22"/>
          <w:lang w:val="lt-LT"/>
        </w:rPr>
        <w:t>.</w:t>
      </w:r>
      <w:r w:rsidRPr="002142B8">
        <w:rPr>
          <w:rFonts w:ascii="Georgia" w:hAnsi="Georgia"/>
          <w:szCs w:val="22"/>
          <w:lang w:val="lt-LT"/>
        </w:rPr>
        <w:t xml:space="preserve"> </w:t>
      </w:r>
    </w:p>
    <w:p w14:paraId="5B23290B" w14:textId="17E55AA9" w:rsidR="0032111C" w:rsidRPr="002142B8" w:rsidRDefault="00C10743" w:rsidP="0032111C">
      <w:pPr>
        <w:pStyle w:val="Sraassunumeriais"/>
        <w:numPr>
          <w:ilvl w:val="0"/>
          <w:numId w:val="0"/>
        </w:numPr>
        <w:jc w:val="both"/>
        <w:rPr>
          <w:szCs w:val="22"/>
          <w:lang w:val="lt-LT"/>
        </w:rPr>
      </w:pPr>
      <w:r w:rsidRPr="002142B8">
        <w:rPr>
          <w:rFonts w:ascii="Georgia" w:hAnsi="Georgia"/>
          <w:b/>
          <w:color w:val="632423" w:themeColor="accent2" w:themeShade="80"/>
          <w:szCs w:val="22"/>
          <w:lang w:val="lt-LT"/>
        </w:rPr>
        <w:t>Atsižvelgdami į aukščiau pateiktą apibendrinimą, r</w:t>
      </w:r>
      <w:r w:rsidR="0032111C" w:rsidRPr="002142B8">
        <w:rPr>
          <w:rFonts w:ascii="Georgia" w:hAnsi="Georgia"/>
          <w:b/>
          <w:color w:val="632423" w:themeColor="accent2" w:themeShade="80"/>
          <w:szCs w:val="22"/>
          <w:lang w:val="lt-LT"/>
        </w:rPr>
        <w:t>ekomenduojame daugiabučių namų modernizavimo projektams ir toliau</w:t>
      </w:r>
      <w:r w:rsidR="0032111C" w:rsidRPr="002142B8">
        <w:rPr>
          <w:rFonts w:ascii="Georgia" w:hAnsi="Georgia"/>
          <w:color w:val="632423" w:themeColor="accent2" w:themeShade="80"/>
          <w:szCs w:val="22"/>
          <w:lang w:val="lt-LT"/>
        </w:rPr>
        <w:t xml:space="preserve"> </w:t>
      </w:r>
      <w:r w:rsidR="0032111C" w:rsidRPr="002142B8">
        <w:rPr>
          <w:rFonts w:ascii="Georgia" w:eastAsiaTheme="majorEastAsia" w:hAnsi="Georgia" w:cstheme="majorBidi"/>
          <w:b/>
          <w:bCs/>
          <w:color w:val="632423" w:themeColor="accent2" w:themeShade="80"/>
          <w:lang w:val="lt-LT"/>
        </w:rPr>
        <w:t>taikyti 30 proc. subsidiją</w:t>
      </w:r>
      <w:r w:rsidR="0032111C" w:rsidRPr="002142B8">
        <w:rPr>
          <w:rFonts w:ascii="Georgia" w:eastAsiaTheme="majorEastAsia" w:hAnsi="Georgia" w:cstheme="majorBidi"/>
          <w:b/>
          <w:bCs/>
          <w:color w:val="821A1A"/>
          <w:lang w:val="lt-LT"/>
        </w:rPr>
        <w:t xml:space="preserve">. </w:t>
      </w:r>
      <w:r w:rsidR="0032111C" w:rsidRPr="002142B8">
        <w:rPr>
          <w:rFonts w:ascii="Georgia" w:hAnsi="Georgia"/>
          <w:color w:val="000000" w:themeColor="text1"/>
          <w:szCs w:val="22"/>
          <w:lang w:val="lt-LT"/>
        </w:rPr>
        <w:t xml:space="preserve">Toks subsidijos lygis užtikrintų </w:t>
      </w:r>
      <w:r w:rsidR="0032111C" w:rsidRPr="002142B8">
        <w:rPr>
          <w:rFonts w:ascii="Georgia" w:hAnsi="Georgia"/>
          <w:szCs w:val="22"/>
          <w:lang w:val="lt-LT"/>
        </w:rPr>
        <w:t xml:space="preserve">atsipirkimą iš sutaupytų mokėjimų už šilumos energiją per paskolos laikotarpį energiniu požiūriu neefektyvių daugiabučių projektuose. Kaip rodo sukaupta patirtis, toks subsidijos dydis </w:t>
      </w:r>
      <w:r w:rsidR="00A27CDD" w:rsidRPr="002142B8">
        <w:rPr>
          <w:rFonts w:ascii="Georgia" w:hAnsi="Georgia"/>
          <w:szCs w:val="22"/>
          <w:lang w:val="lt-LT"/>
        </w:rPr>
        <w:t>yra optimali</w:t>
      </w:r>
      <w:r w:rsidR="0032111C" w:rsidRPr="002142B8">
        <w:rPr>
          <w:rFonts w:ascii="Georgia" w:hAnsi="Georgia"/>
          <w:szCs w:val="22"/>
          <w:lang w:val="lt-LT"/>
        </w:rPr>
        <w:t xml:space="preserve"> paskata daugiabučių namų gyventojams i</w:t>
      </w:r>
      <w:r w:rsidR="00A27CDD" w:rsidRPr="002142B8">
        <w:rPr>
          <w:rFonts w:ascii="Georgia" w:hAnsi="Georgia"/>
          <w:szCs w:val="22"/>
          <w:lang w:val="lt-LT"/>
        </w:rPr>
        <w:t>nicijuoti modernizavimo projektus.</w:t>
      </w:r>
    </w:p>
    <w:p w14:paraId="3E016288" w14:textId="02985BA2" w:rsidR="0032111C" w:rsidRPr="002142B8" w:rsidRDefault="0032111C" w:rsidP="00C15C81">
      <w:pPr>
        <w:rPr>
          <w:rFonts w:ascii="Georgia" w:hAnsi="Georgia"/>
          <w:sz w:val="20"/>
          <w:lang w:val="lt-LT"/>
        </w:rPr>
      </w:pPr>
    </w:p>
    <w:p w14:paraId="2A9D6EE4" w14:textId="78BE486C" w:rsidR="00280058" w:rsidRPr="002142B8" w:rsidRDefault="00280058" w:rsidP="00C03122">
      <w:pPr>
        <w:pStyle w:val="Antrat2"/>
        <w:numPr>
          <w:ilvl w:val="2"/>
          <w:numId w:val="2"/>
        </w:numPr>
        <w:rPr>
          <w:lang w:val="lt-LT"/>
        </w:rPr>
      </w:pPr>
      <w:bookmarkStart w:id="154" w:name="_Toc503766103"/>
      <w:bookmarkStart w:id="155" w:name="_Toc503766779"/>
      <w:bookmarkStart w:id="156" w:name="_Toc503766977"/>
      <w:bookmarkStart w:id="157" w:name="_Toc503766104"/>
      <w:bookmarkStart w:id="158" w:name="_Toc503766780"/>
      <w:bookmarkStart w:id="159" w:name="_Toc503766978"/>
      <w:bookmarkStart w:id="160" w:name="_Toc402352625"/>
      <w:bookmarkStart w:id="161" w:name="_Toc25589922"/>
      <w:bookmarkEnd w:id="143"/>
      <w:bookmarkEnd w:id="154"/>
      <w:bookmarkEnd w:id="155"/>
      <w:bookmarkEnd w:id="156"/>
      <w:bookmarkEnd w:id="157"/>
      <w:bookmarkEnd w:id="158"/>
      <w:bookmarkEnd w:id="159"/>
      <w:r w:rsidRPr="002142B8">
        <w:rPr>
          <w:lang w:val="lt-LT"/>
        </w:rPr>
        <w:t>Viešųjų pastatų renovacijos jautrumo analizė</w:t>
      </w:r>
      <w:bookmarkEnd w:id="160"/>
      <w:bookmarkEnd w:id="161"/>
    </w:p>
    <w:p w14:paraId="74B3EAA1" w14:textId="489389F1" w:rsidR="00280058" w:rsidRDefault="00280058" w:rsidP="00280058">
      <w:pPr>
        <w:jc w:val="both"/>
        <w:rPr>
          <w:rFonts w:ascii="Georgia" w:hAnsi="Georgia"/>
          <w:sz w:val="20"/>
          <w:lang w:val="lt-LT"/>
        </w:rPr>
      </w:pPr>
    </w:p>
    <w:p w14:paraId="4C47465D" w14:textId="77777777" w:rsidR="00444375" w:rsidRDefault="00444375" w:rsidP="00444375">
      <w:pPr>
        <w:jc w:val="both"/>
        <w:rPr>
          <w:rFonts w:ascii="Georgia" w:hAnsi="Georgia"/>
          <w:sz w:val="20"/>
          <w:lang w:val="lt-LT"/>
        </w:rPr>
      </w:pPr>
      <w:r w:rsidRPr="00DF3A8E">
        <w:rPr>
          <w:rFonts w:ascii="Georgia" w:hAnsi="Georgia"/>
          <w:sz w:val="20"/>
          <w:lang w:val="lt-LT"/>
        </w:rPr>
        <w:t xml:space="preserve">Siekiant išsiaiškinti ar </w:t>
      </w:r>
      <w:r>
        <w:rPr>
          <w:rFonts w:ascii="Georgia" w:hAnsi="Georgia"/>
          <w:sz w:val="20"/>
          <w:lang w:val="lt-LT"/>
        </w:rPr>
        <w:t>teikiant lengvatines paskolas viešųjų</w:t>
      </w:r>
      <w:r w:rsidRPr="00DF3A8E">
        <w:rPr>
          <w:rFonts w:ascii="Georgia" w:hAnsi="Georgia"/>
          <w:sz w:val="20"/>
          <w:lang w:val="lt-LT"/>
        </w:rPr>
        <w:t xml:space="preserve"> pastatų renovavimui reikalinga </w:t>
      </w:r>
      <w:r>
        <w:rPr>
          <w:rFonts w:ascii="Georgia" w:hAnsi="Georgia"/>
          <w:sz w:val="20"/>
          <w:lang w:val="lt-LT"/>
        </w:rPr>
        <w:t xml:space="preserve">ir </w:t>
      </w:r>
      <w:r w:rsidRPr="00DF3A8E">
        <w:rPr>
          <w:rFonts w:ascii="Georgia" w:hAnsi="Georgia"/>
          <w:sz w:val="20"/>
          <w:lang w:val="lt-LT"/>
        </w:rPr>
        <w:t xml:space="preserve">subsidija </w:t>
      </w:r>
      <w:r>
        <w:rPr>
          <w:rFonts w:ascii="Georgia" w:hAnsi="Georgia"/>
          <w:sz w:val="20"/>
          <w:lang w:val="lt-LT"/>
        </w:rPr>
        <w:t xml:space="preserve">(siekiant, </w:t>
      </w:r>
      <w:r w:rsidRPr="00DF3A8E">
        <w:rPr>
          <w:rFonts w:ascii="Georgia" w:hAnsi="Georgia"/>
          <w:sz w:val="20"/>
          <w:lang w:val="lt-LT"/>
        </w:rPr>
        <w:t xml:space="preserve">kad </w:t>
      </w:r>
      <w:r>
        <w:rPr>
          <w:rFonts w:ascii="Georgia" w:hAnsi="Georgia"/>
          <w:sz w:val="20"/>
          <w:lang w:val="lt-LT"/>
        </w:rPr>
        <w:t xml:space="preserve">investicijos </w:t>
      </w:r>
      <w:r w:rsidRPr="00DF3A8E">
        <w:rPr>
          <w:rFonts w:ascii="Georgia" w:hAnsi="Georgia"/>
          <w:sz w:val="20"/>
          <w:lang w:val="lt-LT"/>
        </w:rPr>
        <w:t>pastato renovacija</w:t>
      </w:r>
      <w:r>
        <w:rPr>
          <w:rFonts w:ascii="Georgia" w:hAnsi="Georgia"/>
          <w:sz w:val="20"/>
          <w:lang w:val="lt-LT"/>
        </w:rPr>
        <w:t>i</w:t>
      </w:r>
      <w:r w:rsidRPr="00DF3A8E">
        <w:rPr>
          <w:rFonts w:ascii="Georgia" w:hAnsi="Georgia"/>
          <w:sz w:val="20"/>
          <w:lang w:val="lt-LT"/>
        </w:rPr>
        <w:t xml:space="preserve"> atsipirktų per</w:t>
      </w:r>
      <w:r>
        <w:rPr>
          <w:rFonts w:ascii="Georgia" w:hAnsi="Georgia"/>
          <w:sz w:val="20"/>
          <w:lang w:val="lt-LT"/>
        </w:rPr>
        <w:t xml:space="preserve"> maždaug 2</w:t>
      </w:r>
      <w:r>
        <w:rPr>
          <w:rFonts w:ascii="Georgia" w:hAnsi="Georgia"/>
          <w:sz w:val="20"/>
        </w:rPr>
        <w:t>5</w:t>
      </w:r>
      <w:r>
        <w:rPr>
          <w:rFonts w:ascii="Georgia" w:hAnsi="Georgia"/>
          <w:sz w:val="20"/>
          <w:lang w:val="lt-LT"/>
        </w:rPr>
        <w:t xml:space="preserve"> m.</w:t>
      </w:r>
      <w:r w:rsidRPr="00DF3A8E">
        <w:rPr>
          <w:rFonts w:ascii="Georgia" w:hAnsi="Georgia"/>
          <w:sz w:val="20"/>
          <w:lang w:val="lt-LT"/>
        </w:rPr>
        <w:t xml:space="preserve"> paskolos laikotarpį</w:t>
      </w:r>
      <w:r>
        <w:rPr>
          <w:rStyle w:val="Puslapioinaosnuoroda"/>
          <w:rFonts w:ascii="Georgia" w:hAnsi="Georgia"/>
          <w:sz w:val="20"/>
          <w:lang w:val="lt-LT"/>
        </w:rPr>
        <w:footnoteReference w:id="127"/>
      </w:r>
      <w:r>
        <w:rPr>
          <w:rFonts w:ascii="Georgia" w:hAnsi="Georgia"/>
          <w:sz w:val="20"/>
          <w:lang w:val="lt-LT"/>
        </w:rPr>
        <w:t>)</w:t>
      </w:r>
      <w:r w:rsidRPr="00DF3A8E">
        <w:rPr>
          <w:rFonts w:ascii="Georgia" w:hAnsi="Georgia"/>
          <w:sz w:val="20"/>
          <w:lang w:val="lt-LT"/>
        </w:rPr>
        <w:t xml:space="preserve"> buvo atlikta jautrumo analizė.</w:t>
      </w:r>
      <w:r>
        <w:rPr>
          <w:rFonts w:ascii="Georgia" w:hAnsi="Georgia"/>
          <w:sz w:val="20"/>
          <w:lang w:val="lt-LT"/>
        </w:rPr>
        <w:t xml:space="preserve"> </w:t>
      </w:r>
      <w:r w:rsidRPr="00DF3A8E">
        <w:rPr>
          <w:rFonts w:ascii="Georgia" w:hAnsi="Georgia"/>
          <w:sz w:val="20"/>
          <w:lang w:val="lt-LT"/>
        </w:rPr>
        <w:t>Subsidijos poreikio įvertinimui naudojamos prielaidos</w:t>
      </w:r>
      <w:r>
        <w:rPr>
          <w:rFonts w:ascii="Georgia" w:hAnsi="Georgia"/>
          <w:sz w:val="20"/>
          <w:lang w:val="lt-LT"/>
        </w:rPr>
        <w:t xml:space="preserve"> </w:t>
      </w:r>
      <w:r w:rsidRPr="00D545C4">
        <w:rPr>
          <w:rFonts w:ascii="Georgia" w:hAnsi="Georgia"/>
          <w:sz w:val="20"/>
          <w:lang w:val="lt-LT"/>
        </w:rPr>
        <w:t xml:space="preserve">pateiktos </w:t>
      </w:r>
      <w:r>
        <w:rPr>
          <w:rFonts w:ascii="Georgia" w:hAnsi="Georgia"/>
          <w:sz w:val="20"/>
          <w:lang w:val="lt-LT"/>
        </w:rPr>
        <w:t>žemiau esančioje</w:t>
      </w:r>
      <w:r w:rsidRPr="00D545C4">
        <w:rPr>
          <w:rFonts w:ascii="Georgia" w:hAnsi="Georgia"/>
          <w:sz w:val="20"/>
          <w:lang w:val="lt-LT"/>
        </w:rPr>
        <w:t xml:space="preserve"> lentelėje</w:t>
      </w:r>
      <w:r>
        <w:rPr>
          <w:rFonts w:ascii="Georgia" w:hAnsi="Georgia"/>
          <w:sz w:val="20"/>
          <w:lang w:val="lt-LT"/>
        </w:rPr>
        <w:t>.</w:t>
      </w:r>
    </w:p>
    <w:p w14:paraId="656344E2" w14:textId="5476D0AE" w:rsidR="00444375" w:rsidRPr="005A1A99" w:rsidRDefault="00444375" w:rsidP="00444375">
      <w:pPr>
        <w:pStyle w:val="Antrat"/>
        <w:jc w:val="both"/>
        <w:rPr>
          <w:b w:val="0"/>
          <w:i/>
          <w:lang w:val="lt-LT"/>
        </w:rPr>
      </w:pPr>
      <w:bookmarkStart w:id="162" w:name="_Toc503193903"/>
      <w:bookmarkStart w:id="163" w:name="_Toc507939166"/>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44</w:t>
      </w:r>
      <w:r w:rsidRPr="005A1A99">
        <w:rPr>
          <w:b w:val="0"/>
          <w:i/>
          <w:lang w:val="lt-LT"/>
        </w:rPr>
        <w:fldChar w:fldCharType="end"/>
      </w:r>
      <w:r w:rsidRPr="005A1A99">
        <w:rPr>
          <w:b w:val="0"/>
          <w:i/>
          <w:lang w:val="lt-LT"/>
        </w:rPr>
        <w:t>. Viešųjų pastatų renovacijos jautrumo analizės prielaidos</w:t>
      </w:r>
      <w:bookmarkEnd w:id="162"/>
      <w:bookmarkEnd w:id="163"/>
    </w:p>
    <w:tbl>
      <w:tblPr>
        <w:tblStyle w:val="LightList-Accent21"/>
        <w:tblW w:w="5000" w:type="pct"/>
        <w:tblLook w:val="04A0" w:firstRow="1" w:lastRow="0" w:firstColumn="1" w:lastColumn="0" w:noHBand="0" w:noVBand="1"/>
      </w:tblPr>
      <w:tblGrid>
        <w:gridCol w:w="6408"/>
        <w:gridCol w:w="2834"/>
      </w:tblGrid>
      <w:tr w:rsidR="00444375" w:rsidRPr="00D545C4" w14:paraId="7535C59D" w14:textId="77777777" w:rsidTr="00444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C568FE8" w14:textId="77777777" w:rsidR="00444375" w:rsidRPr="00D545C4" w:rsidRDefault="00444375" w:rsidP="00444375">
            <w:pPr>
              <w:rPr>
                <w:rFonts w:ascii="Georgia" w:eastAsia="Times New Roman" w:hAnsi="Georgia" w:cs="Arial"/>
                <w:sz w:val="20"/>
                <w:szCs w:val="18"/>
              </w:rPr>
            </w:pPr>
            <w:bookmarkStart w:id="164" w:name="_Hlk499104195"/>
            <w:r w:rsidRPr="00D545C4">
              <w:rPr>
                <w:rFonts w:ascii="Georgia" w:eastAsia="Times New Roman" w:hAnsi="Georgia" w:cs="Arial"/>
                <w:sz w:val="20"/>
                <w:szCs w:val="18"/>
              </w:rPr>
              <w:t>Prielaid</w:t>
            </w:r>
            <w:r>
              <w:rPr>
                <w:rFonts w:ascii="Georgia" w:eastAsia="Times New Roman" w:hAnsi="Georgia" w:cs="Arial"/>
                <w:sz w:val="20"/>
                <w:szCs w:val="18"/>
              </w:rPr>
              <w:t>a</w:t>
            </w:r>
          </w:p>
        </w:tc>
        <w:tc>
          <w:tcPr>
            <w:tcW w:w="1533" w:type="pct"/>
            <w:noWrap/>
            <w:hideMark/>
          </w:tcPr>
          <w:p w14:paraId="0FDB9026" w14:textId="77777777" w:rsidR="00444375" w:rsidRPr="00D545C4" w:rsidRDefault="00444375" w:rsidP="00444375">
            <w:pPr>
              <w:jc w:val="right"/>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w:t>
            </w:r>
            <w:r>
              <w:rPr>
                <w:rFonts w:ascii="Georgia" w:eastAsia="Times New Roman" w:hAnsi="Georgia" w:cs="Arial"/>
                <w:sz w:val="20"/>
                <w:szCs w:val="18"/>
              </w:rPr>
              <w:t>Reikšmė</w:t>
            </w:r>
          </w:p>
        </w:tc>
      </w:tr>
      <w:tr w:rsidR="00444375" w:rsidRPr="00D545C4" w14:paraId="2F2E5236" w14:textId="77777777" w:rsidTr="00444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AEB00A3"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Vidutinis bendras pastato plotas, m</w:t>
            </w:r>
            <w:r w:rsidRPr="0068162C">
              <w:rPr>
                <w:rFonts w:ascii="Georgia" w:eastAsia="Times New Roman" w:hAnsi="Georgia" w:cs="Arial"/>
                <w:sz w:val="20"/>
                <w:szCs w:val="18"/>
                <w:vertAlign w:val="superscript"/>
              </w:rPr>
              <w:t>2</w:t>
            </w:r>
          </w:p>
        </w:tc>
        <w:tc>
          <w:tcPr>
            <w:tcW w:w="1533" w:type="pct"/>
            <w:noWrap/>
            <w:hideMark/>
          </w:tcPr>
          <w:p w14:paraId="14843693" w14:textId="77777777" w:rsidR="00444375" w:rsidRPr="003C0878" w:rsidRDefault="00444375" w:rsidP="0044437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 xml:space="preserve">            1</w:t>
            </w:r>
            <w:r w:rsidRPr="003C0878">
              <w:rPr>
                <w:rFonts w:ascii="Georgia" w:eastAsia="Times New Roman" w:hAnsi="Georgia" w:cs="Arial"/>
                <w:sz w:val="20"/>
                <w:szCs w:val="18"/>
                <w:lang w:val="en-US"/>
              </w:rPr>
              <w:t>,209</w:t>
            </w:r>
            <w:r w:rsidRPr="003C0878">
              <w:rPr>
                <w:rFonts w:ascii="Georgia" w:eastAsia="Times New Roman" w:hAnsi="Georgia" w:cs="Arial"/>
                <w:sz w:val="20"/>
                <w:szCs w:val="18"/>
              </w:rPr>
              <w:t xml:space="preserve"> </w:t>
            </w:r>
          </w:p>
        </w:tc>
      </w:tr>
      <w:tr w:rsidR="00444375" w:rsidRPr="00D545C4" w14:paraId="1F6FDDF3" w14:textId="77777777" w:rsidTr="00444375">
        <w:tc>
          <w:tcPr>
            <w:cnfStyle w:val="001000000000" w:firstRow="0" w:lastRow="0" w:firstColumn="1" w:lastColumn="0" w:oddVBand="0" w:evenVBand="0" w:oddHBand="0" w:evenHBand="0" w:firstRowFirstColumn="0" w:firstRowLastColumn="0" w:lastRowFirstColumn="0" w:lastRowLastColumn="0"/>
            <w:tcW w:w="3467" w:type="pct"/>
            <w:noWrap/>
            <w:hideMark/>
          </w:tcPr>
          <w:p w14:paraId="1F14ACEC"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Investicijos, Eur/m</w:t>
            </w:r>
            <w:r w:rsidRPr="0068162C">
              <w:rPr>
                <w:rFonts w:ascii="Georgia" w:eastAsia="Times New Roman" w:hAnsi="Georgia" w:cs="Arial"/>
                <w:sz w:val="20"/>
                <w:szCs w:val="18"/>
                <w:vertAlign w:val="superscript"/>
              </w:rPr>
              <w:t>2</w:t>
            </w:r>
          </w:p>
        </w:tc>
        <w:tc>
          <w:tcPr>
            <w:tcW w:w="1533" w:type="pct"/>
            <w:noWrap/>
            <w:hideMark/>
          </w:tcPr>
          <w:p w14:paraId="773AA243" w14:textId="77777777" w:rsidR="00444375" w:rsidRPr="003C0878" w:rsidRDefault="00444375" w:rsidP="0044437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 xml:space="preserve">                255 </w:t>
            </w:r>
          </w:p>
        </w:tc>
      </w:tr>
      <w:tr w:rsidR="00444375" w:rsidRPr="00D545C4" w14:paraId="0C85225E" w14:textId="77777777" w:rsidTr="00444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1A285A0"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Dabartinis suvartojimas kWh/ m</w:t>
            </w:r>
            <w:r w:rsidRPr="0068162C">
              <w:rPr>
                <w:rFonts w:ascii="Georgia" w:eastAsia="Times New Roman" w:hAnsi="Georgia" w:cs="Arial"/>
                <w:sz w:val="20"/>
                <w:szCs w:val="18"/>
                <w:vertAlign w:val="superscript"/>
              </w:rPr>
              <w:t>2</w:t>
            </w:r>
            <w:r w:rsidRPr="0068162C">
              <w:rPr>
                <w:rFonts w:ascii="Georgia" w:eastAsia="Times New Roman" w:hAnsi="Georgia" w:cs="Arial"/>
                <w:sz w:val="20"/>
                <w:szCs w:val="18"/>
              </w:rPr>
              <w:t xml:space="preserve"> per metus </w:t>
            </w:r>
          </w:p>
        </w:tc>
        <w:tc>
          <w:tcPr>
            <w:tcW w:w="1533" w:type="pct"/>
            <w:noWrap/>
            <w:hideMark/>
          </w:tcPr>
          <w:p w14:paraId="72ED1680" w14:textId="77777777" w:rsidR="00444375" w:rsidRPr="003C0878" w:rsidRDefault="00444375" w:rsidP="0044437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 xml:space="preserve">                210 </w:t>
            </w:r>
          </w:p>
        </w:tc>
      </w:tr>
      <w:tr w:rsidR="00444375" w:rsidRPr="00D545C4" w14:paraId="0F32E907" w14:textId="77777777" w:rsidTr="00444375">
        <w:tc>
          <w:tcPr>
            <w:cnfStyle w:val="001000000000" w:firstRow="0" w:lastRow="0" w:firstColumn="1" w:lastColumn="0" w:oddVBand="0" w:evenVBand="0" w:oddHBand="0" w:evenHBand="0" w:firstRowFirstColumn="0" w:firstRowLastColumn="0" w:lastRowFirstColumn="0" w:lastRowLastColumn="0"/>
            <w:tcW w:w="3467" w:type="pct"/>
            <w:noWrap/>
            <w:hideMark/>
          </w:tcPr>
          <w:p w14:paraId="6A8418FB"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Šilumos energijos kaina kWh/m</w:t>
            </w:r>
            <w:r w:rsidRPr="00D45CD8">
              <w:rPr>
                <w:rFonts w:ascii="Georgia" w:eastAsia="Times New Roman" w:hAnsi="Georgia" w:cs="Arial"/>
                <w:sz w:val="20"/>
                <w:szCs w:val="18"/>
                <w:vertAlign w:val="superscript"/>
              </w:rPr>
              <w:t>2</w:t>
            </w:r>
            <w:r w:rsidRPr="0068162C">
              <w:rPr>
                <w:rFonts w:ascii="Georgia" w:eastAsia="Times New Roman" w:hAnsi="Georgia" w:cs="Arial"/>
                <w:sz w:val="20"/>
                <w:szCs w:val="18"/>
              </w:rPr>
              <w:t>, EUR (su PVM)</w:t>
            </w:r>
          </w:p>
        </w:tc>
        <w:tc>
          <w:tcPr>
            <w:tcW w:w="1533" w:type="pct"/>
            <w:noWrap/>
            <w:hideMark/>
          </w:tcPr>
          <w:p w14:paraId="68BF5529" w14:textId="77777777" w:rsidR="00444375" w:rsidRPr="003C0878" w:rsidRDefault="00444375" w:rsidP="0044437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 xml:space="preserve">0,053 </w:t>
            </w:r>
          </w:p>
        </w:tc>
      </w:tr>
      <w:tr w:rsidR="00444375" w:rsidRPr="00D545C4" w14:paraId="31E1536B" w14:textId="77777777" w:rsidTr="00444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F2270EF"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 xml:space="preserve">Šilumos kainos augimas kas metus </w:t>
            </w:r>
          </w:p>
        </w:tc>
        <w:tc>
          <w:tcPr>
            <w:tcW w:w="1533" w:type="pct"/>
            <w:noWrap/>
            <w:hideMark/>
          </w:tcPr>
          <w:p w14:paraId="57534DED" w14:textId="77777777" w:rsidR="00444375" w:rsidRPr="003C0878" w:rsidRDefault="00444375" w:rsidP="0044437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2%</w:t>
            </w:r>
          </w:p>
        </w:tc>
      </w:tr>
      <w:tr w:rsidR="00444375" w:rsidRPr="00D545C4" w14:paraId="284CB4C2" w14:textId="77777777" w:rsidTr="00444375">
        <w:tc>
          <w:tcPr>
            <w:cnfStyle w:val="001000000000" w:firstRow="0" w:lastRow="0" w:firstColumn="1" w:lastColumn="0" w:oddVBand="0" w:evenVBand="0" w:oddHBand="0" w:evenHBand="0" w:firstRowFirstColumn="0" w:firstRowLastColumn="0" w:lastRowFirstColumn="0" w:lastRowLastColumn="0"/>
            <w:tcW w:w="3467" w:type="pct"/>
            <w:noWrap/>
            <w:hideMark/>
          </w:tcPr>
          <w:p w14:paraId="2C49ECF0"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 xml:space="preserve">Sutaupymas įgyvendinus projektą </w:t>
            </w:r>
          </w:p>
        </w:tc>
        <w:tc>
          <w:tcPr>
            <w:tcW w:w="1533" w:type="pct"/>
            <w:noWrap/>
            <w:hideMark/>
          </w:tcPr>
          <w:p w14:paraId="2B138E74" w14:textId="77777777" w:rsidR="00444375" w:rsidRPr="003C0878" w:rsidRDefault="00444375" w:rsidP="0044437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40%</w:t>
            </w:r>
          </w:p>
        </w:tc>
      </w:tr>
      <w:tr w:rsidR="00444375" w:rsidRPr="00D545C4" w14:paraId="73583E6C" w14:textId="77777777" w:rsidTr="00444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pct"/>
            <w:noWrap/>
            <w:hideMark/>
          </w:tcPr>
          <w:p w14:paraId="21BF4E4B" w14:textId="77777777" w:rsidR="00444375" w:rsidRPr="00D45CD8" w:rsidRDefault="00444375" w:rsidP="00444375">
            <w:pPr>
              <w:rPr>
                <w:rFonts w:ascii="Georgia" w:eastAsia="Times New Roman" w:hAnsi="Georgia" w:cs="Arial"/>
                <w:b w:val="0"/>
                <w:sz w:val="20"/>
                <w:szCs w:val="18"/>
              </w:rPr>
            </w:pPr>
            <w:r w:rsidRPr="0068162C">
              <w:rPr>
                <w:rFonts w:ascii="Georgia" w:eastAsia="Times New Roman" w:hAnsi="Georgia" w:cs="Arial"/>
                <w:sz w:val="20"/>
                <w:szCs w:val="18"/>
              </w:rPr>
              <w:t xml:space="preserve">Sutaupyta suma šildymui per metus </w:t>
            </w:r>
          </w:p>
        </w:tc>
        <w:tc>
          <w:tcPr>
            <w:tcW w:w="1533" w:type="pct"/>
            <w:noWrap/>
            <w:hideMark/>
          </w:tcPr>
          <w:p w14:paraId="432B6897" w14:textId="77777777" w:rsidR="00444375" w:rsidRPr="003C0878" w:rsidRDefault="00444375" w:rsidP="0044437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3C0878">
              <w:rPr>
                <w:rFonts w:ascii="Georgia" w:eastAsia="Times New Roman" w:hAnsi="Georgia" w:cs="Arial"/>
                <w:sz w:val="20"/>
                <w:szCs w:val="18"/>
              </w:rPr>
              <w:t xml:space="preserve">          27,841 </w:t>
            </w:r>
          </w:p>
        </w:tc>
      </w:tr>
      <w:bookmarkEnd w:id="164"/>
    </w:tbl>
    <w:p w14:paraId="1B5F9FB6" w14:textId="77777777" w:rsidR="00444375" w:rsidRPr="00DF3A8E" w:rsidRDefault="00444375" w:rsidP="00444375">
      <w:pPr>
        <w:jc w:val="both"/>
        <w:rPr>
          <w:rFonts w:ascii="Georgia" w:hAnsi="Georgia"/>
          <w:sz w:val="20"/>
          <w:lang w:val="lt-LT"/>
        </w:rPr>
      </w:pPr>
    </w:p>
    <w:p w14:paraId="3E7EC0F0" w14:textId="6DFBC21E" w:rsidR="00361F6D" w:rsidRDefault="00444375" w:rsidP="00444375">
      <w:pPr>
        <w:jc w:val="both"/>
        <w:rPr>
          <w:rFonts w:ascii="Georgia" w:hAnsi="Georgia"/>
          <w:sz w:val="20"/>
          <w:lang w:val="lt-LT"/>
        </w:rPr>
      </w:pPr>
      <w:r w:rsidRPr="00DF3A8E">
        <w:rPr>
          <w:rFonts w:ascii="Georgia" w:hAnsi="Georgia"/>
          <w:sz w:val="20"/>
          <w:lang w:val="lt-LT"/>
        </w:rPr>
        <w:t xml:space="preserve">Atsižvelgiant į aukščiau išvardintas prielaidas </w:t>
      </w:r>
      <w:r>
        <w:rPr>
          <w:rFonts w:ascii="Georgia" w:hAnsi="Georgia"/>
          <w:sz w:val="20"/>
          <w:lang w:val="lt-LT"/>
        </w:rPr>
        <w:t>sekančioje</w:t>
      </w:r>
      <w:r w:rsidRPr="00DF3A8E">
        <w:rPr>
          <w:rFonts w:ascii="Georgia" w:hAnsi="Georgia"/>
          <w:sz w:val="20"/>
          <w:lang w:val="lt-LT"/>
        </w:rPr>
        <w:t xml:space="preserve"> </w:t>
      </w:r>
      <w:r w:rsidRPr="00D545C4">
        <w:rPr>
          <w:rFonts w:ascii="Georgia" w:hAnsi="Georgia"/>
          <w:sz w:val="20"/>
          <w:lang w:val="lt-LT"/>
        </w:rPr>
        <w:t xml:space="preserve">lentelėje </w:t>
      </w:r>
      <w:r w:rsidRPr="00DF3A8E">
        <w:rPr>
          <w:rFonts w:ascii="Georgia" w:hAnsi="Georgia"/>
          <w:sz w:val="20"/>
          <w:lang w:val="lt-LT"/>
        </w:rPr>
        <w:t>pateikiama jautrumo analizė</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tarp sutaupytos energijos ir subsidijos poreikio</w:t>
      </w:r>
      <w:r>
        <w:rPr>
          <w:rFonts w:ascii="Georgia" w:hAnsi="Georgia"/>
          <w:sz w:val="20"/>
          <w:lang w:val="lt-LT"/>
        </w:rPr>
        <w:t>.</w:t>
      </w:r>
    </w:p>
    <w:p w14:paraId="6E52EEE8" w14:textId="77777777" w:rsidR="00361F6D" w:rsidRDefault="00361F6D">
      <w:pPr>
        <w:rPr>
          <w:rFonts w:ascii="Georgia" w:hAnsi="Georgia"/>
          <w:sz w:val="20"/>
          <w:lang w:val="lt-LT"/>
        </w:rPr>
      </w:pPr>
      <w:r>
        <w:rPr>
          <w:rFonts w:ascii="Georgia" w:hAnsi="Georgia"/>
          <w:sz w:val="20"/>
          <w:lang w:val="lt-LT"/>
        </w:rPr>
        <w:br w:type="page"/>
      </w:r>
    </w:p>
    <w:p w14:paraId="67060BB3" w14:textId="77777777" w:rsidR="00444375" w:rsidRDefault="00444375" w:rsidP="00444375">
      <w:pPr>
        <w:jc w:val="both"/>
        <w:rPr>
          <w:rFonts w:ascii="Georgia" w:hAnsi="Georgia"/>
          <w:sz w:val="20"/>
          <w:lang w:val="lt-LT"/>
        </w:rPr>
      </w:pPr>
    </w:p>
    <w:p w14:paraId="1FBC9D64" w14:textId="595C7217" w:rsidR="00444375" w:rsidRPr="005A1A99" w:rsidRDefault="00444375" w:rsidP="00444375">
      <w:pPr>
        <w:pStyle w:val="Antrat"/>
        <w:jc w:val="both"/>
        <w:rPr>
          <w:b w:val="0"/>
          <w:i/>
          <w:lang w:val="lt-LT"/>
        </w:rPr>
      </w:pPr>
      <w:bookmarkStart w:id="165" w:name="_Toc503193904"/>
      <w:bookmarkStart w:id="166" w:name="_Toc507939167"/>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45</w:t>
      </w:r>
      <w:r w:rsidRPr="005A1A99">
        <w:rPr>
          <w:b w:val="0"/>
          <w:i/>
          <w:lang w:val="lt-LT"/>
        </w:rPr>
        <w:fldChar w:fldCharType="end"/>
      </w:r>
      <w:r w:rsidRPr="005A1A99">
        <w:rPr>
          <w:b w:val="0"/>
          <w:i/>
          <w:lang w:val="lt-LT"/>
        </w:rPr>
        <w:t>. Sutaupytos energijos ir subsidijos poreikio santykio jautrumo analizė</w:t>
      </w:r>
      <w:bookmarkEnd w:id="165"/>
      <w:bookmarkEnd w:id="166"/>
    </w:p>
    <w:tbl>
      <w:tblPr>
        <w:tblW w:w="5000" w:type="pct"/>
        <w:tblLayout w:type="fixed"/>
        <w:tblLook w:val="04A0" w:firstRow="1" w:lastRow="0" w:firstColumn="1" w:lastColumn="0" w:noHBand="0" w:noVBand="1"/>
      </w:tblPr>
      <w:tblGrid>
        <w:gridCol w:w="531"/>
        <w:gridCol w:w="1161"/>
        <w:gridCol w:w="1259"/>
        <w:gridCol w:w="1259"/>
        <w:gridCol w:w="1259"/>
        <w:gridCol w:w="1259"/>
        <w:gridCol w:w="1259"/>
        <w:gridCol w:w="1255"/>
      </w:tblGrid>
      <w:tr w:rsidR="00444375" w:rsidRPr="00934257" w14:paraId="431E3A32" w14:textId="77777777" w:rsidTr="00444375">
        <w:trPr>
          <w:trHeight w:val="300"/>
        </w:trPr>
        <w:tc>
          <w:tcPr>
            <w:tcW w:w="916" w:type="pct"/>
            <w:gridSpan w:val="2"/>
            <w:tcBorders>
              <w:top w:val="nil"/>
              <w:left w:val="nil"/>
              <w:bottom w:val="nil"/>
              <w:right w:val="nil"/>
            </w:tcBorders>
            <w:shd w:val="clear" w:color="auto" w:fill="auto"/>
            <w:noWrap/>
            <w:vAlign w:val="bottom"/>
            <w:hideMark/>
          </w:tcPr>
          <w:p w14:paraId="21EED5E1" w14:textId="77777777" w:rsidR="00444375" w:rsidRPr="00D45CD8" w:rsidRDefault="00444375" w:rsidP="00444375">
            <w:pPr>
              <w:spacing w:after="0" w:line="240" w:lineRule="auto"/>
              <w:rPr>
                <w:rFonts w:ascii="Georgia" w:eastAsia="Times New Roman" w:hAnsi="Georgia" w:cs="Arial"/>
                <w:sz w:val="18"/>
                <w:szCs w:val="18"/>
              </w:rPr>
            </w:pPr>
          </w:p>
        </w:tc>
        <w:tc>
          <w:tcPr>
            <w:tcW w:w="4084" w:type="pct"/>
            <w:gridSpan w:val="6"/>
            <w:tcBorders>
              <w:top w:val="nil"/>
              <w:left w:val="nil"/>
              <w:bottom w:val="nil"/>
              <w:right w:val="nil"/>
            </w:tcBorders>
            <w:shd w:val="clear" w:color="000000" w:fill="FFEB9C"/>
            <w:noWrap/>
            <w:vAlign w:val="bottom"/>
            <w:hideMark/>
          </w:tcPr>
          <w:p w14:paraId="628FD654"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Energijos sutaupymai </w:t>
            </w:r>
          </w:p>
        </w:tc>
      </w:tr>
      <w:tr w:rsidR="00444375" w:rsidRPr="00934257" w14:paraId="0146F262" w14:textId="77777777" w:rsidTr="00444375">
        <w:trPr>
          <w:trHeight w:val="255"/>
        </w:trPr>
        <w:tc>
          <w:tcPr>
            <w:tcW w:w="288" w:type="pct"/>
            <w:tcBorders>
              <w:top w:val="nil"/>
              <w:left w:val="nil"/>
              <w:bottom w:val="nil"/>
              <w:right w:val="nil"/>
            </w:tcBorders>
            <w:shd w:val="clear" w:color="auto" w:fill="auto"/>
            <w:noWrap/>
            <w:vAlign w:val="bottom"/>
            <w:hideMark/>
          </w:tcPr>
          <w:p w14:paraId="79AB564B" w14:textId="77777777" w:rsidR="00444375" w:rsidRPr="006103A3" w:rsidRDefault="00444375" w:rsidP="00444375">
            <w:pPr>
              <w:spacing w:after="0" w:line="240" w:lineRule="auto"/>
              <w:jc w:val="center"/>
              <w:rPr>
                <w:rFonts w:ascii="Calibri" w:eastAsia="Times New Roman" w:hAnsi="Calibri" w:cs="Calibri"/>
                <w:color w:val="9C6500"/>
              </w:rPr>
            </w:pPr>
          </w:p>
        </w:tc>
        <w:tc>
          <w:tcPr>
            <w:tcW w:w="628" w:type="pct"/>
            <w:tcBorders>
              <w:top w:val="nil"/>
              <w:left w:val="nil"/>
              <w:bottom w:val="nil"/>
              <w:right w:val="single" w:sz="4" w:space="0" w:color="auto"/>
            </w:tcBorders>
            <w:shd w:val="clear" w:color="auto" w:fill="auto"/>
            <w:noWrap/>
            <w:vAlign w:val="bottom"/>
            <w:hideMark/>
          </w:tcPr>
          <w:p w14:paraId="3D1A7C0C"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33 </w:t>
            </w:r>
          </w:p>
        </w:tc>
        <w:tc>
          <w:tcPr>
            <w:tcW w:w="681" w:type="pct"/>
            <w:tcBorders>
              <w:top w:val="single" w:sz="4" w:space="0" w:color="auto"/>
              <w:left w:val="single" w:sz="4" w:space="0" w:color="auto"/>
              <w:bottom w:val="nil"/>
              <w:right w:val="single" w:sz="4" w:space="0" w:color="auto"/>
            </w:tcBorders>
            <w:shd w:val="clear" w:color="auto" w:fill="auto"/>
            <w:noWrap/>
            <w:vAlign w:val="bottom"/>
            <w:hideMark/>
          </w:tcPr>
          <w:p w14:paraId="3C15BB7D"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40%</w:t>
            </w:r>
          </w:p>
        </w:tc>
        <w:tc>
          <w:tcPr>
            <w:tcW w:w="681" w:type="pct"/>
            <w:tcBorders>
              <w:top w:val="nil"/>
              <w:left w:val="single" w:sz="4" w:space="0" w:color="auto"/>
              <w:bottom w:val="nil"/>
              <w:right w:val="single" w:sz="4" w:space="0" w:color="auto"/>
            </w:tcBorders>
            <w:shd w:val="clear" w:color="auto" w:fill="auto"/>
            <w:noWrap/>
            <w:vAlign w:val="bottom"/>
            <w:hideMark/>
          </w:tcPr>
          <w:p w14:paraId="28C6902A"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45%</w:t>
            </w:r>
          </w:p>
        </w:tc>
        <w:tc>
          <w:tcPr>
            <w:tcW w:w="681" w:type="pct"/>
            <w:tcBorders>
              <w:top w:val="single" w:sz="4" w:space="0" w:color="auto"/>
              <w:left w:val="single" w:sz="4" w:space="0" w:color="auto"/>
              <w:bottom w:val="nil"/>
              <w:right w:val="single" w:sz="4" w:space="0" w:color="auto"/>
            </w:tcBorders>
            <w:shd w:val="clear" w:color="auto" w:fill="auto"/>
            <w:noWrap/>
            <w:vAlign w:val="bottom"/>
            <w:hideMark/>
          </w:tcPr>
          <w:p w14:paraId="6495685B"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50%</w:t>
            </w:r>
          </w:p>
        </w:tc>
        <w:tc>
          <w:tcPr>
            <w:tcW w:w="681" w:type="pct"/>
            <w:tcBorders>
              <w:top w:val="nil"/>
              <w:left w:val="single" w:sz="4" w:space="0" w:color="auto"/>
              <w:bottom w:val="nil"/>
              <w:right w:val="nil"/>
            </w:tcBorders>
            <w:shd w:val="clear" w:color="auto" w:fill="auto"/>
            <w:noWrap/>
            <w:vAlign w:val="bottom"/>
            <w:hideMark/>
          </w:tcPr>
          <w:p w14:paraId="52D167BD"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55%</w:t>
            </w:r>
          </w:p>
        </w:tc>
        <w:tc>
          <w:tcPr>
            <w:tcW w:w="681" w:type="pct"/>
            <w:tcBorders>
              <w:top w:val="nil"/>
              <w:left w:val="nil"/>
              <w:bottom w:val="nil"/>
              <w:right w:val="nil"/>
            </w:tcBorders>
            <w:shd w:val="clear" w:color="auto" w:fill="auto"/>
            <w:noWrap/>
            <w:vAlign w:val="bottom"/>
            <w:hideMark/>
          </w:tcPr>
          <w:p w14:paraId="4685A117"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60%</w:t>
            </w:r>
          </w:p>
        </w:tc>
        <w:tc>
          <w:tcPr>
            <w:tcW w:w="681" w:type="pct"/>
            <w:tcBorders>
              <w:top w:val="nil"/>
              <w:left w:val="nil"/>
              <w:bottom w:val="nil"/>
              <w:right w:val="nil"/>
            </w:tcBorders>
            <w:shd w:val="clear" w:color="auto" w:fill="auto"/>
            <w:noWrap/>
            <w:vAlign w:val="bottom"/>
            <w:hideMark/>
          </w:tcPr>
          <w:p w14:paraId="0F81CA9F"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65%</w:t>
            </w:r>
          </w:p>
        </w:tc>
      </w:tr>
      <w:tr w:rsidR="00444375" w:rsidRPr="00934257" w14:paraId="7F1E11FD" w14:textId="77777777" w:rsidTr="00444375">
        <w:trPr>
          <w:trHeight w:val="255"/>
        </w:trPr>
        <w:tc>
          <w:tcPr>
            <w:tcW w:w="288" w:type="pct"/>
            <w:vMerge w:val="restart"/>
            <w:tcBorders>
              <w:top w:val="nil"/>
              <w:left w:val="nil"/>
              <w:bottom w:val="nil"/>
              <w:right w:val="nil"/>
            </w:tcBorders>
            <w:shd w:val="clear" w:color="000000" w:fill="FFEB9C"/>
            <w:noWrap/>
            <w:textDirection w:val="btLr"/>
            <w:vAlign w:val="center"/>
            <w:hideMark/>
          </w:tcPr>
          <w:p w14:paraId="19CD4B0F"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Subsidija </w:t>
            </w:r>
          </w:p>
        </w:tc>
        <w:tc>
          <w:tcPr>
            <w:tcW w:w="628" w:type="pct"/>
            <w:tcBorders>
              <w:top w:val="nil"/>
              <w:left w:val="nil"/>
              <w:bottom w:val="nil"/>
              <w:right w:val="single" w:sz="4" w:space="0" w:color="auto"/>
            </w:tcBorders>
            <w:shd w:val="clear" w:color="auto" w:fill="auto"/>
            <w:noWrap/>
            <w:vAlign w:val="bottom"/>
            <w:hideMark/>
          </w:tcPr>
          <w:p w14:paraId="73C52D6D"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30%</w:t>
            </w:r>
          </w:p>
        </w:tc>
        <w:tc>
          <w:tcPr>
            <w:tcW w:w="681" w:type="pct"/>
            <w:tcBorders>
              <w:top w:val="nil"/>
              <w:left w:val="single" w:sz="4" w:space="0" w:color="auto"/>
              <w:bottom w:val="nil"/>
              <w:right w:val="single" w:sz="4" w:space="0" w:color="auto"/>
            </w:tcBorders>
            <w:shd w:val="clear" w:color="auto" w:fill="auto"/>
            <w:noWrap/>
            <w:vAlign w:val="bottom"/>
            <w:hideMark/>
          </w:tcPr>
          <w:p w14:paraId="6E6CB60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40,0 </w:t>
            </w:r>
          </w:p>
        </w:tc>
        <w:tc>
          <w:tcPr>
            <w:tcW w:w="681" w:type="pct"/>
            <w:tcBorders>
              <w:top w:val="nil"/>
              <w:left w:val="single" w:sz="4" w:space="0" w:color="auto"/>
              <w:bottom w:val="nil"/>
              <w:right w:val="single" w:sz="4" w:space="0" w:color="auto"/>
            </w:tcBorders>
            <w:shd w:val="clear" w:color="auto" w:fill="auto"/>
            <w:noWrap/>
            <w:vAlign w:val="bottom"/>
            <w:hideMark/>
          </w:tcPr>
          <w:p w14:paraId="5B9023B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34,7 </w:t>
            </w:r>
          </w:p>
        </w:tc>
        <w:tc>
          <w:tcPr>
            <w:tcW w:w="681" w:type="pct"/>
            <w:tcBorders>
              <w:top w:val="nil"/>
              <w:left w:val="single" w:sz="4" w:space="0" w:color="auto"/>
              <w:bottom w:val="nil"/>
              <w:right w:val="single" w:sz="4" w:space="0" w:color="auto"/>
            </w:tcBorders>
            <w:shd w:val="clear" w:color="auto" w:fill="auto"/>
            <w:noWrap/>
            <w:vAlign w:val="bottom"/>
            <w:hideMark/>
          </w:tcPr>
          <w:p w14:paraId="43B67F4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30,6 </w:t>
            </w:r>
          </w:p>
        </w:tc>
        <w:tc>
          <w:tcPr>
            <w:tcW w:w="681" w:type="pct"/>
            <w:tcBorders>
              <w:top w:val="nil"/>
              <w:left w:val="single" w:sz="4" w:space="0" w:color="auto"/>
              <w:bottom w:val="nil"/>
              <w:right w:val="nil"/>
            </w:tcBorders>
            <w:shd w:val="clear" w:color="auto" w:fill="auto"/>
            <w:noWrap/>
            <w:vAlign w:val="bottom"/>
            <w:hideMark/>
          </w:tcPr>
          <w:p w14:paraId="4B3E1DF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27,4 </w:t>
            </w:r>
          </w:p>
        </w:tc>
        <w:tc>
          <w:tcPr>
            <w:tcW w:w="681" w:type="pct"/>
            <w:tcBorders>
              <w:top w:val="nil"/>
              <w:left w:val="nil"/>
              <w:bottom w:val="nil"/>
              <w:right w:val="nil"/>
            </w:tcBorders>
            <w:shd w:val="clear" w:color="auto" w:fill="auto"/>
            <w:noWrap/>
            <w:vAlign w:val="bottom"/>
            <w:hideMark/>
          </w:tcPr>
          <w:p w14:paraId="2911402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24,8 </w:t>
            </w:r>
          </w:p>
        </w:tc>
        <w:tc>
          <w:tcPr>
            <w:tcW w:w="681" w:type="pct"/>
            <w:tcBorders>
              <w:top w:val="nil"/>
              <w:left w:val="nil"/>
              <w:bottom w:val="nil"/>
              <w:right w:val="nil"/>
            </w:tcBorders>
            <w:shd w:val="clear" w:color="auto" w:fill="auto"/>
            <w:noWrap/>
            <w:vAlign w:val="bottom"/>
            <w:hideMark/>
          </w:tcPr>
          <w:p w14:paraId="15D7492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22,7 </w:t>
            </w:r>
          </w:p>
        </w:tc>
      </w:tr>
      <w:tr w:rsidR="00444375" w:rsidRPr="00934257" w14:paraId="159AA52C" w14:textId="77777777" w:rsidTr="00444375">
        <w:trPr>
          <w:trHeight w:val="255"/>
        </w:trPr>
        <w:tc>
          <w:tcPr>
            <w:tcW w:w="288" w:type="pct"/>
            <w:vMerge/>
            <w:tcBorders>
              <w:top w:val="nil"/>
              <w:left w:val="nil"/>
              <w:bottom w:val="nil"/>
              <w:right w:val="nil"/>
            </w:tcBorders>
            <w:vAlign w:val="center"/>
            <w:hideMark/>
          </w:tcPr>
          <w:p w14:paraId="3FA51949"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628" w:type="pct"/>
            <w:tcBorders>
              <w:top w:val="nil"/>
              <w:left w:val="nil"/>
              <w:bottom w:val="single" w:sz="4" w:space="0" w:color="auto"/>
              <w:right w:val="single" w:sz="4" w:space="0" w:color="auto"/>
            </w:tcBorders>
            <w:shd w:val="clear" w:color="auto" w:fill="auto"/>
            <w:noWrap/>
            <w:vAlign w:val="bottom"/>
            <w:hideMark/>
          </w:tcPr>
          <w:p w14:paraId="3BC7E175"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35%</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E211A7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36,5 </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57016D0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31,8 </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6CC13E2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28,1 </w:t>
            </w:r>
          </w:p>
        </w:tc>
        <w:tc>
          <w:tcPr>
            <w:tcW w:w="681" w:type="pct"/>
            <w:tcBorders>
              <w:top w:val="nil"/>
              <w:left w:val="single" w:sz="4" w:space="0" w:color="auto"/>
              <w:bottom w:val="nil"/>
              <w:right w:val="nil"/>
            </w:tcBorders>
            <w:shd w:val="clear" w:color="auto" w:fill="auto"/>
            <w:noWrap/>
            <w:vAlign w:val="bottom"/>
            <w:hideMark/>
          </w:tcPr>
          <w:p w14:paraId="4C7A1B0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25,2 </w:t>
            </w:r>
          </w:p>
        </w:tc>
        <w:tc>
          <w:tcPr>
            <w:tcW w:w="681" w:type="pct"/>
            <w:tcBorders>
              <w:top w:val="nil"/>
              <w:left w:val="nil"/>
              <w:bottom w:val="nil"/>
              <w:right w:val="nil"/>
            </w:tcBorders>
            <w:shd w:val="clear" w:color="auto" w:fill="auto"/>
            <w:noWrap/>
            <w:vAlign w:val="bottom"/>
            <w:hideMark/>
          </w:tcPr>
          <w:p w14:paraId="036B087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22,8 </w:t>
            </w:r>
          </w:p>
        </w:tc>
        <w:tc>
          <w:tcPr>
            <w:tcW w:w="681" w:type="pct"/>
            <w:tcBorders>
              <w:top w:val="nil"/>
              <w:left w:val="nil"/>
              <w:bottom w:val="nil"/>
              <w:right w:val="nil"/>
            </w:tcBorders>
            <w:shd w:val="clear" w:color="auto" w:fill="auto"/>
            <w:noWrap/>
            <w:vAlign w:val="bottom"/>
            <w:hideMark/>
          </w:tcPr>
          <w:p w14:paraId="3C2FECC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r>
      <w:tr w:rsidR="00444375" w:rsidRPr="00934257" w14:paraId="2DBE1043" w14:textId="77777777" w:rsidTr="00444375">
        <w:trPr>
          <w:trHeight w:val="255"/>
        </w:trPr>
        <w:tc>
          <w:tcPr>
            <w:tcW w:w="288" w:type="pct"/>
            <w:vMerge/>
            <w:tcBorders>
              <w:top w:val="nil"/>
              <w:left w:val="nil"/>
              <w:bottom w:val="nil"/>
              <w:right w:val="single" w:sz="4" w:space="0" w:color="auto"/>
            </w:tcBorders>
            <w:vAlign w:val="center"/>
            <w:hideMark/>
          </w:tcPr>
          <w:p w14:paraId="68BF4287"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82211"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40%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FA4A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33,2 </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FA5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28,9 </w:t>
            </w:r>
          </w:p>
        </w:tc>
        <w:tc>
          <w:tcPr>
            <w:tcW w:w="68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86C49E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25,6 </w:t>
            </w:r>
          </w:p>
        </w:tc>
        <w:tc>
          <w:tcPr>
            <w:tcW w:w="681" w:type="pct"/>
            <w:tcBorders>
              <w:top w:val="nil"/>
              <w:left w:val="single" w:sz="4" w:space="0" w:color="auto"/>
              <w:bottom w:val="nil"/>
              <w:right w:val="nil"/>
            </w:tcBorders>
            <w:shd w:val="clear" w:color="auto" w:fill="auto"/>
            <w:noWrap/>
            <w:vAlign w:val="bottom"/>
            <w:hideMark/>
          </w:tcPr>
          <w:p w14:paraId="3D5CC1A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23,0 </w:t>
            </w:r>
          </w:p>
        </w:tc>
        <w:tc>
          <w:tcPr>
            <w:tcW w:w="681" w:type="pct"/>
            <w:tcBorders>
              <w:top w:val="nil"/>
              <w:left w:val="nil"/>
              <w:bottom w:val="nil"/>
              <w:right w:val="nil"/>
            </w:tcBorders>
            <w:shd w:val="clear" w:color="auto" w:fill="auto"/>
            <w:noWrap/>
            <w:vAlign w:val="bottom"/>
            <w:hideMark/>
          </w:tcPr>
          <w:p w14:paraId="2A7E9C4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681" w:type="pct"/>
            <w:tcBorders>
              <w:top w:val="nil"/>
              <w:left w:val="nil"/>
              <w:bottom w:val="nil"/>
              <w:right w:val="nil"/>
            </w:tcBorders>
            <w:shd w:val="clear" w:color="auto" w:fill="auto"/>
            <w:noWrap/>
            <w:vAlign w:val="bottom"/>
            <w:hideMark/>
          </w:tcPr>
          <w:p w14:paraId="563E43D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19,1 </w:t>
            </w:r>
          </w:p>
        </w:tc>
      </w:tr>
      <w:tr w:rsidR="00444375" w:rsidRPr="006103A3" w14:paraId="369B7617" w14:textId="77777777" w:rsidTr="00444375">
        <w:trPr>
          <w:trHeight w:val="255"/>
        </w:trPr>
        <w:tc>
          <w:tcPr>
            <w:tcW w:w="288" w:type="pct"/>
            <w:vMerge/>
            <w:tcBorders>
              <w:top w:val="nil"/>
              <w:left w:val="nil"/>
              <w:bottom w:val="nil"/>
              <w:right w:val="nil"/>
            </w:tcBorders>
            <w:vAlign w:val="center"/>
            <w:hideMark/>
          </w:tcPr>
          <w:p w14:paraId="6F829CCC" w14:textId="77777777" w:rsidR="00444375" w:rsidRPr="006103A3" w:rsidRDefault="00444375" w:rsidP="00444375">
            <w:pPr>
              <w:spacing w:after="0" w:line="240" w:lineRule="auto"/>
              <w:rPr>
                <w:rFonts w:ascii="Calibri" w:eastAsia="Times New Roman" w:hAnsi="Calibri" w:cs="Calibri"/>
                <w:color w:val="9C6500"/>
              </w:rPr>
            </w:pPr>
          </w:p>
        </w:tc>
        <w:tc>
          <w:tcPr>
            <w:tcW w:w="628" w:type="pct"/>
            <w:tcBorders>
              <w:top w:val="single" w:sz="4" w:space="0" w:color="auto"/>
              <w:left w:val="nil"/>
              <w:bottom w:val="nil"/>
              <w:right w:val="single" w:sz="4" w:space="0" w:color="auto"/>
            </w:tcBorders>
            <w:shd w:val="clear" w:color="auto" w:fill="auto"/>
            <w:noWrap/>
            <w:vAlign w:val="bottom"/>
            <w:hideMark/>
          </w:tcPr>
          <w:p w14:paraId="00C642BD"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45%</w:t>
            </w:r>
          </w:p>
        </w:tc>
        <w:tc>
          <w:tcPr>
            <w:tcW w:w="681" w:type="pct"/>
            <w:tcBorders>
              <w:top w:val="single" w:sz="4" w:space="0" w:color="auto"/>
              <w:left w:val="single" w:sz="4" w:space="0" w:color="auto"/>
              <w:bottom w:val="nil"/>
              <w:right w:val="single" w:sz="4" w:space="0" w:color="auto"/>
            </w:tcBorders>
            <w:shd w:val="clear" w:color="auto" w:fill="auto"/>
            <w:noWrap/>
            <w:vAlign w:val="bottom"/>
            <w:hideMark/>
          </w:tcPr>
          <w:p w14:paraId="50FAED4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30,0 </w:t>
            </w:r>
          </w:p>
        </w:tc>
        <w:tc>
          <w:tcPr>
            <w:tcW w:w="681" w:type="pct"/>
            <w:tcBorders>
              <w:top w:val="single" w:sz="4" w:space="0" w:color="auto"/>
              <w:left w:val="single" w:sz="4" w:space="0" w:color="auto"/>
              <w:bottom w:val="nil"/>
              <w:right w:val="nil"/>
            </w:tcBorders>
            <w:shd w:val="clear" w:color="auto" w:fill="auto"/>
            <w:noWrap/>
            <w:vAlign w:val="bottom"/>
            <w:hideMark/>
          </w:tcPr>
          <w:p w14:paraId="456CB0F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26,2 </w:t>
            </w:r>
          </w:p>
        </w:tc>
        <w:tc>
          <w:tcPr>
            <w:tcW w:w="681" w:type="pct"/>
            <w:tcBorders>
              <w:top w:val="single" w:sz="4" w:space="0" w:color="auto"/>
              <w:left w:val="nil"/>
              <w:bottom w:val="nil"/>
              <w:right w:val="nil"/>
            </w:tcBorders>
            <w:shd w:val="clear" w:color="auto" w:fill="auto"/>
            <w:noWrap/>
            <w:vAlign w:val="bottom"/>
            <w:hideMark/>
          </w:tcPr>
          <w:p w14:paraId="75CE4E5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23,2 </w:t>
            </w:r>
          </w:p>
        </w:tc>
        <w:tc>
          <w:tcPr>
            <w:tcW w:w="681" w:type="pct"/>
            <w:tcBorders>
              <w:top w:val="nil"/>
              <w:left w:val="nil"/>
              <w:bottom w:val="nil"/>
              <w:right w:val="nil"/>
            </w:tcBorders>
            <w:shd w:val="clear" w:color="auto" w:fill="auto"/>
            <w:noWrap/>
            <w:vAlign w:val="bottom"/>
            <w:hideMark/>
          </w:tcPr>
          <w:p w14:paraId="06A16D6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681" w:type="pct"/>
            <w:tcBorders>
              <w:top w:val="nil"/>
              <w:left w:val="nil"/>
              <w:bottom w:val="nil"/>
              <w:right w:val="nil"/>
            </w:tcBorders>
            <w:shd w:val="clear" w:color="auto" w:fill="auto"/>
            <w:noWrap/>
            <w:vAlign w:val="bottom"/>
            <w:hideMark/>
          </w:tcPr>
          <w:p w14:paraId="79EEC8A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19,0 </w:t>
            </w:r>
          </w:p>
        </w:tc>
        <w:tc>
          <w:tcPr>
            <w:tcW w:w="681" w:type="pct"/>
            <w:tcBorders>
              <w:top w:val="nil"/>
              <w:left w:val="nil"/>
              <w:bottom w:val="nil"/>
              <w:right w:val="nil"/>
            </w:tcBorders>
            <w:shd w:val="clear" w:color="auto" w:fill="auto"/>
            <w:noWrap/>
            <w:vAlign w:val="bottom"/>
            <w:hideMark/>
          </w:tcPr>
          <w:p w14:paraId="5893BBE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17,4 </w:t>
            </w:r>
          </w:p>
        </w:tc>
      </w:tr>
      <w:tr w:rsidR="00444375" w:rsidRPr="006103A3" w14:paraId="5CB9D588" w14:textId="77777777" w:rsidTr="00444375">
        <w:trPr>
          <w:trHeight w:val="255"/>
        </w:trPr>
        <w:tc>
          <w:tcPr>
            <w:tcW w:w="288" w:type="pct"/>
            <w:vMerge/>
            <w:tcBorders>
              <w:top w:val="nil"/>
              <w:left w:val="nil"/>
              <w:bottom w:val="nil"/>
              <w:right w:val="nil"/>
            </w:tcBorders>
            <w:vAlign w:val="center"/>
            <w:hideMark/>
          </w:tcPr>
          <w:p w14:paraId="050E118C" w14:textId="77777777" w:rsidR="00444375" w:rsidRPr="006103A3" w:rsidRDefault="00444375" w:rsidP="00444375">
            <w:pPr>
              <w:spacing w:after="0" w:line="240" w:lineRule="auto"/>
              <w:rPr>
                <w:rFonts w:ascii="Calibri" w:eastAsia="Times New Roman" w:hAnsi="Calibri" w:cs="Calibri"/>
                <w:color w:val="9C6500"/>
              </w:rPr>
            </w:pPr>
          </w:p>
        </w:tc>
        <w:tc>
          <w:tcPr>
            <w:tcW w:w="628" w:type="pct"/>
            <w:tcBorders>
              <w:top w:val="nil"/>
              <w:left w:val="nil"/>
              <w:bottom w:val="single" w:sz="4" w:space="0" w:color="auto"/>
              <w:right w:val="single" w:sz="4" w:space="0" w:color="auto"/>
            </w:tcBorders>
            <w:shd w:val="clear" w:color="auto" w:fill="auto"/>
            <w:noWrap/>
            <w:vAlign w:val="bottom"/>
            <w:hideMark/>
          </w:tcPr>
          <w:p w14:paraId="07C3DC63"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50%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FEA821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26,9 </w:t>
            </w:r>
          </w:p>
        </w:tc>
        <w:tc>
          <w:tcPr>
            <w:tcW w:w="681" w:type="pct"/>
            <w:tcBorders>
              <w:top w:val="nil"/>
              <w:left w:val="single" w:sz="4" w:space="0" w:color="auto"/>
              <w:bottom w:val="nil"/>
              <w:right w:val="nil"/>
            </w:tcBorders>
            <w:shd w:val="clear" w:color="auto" w:fill="auto"/>
            <w:noWrap/>
            <w:vAlign w:val="bottom"/>
            <w:hideMark/>
          </w:tcPr>
          <w:p w14:paraId="628E0BD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23,5 </w:t>
            </w:r>
          </w:p>
        </w:tc>
        <w:tc>
          <w:tcPr>
            <w:tcW w:w="681" w:type="pct"/>
            <w:tcBorders>
              <w:top w:val="nil"/>
              <w:left w:val="nil"/>
              <w:bottom w:val="nil"/>
              <w:right w:val="nil"/>
            </w:tcBorders>
            <w:shd w:val="clear" w:color="auto" w:fill="auto"/>
            <w:noWrap/>
            <w:vAlign w:val="bottom"/>
            <w:hideMark/>
          </w:tcPr>
          <w:p w14:paraId="7E6A173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681" w:type="pct"/>
            <w:tcBorders>
              <w:top w:val="nil"/>
              <w:left w:val="nil"/>
              <w:bottom w:val="nil"/>
              <w:right w:val="nil"/>
            </w:tcBorders>
            <w:shd w:val="clear" w:color="auto" w:fill="auto"/>
            <w:noWrap/>
            <w:vAlign w:val="bottom"/>
            <w:hideMark/>
          </w:tcPr>
          <w:p w14:paraId="4708A0F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18,8 </w:t>
            </w:r>
          </w:p>
        </w:tc>
        <w:tc>
          <w:tcPr>
            <w:tcW w:w="681" w:type="pct"/>
            <w:tcBorders>
              <w:top w:val="nil"/>
              <w:left w:val="nil"/>
              <w:bottom w:val="nil"/>
              <w:right w:val="nil"/>
            </w:tcBorders>
            <w:shd w:val="clear" w:color="auto" w:fill="auto"/>
            <w:noWrap/>
            <w:vAlign w:val="bottom"/>
            <w:hideMark/>
          </w:tcPr>
          <w:p w14:paraId="31133E5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17,1 </w:t>
            </w:r>
          </w:p>
        </w:tc>
        <w:tc>
          <w:tcPr>
            <w:tcW w:w="681" w:type="pct"/>
            <w:tcBorders>
              <w:top w:val="nil"/>
              <w:left w:val="nil"/>
              <w:bottom w:val="nil"/>
              <w:right w:val="nil"/>
            </w:tcBorders>
            <w:shd w:val="clear" w:color="auto" w:fill="auto"/>
            <w:noWrap/>
            <w:vAlign w:val="bottom"/>
            <w:hideMark/>
          </w:tcPr>
          <w:p w14:paraId="4A4BE5C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15,7 </w:t>
            </w:r>
          </w:p>
        </w:tc>
      </w:tr>
      <w:tr w:rsidR="00444375" w:rsidRPr="006103A3" w14:paraId="7C60F7AC" w14:textId="77777777" w:rsidTr="00444375">
        <w:trPr>
          <w:trHeight w:val="255"/>
        </w:trPr>
        <w:tc>
          <w:tcPr>
            <w:tcW w:w="288" w:type="pct"/>
            <w:vMerge/>
            <w:tcBorders>
              <w:top w:val="nil"/>
              <w:left w:val="nil"/>
              <w:bottom w:val="nil"/>
              <w:right w:val="single" w:sz="4" w:space="0" w:color="auto"/>
            </w:tcBorders>
            <w:vAlign w:val="center"/>
            <w:hideMark/>
          </w:tcPr>
          <w:p w14:paraId="6041B9FD" w14:textId="77777777" w:rsidR="00444375" w:rsidRPr="006103A3" w:rsidRDefault="00444375" w:rsidP="00444375">
            <w:pPr>
              <w:spacing w:after="0" w:line="240" w:lineRule="auto"/>
              <w:rPr>
                <w:rFonts w:ascii="Calibri" w:eastAsia="Times New Roman" w:hAnsi="Calibri" w:cs="Calibri"/>
                <w:color w:val="9C6500"/>
              </w:rPr>
            </w:pP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1B37"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55%</w:t>
            </w:r>
          </w:p>
        </w:tc>
        <w:tc>
          <w:tcPr>
            <w:tcW w:w="68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AE5F3E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23,8 </w:t>
            </w:r>
          </w:p>
        </w:tc>
        <w:tc>
          <w:tcPr>
            <w:tcW w:w="681" w:type="pct"/>
            <w:tcBorders>
              <w:top w:val="nil"/>
              <w:left w:val="single" w:sz="4" w:space="0" w:color="auto"/>
              <w:bottom w:val="nil"/>
              <w:right w:val="nil"/>
            </w:tcBorders>
            <w:shd w:val="clear" w:color="auto" w:fill="auto"/>
            <w:noWrap/>
            <w:vAlign w:val="bottom"/>
            <w:hideMark/>
          </w:tcPr>
          <w:p w14:paraId="52CBE15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681" w:type="pct"/>
            <w:tcBorders>
              <w:top w:val="nil"/>
              <w:left w:val="nil"/>
              <w:bottom w:val="nil"/>
              <w:right w:val="nil"/>
            </w:tcBorders>
            <w:shd w:val="clear" w:color="auto" w:fill="auto"/>
            <w:noWrap/>
            <w:vAlign w:val="bottom"/>
            <w:hideMark/>
          </w:tcPr>
          <w:p w14:paraId="7290349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18,6 </w:t>
            </w:r>
          </w:p>
        </w:tc>
        <w:tc>
          <w:tcPr>
            <w:tcW w:w="681" w:type="pct"/>
            <w:tcBorders>
              <w:top w:val="nil"/>
              <w:left w:val="nil"/>
              <w:bottom w:val="nil"/>
              <w:right w:val="nil"/>
            </w:tcBorders>
            <w:shd w:val="clear" w:color="auto" w:fill="auto"/>
            <w:noWrap/>
            <w:vAlign w:val="bottom"/>
            <w:hideMark/>
          </w:tcPr>
          <w:p w14:paraId="213FA13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16,7 </w:t>
            </w:r>
          </w:p>
        </w:tc>
        <w:tc>
          <w:tcPr>
            <w:tcW w:w="681" w:type="pct"/>
            <w:tcBorders>
              <w:top w:val="nil"/>
              <w:left w:val="nil"/>
              <w:bottom w:val="nil"/>
              <w:right w:val="nil"/>
            </w:tcBorders>
            <w:shd w:val="clear" w:color="auto" w:fill="auto"/>
            <w:noWrap/>
            <w:vAlign w:val="bottom"/>
            <w:hideMark/>
          </w:tcPr>
          <w:p w14:paraId="211777C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15,2 </w:t>
            </w:r>
          </w:p>
        </w:tc>
        <w:tc>
          <w:tcPr>
            <w:tcW w:w="681" w:type="pct"/>
            <w:tcBorders>
              <w:top w:val="nil"/>
              <w:left w:val="nil"/>
              <w:bottom w:val="nil"/>
              <w:right w:val="nil"/>
            </w:tcBorders>
            <w:shd w:val="clear" w:color="auto" w:fill="auto"/>
            <w:noWrap/>
            <w:vAlign w:val="bottom"/>
            <w:hideMark/>
          </w:tcPr>
          <w:p w14:paraId="1C5B79E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14,0 </w:t>
            </w:r>
          </w:p>
        </w:tc>
      </w:tr>
      <w:tr w:rsidR="00444375" w:rsidRPr="006103A3" w14:paraId="4B6F78D0" w14:textId="77777777" w:rsidTr="00444375">
        <w:trPr>
          <w:trHeight w:val="300"/>
        </w:trPr>
        <w:tc>
          <w:tcPr>
            <w:tcW w:w="288" w:type="pct"/>
            <w:vMerge/>
            <w:tcBorders>
              <w:top w:val="nil"/>
              <w:left w:val="nil"/>
              <w:bottom w:val="nil"/>
              <w:right w:val="nil"/>
            </w:tcBorders>
            <w:vAlign w:val="center"/>
            <w:hideMark/>
          </w:tcPr>
          <w:p w14:paraId="2F0A7061" w14:textId="77777777" w:rsidR="00444375" w:rsidRPr="006103A3" w:rsidRDefault="00444375" w:rsidP="00444375">
            <w:pPr>
              <w:spacing w:after="0" w:line="240" w:lineRule="auto"/>
              <w:rPr>
                <w:rFonts w:ascii="Calibri" w:eastAsia="Times New Roman" w:hAnsi="Calibri" w:cs="Calibri"/>
                <w:color w:val="9C6500"/>
              </w:rPr>
            </w:pPr>
          </w:p>
        </w:tc>
        <w:tc>
          <w:tcPr>
            <w:tcW w:w="628" w:type="pct"/>
            <w:tcBorders>
              <w:top w:val="single" w:sz="4" w:space="0" w:color="auto"/>
              <w:left w:val="nil"/>
              <w:bottom w:val="nil"/>
              <w:right w:val="nil"/>
            </w:tcBorders>
            <w:shd w:val="clear" w:color="auto" w:fill="auto"/>
            <w:noWrap/>
            <w:vAlign w:val="bottom"/>
            <w:hideMark/>
          </w:tcPr>
          <w:p w14:paraId="3E860C7C"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60%</w:t>
            </w:r>
          </w:p>
        </w:tc>
        <w:tc>
          <w:tcPr>
            <w:tcW w:w="681" w:type="pct"/>
            <w:tcBorders>
              <w:top w:val="single" w:sz="4" w:space="0" w:color="auto"/>
              <w:left w:val="nil"/>
              <w:bottom w:val="nil"/>
              <w:right w:val="nil"/>
            </w:tcBorders>
            <w:shd w:val="clear" w:color="auto" w:fill="auto"/>
            <w:noWrap/>
            <w:vAlign w:val="bottom"/>
            <w:hideMark/>
          </w:tcPr>
          <w:p w14:paraId="3799C35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681" w:type="pct"/>
            <w:tcBorders>
              <w:top w:val="nil"/>
              <w:left w:val="nil"/>
              <w:bottom w:val="nil"/>
              <w:right w:val="nil"/>
            </w:tcBorders>
            <w:shd w:val="clear" w:color="auto" w:fill="auto"/>
            <w:noWrap/>
            <w:vAlign w:val="bottom"/>
            <w:hideMark/>
          </w:tcPr>
          <w:p w14:paraId="20E6E53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18,3 </w:t>
            </w:r>
          </w:p>
        </w:tc>
        <w:tc>
          <w:tcPr>
            <w:tcW w:w="681" w:type="pct"/>
            <w:tcBorders>
              <w:top w:val="nil"/>
              <w:left w:val="nil"/>
              <w:bottom w:val="nil"/>
              <w:right w:val="nil"/>
            </w:tcBorders>
            <w:shd w:val="clear" w:color="auto" w:fill="auto"/>
            <w:noWrap/>
            <w:vAlign w:val="bottom"/>
            <w:hideMark/>
          </w:tcPr>
          <w:p w14:paraId="54F3A92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16,3 </w:t>
            </w:r>
          </w:p>
        </w:tc>
        <w:tc>
          <w:tcPr>
            <w:tcW w:w="681" w:type="pct"/>
            <w:tcBorders>
              <w:top w:val="nil"/>
              <w:left w:val="nil"/>
              <w:bottom w:val="nil"/>
              <w:right w:val="nil"/>
            </w:tcBorders>
            <w:shd w:val="clear" w:color="auto" w:fill="auto"/>
            <w:noWrap/>
            <w:vAlign w:val="bottom"/>
            <w:hideMark/>
          </w:tcPr>
          <w:p w14:paraId="22ACE58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14,7 </w:t>
            </w:r>
          </w:p>
        </w:tc>
        <w:tc>
          <w:tcPr>
            <w:tcW w:w="681" w:type="pct"/>
            <w:tcBorders>
              <w:top w:val="nil"/>
              <w:left w:val="nil"/>
              <w:bottom w:val="nil"/>
              <w:right w:val="nil"/>
            </w:tcBorders>
            <w:shd w:val="clear" w:color="auto" w:fill="auto"/>
            <w:noWrap/>
            <w:vAlign w:val="bottom"/>
            <w:hideMark/>
          </w:tcPr>
          <w:p w14:paraId="5DEF4EC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13,4 </w:t>
            </w:r>
          </w:p>
        </w:tc>
        <w:tc>
          <w:tcPr>
            <w:tcW w:w="681" w:type="pct"/>
            <w:tcBorders>
              <w:top w:val="nil"/>
              <w:left w:val="nil"/>
              <w:bottom w:val="nil"/>
              <w:right w:val="nil"/>
            </w:tcBorders>
            <w:shd w:val="clear" w:color="auto" w:fill="auto"/>
            <w:noWrap/>
            <w:vAlign w:val="bottom"/>
            <w:hideMark/>
          </w:tcPr>
          <w:p w14:paraId="40AD179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12,3 </w:t>
            </w:r>
          </w:p>
        </w:tc>
      </w:tr>
      <w:tr w:rsidR="00444375" w:rsidRPr="006103A3" w14:paraId="5BB683C3" w14:textId="77777777" w:rsidTr="00444375">
        <w:trPr>
          <w:trHeight w:val="300"/>
        </w:trPr>
        <w:tc>
          <w:tcPr>
            <w:tcW w:w="288" w:type="pct"/>
            <w:vMerge/>
            <w:tcBorders>
              <w:top w:val="nil"/>
              <w:left w:val="nil"/>
              <w:bottom w:val="nil"/>
              <w:right w:val="nil"/>
            </w:tcBorders>
            <w:vAlign w:val="center"/>
            <w:hideMark/>
          </w:tcPr>
          <w:p w14:paraId="0E7AA5CC" w14:textId="77777777" w:rsidR="00444375" w:rsidRPr="006103A3" w:rsidRDefault="00444375" w:rsidP="00444375">
            <w:pPr>
              <w:spacing w:after="0" w:line="240" w:lineRule="auto"/>
              <w:rPr>
                <w:rFonts w:ascii="Calibri" w:eastAsia="Times New Roman" w:hAnsi="Calibri" w:cs="Calibri"/>
                <w:color w:val="9C6500"/>
              </w:rPr>
            </w:pPr>
          </w:p>
        </w:tc>
        <w:tc>
          <w:tcPr>
            <w:tcW w:w="628" w:type="pct"/>
            <w:tcBorders>
              <w:top w:val="nil"/>
              <w:left w:val="nil"/>
              <w:bottom w:val="nil"/>
              <w:right w:val="nil"/>
            </w:tcBorders>
            <w:shd w:val="clear" w:color="auto" w:fill="auto"/>
            <w:noWrap/>
            <w:vAlign w:val="bottom"/>
            <w:hideMark/>
          </w:tcPr>
          <w:p w14:paraId="12373B9C" w14:textId="77777777" w:rsidR="00444375" w:rsidRPr="00D45CD8" w:rsidRDefault="00444375" w:rsidP="00444375">
            <w:pPr>
              <w:spacing w:after="0" w:line="240" w:lineRule="auto"/>
              <w:jc w:val="right"/>
              <w:rPr>
                <w:rFonts w:ascii="Georgia" w:eastAsia="Times New Roman" w:hAnsi="Georgia" w:cs="Arial"/>
                <w:sz w:val="18"/>
                <w:szCs w:val="18"/>
              </w:rPr>
            </w:pPr>
            <w:r w:rsidRPr="00D45CD8">
              <w:rPr>
                <w:rFonts w:ascii="Georgia" w:eastAsia="Times New Roman" w:hAnsi="Georgia" w:cs="Arial"/>
                <w:sz w:val="18"/>
                <w:szCs w:val="18"/>
              </w:rPr>
              <w:t>65%</w:t>
            </w:r>
          </w:p>
        </w:tc>
        <w:tc>
          <w:tcPr>
            <w:tcW w:w="681" w:type="pct"/>
            <w:tcBorders>
              <w:top w:val="nil"/>
              <w:left w:val="nil"/>
              <w:bottom w:val="nil"/>
              <w:right w:val="nil"/>
            </w:tcBorders>
            <w:shd w:val="clear" w:color="auto" w:fill="auto"/>
            <w:noWrap/>
            <w:vAlign w:val="bottom"/>
            <w:hideMark/>
          </w:tcPr>
          <w:p w14:paraId="6BF6817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18,0 </w:t>
            </w:r>
          </w:p>
        </w:tc>
        <w:tc>
          <w:tcPr>
            <w:tcW w:w="681" w:type="pct"/>
            <w:tcBorders>
              <w:top w:val="nil"/>
              <w:left w:val="nil"/>
              <w:bottom w:val="nil"/>
              <w:right w:val="nil"/>
            </w:tcBorders>
            <w:shd w:val="clear" w:color="auto" w:fill="auto"/>
            <w:noWrap/>
            <w:vAlign w:val="bottom"/>
            <w:hideMark/>
          </w:tcPr>
          <w:p w14:paraId="6AD2DD5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15,9 </w:t>
            </w:r>
          </w:p>
        </w:tc>
        <w:tc>
          <w:tcPr>
            <w:tcW w:w="681" w:type="pct"/>
            <w:tcBorders>
              <w:top w:val="nil"/>
              <w:left w:val="nil"/>
              <w:bottom w:val="nil"/>
              <w:right w:val="nil"/>
            </w:tcBorders>
            <w:shd w:val="clear" w:color="auto" w:fill="auto"/>
            <w:noWrap/>
            <w:vAlign w:val="bottom"/>
            <w:hideMark/>
          </w:tcPr>
          <w:p w14:paraId="36817A1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14,1 </w:t>
            </w:r>
          </w:p>
        </w:tc>
        <w:tc>
          <w:tcPr>
            <w:tcW w:w="681" w:type="pct"/>
            <w:tcBorders>
              <w:top w:val="nil"/>
              <w:left w:val="nil"/>
              <w:bottom w:val="nil"/>
              <w:right w:val="nil"/>
            </w:tcBorders>
            <w:shd w:val="clear" w:color="auto" w:fill="auto"/>
            <w:noWrap/>
            <w:vAlign w:val="bottom"/>
            <w:hideMark/>
          </w:tcPr>
          <w:p w14:paraId="203696F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12,8 </w:t>
            </w:r>
          </w:p>
        </w:tc>
        <w:tc>
          <w:tcPr>
            <w:tcW w:w="681" w:type="pct"/>
            <w:tcBorders>
              <w:top w:val="nil"/>
              <w:left w:val="nil"/>
              <w:bottom w:val="nil"/>
              <w:right w:val="nil"/>
            </w:tcBorders>
            <w:shd w:val="clear" w:color="auto" w:fill="auto"/>
            <w:noWrap/>
            <w:vAlign w:val="bottom"/>
            <w:hideMark/>
          </w:tcPr>
          <w:p w14:paraId="694A087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11,6 </w:t>
            </w:r>
          </w:p>
        </w:tc>
        <w:tc>
          <w:tcPr>
            <w:tcW w:w="681" w:type="pct"/>
            <w:tcBorders>
              <w:top w:val="nil"/>
              <w:left w:val="nil"/>
              <w:bottom w:val="nil"/>
              <w:right w:val="nil"/>
            </w:tcBorders>
            <w:shd w:val="clear" w:color="auto" w:fill="auto"/>
            <w:noWrap/>
            <w:vAlign w:val="bottom"/>
            <w:hideMark/>
          </w:tcPr>
          <w:p w14:paraId="5833F12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10,7 </w:t>
            </w:r>
          </w:p>
        </w:tc>
      </w:tr>
    </w:tbl>
    <w:p w14:paraId="03E9A496" w14:textId="77777777" w:rsidR="00444375" w:rsidRPr="00765447" w:rsidRDefault="00444375" w:rsidP="00444375">
      <w:pPr>
        <w:rPr>
          <w:lang w:val="lt-LT"/>
        </w:rPr>
      </w:pPr>
    </w:p>
    <w:p w14:paraId="355BD2AE" w14:textId="77777777" w:rsidR="00444375" w:rsidRPr="005A15CD" w:rsidRDefault="00444375" w:rsidP="00444375">
      <w:pPr>
        <w:jc w:val="both"/>
        <w:rPr>
          <w:rFonts w:ascii="Georgia" w:hAnsi="Georgia"/>
          <w:sz w:val="20"/>
        </w:rPr>
      </w:pPr>
      <w:r>
        <w:rPr>
          <w:rFonts w:ascii="Georgia" w:hAnsi="Georgia"/>
          <w:sz w:val="20"/>
          <w:lang w:val="lt-LT"/>
        </w:rPr>
        <w:t>Iš lentelėje pateiktų duomenų</w:t>
      </w:r>
      <w:r w:rsidRPr="00DF3A8E">
        <w:rPr>
          <w:rFonts w:ascii="Georgia" w:hAnsi="Georgia"/>
          <w:sz w:val="20"/>
          <w:lang w:val="lt-LT"/>
        </w:rPr>
        <w:t xml:space="preserve"> mat</w:t>
      </w:r>
      <w:r>
        <w:rPr>
          <w:rFonts w:ascii="Georgia" w:hAnsi="Georgia"/>
          <w:sz w:val="20"/>
          <w:lang w:val="lt-LT"/>
        </w:rPr>
        <w:t>yti</w:t>
      </w:r>
      <w:r w:rsidRPr="00DF3A8E">
        <w:rPr>
          <w:rFonts w:ascii="Georgia" w:hAnsi="Georgia"/>
          <w:sz w:val="20"/>
          <w:lang w:val="lt-LT"/>
        </w:rPr>
        <w:t xml:space="preserve">, kad </w:t>
      </w:r>
      <w:r>
        <w:rPr>
          <w:rFonts w:ascii="Georgia" w:hAnsi="Georgia"/>
          <w:sz w:val="20"/>
          <w:lang w:val="lt-LT"/>
        </w:rPr>
        <w:t>pasiekus</w:t>
      </w:r>
      <w:r w:rsidRPr="00DF3A8E">
        <w:rPr>
          <w:rFonts w:ascii="Georgia" w:hAnsi="Georgia"/>
          <w:sz w:val="20"/>
          <w:lang w:val="lt-LT"/>
        </w:rPr>
        <w:t xml:space="preserve"> </w:t>
      </w:r>
      <w:r>
        <w:rPr>
          <w:rFonts w:ascii="Georgia" w:hAnsi="Georgia"/>
          <w:sz w:val="20"/>
          <w:lang w:val="lt-LT"/>
        </w:rPr>
        <w:t xml:space="preserve">reikalaujamus </w:t>
      </w:r>
      <w:r>
        <w:rPr>
          <w:rFonts w:ascii="Georgia" w:hAnsi="Georgia"/>
          <w:sz w:val="20"/>
        </w:rPr>
        <w:t>40</w:t>
      </w:r>
      <w:r w:rsidRPr="00DF3A8E">
        <w:rPr>
          <w:rFonts w:ascii="Georgia" w:hAnsi="Georgia"/>
          <w:sz w:val="20"/>
          <w:lang w:val="lt-LT"/>
        </w:rPr>
        <w:t xml:space="preserve"> proc. šilumos energijos</w:t>
      </w:r>
      <w:r>
        <w:rPr>
          <w:rFonts w:ascii="Georgia" w:hAnsi="Georgia"/>
          <w:sz w:val="20"/>
          <w:lang w:val="lt-LT"/>
        </w:rPr>
        <w:t xml:space="preserve"> sutaupymus</w:t>
      </w:r>
      <w:r w:rsidRPr="00DF3A8E" w:rsidDel="002A3BF8">
        <w:rPr>
          <w:rFonts w:ascii="Georgia" w:hAnsi="Georgia"/>
          <w:sz w:val="20"/>
          <w:lang w:val="lt-LT"/>
        </w:rPr>
        <w:t xml:space="preserve"> </w:t>
      </w:r>
      <w:r w:rsidRPr="00DF3A8E">
        <w:rPr>
          <w:rFonts w:ascii="Georgia" w:hAnsi="Georgia"/>
          <w:sz w:val="20"/>
          <w:lang w:val="lt-LT"/>
        </w:rPr>
        <w:t xml:space="preserve">ir </w:t>
      </w:r>
      <w:r>
        <w:rPr>
          <w:rFonts w:ascii="Georgia" w:hAnsi="Georgia"/>
          <w:sz w:val="20"/>
          <w:lang w:val="lt-LT"/>
        </w:rPr>
        <w:t>projektams</w:t>
      </w:r>
      <w:r w:rsidRPr="00DF3A8E">
        <w:rPr>
          <w:rFonts w:ascii="Georgia" w:hAnsi="Georgia"/>
          <w:sz w:val="20"/>
          <w:lang w:val="lt-LT"/>
        </w:rPr>
        <w:t xml:space="preserve"> </w:t>
      </w:r>
      <w:r>
        <w:rPr>
          <w:rFonts w:ascii="Georgia" w:hAnsi="Georgia"/>
          <w:sz w:val="20"/>
          <w:lang w:val="lt-LT"/>
        </w:rPr>
        <w:t xml:space="preserve">teikiant bent </w:t>
      </w:r>
      <w:r>
        <w:rPr>
          <w:rFonts w:ascii="Georgia" w:hAnsi="Georgia"/>
          <w:sz w:val="20"/>
        </w:rPr>
        <w:t>5</w:t>
      </w:r>
      <w:r>
        <w:rPr>
          <w:rFonts w:ascii="Georgia" w:hAnsi="Georgia"/>
          <w:sz w:val="20"/>
          <w:lang w:val="lt-LT"/>
        </w:rPr>
        <w:t>5</w:t>
      </w:r>
      <w:r w:rsidRPr="00DF3A8E">
        <w:rPr>
          <w:rFonts w:ascii="Georgia" w:hAnsi="Georgia"/>
          <w:sz w:val="20"/>
          <w:lang w:val="lt-LT"/>
        </w:rPr>
        <w:t xml:space="preserve"> proc. subsidij</w:t>
      </w:r>
      <w:r>
        <w:rPr>
          <w:rFonts w:ascii="Georgia" w:hAnsi="Georgia"/>
          <w:sz w:val="20"/>
          <w:lang w:val="lt-LT"/>
        </w:rPr>
        <w:t>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 xml:space="preserve">renovacijos projektas atsiperka per </w:t>
      </w:r>
      <w:r>
        <w:rPr>
          <w:rFonts w:ascii="Georgia" w:hAnsi="Georgia"/>
          <w:sz w:val="20"/>
          <w:lang w:val="lt-LT"/>
        </w:rPr>
        <w:t>23</w:t>
      </w:r>
      <w:r w:rsidRPr="00DF3A8E">
        <w:rPr>
          <w:rFonts w:ascii="Georgia" w:hAnsi="Georgia"/>
          <w:sz w:val="20"/>
          <w:lang w:val="lt-LT"/>
        </w:rPr>
        <w:t>,</w:t>
      </w:r>
      <w:r>
        <w:rPr>
          <w:rFonts w:ascii="Georgia" w:hAnsi="Georgia"/>
          <w:sz w:val="20"/>
          <w:lang w:val="lt-LT"/>
        </w:rPr>
        <w:t>8</w:t>
      </w:r>
      <w:r w:rsidRPr="00DF3A8E">
        <w:rPr>
          <w:rFonts w:ascii="Georgia" w:hAnsi="Georgia"/>
          <w:sz w:val="20"/>
          <w:lang w:val="lt-LT"/>
        </w:rPr>
        <w:t xml:space="preserve"> met</w:t>
      </w:r>
      <w:r>
        <w:rPr>
          <w:rFonts w:ascii="Georgia" w:hAnsi="Georgia"/>
          <w:sz w:val="20"/>
          <w:lang w:val="lt-LT"/>
        </w:rPr>
        <w:t>ų</w:t>
      </w:r>
      <w:r w:rsidRPr="00DF3A8E">
        <w:rPr>
          <w:rFonts w:ascii="Georgia" w:hAnsi="Georgia"/>
          <w:sz w:val="20"/>
          <w:lang w:val="lt-LT"/>
        </w:rPr>
        <w:t xml:space="preserve">. </w:t>
      </w:r>
      <w:r>
        <w:rPr>
          <w:rFonts w:ascii="Georgia" w:hAnsi="Georgia"/>
          <w:sz w:val="20"/>
          <w:lang w:val="lt-LT"/>
        </w:rPr>
        <w:t xml:space="preserve">Tačiau pasiekus </w:t>
      </w:r>
      <w:r>
        <w:rPr>
          <w:rFonts w:ascii="Georgia" w:hAnsi="Georgia"/>
          <w:sz w:val="20"/>
        </w:rPr>
        <w:t>50-55 proc. energijos sutaupymus (kas yra tik</w:t>
      </w:r>
      <w:r>
        <w:rPr>
          <w:rFonts w:ascii="Georgia" w:hAnsi="Georgia"/>
          <w:sz w:val="20"/>
          <w:lang w:val="lt-LT"/>
        </w:rPr>
        <w:t>ėtina atsižvelgiant į</w:t>
      </w:r>
      <w:r>
        <w:rPr>
          <w:rFonts w:ascii="Georgia" w:hAnsi="Georgia"/>
          <w:sz w:val="20"/>
        </w:rPr>
        <w:t xml:space="preserve"> daugiabu</w:t>
      </w:r>
      <w:r>
        <w:rPr>
          <w:rFonts w:ascii="Georgia" w:hAnsi="Georgia"/>
          <w:sz w:val="20"/>
          <w:lang w:val="lt-LT"/>
        </w:rPr>
        <w:t xml:space="preserve">čių renovacijos rezultatus), užektų ir </w:t>
      </w:r>
      <w:r>
        <w:rPr>
          <w:rFonts w:ascii="Georgia" w:hAnsi="Georgia"/>
          <w:sz w:val="20"/>
        </w:rPr>
        <w:t>40 proc. subsidij</w:t>
      </w:r>
      <w:r>
        <w:rPr>
          <w:rFonts w:ascii="Georgia" w:hAnsi="Georgia"/>
          <w:sz w:val="20"/>
          <w:lang w:val="lt-LT"/>
        </w:rPr>
        <w:t xml:space="preserve">os, kad projektas atsipirktų per maždaug </w:t>
      </w:r>
      <w:r>
        <w:rPr>
          <w:rFonts w:ascii="Georgia" w:hAnsi="Georgia"/>
          <w:sz w:val="20"/>
        </w:rPr>
        <w:t xml:space="preserve">25 metus. </w:t>
      </w:r>
    </w:p>
    <w:p w14:paraId="1EAE1BEE" w14:textId="77777777" w:rsidR="00444375" w:rsidRDefault="00444375" w:rsidP="00444375">
      <w:pPr>
        <w:jc w:val="both"/>
        <w:rPr>
          <w:rFonts w:ascii="Georgia" w:hAnsi="Georgia"/>
          <w:sz w:val="20"/>
          <w:lang w:val="lt-LT"/>
        </w:rPr>
      </w:pPr>
      <w:r>
        <w:rPr>
          <w:rFonts w:ascii="Georgia" w:hAnsi="Georgia"/>
          <w:sz w:val="20"/>
          <w:lang w:val="lt-LT"/>
        </w:rPr>
        <w:t>Vienas iš pagrindinių veiksnių įtakojančių renovacijos projektų atsiperkamumą yra renovacijos kaštų dydis. Žemiau lentelėje pateikiami rezultatai vertinant subsidijos poreikį atsižvelgiant į skirtingus renovacijos kaštus.</w:t>
      </w:r>
    </w:p>
    <w:p w14:paraId="18722E37" w14:textId="4CC6D4EB" w:rsidR="00444375" w:rsidRPr="005A1A99" w:rsidRDefault="00444375" w:rsidP="00444375">
      <w:pPr>
        <w:pStyle w:val="Antrat"/>
        <w:jc w:val="both"/>
        <w:rPr>
          <w:b w:val="0"/>
          <w:i/>
          <w:lang w:val="lt-LT"/>
        </w:rPr>
      </w:pPr>
      <w:bookmarkStart w:id="167" w:name="_Toc503193905"/>
      <w:bookmarkStart w:id="168" w:name="_Toc507939168"/>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46</w:t>
      </w:r>
      <w:r w:rsidRPr="005A1A99">
        <w:rPr>
          <w:b w:val="0"/>
          <w:i/>
          <w:lang w:val="lt-LT"/>
        </w:rPr>
        <w:fldChar w:fldCharType="end"/>
      </w:r>
      <w:r w:rsidRPr="005A1A99">
        <w:rPr>
          <w:b w:val="0"/>
          <w:i/>
          <w:lang w:val="lt-LT"/>
        </w:rPr>
        <w:t>. Subsidijos poreikio ir renovacijos kaštų santykio jautrumo analizė</w:t>
      </w:r>
      <w:bookmarkEnd w:id="167"/>
      <w:bookmarkEnd w:id="168"/>
    </w:p>
    <w:tbl>
      <w:tblPr>
        <w:tblW w:w="9033" w:type="dxa"/>
        <w:tblLayout w:type="fixed"/>
        <w:tblLook w:val="04A0" w:firstRow="1" w:lastRow="0" w:firstColumn="1" w:lastColumn="0" w:noHBand="0" w:noVBand="1"/>
      </w:tblPr>
      <w:tblGrid>
        <w:gridCol w:w="500"/>
        <w:gridCol w:w="1201"/>
        <w:gridCol w:w="1222"/>
        <w:gridCol w:w="1222"/>
        <w:gridCol w:w="1222"/>
        <w:gridCol w:w="1222"/>
        <w:gridCol w:w="1222"/>
        <w:gridCol w:w="1222"/>
      </w:tblGrid>
      <w:tr w:rsidR="00444375" w:rsidRPr="00E34CEF" w14:paraId="0564EFE3" w14:textId="77777777" w:rsidTr="00444375">
        <w:trPr>
          <w:trHeight w:val="354"/>
        </w:trPr>
        <w:tc>
          <w:tcPr>
            <w:tcW w:w="1701" w:type="dxa"/>
            <w:gridSpan w:val="2"/>
            <w:tcBorders>
              <w:top w:val="nil"/>
              <w:left w:val="nil"/>
              <w:bottom w:val="nil"/>
              <w:right w:val="nil"/>
            </w:tcBorders>
            <w:shd w:val="clear" w:color="auto" w:fill="auto"/>
            <w:noWrap/>
            <w:vAlign w:val="bottom"/>
            <w:hideMark/>
          </w:tcPr>
          <w:p w14:paraId="6F63A2A9" w14:textId="77777777" w:rsidR="00444375" w:rsidRPr="00D45CD8" w:rsidRDefault="00444375" w:rsidP="00444375">
            <w:pPr>
              <w:spacing w:after="0" w:line="240" w:lineRule="auto"/>
              <w:rPr>
                <w:rFonts w:ascii="Georgia" w:eastAsia="Times New Roman" w:hAnsi="Georgia" w:cs="Arial"/>
                <w:sz w:val="18"/>
                <w:szCs w:val="18"/>
              </w:rPr>
            </w:pPr>
          </w:p>
        </w:tc>
        <w:tc>
          <w:tcPr>
            <w:tcW w:w="7332" w:type="dxa"/>
            <w:gridSpan w:val="6"/>
            <w:tcBorders>
              <w:top w:val="nil"/>
              <w:left w:val="nil"/>
              <w:bottom w:val="nil"/>
              <w:right w:val="nil"/>
            </w:tcBorders>
            <w:shd w:val="clear" w:color="000000" w:fill="FFEB9C"/>
            <w:noWrap/>
            <w:vAlign w:val="center"/>
            <w:hideMark/>
          </w:tcPr>
          <w:p w14:paraId="5C640D74"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Renovacijos kaštai (EUR/m</w:t>
            </w:r>
            <w:r w:rsidRPr="00D45CD8">
              <w:rPr>
                <w:rFonts w:ascii="Georgia" w:eastAsia="Times New Roman" w:hAnsi="Georgia" w:cs="Calibri"/>
                <w:color w:val="9C6500"/>
                <w:sz w:val="18"/>
                <w:szCs w:val="18"/>
                <w:vertAlign w:val="superscript"/>
              </w:rPr>
              <w:t>2</w:t>
            </w:r>
            <w:r w:rsidRPr="00D45CD8">
              <w:rPr>
                <w:rFonts w:ascii="Georgia" w:eastAsia="Times New Roman" w:hAnsi="Georgia" w:cs="Calibri"/>
                <w:color w:val="9C6500"/>
                <w:sz w:val="18"/>
                <w:szCs w:val="18"/>
              </w:rPr>
              <w:t>)</w:t>
            </w:r>
          </w:p>
        </w:tc>
      </w:tr>
      <w:tr w:rsidR="00444375" w:rsidRPr="00E34CEF" w14:paraId="64F82334" w14:textId="77777777" w:rsidTr="00444375">
        <w:trPr>
          <w:trHeight w:val="262"/>
        </w:trPr>
        <w:tc>
          <w:tcPr>
            <w:tcW w:w="500" w:type="dxa"/>
            <w:tcBorders>
              <w:top w:val="nil"/>
              <w:left w:val="nil"/>
              <w:bottom w:val="nil"/>
              <w:right w:val="nil"/>
            </w:tcBorders>
            <w:shd w:val="clear" w:color="auto" w:fill="auto"/>
            <w:noWrap/>
            <w:vAlign w:val="bottom"/>
            <w:hideMark/>
          </w:tcPr>
          <w:p w14:paraId="0C539BA7" w14:textId="77777777" w:rsidR="00444375" w:rsidRPr="00D45CD8" w:rsidRDefault="00444375" w:rsidP="00444375">
            <w:pPr>
              <w:spacing w:after="0" w:line="240" w:lineRule="auto"/>
              <w:jc w:val="center"/>
              <w:rPr>
                <w:rFonts w:ascii="Georgia" w:eastAsia="Times New Roman" w:hAnsi="Georgia" w:cs="Calibri"/>
                <w:color w:val="9C6500"/>
                <w:sz w:val="18"/>
                <w:szCs w:val="18"/>
              </w:rPr>
            </w:pPr>
          </w:p>
        </w:tc>
        <w:tc>
          <w:tcPr>
            <w:tcW w:w="1201" w:type="dxa"/>
            <w:tcBorders>
              <w:top w:val="nil"/>
              <w:left w:val="nil"/>
              <w:bottom w:val="nil"/>
              <w:right w:val="single" w:sz="4" w:space="0" w:color="auto"/>
            </w:tcBorders>
            <w:shd w:val="clear" w:color="auto" w:fill="auto"/>
            <w:noWrap/>
            <w:vAlign w:val="bottom"/>
            <w:hideMark/>
          </w:tcPr>
          <w:p w14:paraId="7E871461"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33 </w:t>
            </w:r>
          </w:p>
        </w:tc>
        <w:tc>
          <w:tcPr>
            <w:tcW w:w="1222" w:type="dxa"/>
            <w:tcBorders>
              <w:top w:val="single" w:sz="4" w:space="0" w:color="auto"/>
              <w:left w:val="single" w:sz="4" w:space="0" w:color="auto"/>
              <w:bottom w:val="nil"/>
              <w:right w:val="single" w:sz="4" w:space="0" w:color="auto"/>
            </w:tcBorders>
            <w:shd w:val="clear" w:color="auto" w:fill="auto"/>
            <w:noWrap/>
            <w:vAlign w:val="bottom"/>
            <w:hideMark/>
          </w:tcPr>
          <w:p w14:paraId="1F25CEB7"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135 </w:t>
            </w:r>
          </w:p>
        </w:tc>
        <w:tc>
          <w:tcPr>
            <w:tcW w:w="1222" w:type="dxa"/>
            <w:tcBorders>
              <w:top w:val="nil"/>
              <w:left w:val="single" w:sz="4" w:space="0" w:color="auto"/>
              <w:bottom w:val="nil"/>
              <w:right w:val="single" w:sz="4" w:space="0" w:color="auto"/>
            </w:tcBorders>
            <w:shd w:val="clear" w:color="auto" w:fill="auto"/>
            <w:noWrap/>
            <w:vAlign w:val="bottom"/>
            <w:hideMark/>
          </w:tcPr>
          <w:p w14:paraId="08781787"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165 </w:t>
            </w:r>
          </w:p>
        </w:tc>
        <w:tc>
          <w:tcPr>
            <w:tcW w:w="1222" w:type="dxa"/>
            <w:tcBorders>
              <w:top w:val="single" w:sz="4" w:space="0" w:color="auto"/>
              <w:left w:val="single" w:sz="4" w:space="0" w:color="auto"/>
              <w:bottom w:val="nil"/>
              <w:right w:val="single" w:sz="4" w:space="0" w:color="auto"/>
            </w:tcBorders>
            <w:shd w:val="clear" w:color="auto" w:fill="auto"/>
            <w:noWrap/>
            <w:vAlign w:val="bottom"/>
            <w:hideMark/>
          </w:tcPr>
          <w:p w14:paraId="022B4FBE"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195 </w:t>
            </w:r>
          </w:p>
        </w:tc>
        <w:tc>
          <w:tcPr>
            <w:tcW w:w="1222" w:type="dxa"/>
            <w:tcBorders>
              <w:top w:val="nil"/>
              <w:left w:val="single" w:sz="4" w:space="0" w:color="auto"/>
              <w:bottom w:val="nil"/>
              <w:right w:val="single" w:sz="4" w:space="0" w:color="auto"/>
            </w:tcBorders>
            <w:shd w:val="clear" w:color="auto" w:fill="auto"/>
            <w:noWrap/>
            <w:vAlign w:val="bottom"/>
            <w:hideMark/>
          </w:tcPr>
          <w:p w14:paraId="529EDA41"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225 </w:t>
            </w:r>
          </w:p>
        </w:tc>
        <w:tc>
          <w:tcPr>
            <w:tcW w:w="1222" w:type="dxa"/>
            <w:tcBorders>
              <w:top w:val="single" w:sz="4" w:space="0" w:color="auto"/>
              <w:left w:val="single" w:sz="4" w:space="0" w:color="auto"/>
              <w:bottom w:val="nil"/>
              <w:right w:val="single" w:sz="4" w:space="0" w:color="auto"/>
            </w:tcBorders>
            <w:shd w:val="clear" w:color="auto" w:fill="auto"/>
            <w:noWrap/>
            <w:vAlign w:val="bottom"/>
            <w:hideMark/>
          </w:tcPr>
          <w:p w14:paraId="3327CC3A"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255 </w:t>
            </w:r>
          </w:p>
        </w:tc>
        <w:tc>
          <w:tcPr>
            <w:tcW w:w="1222" w:type="dxa"/>
            <w:tcBorders>
              <w:top w:val="nil"/>
              <w:left w:val="single" w:sz="4" w:space="0" w:color="auto"/>
              <w:bottom w:val="nil"/>
              <w:right w:val="nil"/>
            </w:tcBorders>
            <w:shd w:val="clear" w:color="auto" w:fill="auto"/>
            <w:noWrap/>
            <w:vAlign w:val="bottom"/>
            <w:hideMark/>
          </w:tcPr>
          <w:p w14:paraId="18D2AB08"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285 </w:t>
            </w:r>
          </w:p>
        </w:tc>
      </w:tr>
      <w:tr w:rsidR="00444375" w:rsidRPr="00E34CEF" w14:paraId="14D90ABE" w14:textId="77777777" w:rsidTr="00444375">
        <w:trPr>
          <w:trHeight w:val="262"/>
        </w:trPr>
        <w:tc>
          <w:tcPr>
            <w:tcW w:w="500" w:type="dxa"/>
            <w:vMerge w:val="restart"/>
            <w:tcBorders>
              <w:top w:val="nil"/>
              <w:left w:val="nil"/>
              <w:bottom w:val="nil"/>
              <w:right w:val="nil"/>
            </w:tcBorders>
            <w:shd w:val="clear" w:color="000000" w:fill="FFEB9C"/>
            <w:noWrap/>
            <w:textDirection w:val="btLr"/>
            <w:vAlign w:val="center"/>
            <w:hideMark/>
          </w:tcPr>
          <w:p w14:paraId="1E6B5ECE"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Subsidija </w:t>
            </w:r>
          </w:p>
        </w:tc>
        <w:tc>
          <w:tcPr>
            <w:tcW w:w="1201" w:type="dxa"/>
            <w:tcBorders>
              <w:top w:val="nil"/>
              <w:left w:val="nil"/>
              <w:bottom w:val="nil"/>
              <w:right w:val="single" w:sz="4" w:space="0" w:color="auto"/>
            </w:tcBorders>
            <w:shd w:val="clear" w:color="auto" w:fill="auto"/>
            <w:noWrap/>
            <w:vAlign w:val="bottom"/>
            <w:hideMark/>
          </w:tcPr>
          <w:p w14:paraId="1820C14E"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30%</w:t>
            </w:r>
          </w:p>
        </w:tc>
        <w:tc>
          <w:tcPr>
            <w:tcW w:w="1222" w:type="dxa"/>
            <w:tcBorders>
              <w:top w:val="nil"/>
              <w:left w:val="single" w:sz="4" w:space="0" w:color="auto"/>
              <w:bottom w:val="nil"/>
              <w:right w:val="single" w:sz="4" w:space="0" w:color="auto"/>
            </w:tcBorders>
            <w:shd w:val="clear" w:color="auto" w:fill="auto"/>
            <w:noWrap/>
            <w:vAlign w:val="bottom"/>
            <w:hideMark/>
          </w:tcPr>
          <w:p w14:paraId="3BA4973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19,2 </w:t>
            </w:r>
          </w:p>
        </w:tc>
        <w:tc>
          <w:tcPr>
            <w:tcW w:w="1222" w:type="dxa"/>
            <w:tcBorders>
              <w:top w:val="nil"/>
              <w:left w:val="single" w:sz="4" w:space="0" w:color="auto"/>
              <w:bottom w:val="nil"/>
              <w:right w:val="single" w:sz="4" w:space="0" w:color="auto"/>
            </w:tcBorders>
            <w:shd w:val="clear" w:color="auto" w:fill="auto"/>
            <w:noWrap/>
            <w:vAlign w:val="bottom"/>
            <w:hideMark/>
          </w:tcPr>
          <w:p w14:paraId="3449F69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24,0 </w:t>
            </w:r>
          </w:p>
        </w:tc>
        <w:tc>
          <w:tcPr>
            <w:tcW w:w="1222" w:type="dxa"/>
            <w:tcBorders>
              <w:top w:val="nil"/>
              <w:left w:val="single" w:sz="4" w:space="0" w:color="auto"/>
              <w:bottom w:val="nil"/>
              <w:right w:val="single" w:sz="4" w:space="0" w:color="auto"/>
            </w:tcBorders>
            <w:shd w:val="clear" w:color="auto" w:fill="auto"/>
            <w:noWrap/>
            <w:vAlign w:val="bottom"/>
            <w:hideMark/>
          </w:tcPr>
          <w:p w14:paraId="1484ED7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29,1 </w:t>
            </w:r>
          </w:p>
        </w:tc>
        <w:tc>
          <w:tcPr>
            <w:tcW w:w="1222" w:type="dxa"/>
            <w:tcBorders>
              <w:top w:val="nil"/>
              <w:left w:val="single" w:sz="4" w:space="0" w:color="auto"/>
              <w:bottom w:val="nil"/>
              <w:right w:val="single" w:sz="4" w:space="0" w:color="auto"/>
            </w:tcBorders>
            <w:shd w:val="clear" w:color="auto" w:fill="auto"/>
            <w:noWrap/>
            <w:vAlign w:val="bottom"/>
            <w:hideMark/>
          </w:tcPr>
          <w:p w14:paraId="4A97EC4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34,4 </w:t>
            </w:r>
          </w:p>
        </w:tc>
        <w:tc>
          <w:tcPr>
            <w:tcW w:w="1222" w:type="dxa"/>
            <w:tcBorders>
              <w:top w:val="nil"/>
              <w:left w:val="single" w:sz="4" w:space="0" w:color="auto"/>
              <w:bottom w:val="nil"/>
              <w:right w:val="single" w:sz="4" w:space="0" w:color="auto"/>
            </w:tcBorders>
            <w:shd w:val="clear" w:color="auto" w:fill="auto"/>
            <w:noWrap/>
            <w:vAlign w:val="bottom"/>
            <w:hideMark/>
          </w:tcPr>
          <w:p w14:paraId="4150B3D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40,0 </w:t>
            </w:r>
          </w:p>
        </w:tc>
        <w:tc>
          <w:tcPr>
            <w:tcW w:w="1222" w:type="dxa"/>
            <w:tcBorders>
              <w:top w:val="nil"/>
              <w:left w:val="single" w:sz="4" w:space="0" w:color="auto"/>
              <w:bottom w:val="nil"/>
              <w:right w:val="nil"/>
            </w:tcBorders>
            <w:shd w:val="clear" w:color="auto" w:fill="auto"/>
            <w:noWrap/>
            <w:vAlign w:val="bottom"/>
            <w:hideMark/>
          </w:tcPr>
          <w:p w14:paraId="50101A9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45,9 </w:t>
            </w:r>
          </w:p>
        </w:tc>
      </w:tr>
      <w:tr w:rsidR="00444375" w:rsidRPr="00E34CEF" w14:paraId="18979C7A" w14:textId="77777777" w:rsidTr="00444375">
        <w:trPr>
          <w:trHeight w:val="262"/>
        </w:trPr>
        <w:tc>
          <w:tcPr>
            <w:tcW w:w="500" w:type="dxa"/>
            <w:vMerge/>
            <w:tcBorders>
              <w:top w:val="nil"/>
              <w:left w:val="nil"/>
              <w:bottom w:val="nil"/>
              <w:right w:val="nil"/>
            </w:tcBorders>
            <w:vAlign w:val="center"/>
            <w:hideMark/>
          </w:tcPr>
          <w:p w14:paraId="657DE679"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nil"/>
              <w:left w:val="nil"/>
              <w:bottom w:val="single" w:sz="4" w:space="0" w:color="auto"/>
              <w:right w:val="single" w:sz="4" w:space="0" w:color="auto"/>
            </w:tcBorders>
            <w:shd w:val="clear" w:color="auto" w:fill="auto"/>
            <w:noWrap/>
            <w:vAlign w:val="bottom"/>
            <w:hideMark/>
          </w:tcPr>
          <w:p w14:paraId="29FFACCA"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35%</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50948C6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17,7 </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6DDA84F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22,1 </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732C9B4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26,7 </w:t>
            </w:r>
          </w:p>
        </w:tc>
        <w:tc>
          <w:tcPr>
            <w:tcW w:w="1222" w:type="dxa"/>
            <w:tcBorders>
              <w:top w:val="nil"/>
              <w:left w:val="single" w:sz="4" w:space="0" w:color="auto"/>
              <w:bottom w:val="nil"/>
              <w:right w:val="single" w:sz="4" w:space="0" w:color="auto"/>
            </w:tcBorders>
            <w:shd w:val="clear" w:color="auto" w:fill="auto"/>
            <w:noWrap/>
            <w:vAlign w:val="bottom"/>
            <w:hideMark/>
          </w:tcPr>
          <w:p w14:paraId="114DC3A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31,5 </w:t>
            </w:r>
          </w:p>
        </w:tc>
        <w:tc>
          <w:tcPr>
            <w:tcW w:w="1222" w:type="dxa"/>
            <w:tcBorders>
              <w:top w:val="nil"/>
              <w:left w:val="single" w:sz="4" w:space="0" w:color="auto"/>
              <w:bottom w:val="nil"/>
              <w:right w:val="single" w:sz="4" w:space="0" w:color="auto"/>
            </w:tcBorders>
            <w:shd w:val="clear" w:color="auto" w:fill="auto"/>
            <w:noWrap/>
            <w:vAlign w:val="bottom"/>
            <w:hideMark/>
          </w:tcPr>
          <w:p w14:paraId="6F57441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36,5 </w:t>
            </w:r>
          </w:p>
        </w:tc>
        <w:tc>
          <w:tcPr>
            <w:tcW w:w="1222" w:type="dxa"/>
            <w:tcBorders>
              <w:top w:val="nil"/>
              <w:left w:val="single" w:sz="4" w:space="0" w:color="auto"/>
              <w:bottom w:val="nil"/>
              <w:right w:val="nil"/>
            </w:tcBorders>
            <w:shd w:val="clear" w:color="auto" w:fill="auto"/>
            <w:noWrap/>
            <w:vAlign w:val="bottom"/>
            <w:hideMark/>
          </w:tcPr>
          <w:p w14:paraId="01DD0F1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41,9 </w:t>
            </w:r>
          </w:p>
        </w:tc>
      </w:tr>
      <w:tr w:rsidR="00444375" w:rsidRPr="00E34CEF" w14:paraId="2958AAE4" w14:textId="77777777" w:rsidTr="00444375">
        <w:trPr>
          <w:trHeight w:val="262"/>
        </w:trPr>
        <w:tc>
          <w:tcPr>
            <w:tcW w:w="500" w:type="dxa"/>
            <w:vMerge/>
            <w:tcBorders>
              <w:top w:val="nil"/>
              <w:left w:val="nil"/>
              <w:bottom w:val="nil"/>
              <w:right w:val="single" w:sz="4" w:space="0" w:color="auto"/>
            </w:tcBorders>
            <w:vAlign w:val="center"/>
            <w:hideMark/>
          </w:tcPr>
          <w:p w14:paraId="0B5AA8A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C45D"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40%</w:t>
            </w:r>
          </w:p>
        </w:tc>
        <w:tc>
          <w:tcPr>
            <w:tcW w:w="122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B90ED2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16,2 </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6514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20,2 </w:t>
            </w:r>
          </w:p>
        </w:tc>
        <w:tc>
          <w:tcPr>
            <w:tcW w:w="122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BC7CF8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24,4 </w:t>
            </w:r>
          </w:p>
        </w:tc>
        <w:tc>
          <w:tcPr>
            <w:tcW w:w="1222" w:type="dxa"/>
            <w:tcBorders>
              <w:top w:val="nil"/>
              <w:left w:val="single" w:sz="4" w:space="0" w:color="auto"/>
              <w:bottom w:val="nil"/>
              <w:right w:val="single" w:sz="4" w:space="0" w:color="auto"/>
            </w:tcBorders>
            <w:shd w:val="clear" w:color="auto" w:fill="auto"/>
            <w:noWrap/>
            <w:vAlign w:val="bottom"/>
            <w:hideMark/>
          </w:tcPr>
          <w:p w14:paraId="5B72431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28,7 </w:t>
            </w:r>
          </w:p>
        </w:tc>
        <w:tc>
          <w:tcPr>
            <w:tcW w:w="1222" w:type="dxa"/>
            <w:tcBorders>
              <w:top w:val="nil"/>
              <w:left w:val="single" w:sz="4" w:space="0" w:color="auto"/>
              <w:bottom w:val="nil"/>
              <w:right w:val="single" w:sz="4" w:space="0" w:color="auto"/>
            </w:tcBorders>
            <w:shd w:val="clear" w:color="auto" w:fill="auto"/>
            <w:noWrap/>
            <w:vAlign w:val="bottom"/>
            <w:hideMark/>
          </w:tcPr>
          <w:p w14:paraId="4985A92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33,2 </w:t>
            </w:r>
          </w:p>
        </w:tc>
        <w:tc>
          <w:tcPr>
            <w:tcW w:w="1222" w:type="dxa"/>
            <w:tcBorders>
              <w:top w:val="nil"/>
              <w:left w:val="single" w:sz="4" w:space="0" w:color="auto"/>
              <w:bottom w:val="nil"/>
              <w:right w:val="nil"/>
            </w:tcBorders>
            <w:shd w:val="clear" w:color="auto" w:fill="auto"/>
            <w:noWrap/>
            <w:vAlign w:val="bottom"/>
            <w:hideMark/>
          </w:tcPr>
          <w:p w14:paraId="27B6C2B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37,9 </w:t>
            </w:r>
          </w:p>
        </w:tc>
      </w:tr>
      <w:tr w:rsidR="00444375" w:rsidRPr="00E34CEF" w14:paraId="3262E6A4" w14:textId="77777777" w:rsidTr="00444375">
        <w:trPr>
          <w:trHeight w:val="262"/>
        </w:trPr>
        <w:tc>
          <w:tcPr>
            <w:tcW w:w="500" w:type="dxa"/>
            <w:vMerge/>
            <w:tcBorders>
              <w:top w:val="nil"/>
              <w:left w:val="nil"/>
              <w:bottom w:val="nil"/>
              <w:right w:val="nil"/>
            </w:tcBorders>
            <w:vAlign w:val="center"/>
            <w:hideMark/>
          </w:tcPr>
          <w:p w14:paraId="49A0C073"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single" w:sz="4" w:space="0" w:color="auto"/>
              <w:left w:val="nil"/>
              <w:bottom w:val="nil"/>
              <w:right w:val="nil"/>
            </w:tcBorders>
            <w:shd w:val="clear" w:color="auto" w:fill="auto"/>
            <w:noWrap/>
            <w:vAlign w:val="bottom"/>
            <w:hideMark/>
          </w:tcPr>
          <w:p w14:paraId="3703CA87"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45%</w:t>
            </w:r>
          </w:p>
        </w:tc>
        <w:tc>
          <w:tcPr>
            <w:tcW w:w="1222" w:type="dxa"/>
            <w:tcBorders>
              <w:top w:val="single" w:sz="4" w:space="0" w:color="auto"/>
              <w:left w:val="nil"/>
              <w:bottom w:val="nil"/>
              <w:right w:val="nil"/>
            </w:tcBorders>
            <w:shd w:val="clear" w:color="auto" w:fill="auto"/>
            <w:noWrap/>
            <w:vAlign w:val="bottom"/>
            <w:hideMark/>
          </w:tcPr>
          <w:p w14:paraId="277D733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14,8 </w:t>
            </w:r>
          </w:p>
        </w:tc>
        <w:tc>
          <w:tcPr>
            <w:tcW w:w="1222" w:type="dxa"/>
            <w:tcBorders>
              <w:top w:val="single" w:sz="4" w:space="0" w:color="auto"/>
              <w:left w:val="nil"/>
              <w:bottom w:val="nil"/>
              <w:right w:val="nil"/>
            </w:tcBorders>
            <w:shd w:val="clear" w:color="auto" w:fill="auto"/>
            <w:noWrap/>
            <w:vAlign w:val="bottom"/>
            <w:hideMark/>
          </w:tcPr>
          <w:p w14:paraId="12B9B41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18,4 </w:t>
            </w:r>
          </w:p>
        </w:tc>
        <w:tc>
          <w:tcPr>
            <w:tcW w:w="1222" w:type="dxa"/>
            <w:tcBorders>
              <w:top w:val="single" w:sz="4" w:space="0" w:color="auto"/>
              <w:left w:val="nil"/>
              <w:bottom w:val="nil"/>
              <w:right w:val="nil"/>
            </w:tcBorders>
            <w:shd w:val="clear" w:color="auto" w:fill="auto"/>
            <w:noWrap/>
            <w:vAlign w:val="bottom"/>
            <w:hideMark/>
          </w:tcPr>
          <w:p w14:paraId="793F79A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22,1 </w:t>
            </w:r>
          </w:p>
        </w:tc>
        <w:tc>
          <w:tcPr>
            <w:tcW w:w="1222" w:type="dxa"/>
            <w:tcBorders>
              <w:top w:val="nil"/>
              <w:left w:val="nil"/>
              <w:bottom w:val="nil"/>
              <w:right w:val="single" w:sz="4" w:space="0" w:color="auto"/>
            </w:tcBorders>
            <w:shd w:val="clear" w:color="auto" w:fill="auto"/>
            <w:noWrap/>
            <w:vAlign w:val="bottom"/>
            <w:hideMark/>
          </w:tcPr>
          <w:p w14:paraId="132BC41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26,0 </w:t>
            </w:r>
          </w:p>
        </w:tc>
        <w:tc>
          <w:tcPr>
            <w:tcW w:w="1222" w:type="dxa"/>
            <w:tcBorders>
              <w:top w:val="nil"/>
              <w:left w:val="single" w:sz="4" w:space="0" w:color="auto"/>
              <w:bottom w:val="nil"/>
              <w:right w:val="single" w:sz="4" w:space="0" w:color="auto"/>
            </w:tcBorders>
            <w:shd w:val="clear" w:color="auto" w:fill="auto"/>
            <w:noWrap/>
            <w:vAlign w:val="bottom"/>
            <w:hideMark/>
          </w:tcPr>
          <w:p w14:paraId="110E123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30,0 </w:t>
            </w:r>
          </w:p>
        </w:tc>
        <w:tc>
          <w:tcPr>
            <w:tcW w:w="1222" w:type="dxa"/>
            <w:tcBorders>
              <w:top w:val="nil"/>
              <w:left w:val="single" w:sz="4" w:space="0" w:color="auto"/>
              <w:bottom w:val="nil"/>
              <w:right w:val="nil"/>
            </w:tcBorders>
            <w:shd w:val="clear" w:color="auto" w:fill="auto"/>
            <w:noWrap/>
            <w:vAlign w:val="bottom"/>
            <w:hideMark/>
          </w:tcPr>
          <w:p w14:paraId="63DD0DA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34,2 </w:t>
            </w:r>
          </w:p>
        </w:tc>
      </w:tr>
      <w:tr w:rsidR="00444375" w:rsidRPr="00E34CEF" w14:paraId="30EB7A33" w14:textId="77777777" w:rsidTr="00444375">
        <w:trPr>
          <w:trHeight w:val="262"/>
        </w:trPr>
        <w:tc>
          <w:tcPr>
            <w:tcW w:w="500" w:type="dxa"/>
            <w:vMerge/>
            <w:tcBorders>
              <w:top w:val="nil"/>
              <w:left w:val="nil"/>
              <w:bottom w:val="nil"/>
              <w:right w:val="nil"/>
            </w:tcBorders>
            <w:vAlign w:val="center"/>
            <w:hideMark/>
          </w:tcPr>
          <w:p w14:paraId="1736E2EB"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nil"/>
              <w:left w:val="nil"/>
              <w:bottom w:val="single" w:sz="4" w:space="0" w:color="auto"/>
              <w:right w:val="nil"/>
            </w:tcBorders>
            <w:shd w:val="clear" w:color="auto" w:fill="auto"/>
            <w:noWrap/>
            <w:vAlign w:val="bottom"/>
            <w:hideMark/>
          </w:tcPr>
          <w:p w14:paraId="2FAC13D5"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50%</w:t>
            </w:r>
          </w:p>
        </w:tc>
        <w:tc>
          <w:tcPr>
            <w:tcW w:w="1222" w:type="dxa"/>
            <w:tcBorders>
              <w:top w:val="nil"/>
              <w:left w:val="nil"/>
              <w:bottom w:val="single" w:sz="4" w:space="0" w:color="auto"/>
              <w:right w:val="nil"/>
            </w:tcBorders>
            <w:shd w:val="clear" w:color="auto" w:fill="auto"/>
            <w:noWrap/>
            <w:vAlign w:val="bottom"/>
            <w:hideMark/>
          </w:tcPr>
          <w:p w14:paraId="7781B0A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13,3 </w:t>
            </w:r>
          </w:p>
        </w:tc>
        <w:tc>
          <w:tcPr>
            <w:tcW w:w="1222" w:type="dxa"/>
            <w:tcBorders>
              <w:top w:val="nil"/>
              <w:left w:val="nil"/>
              <w:bottom w:val="single" w:sz="4" w:space="0" w:color="auto"/>
              <w:right w:val="nil"/>
            </w:tcBorders>
            <w:shd w:val="clear" w:color="auto" w:fill="auto"/>
            <w:noWrap/>
            <w:vAlign w:val="bottom"/>
            <w:hideMark/>
          </w:tcPr>
          <w:p w14:paraId="45624A6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16,5 </w:t>
            </w:r>
          </w:p>
        </w:tc>
        <w:tc>
          <w:tcPr>
            <w:tcW w:w="1222" w:type="dxa"/>
            <w:tcBorders>
              <w:top w:val="nil"/>
              <w:left w:val="nil"/>
              <w:bottom w:val="single" w:sz="4" w:space="0" w:color="auto"/>
              <w:right w:val="nil"/>
            </w:tcBorders>
            <w:shd w:val="clear" w:color="auto" w:fill="auto"/>
            <w:noWrap/>
            <w:vAlign w:val="bottom"/>
            <w:hideMark/>
          </w:tcPr>
          <w:p w14:paraId="66CC847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19,9 </w:t>
            </w:r>
          </w:p>
        </w:tc>
        <w:tc>
          <w:tcPr>
            <w:tcW w:w="1222" w:type="dxa"/>
            <w:tcBorders>
              <w:top w:val="nil"/>
              <w:left w:val="nil"/>
              <w:bottom w:val="single" w:sz="4" w:space="0" w:color="auto"/>
              <w:right w:val="single" w:sz="4" w:space="0" w:color="auto"/>
            </w:tcBorders>
            <w:shd w:val="clear" w:color="auto" w:fill="auto"/>
            <w:noWrap/>
            <w:vAlign w:val="bottom"/>
            <w:hideMark/>
          </w:tcPr>
          <w:p w14:paraId="4F02B48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23,3 </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35D47D1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26,9 </w:t>
            </w:r>
          </w:p>
        </w:tc>
        <w:tc>
          <w:tcPr>
            <w:tcW w:w="1222" w:type="dxa"/>
            <w:tcBorders>
              <w:top w:val="nil"/>
              <w:left w:val="single" w:sz="4" w:space="0" w:color="auto"/>
              <w:bottom w:val="nil"/>
              <w:right w:val="nil"/>
            </w:tcBorders>
            <w:shd w:val="clear" w:color="auto" w:fill="auto"/>
            <w:noWrap/>
            <w:vAlign w:val="bottom"/>
            <w:hideMark/>
          </w:tcPr>
          <w:p w14:paraId="33CF408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30,5 </w:t>
            </w:r>
          </w:p>
        </w:tc>
      </w:tr>
      <w:tr w:rsidR="00444375" w:rsidRPr="00E34CEF" w14:paraId="2E36BBC8" w14:textId="77777777" w:rsidTr="00444375">
        <w:trPr>
          <w:trHeight w:val="262"/>
        </w:trPr>
        <w:tc>
          <w:tcPr>
            <w:tcW w:w="500" w:type="dxa"/>
            <w:vMerge/>
            <w:tcBorders>
              <w:top w:val="nil"/>
              <w:left w:val="nil"/>
              <w:bottom w:val="nil"/>
              <w:right w:val="single" w:sz="4" w:space="0" w:color="auto"/>
            </w:tcBorders>
            <w:vAlign w:val="center"/>
            <w:hideMark/>
          </w:tcPr>
          <w:p w14:paraId="54BBB35E"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single" w:sz="4" w:space="0" w:color="auto"/>
              <w:left w:val="single" w:sz="4" w:space="0" w:color="auto"/>
              <w:bottom w:val="single" w:sz="4" w:space="0" w:color="auto"/>
              <w:right w:val="nil"/>
            </w:tcBorders>
            <w:shd w:val="clear" w:color="auto" w:fill="auto"/>
            <w:noWrap/>
            <w:vAlign w:val="bottom"/>
            <w:hideMark/>
          </w:tcPr>
          <w:p w14:paraId="3FDD09DF"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55%</w:t>
            </w:r>
          </w:p>
        </w:tc>
        <w:tc>
          <w:tcPr>
            <w:tcW w:w="1222" w:type="dxa"/>
            <w:tcBorders>
              <w:top w:val="single" w:sz="4" w:space="0" w:color="auto"/>
              <w:left w:val="nil"/>
              <w:bottom w:val="single" w:sz="4" w:space="0" w:color="auto"/>
              <w:right w:val="nil"/>
            </w:tcBorders>
            <w:shd w:val="clear" w:color="auto" w:fill="auto"/>
            <w:noWrap/>
            <w:vAlign w:val="bottom"/>
            <w:hideMark/>
          </w:tcPr>
          <w:p w14:paraId="1DD078F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11,9 </w:t>
            </w:r>
          </w:p>
        </w:tc>
        <w:tc>
          <w:tcPr>
            <w:tcW w:w="1222" w:type="dxa"/>
            <w:tcBorders>
              <w:top w:val="single" w:sz="4" w:space="0" w:color="auto"/>
              <w:left w:val="nil"/>
              <w:bottom w:val="single" w:sz="4" w:space="0" w:color="auto"/>
              <w:right w:val="nil"/>
            </w:tcBorders>
            <w:shd w:val="clear" w:color="auto" w:fill="auto"/>
            <w:noWrap/>
            <w:vAlign w:val="bottom"/>
            <w:hideMark/>
          </w:tcPr>
          <w:p w14:paraId="61BE7EF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14,8 </w:t>
            </w:r>
          </w:p>
        </w:tc>
        <w:tc>
          <w:tcPr>
            <w:tcW w:w="1222" w:type="dxa"/>
            <w:tcBorders>
              <w:top w:val="single" w:sz="4" w:space="0" w:color="auto"/>
              <w:left w:val="nil"/>
              <w:bottom w:val="single" w:sz="4" w:space="0" w:color="auto"/>
              <w:right w:val="nil"/>
            </w:tcBorders>
            <w:shd w:val="clear" w:color="auto" w:fill="auto"/>
            <w:noWrap/>
            <w:vAlign w:val="bottom"/>
            <w:hideMark/>
          </w:tcPr>
          <w:p w14:paraId="6419A9A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17,7 </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14:paraId="478DBF3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20,7 </w:t>
            </w:r>
          </w:p>
        </w:tc>
        <w:tc>
          <w:tcPr>
            <w:tcW w:w="1222"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3EE45A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23,8 </w:t>
            </w:r>
          </w:p>
        </w:tc>
        <w:tc>
          <w:tcPr>
            <w:tcW w:w="1222" w:type="dxa"/>
            <w:tcBorders>
              <w:top w:val="nil"/>
              <w:left w:val="single" w:sz="4" w:space="0" w:color="auto"/>
              <w:bottom w:val="nil"/>
              <w:right w:val="nil"/>
            </w:tcBorders>
            <w:shd w:val="clear" w:color="auto" w:fill="auto"/>
            <w:noWrap/>
            <w:vAlign w:val="bottom"/>
            <w:hideMark/>
          </w:tcPr>
          <w:p w14:paraId="06F2DDE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27,0 </w:t>
            </w:r>
          </w:p>
        </w:tc>
      </w:tr>
      <w:tr w:rsidR="00444375" w:rsidRPr="00E34CEF" w14:paraId="0629A78D" w14:textId="77777777" w:rsidTr="00444375">
        <w:trPr>
          <w:trHeight w:val="262"/>
        </w:trPr>
        <w:tc>
          <w:tcPr>
            <w:tcW w:w="500" w:type="dxa"/>
            <w:vMerge/>
            <w:tcBorders>
              <w:top w:val="nil"/>
              <w:left w:val="nil"/>
              <w:bottom w:val="nil"/>
              <w:right w:val="nil"/>
            </w:tcBorders>
            <w:vAlign w:val="center"/>
            <w:hideMark/>
          </w:tcPr>
          <w:p w14:paraId="04CEC698"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single" w:sz="4" w:space="0" w:color="auto"/>
              <w:left w:val="nil"/>
              <w:bottom w:val="nil"/>
              <w:right w:val="nil"/>
            </w:tcBorders>
            <w:shd w:val="clear" w:color="auto" w:fill="auto"/>
            <w:noWrap/>
            <w:vAlign w:val="bottom"/>
            <w:hideMark/>
          </w:tcPr>
          <w:p w14:paraId="0BA56E05"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60%</w:t>
            </w:r>
          </w:p>
        </w:tc>
        <w:tc>
          <w:tcPr>
            <w:tcW w:w="1222" w:type="dxa"/>
            <w:tcBorders>
              <w:top w:val="single" w:sz="4" w:space="0" w:color="auto"/>
              <w:left w:val="nil"/>
              <w:bottom w:val="nil"/>
              <w:right w:val="nil"/>
            </w:tcBorders>
            <w:shd w:val="clear" w:color="auto" w:fill="auto"/>
            <w:noWrap/>
            <w:vAlign w:val="bottom"/>
            <w:hideMark/>
          </w:tcPr>
          <w:p w14:paraId="647A5D2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10,5 </w:t>
            </w:r>
          </w:p>
        </w:tc>
        <w:tc>
          <w:tcPr>
            <w:tcW w:w="1222" w:type="dxa"/>
            <w:tcBorders>
              <w:top w:val="single" w:sz="4" w:space="0" w:color="auto"/>
              <w:left w:val="nil"/>
              <w:bottom w:val="nil"/>
              <w:right w:val="nil"/>
            </w:tcBorders>
            <w:shd w:val="clear" w:color="auto" w:fill="auto"/>
            <w:noWrap/>
            <w:vAlign w:val="bottom"/>
            <w:hideMark/>
          </w:tcPr>
          <w:p w14:paraId="455488D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13,0 </w:t>
            </w:r>
          </w:p>
        </w:tc>
        <w:tc>
          <w:tcPr>
            <w:tcW w:w="1222" w:type="dxa"/>
            <w:tcBorders>
              <w:top w:val="single" w:sz="4" w:space="0" w:color="auto"/>
              <w:left w:val="nil"/>
              <w:bottom w:val="nil"/>
              <w:right w:val="nil"/>
            </w:tcBorders>
            <w:shd w:val="clear" w:color="auto" w:fill="auto"/>
            <w:noWrap/>
            <w:vAlign w:val="bottom"/>
            <w:hideMark/>
          </w:tcPr>
          <w:p w14:paraId="5713957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15,6 </w:t>
            </w:r>
          </w:p>
        </w:tc>
        <w:tc>
          <w:tcPr>
            <w:tcW w:w="1222" w:type="dxa"/>
            <w:tcBorders>
              <w:top w:val="single" w:sz="4" w:space="0" w:color="auto"/>
              <w:left w:val="nil"/>
              <w:bottom w:val="nil"/>
              <w:right w:val="nil"/>
            </w:tcBorders>
            <w:shd w:val="clear" w:color="auto" w:fill="auto"/>
            <w:noWrap/>
            <w:vAlign w:val="bottom"/>
            <w:hideMark/>
          </w:tcPr>
          <w:p w14:paraId="255A213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18,2 </w:t>
            </w:r>
          </w:p>
        </w:tc>
        <w:tc>
          <w:tcPr>
            <w:tcW w:w="1222" w:type="dxa"/>
            <w:tcBorders>
              <w:top w:val="single" w:sz="4" w:space="0" w:color="auto"/>
              <w:left w:val="nil"/>
              <w:bottom w:val="nil"/>
              <w:right w:val="nil"/>
            </w:tcBorders>
            <w:shd w:val="clear" w:color="auto" w:fill="auto"/>
            <w:noWrap/>
            <w:vAlign w:val="bottom"/>
            <w:hideMark/>
          </w:tcPr>
          <w:p w14:paraId="0DB9282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20,9 </w:t>
            </w:r>
          </w:p>
        </w:tc>
        <w:tc>
          <w:tcPr>
            <w:tcW w:w="1222" w:type="dxa"/>
            <w:tcBorders>
              <w:top w:val="nil"/>
              <w:left w:val="nil"/>
              <w:bottom w:val="nil"/>
              <w:right w:val="nil"/>
            </w:tcBorders>
            <w:shd w:val="clear" w:color="auto" w:fill="auto"/>
            <w:noWrap/>
            <w:vAlign w:val="bottom"/>
            <w:hideMark/>
          </w:tcPr>
          <w:p w14:paraId="13462C9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23,6 </w:t>
            </w:r>
          </w:p>
        </w:tc>
      </w:tr>
      <w:tr w:rsidR="00444375" w:rsidRPr="00E34CEF" w14:paraId="6A6D76CB" w14:textId="77777777" w:rsidTr="00444375">
        <w:trPr>
          <w:trHeight w:val="262"/>
        </w:trPr>
        <w:tc>
          <w:tcPr>
            <w:tcW w:w="500" w:type="dxa"/>
            <w:vMerge/>
            <w:tcBorders>
              <w:top w:val="nil"/>
              <w:left w:val="nil"/>
              <w:bottom w:val="nil"/>
              <w:right w:val="nil"/>
            </w:tcBorders>
            <w:vAlign w:val="center"/>
            <w:hideMark/>
          </w:tcPr>
          <w:p w14:paraId="070D8805"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1201" w:type="dxa"/>
            <w:tcBorders>
              <w:top w:val="nil"/>
              <w:left w:val="nil"/>
              <w:bottom w:val="nil"/>
              <w:right w:val="nil"/>
            </w:tcBorders>
            <w:shd w:val="clear" w:color="auto" w:fill="auto"/>
            <w:noWrap/>
            <w:vAlign w:val="bottom"/>
            <w:hideMark/>
          </w:tcPr>
          <w:p w14:paraId="2D27D958"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65%</w:t>
            </w:r>
          </w:p>
        </w:tc>
        <w:tc>
          <w:tcPr>
            <w:tcW w:w="1222" w:type="dxa"/>
            <w:tcBorders>
              <w:top w:val="nil"/>
              <w:left w:val="nil"/>
              <w:bottom w:val="nil"/>
              <w:right w:val="nil"/>
            </w:tcBorders>
            <w:shd w:val="clear" w:color="auto" w:fill="auto"/>
            <w:noWrap/>
            <w:vAlign w:val="bottom"/>
            <w:hideMark/>
          </w:tcPr>
          <w:p w14:paraId="6CC9E14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9,1 </w:t>
            </w:r>
          </w:p>
        </w:tc>
        <w:tc>
          <w:tcPr>
            <w:tcW w:w="1222" w:type="dxa"/>
            <w:tcBorders>
              <w:top w:val="nil"/>
              <w:left w:val="nil"/>
              <w:bottom w:val="nil"/>
              <w:right w:val="nil"/>
            </w:tcBorders>
            <w:shd w:val="clear" w:color="auto" w:fill="auto"/>
            <w:noWrap/>
            <w:vAlign w:val="bottom"/>
            <w:hideMark/>
          </w:tcPr>
          <w:p w14:paraId="17D4589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11,3 </w:t>
            </w:r>
          </w:p>
        </w:tc>
        <w:tc>
          <w:tcPr>
            <w:tcW w:w="1222" w:type="dxa"/>
            <w:tcBorders>
              <w:top w:val="nil"/>
              <w:left w:val="nil"/>
              <w:bottom w:val="nil"/>
              <w:right w:val="nil"/>
            </w:tcBorders>
            <w:shd w:val="clear" w:color="auto" w:fill="auto"/>
            <w:noWrap/>
            <w:vAlign w:val="bottom"/>
            <w:hideMark/>
          </w:tcPr>
          <w:p w14:paraId="4857F6D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13,5 </w:t>
            </w:r>
          </w:p>
        </w:tc>
        <w:tc>
          <w:tcPr>
            <w:tcW w:w="1222" w:type="dxa"/>
            <w:tcBorders>
              <w:top w:val="nil"/>
              <w:left w:val="nil"/>
              <w:bottom w:val="nil"/>
              <w:right w:val="nil"/>
            </w:tcBorders>
            <w:shd w:val="clear" w:color="auto" w:fill="auto"/>
            <w:noWrap/>
            <w:vAlign w:val="bottom"/>
            <w:hideMark/>
          </w:tcPr>
          <w:p w14:paraId="71A6843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15,7 </w:t>
            </w:r>
          </w:p>
        </w:tc>
        <w:tc>
          <w:tcPr>
            <w:tcW w:w="1222" w:type="dxa"/>
            <w:tcBorders>
              <w:top w:val="nil"/>
              <w:left w:val="nil"/>
              <w:bottom w:val="nil"/>
              <w:right w:val="nil"/>
            </w:tcBorders>
            <w:shd w:val="clear" w:color="auto" w:fill="auto"/>
            <w:noWrap/>
            <w:vAlign w:val="bottom"/>
            <w:hideMark/>
          </w:tcPr>
          <w:p w14:paraId="1C2AABC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18,0 </w:t>
            </w:r>
          </w:p>
        </w:tc>
        <w:tc>
          <w:tcPr>
            <w:tcW w:w="1222" w:type="dxa"/>
            <w:tcBorders>
              <w:top w:val="nil"/>
              <w:left w:val="nil"/>
              <w:bottom w:val="nil"/>
              <w:right w:val="nil"/>
            </w:tcBorders>
            <w:shd w:val="clear" w:color="auto" w:fill="auto"/>
            <w:noWrap/>
            <w:vAlign w:val="bottom"/>
            <w:hideMark/>
          </w:tcPr>
          <w:p w14:paraId="2C0C2ED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20,4 </w:t>
            </w:r>
          </w:p>
        </w:tc>
      </w:tr>
    </w:tbl>
    <w:p w14:paraId="04734CA6" w14:textId="77777777" w:rsidR="00444375" w:rsidRDefault="00444375" w:rsidP="00444375">
      <w:pPr>
        <w:jc w:val="both"/>
        <w:rPr>
          <w:rFonts w:ascii="Georgia" w:hAnsi="Georgia"/>
          <w:sz w:val="20"/>
          <w:lang w:val="lt-LT"/>
        </w:rPr>
      </w:pPr>
    </w:p>
    <w:p w14:paraId="56503C4B" w14:textId="77777777" w:rsidR="00444375" w:rsidRDefault="00444375" w:rsidP="00444375">
      <w:pPr>
        <w:jc w:val="both"/>
        <w:rPr>
          <w:rFonts w:ascii="Georgia" w:hAnsi="Georgia"/>
          <w:sz w:val="20"/>
          <w:lang w:val="lt-LT"/>
        </w:rPr>
      </w:pPr>
      <w:r>
        <w:rPr>
          <w:rFonts w:ascii="Georgia" w:hAnsi="Georgia"/>
          <w:sz w:val="20"/>
          <w:lang w:val="lt-LT"/>
        </w:rPr>
        <w:t xml:space="preserve">Jei renovacijos kaštai siektų </w:t>
      </w:r>
      <w:r>
        <w:rPr>
          <w:rFonts w:ascii="Georgia" w:hAnsi="Georgia"/>
          <w:sz w:val="20"/>
        </w:rPr>
        <w:t>255 eurus už kvadratin</w:t>
      </w:r>
      <w:r>
        <w:rPr>
          <w:rFonts w:ascii="Georgia" w:hAnsi="Georgia"/>
          <w:sz w:val="20"/>
          <w:lang w:val="lt-LT"/>
        </w:rPr>
        <w:t xml:space="preserve">į metrą ir būtų suteikiama </w:t>
      </w:r>
      <w:r>
        <w:rPr>
          <w:rFonts w:ascii="Georgia" w:hAnsi="Georgia"/>
          <w:sz w:val="20"/>
        </w:rPr>
        <w:t>55% subsidija, projektas atsipirkt</w:t>
      </w:r>
      <w:r>
        <w:rPr>
          <w:rFonts w:ascii="Georgia" w:hAnsi="Georgia"/>
          <w:sz w:val="20"/>
          <w:lang w:val="lt-LT"/>
        </w:rPr>
        <w:t xml:space="preserve">ų per </w:t>
      </w:r>
      <w:r>
        <w:rPr>
          <w:rFonts w:ascii="Georgia" w:hAnsi="Georgia"/>
          <w:sz w:val="20"/>
        </w:rPr>
        <w:t>23,8 met</w:t>
      </w:r>
      <w:r>
        <w:rPr>
          <w:rFonts w:ascii="Georgia" w:hAnsi="Georgia"/>
          <w:sz w:val="20"/>
          <w:lang w:val="lt-LT"/>
        </w:rPr>
        <w:t>ų laikotarpį</w:t>
      </w:r>
      <w:r>
        <w:rPr>
          <w:rFonts w:ascii="Georgia" w:hAnsi="Georgia"/>
          <w:sz w:val="20"/>
        </w:rPr>
        <w:t>. Vis dėlto stebint įsibėgėjusią daugiabučių namų rinką, galima būtų daryti prielaidą, jog ilguoju laikotarpiu renovacijos kaštai viešiesiems pastatams suvienodės ir sieks apie 195 eurus/m</w:t>
      </w:r>
      <w:r w:rsidRPr="00D45CD8">
        <w:rPr>
          <w:rFonts w:ascii="Georgia" w:hAnsi="Georgia"/>
          <w:sz w:val="20"/>
          <w:vertAlign w:val="superscript"/>
        </w:rPr>
        <w:t>2</w:t>
      </w:r>
      <w:r>
        <w:rPr>
          <w:rFonts w:ascii="Georgia" w:hAnsi="Georgia"/>
          <w:sz w:val="20"/>
        </w:rPr>
        <w:t>. Tokiu atveju su</w:t>
      </w:r>
      <w:r>
        <w:rPr>
          <w:rFonts w:ascii="Georgia" w:hAnsi="Georgia"/>
          <w:sz w:val="20"/>
          <w:lang w:val="lt-LT"/>
        </w:rPr>
        <w:t xml:space="preserve"> </w:t>
      </w:r>
      <w:r>
        <w:rPr>
          <w:rFonts w:ascii="Georgia" w:hAnsi="Georgia"/>
          <w:sz w:val="20"/>
        </w:rPr>
        <w:t>40% subsidija projekto atsipirkimo laikotarpis b</w:t>
      </w:r>
      <w:r>
        <w:rPr>
          <w:rFonts w:ascii="Georgia" w:hAnsi="Georgia"/>
          <w:sz w:val="20"/>
          <w:lang w:val="lt-LT"/>
        </w:rPr>
        <w:t xml:space="preserve">ūtų </w:t>
      </w:r>
      <w:r>
        <w:rPr>
          <w:rFonts w:ascii="Georgia" w:hAnsi="Georgia"/>
          <w:sz w:val="20"/>
        </w:rPr>
        <w:t>24,4 met</w:t>
      </w:r>
      <w:r>
        <w:rPr>
          <w:rFonts w:ascii="Georgia" w:hAnsi="Georgia"/>
          <w:sz w:val="20"/>
          <w:lang w:val="lt-LT"/>
        </w:rPr>
        <w:t>ai</w:t>
      </w:r>
      <w:r>
        <w:rPr>
          <w:rFonts w:ascii="Georgia" w:hAnsi="Georgia"/>
          <w:sz w:val="20"/>
        </w:rPr>
        <w:t xml:space="preserve">. </w:t>
      </w:r>
      <w:r w:rsidRPr="00AE0262">
        <w:t xml:space="preserve"> </w:t>
      </w:r>
      <w:r w:rsidRPr="00AE0262">
        <w:rPr>
          <w:rFonts w:ascii="Georgia" w:hAnsi="Georgia"/>
          <w:sz w:val="20"/>
        </w:rPr>
        <w:t xml:space="preserve">Atliekant šią analizę autoriai rado bent </w:t>
      </w:r>
      <w:r>
        <w:rPr>
          <w:rFonts w:ascii="Georgia" w:hAnsi="Georgia"/>
          <w:sz w:val="20"/>
        </w:rPr>
        <w:t>penkias</w:t>
      </w:r>
      <w:r w:rsidRPr="00AE0262">
        <w:rPr>
          <w:rFonts w:ascii="Georgia" w:hAnsi="Georgia"/>
          <w:sz w:val="20"/>
        </w:rPr>
        <w:t xml:space="preserve"> centrinės valdžios pastatų modernizavimo sutartis, kurios buvo pasirašytos 2017 metais kur</w:t>
      </w:r>
      <w:r>
        <w:rPr>
          <w:rFonts w:ascii="Georgia" w:hAnsi="Georgia"/>
          <w:sz w:val="20"/>
        </w:rPr>
        <w:t>iose</w:t>
      </w:r>
      <w:r w:rsidRPr="00AE0262">
        <w:rPr>
          <w:rFonts w:ascii="Georgia" w:hAnsi="Georgia"/>
          <w:sz w:val="20"/>
        </w:rPr>
        <w:t xml:space="preserve"> vieno kvadr</w:t>
      </w:r>
      <w:r>
        <w:rPr>
          <w:rFonts w:ascii="Georgia" w:hAnsi="Georgia"/>
          <w:sz w:val="20"/>
        </w:rPr>
        <w:t>a</w:t>
      </w:r>
      <w:r w:rsidRPr="00AE0262">
        <w:rPr>
          <w:rFonts w:ascii="Georgia" w:hAnsi="Georgia"/>
          <w:sz w:val="20"/>
        </w:rPr>
        <w:t xml:space="preserve">tinio metro kaina siekia 135 </w:t>
      </w:r>
      <w:r>
        <w:rPr>
          <w:rFonts w:ascii="Georgia" w:hAnsi="Georgia"/>
          <w:sz w:val="20"/>
        </w:rPr>
        <w:t>E</w:t>
      </w:r>
      <w:r w:rsidRPr="00AE0262">
        <w:rPr>
          <w:rFonts w:ascii="Georgia" w:hAnsi="Georgia"/>
          <w:sz w:val="20"/>
        </w:rPr>
        <w:t>ur/</w:t>
      </w:r>
      <w:r>
        <w:rPr>
          <w:rFonts w:ascii="Georgia" w:hAnsi="Georgia"/>
          <w:sz w:val="20"/>
        </w:rPr>
        <w:t>m</w:t>
      </w:r>
      <w:r w:rsidRPr="00D45CD8">
        <w:rPr>
          <w:rFonts w:ascii="Georgia" w:hAnsi="Georgia"/>
          <w:sz w:val="20"/>
          <w:vertAlign w:val="superscript"/>
        </w:rPr>
        <w:t>2</w:t>
      </w:r>
      <w:r>
        <w:rPr>
          <w:rFonts w:ascii="Georgia" w:hAnsi="Georgia"/>
          <w:sz w:val="20"/>
        </w:rPr>
        <w:t>, tod</w:t>
      </w:r>
      <w:r>
        <w:rPr>
          <w:rFonts w:ascii="Georgia" w:hAnsi="Georgia"/>
          <w:sz w:val="20"/>
          <w:lang w:val="lt-LT"/>
        </w:rPr>
        <w:t>ėl tikėtina,</w:t>
      </w:r>
      <w:r>
        <w:rPr>
          <w:rFonts w:ascii="Georgia" w:hAnsi="Georgia"/>
          <w:sz w:val="20"/>
        </w:rPr>
        <w:t xml:space="preserve"> jog</w:t>
      </w:r>
      <w:r>
        <w:rPr>
          <w:rFonts w:ascii="Georgia" w:hAnsi="Georgia"/>
          <w:sz w:val="20"/>
          <w:lang w:val="lt-LT"/>
        </w:rPr>
        <w:t xml:space="preserve"> renovacijos projektai viešajame sektoriuje atsipirktų ir su mažesne nei </w:t>
      </w:r>
      <w:r>
        <w:rPr>
          <w:rFonts w:ascii="Georgia" w:hAnsi="Georgia"/>
          <w:sz w:val="20"/>
        </w:rPr>
        <w:t>30% subsidija.</w:t>
      </w:r>
    </w:p>
    <w:p w14:paraId="5F25E7BB" w14:textId="77777777" w:rsidR="00444375" w:rsidRDefault="00444375" w:rsidP="00444375">
      <w:pPr>
        <w:jc w:val="both"/>
        <w:rPr>
          <w:rFonts w:ascii="Georgia" w:hAnsi="Georgia"/>
          <w:sz w:val="20"/>
          <w:lang w:val="lt-LT"/>
        </w:rPr>
      </w:pPr>
      <w:r w:rsidRPr="00DF3A8E">
        <w:rPr>
          <w:rFonts w:ascii="Georgia" w:hAnsi="Georgia"/>
          <w:sz w:val="20"/>
          <w:lang w:val="lt-LT"/>
        </w:rPr>
        <w:t>Jautrumo analizės rezultatai</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 xml:space="preserve">tarp šilumos kainos ir galimo sutaupymo </w:t>
      </w:r>
      <w:r>
        <w:rPr>
          <w:rFonts w:ascii="Georgia" w:hAnsi="Georgia"/>
          <w:sz w:val="20"/>
          <w:lang w:val="lt-LT"/>
        </w:rPr>
        <w:t>esant</w:t>
      </w:r>
      <w:r w:rsidRPr="00DF3A8E">
        <w:rPr>
          <w:rFonts w:ascii="Georgia" w:hAnsi="Georgia"/>
          <w:sz w:val="20"/>
          <w:lang w:val="lt-LT"/>
        </w:rPr>
        <w:t xml:space="preserve"> </w:t>
      </w:r>
      <w:r>
        <w:rPr>
          <w:rFonts w:ascii="Georgia" w:hAnsi="Georgia"/>
          <w:sz w:val="20"/>
        </w:rPr>
        <w:t>4</w:t>
      </w:r>
      <w:r w:rsidRPr="00DF3A8E">
        <w:rPr>
          <w:rFonts w:ascii="Georgia" w:hAnsi="Georgia"/>
          <w:sz w:val="20"/>
          <w:lang w:val="lt-LT"/>
        </w:rPr>
        <w:t>0 proc. subsidi</w:t>
      </w:r>
      <w:r>
        <w:rPr>
          <w:rFonts w:ascii="Georgia" w:hAnsi="Georgia"/>
          <w:sz w:val="20"/>
          <w:lang w:val="lt-LT"/>
        </w:rPr>
        <w:t>jai</w:t>
      </w:r>
      <w:r w:rsidRPr="00DF3A8E">
        <w:rPr>
          <w:rFonts w:ascii="Georgia" w:hAnsi="Georgia"/>
          <w:sz w:val="20"/>
          <w:lang w:val="lt-LT"/>
        </w:rPr>
        <w:t>, nekeičiant kitų prielaidų, pateikti žemiau esančioje lentelėje.</w:t>
      </w:r>
    </w:p>
    <w:p w14:paraId="4C37CCA5" w14:textId="7E3D1796" w:rsidR="00444375" w:rsidRPr="005A1A99" w:rsidRDefault="00444375" w:rsidP="00444375">
      <w:pPr>
        <w:pStyle w:val="Antrat"/>
        <w:spacing w:line="276" w:lineRule="auto"/>
        <w:jc w:val="both"/>
        <w:rPr>
          <w:b w:val="0"/>
          <w:i/>
          <w:lang w:val="lt-LT"/>
        </w:rPr>
      </w:pPr>
      <w:bookmarkStart w:id="169" w:name="_Toc503193906"/>
      <w:bookmarkStart w:id="170" w:name="_Toc507939169"/>
      <w:r w:rsidRPr="005A1A99">
        <w:rPr>
          <w:b w:val="0"/>
          <w:i/>
          <w:lang w:val="lt-LT"/>
        </w:rPr>
        <w:lastRenderedPageBreak/>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47</w:t>
      </w:r>
      <w:r w:rsidRPr="005A1A99">
        <w:rPr>
          <w:b w:val="0"/>
          <w:i/>
          <w:lang w:val="lt-LT"/>
        </w:rPr>
        <w:fldChar w:fldCharType="end"/>
      </w:r>
      <w:r w:rsidRPr="005A1A99">
        <w:rPr>
          <w:b w:val="0"/>
          <w:i/>
          <w:lang w:val="lt-LT"/>
        </w:rPr>
        <w:t>. Šilumos kainos (EUR/kWh) ir galimo sutaupymo santykio jautrumo analizės rezultatai (su 40 proc. subsidija)</w:t>
      </w:r>
      <w:bookmarkEnd w:id="169"/>
      <w:bookmarkEnd w:id="170"/>
    </w:p>
    <w:tbl>
      <w:tblPr>
        <w:tblW w:w="5000" w:type="pct"/>
        <w:tblLook w:val="04A0" w:firstRow="1" w:lastRow="0" w:firstColumn="1" w:lastColumn="0" w:noHBand="0" w:noVBand="1"/>
      </w:tblPr>
      <w:tblGrid>
        <w:gridCol w:w="467"/>
        <w:gridCol w:w="993"/>
        <w:gridCol w:w="1296"/>
        <w:gridCol w:w="1298"/>
        <w:gridCol w:w="1298"/>
        <w:gridCol w:w="1296"/>
        <w:gridCol w:w="1298"/>
        <w:gridCol w:w="1296"/>
      </w:tblGrid>
      <w:tr w:rsidR="00444375" w:rsidRPr="00934257" w14:paraId="2554B68A" w14:textId="77777777" w:rsidTr="00444375">
        <w:trPr>
          <w:trHeight w:val="300"/>
        </w:trPr>
        <w:tc>
          <w:tcPr>
            <w:tcW w:w="791" w:type="pct"/>
            <w:gridSpan w:val="2"/>
            <w:tcBorders>
              <w:top w:val="nil"/>
              <w:left w:val="nil"/>
              <w:bottom w:val="nil"/>
              <w:right w:val="nil"/>
            </w:tcBorders>
            <w:shd w:val="clear" w:color="auto" w:fill="auto"/>
            <w:noWrap/>
            <w:vAlign w:val="bottom"/>
            <w:hideMark/>
          </w:tcPr>
          <w:p w14:paraId="13B2BC5F" w14:textId="77777777" w:rsidR="00444375" w:rsidRPr="00D45CD8" w:rsidRDefault="00444375" w:rsidP="00444375">
            <w:pPr>
              <w:spacing w:after="0" w:line="240" w:lineRule="auto"/>
              <w:rPr>
                <w:rFonts w:ascii="Georgia" w:eastAsia="Times New Roman" w:hAnsi="Georgia" w:cs="Arial"/>
                <w:sz w:val="18"/>
                <w:szCs w:val="18"/>
              </w:rPr>
            </w:pPr>
          </w:p>
        </w:tc>
        <w:tc>
          <w:tcPr>
            <w:tcW w:w="4209" w:type="pct"/>
            <w:gridSpan w:val="6"/>
            <w:tcBorders>
              <w:top w:val="nil"/>
              <w:left w:val="nil"/>
              <w:bottom w:val="nil"/>
              <w:right w:val="nil"/>
            </w:tcBorders>
            <w:shd w:val="clear" w:color="000000" w:fill="FFEB9C"/>
            <w:noWrap/>
            <w:vAlign w:val="bottom"/>
            <w:hideMark/>
          </w:tcPr>
          <w:p w14:paraId="4AF1479A"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Energijos sutaupymai (su 40 proc. subsidija) </w:t>
            </w:r>
          </w:p>
        </w:tc>
      </w:tr>
      <w:tr w:rsidR="00444375" w:rsidRPr="00934257" w14:paraId="4AD4F08F" w14:textId="77777777" w:rsidTr="00444375">
        <w:trPr>
          <w:trHeight w:val="255"/>
        </w:trPr>
        <w:tc>
          <w:tcPr>
            <w:tcW w:w="253" w:type="pct"/>
            <w:tcBorders>
              <w:top w:val="nil"/>
              <w:left w:val="nil"/>
              <w:bottom w:val="nil"/>
              <w:right w:val="nil"/>
            </w:tcBorders>
            <w:shd w:val="clear" w:color="auto" w:fill="auto"/>
            <w:noWrap/>
            <w:vAlign w:val="bottom"/>
            <w:hideMark/>
          </w:tcPr>
          <w:p w14:paraId="3DEB8C92" w14:textId="77777777" w:rsidR="00444375" w:rsidRPr="00D45CD8" w:rsidRDefault="00444375" w:rsidP="00444375">
            <w:pPr>
              <w:spacing w:after="0" w:line="240" w:lineRule="auto"/>
              <w:jc w:val="center"/>
              <w:rPr>
                <w:rFonts w:ascii="Georgia" w:eastAsia="Times New Roman" w:hAnsi="Georgia" w:cs="Calibri"/>
                <w:color w:val="9C6500"/>
                <w:sz w:val="18"/>
                <w:szCs w:val="18"/>
              </w:rPr>
            </w:pPr>
          </w:p>
        </w:tc>
        <w:tc>
          <w:tcPr>
            <w:tcW w:w="538" w:type="pct"/>
            <w:tcBorders>
              <w:top w:val="nil"/>
              <w:left w:val="nil"/>
              <w:bottom w:val="nil"/>
              <w:right w:val="single" w:sz="4" w:space="0" w:color="auto"/>
            </w:tcBorders>
            <w:shd w:val="clear" w:color="auto" w:fill="auto"/>
            <w:noWrap/>
            <w:vAlign w:val="bottom"/>
            <w:hideMark/>
          </w:tcPr>
          <w:p w14:paraId="107C9EF9"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18 </w:t>
            </w:r>
          </w:p>
        </w:tc>
        <w:tc>
          <w:tcPr>
            <w:tcW w:w="701" w:type="pct"/>
            <w:tcBorders>
              <w:top w:val="single" w:sz="4" w:space="0" w:color="auto"/>
              <w:left w:val="single" w:sz="4" w:space="0" w:color="auto"/>
              <w:bottom w:val="nil"/>
              <w:right w:val="single" w:sz="4" w:space="0" w:color="auto"/>
            </w:tcBorders>
            <w:shd w:val="clear" w:color="auto" w:fill="auto"/>
            <w:noWrap/>
            <w:vAlign w:val="bottom"/>
            <w:hideMark/>
          </w:tcPr>
          <w:p w14:paraId="17EB7972"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40%</w:t>
            </w:r>
          </w:p>
        </w:tc>
        <w:tc>
          <w:tcPr>
            <w:tcW w:w="702" w:type="pct"/>
            <w:tcBorders>
              <w:top w:val="nil"/>
              <w:left w:val="single" w:sz="4" w:space="0" w:color="auto"/>
              <w:bottom w:val="nil"/>
              <w:right w:val="single" w:sz="4" w:space="0" w:color="auto"/>
            </w:tcBorders>
            <w:shd w:val="clear" w:color="auto" w:fill="auto"/>
            <w:noWrap/>
            <w:vAlign w:val="bottom"/>
            <w:hideMark/>
          </w:tcPr>
          <w:p w14:paraId="3F9ECCBA"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45%</w:t>
            </w:r>
          </w:p>
        </w:tc>
        <w:tc>
          <w:tcPr>
            <w:tcW w:w="702" w:type="pct"/>
            <w:tcBorders>
              <w:top w:val="single" w:sz="4" w:space="0" w:color="auto"/>
              <w:left w:val="single" w:sz="4" w:space="0" w:color="auto"/>
              <w:bottom w:val="nil"/>
              <w:right w:val="nil"/>
            </w:tcBorders>
            <w:shd w:val="clear" w:color="auto" w:fill="auto"/>
            <w:noWrap/>
            <w:vAlign w:val="bottom"/>
            <w:hideMark/>
          </w:tcPr>
          <w:p w14:paraId="4A20CBE5"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50%</w:t>
            </w:r>
          </w:p>
        </w:tc>
        <w:tc>
          <w:tcPr>
            <w:tcW w:w="701" w:type="pct"/>
            <w:tcBorders>
              <w:top w:val="single" w:sz="4" w:space="0" w:color="auto"/>
              <w:left w:val="nil"/>
              <w:bottom w:val="nil"/>
              <w:right w:val="single" w:sz="4" w:space="0" w:color="auto"/>
            </w:tcBorders>
            <w:shd w:val="clear" w:color="auto" w:fill="auto"/>
            <w:noWrap/>
            <w:vAlign w:val="bottom"/>
            <w:hideMark/>
          </w:tcPr>
          <w:p w14:paraId="673ADF3D"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55%</w:t>
            </w:r>
          </w:p>
        </w:tc>
        <w:tc>
          <w:tcPr>
            <w:tcW w:w="702" w:type="pct"/>
            <w:tcBorders>
              <w:top w:val="nil"/>
              <w:left w:val="single" w:sz="4" w:space="0" w:color="auto"/>
              <w:bottom w:val="nil"/>
              <w:right w:val="nil"/>
            </w:tcBorders>
            <w:shd w:val="clear" w:color="auto" w:fill="auto"/>
            <w:noWrap/>
            <w:vAlign w:val="bottom"/>
            <w:hideMark/>
          </w:tcPr>
          <w:p w14:paraId="58931933"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60%</w:t>
            </w:r>
          </w:p>
        </w:tc>
        <w:tc>
          <w:tcPr>
            <w:tcW w:w="701" w:type="pct"/>
            <w:tcBorders>
              <w:top w:val="nil"/>
              <w:left w:val="nil"/>
              <w:bottom w:val="nil"/>
              <w:right w:val="nil"/>
            </w:tcBorders>
            <w:shd w:val="clear" w:color="auto" w:fill="auto"/>
            <w:noWrap/>
            <w:vAlign w:val="bottom"/>
            <w:hideMark/>
          </w:tcPr>
          <w:p w14:paraId="1E3AA4E7"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65%</w:t>
            </w:r>
          </w:p>
        </w:tc>
      </w:tr>
      <w:tr w:rsidR="00444375" w:rsidRPr="00934257" w14:paraId="634B51D4" w14:textId="77777777" w:rsidTr="00444375">
        <w:trPr>
          <w:trHeight w:val="255"/>
        </w:trPr>
        <w:tc>
          <w:tcPr>
            <w:tcW w:w="253" w:type="pct"/>
            <w:vMerge w:val="restart"/>
            <w:tcBorders>
              <w:top w:val="nil"/>
              <w:left w:val="nil"/>
              <w:bottom w:val="nil"/>
              <w:right w:val="nil"/>
            </w:tcBorders>
            <w:shd w:val="clear" w:color="000000" w:fill="FFEB9C"/>
            <w:noWrap/>
            <w:textDirection w:val="btLr"/>
            <w:vAlign w:val="center"/>
            <w:hideMark/>
          </w:tcPr>
          <w:p w14:paraId="661D7217"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Šilumos kaina </w:t>
            </w:r>
          </w:p>
        </w:tc>
        <w:tc>
          <w:tcPr>
            <w:tcW w:w="538" w:type="pct"/>
            <w:tcBorders>
              <w:top w:val="nil"/>
              <w:left w:val="nil"/>
              <w:bottom w:val="single" w:sz="4" w:space="0" w:color="auto"/>
              <w:right w:val="single" w:sz="4" w:space="0" w:color="auto"/>
            </w:tcBorders>
            <w:shd w:val="clear" w:color="auto" w:fill="auto"/>
            <w:noWrap/>
            <w:vAlign w:val="bottom"/>
            <w:hideMark/>
          </w:tcPr>
          <w:p w14:paraId="12AEDBE3"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0,03 </w:t>
            </w:r>
          </w:p>
        </w:tc>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59364CC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60,9 </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32C932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52,0 </w:t>
            </w:r>
          </w:p>
        </w:tc>
        <w:tc>
          <w:tcPr>
            <w:tcW w:w="702" w:type="pct"/>
            <w:tcBorders>
              <w:top w:val="nil"/>
              <w:left w:val="single" w:sz="4" w:space="0" w:color="auto"/>
              <w:bottom w:val="single" w:sz="4" w:space="0" w:color="auto"/>
              <w:right w:val="nil"/>
            </w:tcBorders>
            <w:shd w:val="clear" w:color="auto" w:fill="auto"/>
            <w:noWrap/>
            <w:vAlign w:val="bottom"/>
            <w:hideMark/>
          </w:tcPr>
          <w:p w14:paraId="3015709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45,4 </w:t>
            </w:r>
          </w:p>
        </w:tc>
        <w:tc>
          <w:tcPr>
            <w:tcW w:w="701" w:type="pct"/>
            <w:tcBorders>
              <w:top w:val="nil"/>
              <w:left w:val="nil"/>
              <w:bottom w:val="single" w:sz="4" w:space="0" w:color="auto"/>
              <w:right w:val="single" w:sz="4" w:space="0" w:color="auto"/>
            </w:tcBorders>
            <w:shd w:val="clear" w:color="auto" w:fill="auto"/>
            <w:noWrap/>
            <w:vAlign w:val="bottom"/>
            <w:hideMark/>
          </w:tcPr>
          <w:p w14:paraId="418C562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40,3 </w:t>
            </w:r>
          </w:p>
        </w:tc>
        <w:tc>
          <w:tcPr>
            <w:tcW w:w="702" w:type="pct"/>
            <w:tcBorders>
              <w:top w:val="nil"/>
              <w:left w:val="single" w:sz="4" w:space="0" w:color="auto"/>
              <w:bottom w:val="nil"/>
              <w:right w:val="nil"/>
            </w:tcBorders>
            <w:shd w:val="clear" w:color="auto" w:fill="auto"/>
            <w:noWrap/>
            <w:vAlign w:val="bottom"/>
            <w:hideMark/>
          </w:tcPr>
          <w:p w14:paraId="3FD0CF3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36,3 </w:t>
            </w:r>
          </w:p>
        </w:tc>
        <w:tc>
          <w:tcPr>
            <w:tcW w:w="701" w:type="pct"/>
            <w:tcBorders>
              <w:top w:val="nil"/>
              <w:left w:val="nil"/>
              <w:bottom w:val="nil"/>
              <w:right w:val="nil"/>
            </w:tcBorders>
            <w:shd w:val="clear" w:color="auto" w:fill="auto"/>
            <w:noWrap/>
            <w:vAlign w:val="bottom"/>
            <w:hideMark/>
          </w:tcPr>
          <w:p w14:paraId="48AB00D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33,0 </w:t>
            </w:r>
          </w:p>
        </w:tc>
      </w:tr>
      <w:tr w:rsidR="00444375" w:rsidRPr="00934257" w14:paraId="4C64D4E3" w14:textId="77777777" w:rsidTr="00444375">
        <w:trPr>
          <w:trHeight w:val="255"/>
        </w:trPr>
        <w:tc>
          <w:tcPr>
            <w:tcW w:w="253" w:type="pct"/>
            <w:vMerge/>
            <w:tcBorders>
              <w:top w:val="nil"/>
              <w:left w:val="nil"/>
              <w:bottom w:val="nil"/>
              <w:right w:val="single" w:sz="4" w:space="0" w:color="auto"/>
            </w:tcBorders>
            <w:vAlign w:val="center"/>
            <w:hideMark/>
          </w:tcPr>
          <w:p w14:paraId="5B8F0E2D"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BE39"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0,05 </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15D6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33,4 </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A452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29,1 </w:t>
            </w:r>
          </w:p>
        </w:tc>
        <w:tc>
          <w:tcPr>
            <w:tcW w:w="702" w:type="pct"/>
            <w:tcBorders>
              <w:top w:val="single" w:sz="4" w:space="0" w:color="auto"/>
              <w:left w:val="single" w:sz="4" w:space="0" w:color="auto"/>
              <w:bottom w:val="single" w:sz="4" w:space="0" w:color="auto"/>
              <w:right w:val="nil"/>
            </w:tcBorders>
            <w:shd w:val="clear" w:color="auto" w:fill="FFC000"/>
            <w:noWrap/>
            <w:vAlign w:val="bottom"/>
            <w:hideMark/>
          </w:tcPr>
          <w:p w14:paraId="2C3C2DE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25,8 </w:t>
            </w:r>
          </w:p>
        </w:tc>
        <w:tc>
          <w:tcPr>
            <w:tcW w:w="701" w:type="pct"/>
            <w:tcBorders>
              <w:top w:val="single" w:sz="4" w:space="0" w:color="auto"/>
              <w:left w:val="nil"/>
              <w:bottom w:val="single" w:sz="4" w:space="0" w:color="auto"/>
              <w:right w:val="single" w:sz="4" w:space="0" w:color="auto"/>
            </w:tcBorders>
            <w:shd w:val="clear" w:color="auto" w:fill="FFC000"/>
            <w:noWrap/>
            <w:vAlign w:val="bottom"/>
            <w:hideMark/>
          </w:tcPr>
          <w:p w14:paraId="1BBADCD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23,1 </w:t>
            </w:r>
          </w:p>
        </w:tc>
        <w:tc>
          <w:tcPr>
            <w:tcW w:w="702" w:type="pct"/>
            <w:tcBorders>
              <w:top w:val="nil"/>
              <w:left w:val="single" w:sz="4" w:space="0" w:color="auto"/>
              <w:bottom w:val="nil"/>
              <w:right w:val="nil"/>
            </w:tcBorders>
            <w:shd w:val="clear" w:color="auto" w:fill="auto"/>
            <w:noWrap/>
            <w:vAlign w:val="bottom"/>
            <w:hideMark/>
          </w:tcPr>
          <w:p w14:paraId="6AB7656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21,0 </w:t>
            </w:r>
          </w:p>
        </w:tc>
        <w:tc>
          <w:tcPr>
            <w:tcW w:w="701" w:type="pct"/>
            <w:tcBorders>
              <w:top w:val="nil"/>
              <w:left w:val="nil"/>
              <w:bottom w:val="nil"/>
              <w:right w:val="nil"/>
            </w:tcBorders>
            <w:shd w:val="clear" w:color="auto" w:fill="auto"/>
            <w:noWrap/>
            <w:vAlign w:val="bottom"/>
            <w:hideMark/>
          </w:tcPr>
          <w:p w14:paraId="18BAABF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19,2 </w:t>
            </w:r>
          </w:p>
        </w:tc>
      </w:tr>
      <w:tr w:rsidR="00444375" w:rsidRPr="00934257" w14:paraId="066F2859" w14:textId="77777777" w:rsidTr="00444375">
        <w:trPr>
          <w:trHeight w:val="255"/>
        </w:trPr>
        <w:tc>
          <w:tcPr>
            <w:tcW w:w="253" w:type="pct"/>
            <w:vMerge/>
            <w:tcBorders>
              <w:top w:val="nil"/>
              <w:left w:val="nil"/>
              <w:bottom w:val="nil"/>
              <w:right w:val="single" w:sz="4" w:space="0" w:color="auto"/>
            </w:tcBorders>
            <w:vAlign w:val="center"/>
            <w:hideMark/>
          </w:tcPr>
          <w:p w14:paraId="5347E959"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FCFDB"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0,07 </w:t>
            </w:r>
          </w:p>
        </w:tc>
        <w:tc>
          <w:tcPr>
            <w:tcW w:w="70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765B3D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23,1 </w:t>
            </w:r>
          </w:p>
        </w:tc>
        <w:tc>
          <w:tcPr>
            <w:tcW w:w="702" w:type="pct"/>
            <w:tcBorders>
              <w:top w:val="single" w:sz="4" w:space="0" w:color="auto"/>
              <w:left w:val="single" w:sz="4" w:space="0" w:color="auto"/>
              <w:bottom w:val="nil"/>
              <w:right w:val="nil"/>
            </w:tcBorders>
            <w:shd w:val="clear" w:color="auto" w:fill="auto"/>
            <w:noWrap/>
            <w:vAlign w:val="bottom"/>
            <w:hideMark/>
          </w:tcPr>
          <w:p w14:paraId="03B10A3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20,3 </w:t>
            </w:r>
          </w:p>
        </w:tc>
        <w:tc>
          <w:tcPr>
            <w:tcW w:w="702" w:type="pct"/>
            <w:tcBorders>
              <w:top w:val="single" w:sz="4" w:space="0" w:color="auto"/>
              <w:left w:val="nil"/>
              <w:bottom w:val="nil"/>
              <w:right w:val="nil"/>
            </w:tcBorders>
            <w:shd w:val="clear" w:color="auto" w:fill="auto"/>
            <w:noWrap/>
            <w:vAlign w:val="bottom"/>
            <w:hideMark/>
          </w:tcPr>
          <w:p w14:paraId="39E0871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18,0 </w:t>
            </w:r>
          </w:p>
        </w:tc>
        <w:tc>
          <w:tcPr>
            <w:tcW w:w="701" w:type="pct"/>
            <w:tcBorders>
              <w:top w:val="single" w:sz="4" w:space="0" w:color="auto"/>
              <w:left w:val="nil"/>
              <w:bottom w:val="nil"/>
              <w:right w:val="nil"/>
            </w:tcBorders>
            <w:shd w:val="clear" w:color="auto" w:fill="auto"/>
            <w:noWrap/>
            <w:vAlign w:val="bottom"/>
            <w:hideMark/>
          </w:tcPr>
          <w:p w14:paraId="75AA506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16,3 </w:t>
            </w:r>
          </w:p>
        </w:tc>
        <w:tc>
          <w:tcPr>
            <w:tcW w:w="702" w:type="pct"/>
            <w:tcBorders>
              <w:top w:val="nil"/>
              <w:left w:val="nil"/>
              <w:bottom w:val="nil"/>
              <w:right w:val="nil"/>
            </w:tcBorders>
            <w:shd w:val="clear" w:color="auto" w:fill="auto"/>
            <w:noWrap/>
            <w:vAlign w:val="bottom"/>
            <w:hideMark/>
          </w:tcPr>
          <w:p w14:paraId="21DC106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14,8 </w:t>
            </w:r>
          </w:p>
        </w:tc>
        <w:tc>
          <w:tcPr>
            <w:tcW w:w="701" w:type="pct"/>
            <w:tcBorders>
              <w:top w:val="nil"/>
              <w:left w:val="nil"/>
              <w:bottom w:val="nil"/>
              <w:right w:val="nil"/>
            </w:tcBorders>
            <w:shd w:val="clear" w:color="auto" w:fill="auto"/>
            <w:noWrap/>
            <w:vAlign w:val="bottom"/>
            <w:hideMark/>
          </w:tcPr>
          <w:p w14:paraId="126D4EA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13,6 </w:t>
            </w:r>
          </w:p>
        </w:tc>
      </w:tr>
      <w:tr w:rsidR="00444375" w:rsidRPr="00934257" w14:paraId="1D272B3E" w14:textId="77777777" w:rsidTr="00444375">
        <w:trPr>
          <w:trHeight w:val="255"/>
        </w:trPr>
        <w:tc>
          <w:tcPr>
            <w:tcW w:w="253" w:type="pct"/>
            <w:vMerge/>
            <w:tcBorders>
              <w:top w:val="nil"/>
              <w:left w:val="nil"/>
              <w:bottom w:val="nil"/>
              <w:right w:val="nil"/>
            </w:tcBorders>
            <w:vAlign w:val="center"/>
            <w:hideMark/>
          </w:tcPr>
          <w:p w14:paraId="716BA357"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nil"/>
              <w:bottom w:val="nil"/>
              <w:right w:val="nil"/>
            </w:tcBorders>
            <w:shd w:val="clear" w:color="auto" w:fill="auto"/>
            <w:noWrap/>
            <w:vAlign w:val="bottom"/>
            <w:hideMark/>
          </w:tcPr>
          <w:p w14:paraId="4966259C"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0,09 </w:t>
            </w:r>
          </w:p>
        </w:tc>
        <w:tc>
          <w:tcPr>
            <w:tcW w:w="701" w:type="pct"/>
            <w:tcBorders>
              <w:top w:val="single" w:sz="4" w:space="0" w:color="auto"/>
              <w:left w:val="nil"/>
              <w:bottom w:val="nil"/>
              <w:right w:val="nil"/>
            </w:tcBorders>
            <w:shd w:val="clear" w:color="auto" w:fill="auto"/>
            <w:noWrap/>
            <w:vAlign w:val="bottom"/>
            <w:hideMark/>
          </w:tcPr>
          <w:p w14:paraId="6EBDA5D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17,7 </w:t>
            </w:r>
          </w:p>
        </w:tc>
        <w:tc>
          <w:tcPr>
            <w:tcW w:w="702" w:type="pct"/>
            <w:tcBorders>
              <w:top w:val="nil"/>
              <w:left w:val="nil"/>
              <w:bottom w:val="nil"/>
              <w:right w:val="nil"/>
            </w:tcBorders>
            <w:shd w:val="clear" w:color="auto" w:fill="auto"/>
            <w:noWrap/>
            <w:vAlign w:val="bottom"/>
            <w:hideMark/>
          </w:tcPr>
          <w:p w14:paraId="7C8F1C1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15,5 </w:t>
            </w:r>
          </w:p>
        </w:tc>
        <w:tc>
          <w:tcPr>
            <w:tcW w:w="702" w:type="pct"/>
            <w:tcBorders>
              <w:top w:val="nil"/>
              <w:left w:val="nil"/>
              <w:bottom w:val="nil"/>
              <w:right w:val="nil"/>
            </w:tcBorders>
            <w:shd w:val="clear" w:color="auto" w:fill="auto"/>
            <w:noWrap/>
            <w:vAlign w:val="bottom"/>
            <w:hideMark/>
          </w:tcPr>
          <w:p w14:paraId="19357E3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13,9 </w:t>
            </w:r>
          </w:p>
        </w:tc>
        <w:tc>
          <w:tcPr>
            <w:tcW w:w="701" w:type="pct"/>
            <w:tcBorders>
              <w:top w:val="nil"/>
              <w:left w:val="nil"/>
              <w:bottom w:val="nil"/>
              <w:right w:val="nil"/>
            </w:tcBorders>
            <w:shd w:val="clear" w:color="auto" w:fill="auto"/>
            <w:noWrap/>
            <w:vAlign w:val="bottom"/>
            <w:hideMark/>
          </w:tcPr>
          <w:p w14:paraId="3436DD9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12,5 </w:t>
            </w:r>
          </w:p>
        </w:tc>
        <w:tc>
          <w:tcPr>
            <w:tcW w:w="702" w:type="pct"/>
            <w:tcBorders>
              <w:top w:val="nil"/>
              <w:left w:val="nil"/>
              <w:bottom w:val="nil"/>
              <w:right w:val="nil"/>
            </w:tcBorders>
            <w:shd w:val="clear" w:color="auto" w:fill="auto"/>
            <w:noWrap/>
            <w:vAlign w:val="bottom"/>
            <w:hideMark/>
          </w:tcPr>
          <w:p w14:paraId="37DECD4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11,4 </w:t>
            </w:r>
          </w:p>
        </w:tc>
        <w:tc>
          <w:tcPr>
            <w:tcW w:w="701" w:type="pct"/>
            <w:tcBorders>
              <w:top w:val="nil"/>
              <w:left w:val="nil"/>
              <w:bottom w:val="nil"/>
              <w:right w:val="nil"/>
            </w:tcBorders>
            <w:shd w:val="clear" w:color="auto" w:fill="auto"/>
            <w:noWrap/>
            <w:vAlign w:val="bottom"/>
            <w:hideMark/>
          </w:tcPr>
          <w:p w14:paraId="79751EA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10,5 </w:t>
            </w:r>
          </w:p>
        </w:tc>
      </w:tr>
      <w:tr w:rsidR="00444375" w:rsidRPr="00934257" w14:paraId="4B111D02" w14:textId="77777777" w:rsidTr="00444375">
        <w:trPr>
          <w:trHeight w:val="255"/>
        </w:trPr>
        <w:tc>
          <w:tcPr>
            <w:tcW w:w="253" w:type="pct"/>
            <w:vMerge/>
            <w:tcBorders>
              <w:top w:val="nil"/>
              <w:left w:val="nil"/>
              <w:bottom w:val="nil"/>
              <w:right w:val="nil"/>
            </w:tcBorders>
            <w:vAlign w:val="center"/>
            <w:hideMark/>
          </w:tcPr>
          <w:p w14:paraId="02B2B32F"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1C90B465"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0,11 </w:t>
            </w:r>
          </w:p>
        </w:tc>
        <w:tc>
          <w:tcPr>
            <w:tcW w:w="701" w:type="pct"/>
            <w:tcBorders>
              <w:top w:val="nil"/>
              <w:left w:val="nil"/>
              <w:bottom w:val="nil"/>
              <w:right w:val="nil"/>
            </w:tcBorders>
            <w:shd w:val="clear" w:color="auto" w:fill="auto"/>
            <w:noWrap/>
            <w:vAlign w:val="bottom"/>
            <w:hideMark/>
          </w:tcPr>
          <w:p w14:paraId="7665418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14,3 </w:t>
            </w:r>
          </w:p>
        </w:tc>
        <w:tc>
          <w:tcPr>
            <w:tcW w:w="702" w:type="pct"/>
            <w:tcBorders>
              <w:top w:val="nil"/>
              <w:left w:val="nil"/>
              <w:bottom w:val="nil"/>
              <w:right w:val="nil"/>
            </w:tcBorders>
            <w:shd w:val="clear" w:color="auto" w:fill="auto"/>
            <w:noWrap/>
            <w:vAlign w:val="bottom"/>
            <w:hideMark/>
          </w:tcPr>
          <w:p w14:paraId="258F1FA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12,6 </w:t>
            </w:r>
          </w:p>
        </w:tc>
        <w:tc>
          <w:tcPr>
            <w:tcW w:w="702" w:type="pct"/>
            <w:tcBorders>
              <w:top w:val="nil"/>
              <w:left w:val="nil"/>
              <w:bottom w:val="nil"/>
              <w:right w:val="nil"/>
            </w:tcBorders>
            <w:shd w:val="clear" w:color="auto" w:fill="auto"/>
            <w:noWrap/>
            <w:vAlign w:val="bottom"/>
            <w:hideMark/>
          </w:tcPr>
          <w:p w14:paraId="7EBCF94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11,3 </w:t>
            </w:r>
          </w:p>
        </w:tc>
        <w:tc>
          <w:tcPr>
            <w:tcW w:w="701" w:type="pct"/>
            <w:tcBorders>
              <w:top w:val="nil"/>
              <w:left w:val="nil"/>
              <w:bottom w:val="nil"/>
              <w:right w:val="nil"/>
            </w:tcBorders>
            <w:shd w:val="clear" w:color="auto" w:fill="auto"/>
            <w:noWrap/>
            <w:vAlign w:val="bottom"/>
            <w:hideMark/>
          </w:tcPr>
          <w:p w14:paraId="32B4869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10,2 </w:t>
            </w:r>
          </w:p>
        </w:tc>
        <w:tc>
          <w:tcPr>
            <w:tcW w:w="702" w:type="pct"/>
            <w:tcBorders>
              <w:top w:val="nil"/>
              <w:left w:val="nil"/>
              <w:bottom w:val="nil"/>
              <w:right w:val="nil"/>
            </w:tcBorders>
            <w:shd w:val="clear" w:color="auto" w:fill="auto"/>
            <w:noWrap/>
            <w:vAlign w:val="bottom"/>
            <w:hideMark/>
          </w:tcPr>
          <w:p w14:paraId="529D234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9,3 </w:t>
            </w:r>
          </w:p>
        </w:tc>
        <w:tc>
          <w:tcPr>
            <w:tcW w:w="701" w:type="pct"/>
            <w:tcBorders>
              <w:top w:val="nil"/>
              <w:left w:val="nil"/>
              <w:bottom w:val="nil"/>
              <w:right w:val="nil"/>
            </w:tcBorders>
            <w:shd w:val="clear" w:color="auto" w:fill="auto"/>
            <w:noWrap/>
            <w:vAlign w:val="bottom"/>
            <w:hideMark/>
          </w:tcPr>
          <w:p w14:paraId="715E55D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8,6 </w:t>
            </w:r>
          </w:p>
        </w:tc>
      </w:tr>
      <w:tr w:rsidR="00444375" w:rsidRPr="00934257" w14:paraId="22E1E5D3" w14:textId="77777777" w:rsidTr="00444375">
        <w:trPr>
          <w:trHeight w:val="255"/>
        </w:trPr>
        <w:tc>
          <w:tcPr>
            <w:tcW w:w="253" w:type="pct"/>
            <w:vMerge/>
            <w:tcBorders>
              <w:top w:val="nil"/>
              <w:left w:val="nil"/>
              <w:bottom w:val="nil"/>
              <w:right w:val="nil"/>
            </w:tcBorders>
            <w:vAlign w:val="center"/>
            <w:hideMark/>
          </w:tcPr>
          <w:p w14:paraId="6A92BD33"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1A7147D0"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0,13 </w:t>
            </w:r>
          </w:p>
        </w:tc>
        <w:tc>
          <w:tcPr>
            <w:tcW w:w="701" w:type="pct"/>
            <w:tcBorders>
              <w:top w:val="nil"/>
              <w:left w:val="nil"/>
              <w:bottom w:val="nil"/>
              <w:right w:val="nil"/>
            </w:tcBorders>
            <w:shd w:val="clear" w:color="auto" w:fill="auto"/>
            <w:noWrap/>
            <w:vAlign w:val="bottom"/>
            <w:hideMark/>
          </w:tcPr>
          <w:p w14:paraId="06DCBAD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12,0 </w:t>
            </w:r>
          </w:p>
        </w:tc>
        <w:tc>
          <w:tcPr>
            <w:tcW w:w="702" w:type="pct"/>
            <w:tcBorders>
              <w:top w:val="nil"/>
              <w:left w:val="nil"/>
              <w:bottom w:val="nil"/>
              <w:right w:val="nil"/>
            </w:tcBorders>
            <w:shd w:val="clear" w:color="auto" w:fill="auto"/>
            <w:noWrap/>
            <w:vAlign w:val="bottom"/>
            <w:hideMark/>
          </w:tcPr>
          <w:p w14:paraId="5CF7F65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10,6 </w:t>
            </w:r>
          </w:p>
        </w:tc>
        <w:tc>
          <w:tcPr>
            <w:tcW w:w="702" w:type="pct"/>
            <w:tcBorders>
              <w:top w:val="nil"/>
              <w:left w:val="nil"/>
              <w:bottom w:val="nil"/>
              <w:right w:val="nil"/>
            </w:tcBorders>
            <w:shd w:val="clear" w:color="auto" w:fill="auto"/>
            <w:noWrap/>
            <w:vAlign w:val="bottom"/>
            <w:hideMark/>
          </w:tcPr>
          <w:p w14:paraId="2FB2183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9,5 </w:t>
            </w:r>
          </w:p>
        </w:tc>
        <w:tc>
          <w:tcPr>
            <w:tcW w:w="701" w:type="pct"/>
            <w:tcBorders>
              <w:top w:val="nil"/>
              <w:left w:val="nil"/>
              <w:bottom w:val="nil"/>
              <w:right w:val="nil"/>
            </w:tcBorders>
            <w:shd w:val="clear" w:color="auto" w:fill="auto"/>
            <w:noWrap/>
            <w:vAlign w:val="bottom"/>
            <w:hideMark/>
          </w:tcPr>
          <w:p w14:paraId="5E588B3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8,6 </w:t>
            </w:r>
          </w:p>
        </w:tc>
        <w:tc>
          <w:tcPr>
            <w:tcW w:w="702" w:type="pct"/>
            <w:tcBorders>
              <w:top w:val="nil"/>
              <w:left w:val="nil"/>
              <w:bottom w:val="nil"/>
              <w:right w:val="nil"/>
            </w:tcBorders>
            <w:shd w:val="clear" w:color="auto" w:fill="auto"/>
            <w:noWrap/>
            <w:vAlign w:val="bottom"/>
            <w:hideMark/>
          </w:tcPr>
          <w:p w14:paraId="05E1998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7,9 </w:t>
            </w:r>
          </w:p>
        </w:tc>
        <w:tc>
          <w:tcPr>
            <w:tcW w:w="701" w:type="pct"/>
            <w:tcBorders>
              <w:top w:val="nil"/>
              <w:left w:val="nil"/>
              <w:bottom w:val="nil"/>
              <w:right w:val="nil"/>
            </w:tcBorders>
            <w:shd w:val="clear" w:color="auto" w:fill="auto"/>
            <w:noWrap/>
            <w:vAlign w:val="bottom"/>
            <w:hideMark/>
          </w:tcPr>
          <w:p w14:paraId="3ACB434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7,2 </w:t>
            </w:r>
          </w:p>
        </w:tc>
      </w:tr>
      <w:tr w:rsidR="00444375" w:rsidRPr="00934257" w14:paraId="1DA75C7F" w14:textId="77777777" w:rsidTr="00444375">
        <w:trPr>
          <w:trHeight w:val="255"/>
        </w:trPr>
        <w:tc>
          <w:tcPr>
            <w:tcW w:w="253" w:type="pct"/>
            <w:vMerge/>
            <w:tcBorders>
              <w:top w:val="nil"/>
              <w:left w:val="nil"/>
              <w:bottom w:val="nil"/>
              <w:right w:val="nil"/>
            </w:tcBorders>
            <w:vAlign w:val="center"/>
            <w:hideMark/>
          </w:tcPr>
          <w:p w14:paraId="4F3A850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130D376E"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0,15 </w:t>
            </w:r>
          </w:p>
        </w:tc>
        <w:tc>
          <w:tcPr>
            <w:tcW w:w="701" w:type="pct"/>
            <w:tcBorders>
              <w:top w:val="nil"/>
              <w:left w:val="nil"/>
              <w:bottom w:val="nil"/>
              <w:right w:val="nil"/>
            </w:tcBorders>
            <w:shd w:val="clear" w:color="auto" w:fill="auto"/>
            <w:noWrap/>
            <w:vAlign w:val="bottom"/>
            <w:hideMark/>
          </w:tcPr>
          <w:p w14:paraId="7D14360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10,4 </w:t>
            </w:r>
          </w:p>
        </w:tc>
        <w:tc>
          <w:tcPr>
            <w:tcW w:w="702" w:type="pct"/>
            <w:tcBorders>
              <w:top w:val="nil"/>
              <w:left w:val="nil"/>
              <w:bottom w:val="nil"/>
              <w:right w:val="nil"/>
            </w:tcBorders>
            <w:shd w:val="clear" w:color="auto" w:fill="auto"/>
            <w:noWrap/>
            <w:vAlign w:val="bottom"/>
            <w:hideMark/>
          </w:tcPr>
          <w:p w14:paraId="0B6A685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9,2 </w:t>
            </w:r>
          </w:p>
        </w:tc>
        <w:tc>
          <w:tcPr>
            <w:tcW w:w="702" w:type="pct"/>
            <w:tcBorders>
              <w:top w:val="nil"/>
              <w:left w:val="nil"/>
              <w:bottom w:val="nil"/>
              <w:right w:val="nil"/>
            </w:tcBorders>
            <w:shd w:val="clear" w:color="auto" w:fill="auto"/>
            <w:noWrap/>
            <w:vAlign w:val="bottom"/>
            <w:hideMark/>
          </w:tcPr>
          <w:p w14:paraId="0C30ABF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8,2 </w:t>
            </w:r>
          </w:p>
        </w:tc>
        <w:tc>
          <w:tcPr>
            <w:tcW w:w="701" w:type="pct"/>
            <w:tcBorders>
              <w:top w:val="nil"/>
              <w:left w:val="nil"/>
              <w:bottom w:val="nil"/>
              <w:right w:val="nil"/>
            </w:tcBorders>
            <w:shd w:val="clear" w:color="auto" w:fill="auto"/>
            <w:noWrap/>
            <w:vAlign w:val="bottom"/>
            <w:hideMark/>
          </w:tcPr>
          <w:p w14:paraId="4240FF1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7,4 </w:t>
            </w:r>
          </w:p>
        </w:tc>
        <w:tc>
          <w:tcPr>
            <w:tcW w:w="702" w:type="pct"/>
            <w:tcBorders>
              <w:top w:val="nil"/>
              <w:left w:val="nil"/>
              <w:bottom w:val="nil"/>
              <w:right w:val="nil"/>
            </w:tcBorders>
            <w:shd w:val="clear" w:color="auto" w:fill="auto"/>
            <w:noWrap/>
            <w:vAlign w:val="bottom"/>
            <w:hideMark/>
          </w:tcPr>
          <w:p w14:paraId="5286D43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6,8 </w:t>
            </w:r>
          </w:p>
        </w:tc>
        <w:tc>
          <w:tcPr>
            <w:tcW w:w="701" w:type="pct"/>
            <w:tcBorders>
              <w:top w:val="nil"/>
              <w:left w:val="nil"/>
              <w:bottom w:val="nil"/>
              <w:right w:val="nil"/>
            </w:tcBorders>
            <w:shd w:val="clear" w:color="auto" w:fill="auto"/>
            <w:noWrap/>
            <w:vAlign w:val="bottom"/>
            <w:hideMark/>
          </w:tcPr>
          <w:p w14:paraId="1988516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6,3 </w:t>
            </w:r>
          </w:p>
        </w:tc>
      </w:tr>
      <w:tr w:rsidR="00444375" w:rsidRPr="00934257" w14:paraId="26F8A170" w14:textId="77777777" w:rsidTr="00444375">
        <w:trPr>
          <w:trHeight w:val="255"/>
        </w:trPr>
        <w:tc>
          <w:tcPr>
            <w:tcW w:w="253" w:type="pct"/>
            <w:vMerge/>
            <w:tcBorders>
              <w:top w:val="nil"/>
              <w:left w:val="nil"/>
              <w:bottom w:val="nil"/>
              <w:right w:val="nil"/>
            </w:tcBorders>
            <w:vAlign w:val="center"/>
            <w:hideMark/>
          </w:tcPr>
          <w:p w14:paraId="38942E95"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27CBD7AE"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0,17 </w:t>
            </w:r>
          </w:p>
        </w:tc>
        <w:tc>
          <w:tcPr>
            <w:tcW w:w="701" w:type="pct"/>
            <w:tcBorders>
              <w:top w:val="nil"/>
              <w:left w:val="nil"/>
              <w:bottom w:val="nil"/>
              <w:right w:val="nil"/>
            </w:tcBorders>
            <w:shd w:val="clear" w:color="auto" w:fill="auto"/>
            <w:noWrap/>
            <w:vAlign w:val="bottom"/>
            <w:hideMark/>
          </w:tcPr>
          <w:p w14:paraId="521E07F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9,1 </w:t>
            </w:r>
          </w:p>
        </w:tc>
        <w:tc>
          <w:tcPr>
            <w:tcW w:w="702" w:type="pct"/>
            <w:tcBorders>
              <w:top w:val="nil"/>
              <w:left w:val="nil"/>
              <w:bottom w:val="nil"/>
              <w:right w:val="nil"/>
            </w:tcBorders>
            <w:shd w:val="clear" w:color="auto" w:fill="auto"/>
            <w:noWrap/>
            <w:vAlign w:val="bottom"/>
            <w:hideMark/>
          </w:tcPr>
          <w:p w14:paraId="6524CC8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8,1 </w:t>
            </w:r>
          </w:p>
        </w:tc>
        <w:tc>
          <w:tcPr>
            <w:tcW w:w="702" w:type="pct"/>
            <w:tcBorders>
              <w:top w:val="nil"/>
              <w:left w:val="nil"/>
              <w:bottom w:val="nil"/>
              <w:right w:val="nil"/>
            </w:tcBorders>
            <w:shd w:val="clear" w:color="auto" w:fill="auto"/>
            <w:noWrap/>
            <w:vAlign w:val="bottom"/>
            <w:hideMark/>
          </w:tcPr>
          <w:p w14:paraId="4FC70E3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7,2 </w:t>
            </w:r>
          </w:p>
        </w:tc>
        <w:tc>
          <w:tcPr>
            <w:tcW w:w="701" w:type="pct"/>
            <w:tcBorders>
              <w:top w:val="nil"/>
              <w:left w:val="nil"/>
              <w:bottom w:val="nil"/>
              <w:right w:val="nil"/>
            </w:tcBorders>
            <w:shd w:val="clear" w:color="auto" w:fill="auto"/>
            <w:noWrap/>
            <w:vAlign w:val="bottom"/>
            <w:hideMark/>
          </w:tcPr>
          <w:p w14:paraId="22783BA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6,5 </w:t>
            </w:r>
          </w:p>
        </w:tc>
        <w:tc>
          <w:tcPr>
            <w:tcW w:w="702" w:type="pct"/>
            <w:tcBorders>
              <w:top w:val="nil"/>
              <w:left w:val="nil"/>
              <w:bottom w:val="nil"/>
              <w:right w:val="nil"/>
            </w:tcBorders>
            <w:shd w:val="clear" w:color="auto" w:fill="auto"/>
            <w:noWrap/>
            <w:vAlign w:val="bottom"/>
            <w:hideMark/>
          </w:tcPr>
          <w:p w14:paraId="799544F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6,0 </w:t>
            </w:r>
          </w:p>
        </w:tc>
        <w:tc>
          <w:tcPr>
            <w:tcW w:w="701" w:type="pct"/>
            <w:tcBorders>
              <w:top w:val="nil"/>
              <w:left w:val="nil"/>
              <w:bottom w:val="nil"/>
              <w:right w:val="nil"/>
            </w:tcBorders>
            <w:shd w:val="clear" w:color="auto" w:fill="auto"/>
            <w:noWrap/>
            <w:vAlign w:val="bottom"/>
            <w:hideMark/>
          </w:tcPr>
          <w:p w14:paraId="6E82B22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5,5 </w:t>
            </w:r>
          </w:p>
        </w:tc>
      </w:tr>
    </w:tbl>
    <w:p w14:paraId="2B560C7F" w14:textId="77777777" w:rsidR="00444375" w:rsidRPr="00D45CD8" w:rsidRDefault="00444375" w:rsidP="00444375">
      <w:pPr>
        <w:jc w:val="both"/>
        <w:rPr>
          <w:rFonts w:ascii="Georgia" w:hAnsi="Georgia"/>
          <w:sz w:val="18"/>
          <w:szCs w:val="18"/>
          <w:lang w:val="lt-LT"/>
        </w:rPr>
      </w:pPr>
    </w:p>
    <w:p w14:paraId="1F2A3091" w14:textId="77777777" w:rsidR="00444375" w:rsidRDefault="00444375" w:rsidP="00444375">
      <w:pPr>
        <w:jc w:val="both"/>
        <w:rPr>
          <w:rFonts w:ascii="Georgia" w:hAnsi="Georgia"/>
          <w:sz w:val="20"/>
          <w:lang w:val="lt-LT"/>
        </w:rPr>
      </w:pPr>
      <w:r>
        <w:rPr>
          <w:rFonts w:ascii="Georgia" w:hAnsi="Georgia"/>
          <w:sz w:val="20"/>
          <w:lang w:val="lt-LT"/>
        </w:rPr>
        <w:t>Remiantis aukščiau pateiktos lentelės duomenimis teigtina, jog d</w:t>
      </w:r>
      <w:r w:rsidRPr="00DF3A8E">
        <w:rPr>
          <w:rFonts w:ascii="Georgia" w:hAnsi="Georgia"/>
          <w:sz w:val="20"/>
          <w:lang w:val="lt-LT"/>
        </w:rPr>
        <w:t>idesnės energijos kainos lemia greitesnį projektų atsipirkimą</w:t>
      </w:r>
      <w:r>
        <w:rPr>
          <w:rFonts w:ascii="Georgia" w:hAnsi="Georgia"/>
          <w:sz w:val="20"/>
          <w:lang w:val="lt-LT"/>
        </w:rPr>
        <w:t xml:space="preserve">. </w:t>
      </w:r>
      <w:r w:rsidRPr="002A3BF8">
        <w:rPr>
          <w:rFonts w:ascii="Georgia" w:hAnsi="Georgia"/>
          <w:sz w:val="20"/>
          <w:lang w:val="lt-LT"/>
        </w:rPr>
        <w:t xml:space="preserve"> </w:t>
      </w:r>
      <w:r>
        <w:rPr>
          <w:rFonts w:ascii="Georgia" w:hAnsi="Georgia"/>
          <w:sz w:val="20"/>
          <w:lang w:val="lt-LT"/>
        </w:rPr>
        <w:t>Ankstesniame skyriuje buvo</w:t>
      </w:r>
      <w:r w:rsidRPr="00445481">
        <w:rPr>
          <w:rFonts w:ascii="Georgia" w:hAnsi="Georgia"/>
          <w:sz w:val="20"/>
          <w:lang w:val="lt-LT"/>
        </w:rPr>
        <w:t xml:space="preserve"> </w:t>
      </w:r>
      <w:r>
        <w:rPr>
          <w:rFonts w:ascii="Georgia" w:hAnsi="Georgia"/>
          <w:sz w:val="20"/>
          <w:lang w:val="lt-LT"/>
        </w:rPr>
        <w:t xml:space="preserve">trumpai aptarti pagrindiniai veiksniai, </w:t>
      </w:r>
      <w:r w:rsidRPr="00445481">
        <w:rPr>
          <w:rFonts w:ascii="Georgia" w:hAnsi="Georgia"/>
          <w:sz w:val="20"/>
          <w:lang w:val="lt-LT"/>
        </w:rPr>
        <w:t>gali</w:t>
      </w:r>
      <w:r>
        <w:rPr>
          <w:rFonts w:ascii="Georgia" w:hAnsi="Georgia"/>
          <w:sz w:val="20"/>
          <w:lang w:val="lt-LT"/>
        </w:rPr>
        <w:t>ntys</w:t>
      </w:r>
      <w:r w:rsidRPr="00445481">
        <w:rPr>
          <w:rFonts w:ascii="Georgia" w:hAnsi="Georgia"/>
          <w:sz w:val="20"/>
          <w:lang w:val="lt-LT"/>
        </w:rPr>
        <w:t xml:space="preserve"> lemti padidėjusias šilumos energijos kaina</w:t>
      </w:r>
      <w:r>
        <w:rPr>
          <w:rFonts w:ascii="Georgia" w:hAnsi="Georgia"/>
          <w:sz w:val="20"/>
          <w:lang w:val="lt-LT"/>
        </w:rPr>
        <w:t>s</w:t>
      </w:r>
      <w:r w:rsidRPr="00DF3A8E">
        <w:rPr>
          <w:rFonts w:ascii="Georgia" w:hAnsi="Georgia"/>
          <w:sz w:val="20"/>
          <w:lang w:val="lt-LT"/>
        </w:rPr>
        <w:t xml:space="preserve">. Lentelėje </w:t>
      </w:r>
      <w:r>
        <w:rPr>
          <w:rFonts w:ascii="Georgia" w:hAnsi="Georgia"/>
          <w:sz w:val="20"/>
          <w:lang w:val="lt-LT"/>
        </w:rPr>
        <w:t xml:space="preserve">esantys duomenys </w:t>
      </w:r>
      <w:r w:rsidRPr="00DF3A8E">
        <w:rPr>
          <w:rFonts w:ascii="Georgia" w:hAnsi="Georgia"/>
          <w:sz w:val="20"/>
          <w:lang w:val="lt-LT"/>
        </w:rPr>
        <w:t xml:space="preserve">rodo, jog </w:t>
      </w:r>
      <w:r>
        <w:rPr>
          <w:rFonts w:ascii="Georgia" w:hAnsi="Georgia"/>
          <w:sz w:val="20"/>
          <w:lang w:val="lt-LT"/>
        </w:rPr>
        <w:t xml:space="preserve">šilumos </w:t>
      </w:r>
      <w:r w:rsidRPr="00DF3A8E">
        <w:rPr>
          <w:rFonts w:ascii="Georgia" w:hAnsi="Georgia"/>
          <w:sz w:val="20"/>
          <w:lang w:val="lt-LT"/>
        </w:rPr>
        <w:t>kainai esant 0,</w:t>
      </w:r>
      <w:r>
        <w:rPr>
          <w:rFonts w:ascii="Georgia" w:hAnsi="Georgia"/>
          <w:sz w:val="20"/>
          <w:lang w:val="lt-LT"/>
        </w:rPr>
        <w:t>0</w:t>
      </w:r>
      <w:r>
        <w:rPr>
          <w:rFonts w:ascii="Georgia" w:hAnsi="Georgia"/>
          <w:sz w:val="20"/>
        </w:rPr>
        <w:t>7</w:t>
      </w:r>
      <w:r w:rsidRPr="00DF3A8E">
        <w:rPr>
          <w:rFonts w:ascii="Georgia" w:hAnsi="Georgia"/>
          <w:sz w:val="20"/>
          <w:lang w:val="lt-LT"/>
        </w:rPr>
        <w:t xml:space="preserve"> </w:t>
      </w:r>
      <w:r>
        <w:rPr>
          <w:rFonts w:ascii="Georgia" w:hAnsi="Georgia"/>
          <w:sz w:val="20"/>
          <w:lang w:val="lt-LT"/>
        </w:rPr>
        <w:t>euro</w:t>
      </w:r>
      <w:r w:rsidRPr="00DF3A8E">
        <w:rPr>
          <w:rFonts w:ascii="Georgia" w:hAnsi="Georgia"/>
          <w:sz w:val="20"/>
          <w:lang w:val="lt-LT"/>
        </w:rPr>
        <w:t xml:space="preserve"> už vieną kWh </w:t>
      </w:r>
      <w:r>
        <w:rPr>
          <w:rFonts w:ascii="Georgia" w:hAnsi="Georgia"/>
          <w:sz w:val="20"/>
          <w:lang w:val="lt-LT"/>
        </w:rPr>
        <w:t>(</w:t>
      </w:r>
      <w:r w:rsidRPr="00DF3A8E">
        <w:rPr>
          <w:rFonts w:ascii="Georgia" w:hAnsi="Georgia"/>
          <w:sz w:val="20"/>
          <w:lang w:val="lt-LT"/>
        </w:rPr>
        <w:t xml:space="preserve">ir kainai augant apie </w:t>
      </w:r>
      <w:r>
        <w:rPr>
          <w:rFonts w:ascii="Georgia" w:hAnsi="Georgia"/>
          <w:sz w:val="20"/>
          <w:lang w:val="lt-LT"/>
        </w:rPr>
        <w:t>2</w:t>
      </w:r>
      <w:r w:rsidRPr="00DF3A8E">
        <w:rPr>
          <w:rFonts w:ascii="Georgia" w:hAnsi="Georgia"/>
          <w:sz w:val="20"/>
          <w:lang w:val="lt-LT"/>
        </w:rPr>
        <w:t xml:space="preserve"> proc. kiekvienais metais</w:t>
      </w:r>
      <w:r>
        <w:rPr>
          <w:rFonts w:ascii="Georgia" w:hAnsi="Georgia"/>
          <w:sz w:val="20"/>
          <w:lang w:val="lt-LT"/>
        </w:rPr>
        <w:t>) bei projektams teikiant papildomą 40 proc. subsidiją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 xml:space="preserve">renovacijos projektas atsipirks per </w:t>
      </w:r>
      <w:r>
        <w:rPr>
          <w:rFonts w:ascii="Georgia" w:hAnsi="Georgia"/>
          <w:sz w:val="20"/>
          <w:lang w:val="lt-LT"/>
        </w:rPr>
        <w:t>23,1</w:t>
      </w:r>
      <w:r w:rsidRPr="00DF3A8E">
        <w:rPr>
          <w:rFonts w:ascii="Georgia" w:hAnsi="Georgia"/>
          <w:sz w:val="20"/>
          <w:lang w:val="lt-LT"/>
        </w:rPr>
        <w:t xml:space="preserve"> metus. </w:t>
      </w:r>
      <w:r>
        <w:rPr>
          <w:rFonts w:ascii="Georgia" w:hAnsi="Georgia"/>
          <w:sz w:val="20"/>
          <w:lang w:val="lt-LT"/>
        </w:rPr>
        <w:t>Tuo tarpu nesikeičiant kitoms sąlygoms, o k</w:t>
      </w:r>
      <w:r w:rsidRPr="00DF3A8E">
        <w:rPr>
          <w:rFonts w:ascii="Georgia" w:hAnsi="Georgia"/>
          <w:sz w:val="20"/>
          <w:lang w:val="lt-LT"/>
        </w:rPr>
        <w:t xml:space="preserve">ainai išlikus </w:t>
      </w:r>
      <w:r>
        <w:rPr>
          <w:rFonts w:ascii="Georgia" w:hAnsi="Georgia"/>
          <w:sz w:val="20"/>
          <w:lang w:val="lt-LT"/>
        </w:rPr>
        <w:t xml:space="preserve">dabartiniame lygyje </w:t>
      </w:r>
      <w:r>
        <w:rPr>
          <w:rFonts w:ascii="Georgia" w:hAnsi="Georgia"/>
          <w:sz w:val="20"/>
        </w:rPr>
        <w:t xml:space="preserve">(2017 m. spalio </w:t>
      </w:r>
      <w:r>
        <w:rPr>
          <w:rFonts w:ascii="Georgia" w:hAnsi="Georgia"/>
          <w:sz w:val="20"/>
          <w:lang w:val="lt-LT"/>
        </w:rPr>
        <w:t>mėn. 0,0</w:t>
      </w:r>
      <w:r>
        <w:rPr>
          <w:rFonts w:ascii="Georgia" w:hAnsi="Georgia"/>
          <w:sz w:val="20"/>
        </w:rPr>
        <w:t>53</w:t>
      </w:r>
      <w:r w:rsidRPr="00DF3A8E">
        <w:rPr>
          <w:rFonts w:ascii="Georgia" w:hAnsi="Georgia"/>
          <w:sz w:val="20"/>
          <w:lang w:val="lt-LT"/>
        </w:rPr>
        <w:t xml:space="preserve"> </w:t>
      </w:r>
      <w:r>
        <w:rPr>
          <w:rFonts w:ascii="Georgia" w:hAnsi="Georgia"/>
          <w:sz w:val="20"/>
          <w:lang w:val="lt-LT"/>
        </w:rPr>
        <w:t>euro</w:t>
      </w:r>
      <w:r w:rsidRPr="00DF3A8E">
        <w:rPr>
          <w:rFonts w:ascii="Georgia" w:hAnsi="Georgia"/>
          <w:sz w:val="20"/>
          <w:lang w:val="lt-LT"/>
        </w:rPr>
        <w:t xml:space="preserve">) </w:t>
      </w:r>
      <w:r>
        <w:rPr>
          <w:rFonts w:ascii="Georgia" w:hAnsi="Georgia"/>
          <w:sz w:val="20"/>
          <w:lang w:val="lt-LT"/>
        </w:rPr>
        <w:t xml:space="preserve">su </w:t>
      </w:r>
      <w:r>
        <w:rPr>
          <w:rFonts w:ascii="Georgia" w:hAnsi="Georgia"/>
          <w:sz w:val="20"/>
        </w:rPr>
        <w:t xml:space="preserve">50-55 proc. sutaupymais, </w:t>
      </w:r>
      <w:r w:rsidRPr="00DF3A8E">
        <w:rPr>
          <w:rFonts w:ascii="Georgia" w:hAnsi="Georgia"/>
          <w:sz w:val="20"/>
          <w:lang w:val="lt-LT"/>
        </w:rPr>
        <w:t xml:space="preserve">projektas atsipirktų per </w:t>
      </w:r>
      <w:r>
        <w:rPr>
          <w:rFonts w:ascii="Georgia" w:hAnsi="Georgia"/>
          <w:sz w:val="20"/>
          <w:lang w:val="lt-LT"/>
        </w:rPr>
        <w:t xml:space="preserve">maždaug </w:t>
      </w:r>
      <w:r>
        <w:rPr>
          <w:rFonts w:ascii="Georgia" w:hAnsi="Georgia"/>
          <w:sz w:val="20"/>
        </w:rPr>
        <w:t>25</w:t>
      </w:r>
      <w:r w:rsidRPr="00DF3A8E">
        <w:rPr>
          <w:rFonts w:ascii="Georgia" w:hAnsi="Georgia"/>
          <w:sz w:val="20"/>
          <w:lang w:val="lt-LT"/>
        </w:rPr>
        <w:t xml:space="preserve"> met</w:t>
      </w:r>
      <w:r>
        <w:rPr>
          <w:rFonts w:ascii="Georgia" w:hAnsi="Georgia"/>
          <w:sz w:val="20"/>
          <w:lang w:val="lt-LT"/>
        </w:rPr>
        <w:t>us</w:t>
      </w:r>
      <w:r w:rsidRPr="00DF3A8E">
        <w:rPr>
          <w:rFonts w:ascii="Georgia" w:hAnsi="Georgia"/>
          <w:sz w:val="20"/>
          <w:lang w:val="lt-LT"/>
        </w:rPr>
        <w:t xml:space="preserve">.  </w:t>
      </w:r>
    </w:p>
    <w:p w14:paraId="3095E8A5" w14:textId="77777777" w:rsidR="00444375" w:rsidRDefault="00444375" w:rsidP="00444375">
      <w:pPr>
        <w:jc w:val="both"/>
        <w:rPr>
          <w:rFonts w:ascii="Georgia" w:hAnsi="Georgia"/>
          <w:sz w:val="20"/>
          <w:lang w:val="lt-LT"/>
        </w:rPr>
      </w:pPr>
      <w:r w:rsidRPr="00DF3A8E">
        <w:rPr>
          <w:rFonts w:ascii="Georgia" w:hAnsi="Georgia"/>
          <w:sz w:val="20"/>
          <w:lang w:val="lt-LT"/>
        </w:rPr>
        <w:t xml:space="preserve">Žemiau pateikiama </w:t>
      </w:r>
      <w:r w:rsidRPr="00C16595">
        <w:rPr>
          <w:rFonts w:ascii="Georgia" w:hAnsi="Georgia"/>
          <w:sz w:val="20"/>
          <w:lang w:val="lt-LT"/>
        </w:rPr>
        <w:t xml:space="preserve">lentelė </w:t>
      </w:r>
      <w:r w:rsidRPr="00DF3A8E">
        <w:rPr>
          <w:rFonts w:ascii="Georgia" w:hAnsi="Georgia"/>
          <w:sz w:val="20"/>
          <w:lang w:val="lt-LT"/>
        </w:rPr>
        <w:t>su tomis pačiomis prielaidomis, tačiau be subsidi</w:t>
      </w:r>
      <w:r>
        <w:rPr>
          <w:rFonts w:ascii="Georgia" w:hAnsi="Georgia"/>
          <w:sz w:val="20"/>
          <w:lang w:val="lt-LT"/>
        </w:rPr>
        <w:t>jos</w:t>
      </w:r>
      <w:r w:rsidRPr="00DF3A8E">
        <w:rPr>
          <w:rFonts w:ascii="Georgia" w:hAnsi="Georgia"/>
          <w:sz w:val="20"/>
          <w:lang w:val="lt-LT"/>
        </w:rPr>
        <w:t xml:space="preserve"> elemento.</w:t>
      </w:r>
    </w:p>
    <w:p w14:paraId="020ABDBD" w14:textId="77BD61ED" w:rsidR="00444375" w:rsidRPr="005A1A99" w:rsidRDefault="00444375" w:rsidP="00444375">
      <w:pPr>
        <w:pStyle w:val="Antrat"/>
        <w:jc w:val="both"/>
        <w:rPr>
          <w:b w:val="0"/>
          <w:i/>
          <w:lang w:val="lt-LT"/>
        </w:rPr>
      </w:pPr>
      <w:bookmarkStart w:id="171" w:name="_Toc503193907"/>
      <w:bookmarkStart w:id="172" w:name="_Toc507939170"/>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48</w:t>
      </w:r>
      <w:r w:rsidRPr="005A1A99">
        <w:rPr>
          <w:b w:val="0"/>
          <w:i/>
          <w:lang w:val="lt-LT"/>
        </w:rPr>
        <w:fldChar w:fldCharType="end"/>
      </w:r>
      <w:r w:rsidRPr="005A1A99">
        <w:rPr>
          <w:b w:val="0"/>
          <w:i/>
          <w:lang w:val="lt-LT"/>
        </w:rPr>
        <w:t>. Šilumos kainos (EUR/kWh) ir galimo sutaupymo santykio jautrumo analizė (be subsidijos)</w:t>
      </w:r>
      <w:bookmarkEnd w:id="171"/>
      <w:bookmarkEnd w:id="172"/>
    </w:p>
    <w:tbl>
      <w:tblPr>
        <w:tblW w:w="5000" w:type="pct"/>
        <w:tblLook w:val="04A0" w:firstRow="1" w:lastRow="0" w:firstColumn="1" w:lastColumn="0" w:noHBand="0" w:noVBand="1"/>
      </w:tblPr>
      <w:tblGrid>
        <w:gridCol w:w="467"/>
        <w:gridCol w:w="993"/>
        <w:gridCol w:w="1296"/>
        <w:gridCol w:w="1298"/>
        <w:gridCol w:w="1298"/>
        <w:gridCol w:w="1296"/>
        <w:gridCol w:w="1298"/>
        <w:gridCol w:w="1296"/>
      </w:tblGrid>
      <w:tr w:rsidR="00444375" w:rsidRPr="00934257" w14:paraId="37663C47" w14:textId="77777777" w:rsidTr="00444375">
        <w:trPr>
          <w:trHeight w:val="300"/>
        </w:trPr>
        <w:tc>
          <w:tcPr>
            <w:tcW w:w="791" w:type="pct"/>
            <w:gridSpan w:val="2"/>
            <w:tcBorders>
              <w:top w:val="nil"/>
              <w:left w:val="nil"/>
              <w:bottom w:val="nil"/>
              <w:right w:val="nil"/>
            </w:tcBorders>
            <w:shd w:val="clear" w:color="auto" w:fill="auto"/>
            <w:noWrap/>
            <w:vAlign w:val="bottom"/>
            <w:hideMark/>
          </w:tcPr>
          <w:p w14:paraId="711DAD2F" w14:textId="77777777" w:rsidR="00444375" w:rsidRPr="00D45CD8" w:rsidRDefault="00444375" w:rsidP="00444375">
            <w:pPr>
              <w:spacing w:after="0" w:line="240" w:lineRule="auto"/>
              <w:rPr>
                <w:rFonts w:ascii="Georgia" w:eastAsia="Times New Roman" w:hAnsi="Georgia" w:cs="Arial"/>
                <w:sz w:val="18"/>
                <w:szCs w:val="18"/>
              </w:rPr>
            </w:pPr>
          </w:p>
        </w:tc>
        <w:tc>
          <w:tcPr>
            <w:tcW w:w="4209" w:type="pct"/>
            <w:gridSpan w:val="6"/>
            <w:tcBorders>
              <w:top w:val="nil"/>
              <w:left w:val="nil"/>
              <w:bottom w:val="nil"/>
              <w:right w:val="nil"/>
            </w:tcBorders>
            <w:shd w:val="clear" w:color="000000" w:fill="FFEB9C"/>
            <w:noWrap/>
            <w:vAlign w:val="bottom"/>
            <w:hideMark/>
          </w:tcPr>
          <w:p w14:paraId="1A89E6C1"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Energijos sutaupymai (be subsidijos) </w:t>
            </w:r>
          </w:p>
        </w:tc>
      </w:tr>
      <w:tr w:rsidR="00444375" w:rsidRPr="00934257" w14:paraId="034777BE" w14:textId="77777777" w:rsidTr="00444375">
        <w:trPr>
          <w:trHeight w:val="255"/>
        </w:trPr>
        <w:tc>
          <w:tcPr>
            <w:tcW w:w="253" w:type="pct"/>
            <w:tcBorders>
              <w:top w:val="nil"/>
              <w:left w:val="nil"/>
              <w:bottom w:val="nil"/>
              <w:right w:val="nil"/>
            </w:tcBorders>
            <w:shd w:val="clear" w:color="auto" w:fill="auto"/>
            <w:noWrap/>
            <w:vAlign w:val="bottom"/>
            <w:hideMark/>
          </w:tcPr>
          <w:p w14:paraId="6823322D" w14:textId="77777777" w:rsidR="00444375" w:rsidRPr="00D45CD8" w:rsidRDefault="00444375" w:rsidP="00444375">
            <w:pPr>
              <w:spacing w:after="0" w:line="240" w:lineRule="auto"/>
              <w:jc w:val="center"/>
              <w:rPr>
                <w:rFonts w:ascii="Georgia" w:eastAsia="Times New Roman" w:hAnsi="Georgia" w:cs="Calibri"/>
                <w:color w:val="9C6500"/>
                <w:sz w:val="18"/>
                <w:szCs w:val="18"/>
              </w:rPr>
            </w:pPr>
          </w:p>
        </w:tc>
        <w:tc>
          <w:tcPr>
            <w:tcW w:w="538" w:type="pct"/>
            <w:tcBorders>
              <w:top w:val="nil"/>
              <w:left w:val="nil"/>
              <w:bottom w:val="nil"/>
              <w:right w:val="single" w:sz="4" w:space="0" w:color="auto"/>
            </w:tcBorders>
            <w:shd w:val="clear" w:color="auto" w:fill="auto"/>
            <w:noWrap/>
            <w:vAlign w:val="bottom"/>
            <w:hideMark/>
          </w:tcPr>
          <w:p w14:paraId="2948E601"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64 </w:t>
            </w:r>
          </w:p>
        </w:tc>
        <w:tc>
          <w:tcPr>
            <w:tcW w:w="701" w:type="pct"/>
            <w:tcBorders>
              <w:top w:val="single" w:sz="4" w:space="0" w:color="auto"/>
              <w:left w:val="single" w:sz="4" w:space="0" w:color="auto"/>
              <w:bottom w:val="nil"/>
              <w:right w:val="single" w:sz="4" w:space="0" w:color="auto"/>
            </w:tcBorders>
            <w:shd w:val="clear" w:color="auto" w:fill="auto"/>
            <w:noWrap/>
            <w:vAlign w:val="bottom"/>
            <w:hideMark/>
          </w:tcPr>
          <w:p w14:paraId="6CAC7F4A"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40%</w:t>
            </w:r>
          </w:p>
        </w:tc>
        <w:tc>
          <w:tcPr>
            <w:tcW w:w="702" w:type="pct"/>
            <w:tcBorders>
              <w:top w:val="nil"/>
              <w:left w:val="single" w:sz="4" w:space="0" w:color="auto"/>
              <w:bottom w:val="nil"/>
              <w:right w:val="single" w:sz="4" w:space="0" w:color="auto"/>
            </w:tcBorders>
            <w:shd w:val="clear" w:color="auto" w:fill="auto"/>
            <w:noWrap/>
            <w:vAlign w:val="bottom"/>
            <w:hideMark/>
          </w:tcPr>
          <w:p w14:paraId="309C2C4D"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45%</w:t>
            </w:r>
          </w:p>
        </w:tc>
        <w:tc>
          <w:tcPr>
            <w:tcW w:w="702" w:type="pct"/>
            <w:tcBorders>
              <w:top w:val="single" w:sz="4" w:space="0" w:color="auto"/>
              <w:left w:val="single" w:sz="4" w:space="0" w:color="auto"/>
              <w:bottom w:val="nil"/>
              <w:right w:val="nil"/>
            </w:tcBorders>
            <w:shd w:val="clear" w:color="auto" w:fill="auto"/>
            <w:noWrap/>
            <w:vAlign w:val="bottom"/>
            <w:hideMark/>
          </w:tcPr>
          <w:p w14:paraId="725C4788"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50%</w:t>
            </w:r>
          </w:p>
        </w:tc>
        <w:tc>
          <w:tcPr>
            <w:tcW w:w="701" w:type="pct"/>
            <w:tcBorders>
              <w:top w:val="single" w:sz="4" w:space="0" w:color="auto"/>
              <w:left w:val="nil"/>
              <w:bottom w:val="nil"/>
              <w:right w:val="single" w:sz="4" w:space="0" w:color="auto"/>
            </w:tcBorders>
            <w:shd w:val="clear" w:color="auto" w:fill="auto"/>
            <w:noWrap/>
            <w:vAlign w:val="bottom"/>
            <w:hideMark/>
          </w:tcPr>
          <w:p w14:paraId="59312A22"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55%</w:t>
            </w:r>
          </w:p>
        </w:tc>
        <w:tc>
          <w:tcPr>
            <w:tcW w:w="702" w:type="pct"/>
            <w:tcBorders>
              <w:top w:val="single" w:sz="4" w:space="0" w:color="auto"/>
              <w:left w:val="single" w:sz="4" w:space="0" w:color="auto"/>
              <w:bottom w:val="nil"/>
              <w:right w:val="single" w:sz="4" w:space="0" w:color="auto"/>
            </w:tcBorders>
            <w:shd w:val="clear" w:color="auto" w:fill="auto"/>
            <w:noWrap/>
            <w:vAlign w:val="bottom"/>
            <w:hideMark/>
          </w:tcPr>
          <w:p w14:paraId="4E2A52C3"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60%</w:t>
            </w:r>
          </w:p>
        </w:tc>
        <w:tc>
          <w:tcPr>
            <w:tcW w:w="701" w:type="pct"/>
            <w:tcBorders>
              <w:top w:val="nil"/>
              <w:left w:val="single" w:sz="4" w:space="0" w:color="auto"/>
              <w:bottom w:val="nil"/>
              <w:right w:val="nil"/>
            </w:tcBorders>
            <w:shd w:val="clear" w:color="auto" w:fill="auto"/>
            <w:noWrap/>
            <w:vAlign w:val="bottom"/>
            <w:hideMark/>
          </w:tcPr>
          <w:p w14:paraId="48B5D8B5"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65%</w:t>
            </w:r>
          </w:p>
        </w:tc>
      </w:tr>
      <w:tr w:rsidR="00444375" w:rsidRPr="00934257" w14:paraId="38914A80" w14:textId="77777777" w:rsidTr="00444375">
        <w:trPr>
          <w:trHeight w:val="255"/>
        </w:trPr>
        <w:tc>
          <w:tcPr>
            <w:tcW w:w="253" w:type="pct"/>
            <w:vMerge w:val="restart"/>
            <w:tcBorders>
              <w:top w:val="nil"/>
              <w:left w:val="nil"/>
              <w:bottom w:val="nil"/>
              <w:right w:val="nil"/>
            </w:tcBorders>
            <w:shd w:val="clear" w:color="000000" w:fill="FFEB9C"/>
            <w:noWrap/>
            <w:textDirection w:val="btLr"/>
            <w:vAlign w:val="center"/>
            <w:hideMark/>
          </w:tcPr>
          <w:p w14:paraId="67C95B49"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Šilumos kaina </w:t>
            </w:r>
          </w:p>
        </w:tc>
        <w:tc>
          <w:tcPr>
            <w:tcW w:w="538" w:type="pct"/>
            <w:tcBorders>
              <w:top w:val="nil"/>
              <w:left w:val="nil"/>
              <w:bottom w:val="single" w:sz="4" w:space="0" w:color="auto"/>
              <w:right w:val="single" w:sz="4" w:space="0" w:color="auto"/>
            </w:tcBorders>
            <w:shd w:val="clear" w:color="auto" w:fill="auto"/>
            <w:noWrap/>
            <w:vAlign w:val="bottom"/>
            <w:hideMark/>
          </w:tcPr>
          <w:p w14:paraId="32BFE041"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0,03 </w:t>
            </w:r>
          </w:p>
        </w:tc>
        <w:tc>
          <w:tcPr>
            <w:tcW w:w="701" w:type="pct"/>
            <w:tcBorders>
              <w:top w:val="nil"/>
              <w:left w:val="single" w:sz="4" w:space="0" w:color="auto"/>
              <w:bottom w:val="single" w:sz="4" w:space="0" w:color="auto"/>
              <w:right w:val="single" w:sz="4" w:space="0" w:color="auto"/>
            </w:tcBorders>
            <w:shd w:val="clear" w:color="auto" w:fill="auto"/>
            <w:noWrap/>
            <w:vAlign w:val="bottom"/>
            <w:hideMark/>
          </w:tcPr>
          <w:p w14:paraId="060AFB3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142,3 </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E53A85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112,4 </w:t>
            </w:r>
          </w:p>
        </w:tc>
        <w:tc>
          <w:tcPr>
            <w:tcW w:w="702" w:type="pct"/>
            <w:tcBorders>
              <w:top w:val="nil"/>
              <w:left w:val="single" w:sz="4" w:space="0" w:color="auto"/>
              <w:bottom w:val="single" w:sz="4" w:space="0" w:color="auto"/>
              <w:right w:val="nil"/>
            </w:tcBorders>
            <w:shd w:val="clear" w:color="auto" w:fill="auto"/>
            <w:noWrap/>
            <w:vAlign w:val="bottom"/>
            <w:hideMark/>
          </w:tcPr>
          <w:p w14:paraId="1A6E297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93,5 </w:t>
            </w:r>
          </w:p>
        </w:tc>
        <w:tc>
          <w:tcPr>
            <w:tcW w:w="701" w:type="pct"/>
            <w:tcBorders>
              <w:top w:val="nil"/>
              <w:left w:val="nil"/>
              <w:bottom w:val="single" w:sz="4" w:space="0" w:color="auto"/>
              <w:right w:val="single" w:sz="4" w:space="0" w:color="auto"/>
            </w:tcBorders>
            <w:shd w:val="clear" w:color="auto" w:fill="auto"/>
            <w:noWrap/>
            <w:vAlign w:val="bottom"/>
            <w:hideMark/>
          </w:tcPr>
          <w:p w14:paraId="0F3A5B1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80,4 </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CC4F0B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70,6 </w:t>
            </w:r>
          </w:p>
        </w:tc>
        <w:tc>
          <w:tcPr>
            <w:tcW w:w="701" w:type="pct"/>
            <w:tcBorders>
              <w:top w:val="nil"/>
              <w:left w:val="single" w:sz="4" w:space="0" w:color="auto"/>
              <w:bottom w:val="nil"/>
              <w:right w:val="nil"/>
            </w:tcBorders>
            <w:shd w:val="clear" w:color="auto" w:fill="auto"/>
            <w:noWrap/>
            <w:vAlign w:val="bottom"/>
            <w:hideMark/>
          </w:tcPr>
          <w:p w14:paraId="3A53B69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63,0 </w:t>
            </w:r>
          </w:p>
        </w:tc>
      </w:tr>
      <w:tr w:rsidR="00444375" w:rsidRPr="00934257" w14:paraId="46697009" w14:textId="77777777" w:rsidTr="00444375">
        <w:trPr>
          <w:trHeight w:val="255"/>
        </w:trPr>
        <w:tc>
          <w:tcPr>
            <w:tcW w:w="253" w:type="pct"/>
            <w:vMerge/>
            <w:tcBorders>
              <w:top w:val="nil"/>
              <w:left w:val="nil"/>
              <w:bottom w:val="nil"/>
              <w:right w:val="single" w:sz="4" w:space="0" w:color="auto"/>
            </w:tcBorders>
            <w:vAlign w:val="center"/>
            <w:hideMark/>
          </w:tcPr>
          <w:p w14:paraId="38E3E372"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692E"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0,05 </w:t>
            </w:r>
          </w:p>
        </w:tc>
        <w:tc>
          <w:tcPr>
            <w:tcW w:w="70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D64B83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64,1 </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F4A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54,6 </w:t>
            </w:r>
          </w:p>
        </w:tc>
        <w:tc>
          <w:tcPr>
            <w:tcW w:w="702" w:type="pct"/>
            <w:tcBorders>
              <w:top w:val="single" w:sz="4" w:space="0" w:color="auto"/>
              <w:left w:val="single" w:sz="4" w:space="0" w:color="auto"/>
              <w:bottom w:val="single" w:sz="4" w:space="0" w:color="auto"/>
              <w:right w:val="nil"/>
            </w:tcBorders>
            <w:shd w:val="clear" w:color="auto" w:fill="auto"/>
            <w:noWrap/>
            <w:vAlign w:val="bottom"/>
            <w:hideMark/>
          </w:tcPr>
          <w:p w14:paraId="02423AC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47,6 </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14:paraId="41D5C02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42,2 </w:t>
            </w:r>
          </w:p>
        </w:tc>
        <w:tc>
          <w:tcPr>
            <w:tcW w:w="70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0398C8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37,9 </w:t>
            </w:r>
          </w:p>
        </w:tc>
        <w:tc>
          <w:tcPr>
            <w:tcW w:w="701" w:type="pct"/>
            <w:tcBorders>
              <w:top w:val="nil"/>
              <w:left w:val="single" w:sz="4" w:space="0" w:color="auto"/>
              <w:bottom w:val="nil"/>
              <w:right w:val="nil"/>
            </w:tcBorders>
            <w:shd w:val="clear" w:color="auto" w:fill="auto"/>
            <w:noWrap/>
            <w:vAlign w:val="bottom"/>
            <w:hideMark/>
          </w:tcPr>
          <w:p w14:paraId="7AD1319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34,4 </w:t>
            </w:r>
          </w:p>
        </w:tc>
      </w:tr>
      <w:tr w:rsidR="00444375" w:rsidRPr="00934257" w14:paraId="2684DE61" w14:textId="77777777" w:rsidTr="00444375">
        <w:trPr>
          <w:trHeight w:val="255"/>
        </w:trPr>
        <w:tc>
          <w:tcPr>
            <w:tcW w:w="253" w:type="pct"/>
            <w:vMerge/>
            <w:tcBorders>
              <w:top w:val="nil"/>
              <w:left w:val="nil"/>
              <w:bottom w:val="nil"/>
              <w:right w:val="nil"/>
            </w:tcBorders>
            <w:vAlign w:val="center"/>
            <w:hideMark/>
          </w:tcPr>
          <w:p w14:paraId="55FBEA0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3C4CEEF2"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0,07 </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797C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42,1 </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5DC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36,5 </w:t>
            </w:r>
          </w:p>
        </w:tc>
        <w:tc>
          <w:tcPr>
            <w:tcW w:w="702" w:type="pct"/>
            <w:tcBorders>
              <w:top w:val="single" w:sz="4" w:space="0" w:color="auto"/>
              <w:left w:val="single" w:sz="4" w:space="0" w:color="auto"/>
              <w:bottom w:val="single" w:sz="4" w:space="0" w:color="auto"/>
              <w:right w:val="nil"/>
            </w:tcBorders>
            <w:shd w:val="clear" w:color="auto" w:fill="auto"/>
            <w:noWrap/>
            <w:vAlign w:val="bottom"/>
            <w:hideMark/>
          </w:tcPr>
          <w:p w14:paraId="1EA6628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32,2 </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14:paraId="701DD16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28,8 </w:t>
            </w:r>
          </w:p>
        </w:tc>
        <w:tc>
          <w:tcPr>
            <w:tcW w:w="702" w:type="pct"/>
            <w:tcBorders>
              <w:top w:val="single" w:sz="4" w:space="0" w:color="auto"/>
              <w:left w:val="single" w:sz="4" w:space="0" w:color="auto"/>
              <w:bottom w:val="nil"/>
              <w:right w:val="nil"/>
            </w:tcBorders>
            <w:shd w:val="clear" w:color="auto" w:fill="auto"/>
            <w:noWrap/>
            <w:vAlign w:val="bottom"/>
            <w:hideMark/>
          </w:tcPr>
          <w:p w14:paraId="42F6E41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26,0 </w:t>
            </w:r>
          </w:p>
        </w:tc>
        <w:tc>
          <w:tcPr>
            <w:tcW w:w="701" w:type="pct"/>
            <w:tcBorders>
              <w:top w:val="nil"/>
              <w:left w:val="nil"/>
              <w:bottom w:val="nil"/>
              <w:right w:val="nil"/>
            </w:tcBorders>
            <w:shd w:val="clear" w:color="auto" w:fill="auto"/>
            <w:noWrap/>
            <w:vAlign w:val="bottom"/>
            <w:hideMark/>
          </w:tcPr>
          <w:p w14:paraId="149801A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23,8 </w:t>
            </w:r>
          </w:p>
        </w:tc>
      </w:tr>
      <w:tr w:rsidR="00444375" w:rsidRPr="00934257" w14:paraId="44AE513F" w14:textId="77777777" w:rsidTr="00444375">
        <w:trPr>
          <w:trHeight w:val="255"/>
        </w:trPr>
        <w:tc>
          <w:tcPr>
            <w:tcW w:w="253" w:type="pct"/>
            <w:vMerge/>
            <w:tcBorders>
              <w:top w:val="nil"/>
              <w:left w:val="nil"/>
              <w:bottom w:val="nil"/>
              <w:right w:val="single" w:sz="4" w:space="0" w:color="auto"/>
            </w:tcBorders>
            <w:vAlign w:val="center"/>
            <w:hideMark/>
          </w:tcPr>
          <w:p w14:paraId="5254003C"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9E532"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0,09 </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AA27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31,4 </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8112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27,4 </w:t>
            </w:r>
          </w:p>
        </w:tc>
        <w:tc>
          <w:tcPr>
            <w:tcW w:w="702" w:type="pct"/>
            <w:tcBorders>
              <w:top w:val="single" w:sz="4" w:space="0" w:color="auto"/>
              <w:left w:val="single" w:sz="4" w:space="0" w:color="auto"/>
              <w:bottom w:val="single" w:sz="4" w:space="0" w:color="auto"/>
              <w:right w:val="nil"/>
            </w:tcBorders>
            <w:shd w:val="clear" w:color="auto" w:fill="FFC000"/>
            <w:noWrap/>
            <w:vAlign w:val="bottom"/>
            <w:hideMark/>
          </w:tcPr>
          <w:p w14:paraId="24F65E5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24,3 </w:t>
            </w:r>
          </w:p>
        </w:tc>
        <w:tc>
          <w:tcPr>
            <w:tcW w:w="701" w:type="pct"/>
            <w:tcBorders>
              <w:top w:val="single" w:sz="4" w:space="0" w:color="auto"/>
              <w:left w:val="nil"/>
              <w:bottom w:val="single" w:sz="4" w:space="0" w:color="auto"/>
              <w:right w:val="single" w:sz="4" w:space="0" w:color="auto"/>
            </w:tcBorders>
            <w:shd w:val="clear" w:color="auto" w:fill="FFC000"/>
            <w:noWrap/>
            <w:vAlign w:val="bottom"/>
            <w:hideMark/>
          </w:tcPr>
          <w:p w14:paraId="1A8E9F9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21,9 </w:t>
            </w:r>
          </w:p>
        </w:tc>
        <w:tc>
          <w:tcPr>
            <w:tcW w:w="702" w:type="pct"/>
            <w:tcBorders>
              <w:top w:val="nil"/>
              <w:left w:val="single" w:sz="4" w:space="0" w:color="auto"/>
              <w:bottom w:val="nil"/>
              <w:right w:val="nil"/>
            </w:tcBorders>
            <w:shd w:val="clear" w:color="auto" w:fill="auto"/>
            <w:noWrap/>
            <w:vAlign w:val="bottom"/>
            <w:hideMark/>
          </w:tcPr>
          <w:p w14:paraId="6C8DA8E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19,8 </w:t>
            </w:r>
          </w:p>
        </w:tc>
        <w:tc>
          <w:tcPr>
            <w:tcW w:w="701" w:type="pct"/>
            <w:tcBorders>
              <w:top w:val="nil"/>
              <w:left w:val="nil"/>
              <w:bottom w:val="nil"/>
              <w:right w:val="nil"/>
            </w:tcBorders>
            <w:shd w:val="clear" w:color="auto" w:fill="auto"/>
            <w:noWrap/>
            <w:vAlign w:val="bottom"/>
            <w:hideMark/>
          </w:tcPr>
          <w:p w14:paraId="11960E4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18,2 </w:t>
            </w:r>
          </w:p>
        </w:tc>
      </w:tr>
      <w:tr w:rsidR="00444375" w:rsidRPr="00934257" w14:paraId="61AE168C" w14:textId="77777777" w:rsidTr="00444375">
        <w:trPr>
          <w:trHeight w:val="255"/>
        </w:trPr>
        <w:tc>
          <w:tcPr>
            <w:tcW w:w="253" w:type="pct"/>
            <w:vMerge/>
            <w:tcBorders>
              <w:top w:val="nil"/>
              <w:left w:val="nil"/>
              <w:bottom w:val="nil"/>
              <w:right w:val="single" w:sz="4" w:space="0" w:color="auto"/>
            </w:tcBorders>
            <w:vAlign w:val="center"/>
            <w:hideMark/>
          </w:tcPr>
          <w:p w14:paraId="6E6FB21B"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095F1"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0,11 </w:t>
            </w:r>
          </w:p>
        </w:tc>
        <w:tc>
          <w:tcPr>
            <w:tcW w:w="70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D551A3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25,1 </w:t>
            </w:r>
          </w:p>
        </w:tc>
        <w:tc>
          <w:tcPr>
            <w:tcW w:w="702" w:type="pct"/>
            <w:tcBorders>
              <w:top w:val="single" w:sz="4" w:space="0" w:color="auto"/>
              <w:left w:val="single" w:sz="4" w:space="0" w:color="auto"/>
              <w:bottom w:val="nil"/>
              <w:right w:val="nil"/>
            </w:tcBorders>
            <w:shd w:val="clear" w:color="auto" w:fill="auto"/>
            <w:noWrap/>
            <w:vAlign w:val="bottom"/>
            <w:hideMark/>
          </w:tcPr>
          <w:p w14:paraId="74DA82E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22,0 </w:t>
            </w:r>
          </w:p>
        </w:tc>
        <w:tc>
          <w:tcPr>
            <w:tcW w:w="702" w:type="pct"/>
            <w:tcBorders>
              <w:top w:val="single" w:sz="4" w:space="0" w:color="auto"/>
              <w:left w:val="nil"/>
              <w:bottom w:val="nil"/>
              <w:right w:val="nil"/>
            </w:tcBorders>
            <w:shd w:val="clear" w:color="auto" w:fill="auto"/>
            <w:noWrap/>
            <w:vAlign w:val="bottom"/>
            <w:hideMark/>
          </w:tcPr>
          <w:p w14:paraId="7DDC74E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19,6 </w:t>
            </w:r>
          </w:p>
        </w:tc>
        <w:tc>
          <w:tcPr>
            <w:tcW w:w="701" w:type="pct"/>
            <w:tcBorders>
              <w:top w:val="single" w:sz="4" w:space="0" w:color="auto"/>
              <w:left w:val="nil"/>
              <w:bottom w:val="nil"/>
              <w:right w:val="nil"/>
            </w:tcBorders>
            <w:shd w:val="clear" w:color="auto" w:fill="auto"/>
            <w:noWrap/>
            <w:vAlign w:val="bottom"/>
            <w:hideMark/>
          </w:tcPr>
          <w:p w14:paraId="0D7E1A3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17,6 </w:t>
            </w:r>
          </w:p>
        </w:tc>
        <w:tc>
          <w:tcPr>
            <w:tcW w:w="702" w:type="pct"/>
            <w:tcBorders>
              <w:top w:val="nil"/>
              <w:left w:val="nil"/>
              <w:bottom w:val="nil"/>
              <w:right w:val="nil"/>
            </w:tcBorders>
            <w:shd w:val="clear" w:color="auto" w:fill="auto"/>
            <w:noWrap/>
            <w:vAlign w:val="bottom"/>
            <w:hideMark/>
          </w:tcPr>
          <w:p w14:paraId="39C158E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16,0 </w:t>
            </w:r>
          </w:p>
        </w:tc>
        <w:tc>
          <w:tcPr>
            <w:tcW w:w="701" w:type="pct"/>
            <w:tcBorders>
              <w:top w:val="nil"/>
              <w:left w:val="nil"/>
              <w:bottom w:val="nil"/>
              <w:right w:val="nil"/>
            </w:tcBorders>
            <w:shd w:val="clear" w:color="auto" w:fill="auto"/>
            <w:noWrap/>
            <w:vAlign w:val="bottom"/>
            <w:hideMark/>
          </w:tcPr>
          <w:p w14:paraId="497D298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14,7 </w:t>
            </w:r>
          </w:p>
        </w:tc>
      </w:tr>
      <w:tr w:rsidR="00444375" w:rsidRPr="00934257" w14:paraId="3D41EDF0" w14:textId="77777777" w:rsidTr="00444375">
        <w:trPr>
          <w:trHeight w:val="255"/>
        </w:trPr>
        <w:tc>
          <w:tcPr>
            <w:tcW w:w="253" w:type="pct"/>
            <w:vMerge/>
            <w:tcBorders>
              <w:top w:val="nil"/>
              <w:left w:val="nil"/>
              <w:bottom w:val="nil"/>
              <w:right w:val="nil"/>
            </w:tcBorders>
            <w:vAlign w:val="center"/>
            <w:hideMark/>
          </w:tcPr>
          <w:p w14:paraId="6EA3ED25"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nil"/>
              <w:bottom w:val="nil"/>
              <w:right w:val="nil"/>
            </w:tcBorders>
            <w:shd w:val="clear" w:color="auto" w:fill="auto"/>
            <w:noWrap/>
            <w:vAlign w:val="bottom"/>
            <w:hideMark/>
          </w:tcPr>
          <w:p w14:paraId="21CDA10D"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0,13 </w:t>
            </w:r>
          </w:p>
        </w:tc>
        <w:tc>
          <w:tcPr>
            <w:tcW w:w="701" w:type="pct"/>
            <w:tcBorders>
              <w:top w:val="single" w:sz="4" w:space="0" w:color="auto"/>
              <w:left w:val="nil"/>
              <w:bottom w:val="nil"/>
              <w:right w:val="nil"/>
            </w:tcBorders>
            <w:shd w:val="clear" w:color="auto" w:fill="auto"/>
            <w:noWrap/>
            <w:vAlign w:val="bottom"/>
            <w:hideMark/>
          </w:tcPr>
          <w:p w14:paraId="68A825E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20,9 </w:t>
            </w:r>
          </w:p>
        </w:tc>
        <w:tc>
          <w:tcPr>
            <w:tcW w:w="702" w:type="pct"/>
            <w:tcBorders>
              <w:top w:val="nil"/>
              <w:left w:val="nil"/>
              <w:bottom w:val="nil"/>
              <w:right w:val="nil"/>
            </w:tcBorders>
            <w:shd w:val="clear" w:color="auto" w:fill="auto"/>
            <w:noWrap/>
            <w:vAlign w:val="bottom"/>
            <w:hideMark/>
          </w:tcPr>
          <w:p w14:paraId="15C2A88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18,4 </w:t>
            </w:r>
          </w:p>
        </w:tc>
        <w:tc>
          <w:tcPr>
            <w:tcW w:w="702" w:type="pct"/>
            <w:tcBorders>
              <w:top w:val="nil"/>
              <w:left w:val="nil"/>
              <w:bottom w:val="nil"/>
              <w:right w:val="nil"/>
            </w:tcBorders>
            <w:shd w:val="clear" w:color="auto" w:fill="auto"/>
            <w:noWrap/>
            <w:vAlign w:val="bottom"/>
            <w:hideMark/>
          </w:tcPr>
          <w:p w14:paraId="67C8BAF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16,4 </w:t>
            </w:r>
          </w:p>
        </w:tc>
        <w:tc>
          <w:tcPr>
            <w:tcW w:w="701" w:type="pct"/>
            <w:tcBorders>
              <w:top w:val="nil"/>
              <w:left w:val="nil"/>
              <w:bottom w:val="nil"/>
              <w:right w:val="nil"/>
            </w:tcBorders>
            <w:shd w:val="clear" w:color="auto" w:fill="auto"/>
            <w:noWrap/>
            <w:vAlign w:val="bottom"/>
            <w:hideMark/>
          </w:tcPr>
          <w:p w14:paraId="1ABA0AE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14,8 </w:t>
            </w:r>
          </w:p>
        </w:tc>
        <w:tc>
          <w:tcPr>
            <w:tcW w:w="702" w:type="pct"/>
            <w:tcBorders>
              <w:top w:val="nil"/>
              <w:left w:val="nil"/>
              <w:bottom w:val="nil"/>
              <w:right w:val="nil"/>
            </w:tcBorders>
            <w:shd w:val="clear" w:color="auto" w:fill="auto"/>
            <w:noWrap/>
            <w:vAlign w:val="bottom"/>
            <w:hideMark/>
          </w:tcPr>
          <w:p w14:paraId="6E40D99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13,4 </w:t>
            </w:r>
          </w:p>
        </w:tc>
        <w:tc>
          <w:tcPr>
            <w:tcW w:w="701" w:type="pct"/>
            <w:tcBorders>
              <w:top w:val="nil"/>
              <w:left w:val="nil"/>
              <w:bottom w:val="nil"/>
              <w:right w:val="nil"/>
            </w:tcBorders>
            <w:shd w:val="clear" w:color="auto" w:fill="auto"/>
            <w:noWrap/>
            <w:vAlign w:val="bottom"/>
            <w:hideMark/>
          </w:tcPr>
          <w:p w14:paraId="48E967D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12,3 </w:t>
            </w:r>
          </w:p>
        </w:tc>
      </w:tr>
      <w:tr w:rsidR="00444375" w:rsidRPr="00934257" w14:paraId="308F5B21" w14:textId="77777777" w:rsidTr="00444375">
        <w:trPr>
          <w:trHeight w:val="255"/>
        </w:trPr>
        <w:tc>
          <w:tcPr>
            <w:tcW w:w="253" w:type="pct"/>
            <w:vMerge/>
            <w:tcBorders>
              <w:top w:val="nil"/>
              <w:left w:val="nil"/>
              <w:bottom w:val="nil"/>
              <w:right w:val="nil"/>
            </w:tcBorders>
            <w:vAlign w:val="center"/>
            <w:hideMark/>
          </w:tcPr>
          <w:p w14:paraId="2551DE9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50D41400"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0,15 </w:t>
            </w:r>
          </w:p>
        </w:tc>
        <w:tc>
          <w:tcPr>
            <w:tcW w:w="701" w:type="pct"/>
            <w:tcBorders>
              <w:top w:val="nil"/>
              <w:left w:val="nil"/>
              <w:bottom w:val="nil"/>
              <w:right w:val="nil"/>
            </w:tcBorders>
            <w:shd w:val="clear" w:color="auto" w:fill="auto"/>
            <w:noWrap/>
            <w:vAlign w:val="bottom"/>
            <w:hideMark/>
          </w:tcPr>
          <w:p w14:paraId="73102E1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17,9 </w:t>
            </w:r>
          </w:p>
        </w:tc>
        <w:tc>
          <w:tcPr>
            <w:tcW w:w="702" w:type="pct"/>
            <w:tcBorders>
              <w:top w:val="nil"/>
              <w:left w:val="nil"/>
              <w:bottom w:val="nil"/>
              <w:right w:val="nil"/>
            </w:tcBorders>
            <w:shd w:val="clear" w:color="auto" w:fill="auto"/>
            <w:noWrap/>
            <w:vAlign w:val="bottom"/>
            <w:hideMark/>
          </w:tcPr>
          <w:p w14:paraId="4EC556B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15,8 </w:t>
            </w:r>
          </w:p>
        </w:tc>
        <w:tc>
          <w:tcPr>
            <w:tcW w:w="702" w:type="pct"/>
            <w:tcBorders>
              <w:top w:val="nil"/>
              <w:left w:val="nil"/>
              <w:bottom w:val="nil"/>
              <w:right w:val="nil"/>
            </w:tcBorders>
            <w:shd w:val="clear" w:color="auto" w:fill="auto"/>
            <w:noWrap/>
            <w:vAlign w:val="bottom"/>
            <w:hideMark/>
          </w:tcPr>
          <w:p w14:paraId="039C780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14,1 </w:t>
            </w:r>
          </w:p>
        </w:tc>
        <w:tc>
          <w:tcPr>
            <w:tcW w:w="701" w:type="pct"/>
            <w:tcBorders>
              <w:top w:val="nil"/>
              <w:left w:val="nil"/>
              <w:bottom w:val="nil"/>
              <w:right w:val="nil"/>
            </w:tcBorders>
            <w:shd w:val="clear" w:color="auto" w:fill="auto"/>
            <w:noWrap/>
            <w:vAlign w:val="bottom"/>
            <w:hideMark/>
          </w:tcPr>
          <w:p w14:paraId="24B5A4A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12,7 </w:t>
            </w:r>
          </w:p>
        </w:tc>
        <w:tc>
          <w:tcPr>
            <w:tcW w:w="702" w:type="pct"/>
            <w:tcBorders>
              <w:top w:val="nil"/>
              <w:left w:val="nil"/>
              <w:bottom w:val="nil"/>
              <w:right w:val="nil"/>
            </w:tcBorders>
            <w:shd w:val="clear" w:color="auto" w:fill="auto"/>
            <w:noWrap/>
            <w:vAlign w:val="bottom"/>
            <w:hideMark/>
          </w:tcPr>
          <w:p w14:paraId="677B253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11,6 </w:t>
            </w:r>
          </w:p>
        </w:tc>
        <w:tc>
          <w:tcPr>
            <w:tcW w:w="701" w:type="pct"/>
            <w:tcBorders>
              <w:top w:val="nil"/>
              <w:left w:val="nil"/>
              <w:bottom w:val="nil"/>
              <w:right w:val="nil"/>
            </w:tcBorders>
            <w:shd w:val="clear" w:color="auto" w:fill="auto"/>
            <w:noWrap/>
            <w:vAlign w:val="bottom"/>
            <w:hideMark/>
          </w:tcPr>
          <w:p w14:paraId="7A4E7FF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10,6 </w:t>
            </w:r>
          </w:p>
        </w:tc>
      </w:tr>
      <w:tr w:rsidR="00444375" w:rsidRPr="00934257" w14:paraId="738ADAF6" w14:textId="77777777" w:rsidTr="00444375">
        <w:trPr>
          <w:trHeight w:val="255"/>
        </w:trPr>
        <w:tc>
          <w:tcPr>
            <w:tcW w:w="253" w:type="pct"/>
            <w:vMerge/>
            <w:tcBorders>
              <w:top w:val="nil"/>
              <w:left w:val="nil"/>
              <w:bottom w:val="nil"/>
              <w:right w:val="nil"/>
            </w:tcBorders>
            <w:vAlign w:val="center"/>
            <w:hideMark/>
          </w:tcPr>
          <w:p w14:paraId="06A7D057"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6EF05ACA"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0,17 </w:t>
            </w:r>
          </w:p>
        </w:tc>
        <w:tc>
          <w:tcPr>
            <w:tcW w:w="701" w:type="pct"/>
            <w:tcBorders>
              <w:top w:val="nil"/>
              <w:left w:val="nil"/>
              <w:bottom w:val="nil"/>
              <w:right w:val="nil"/>
            </w:tcBorders>
            <w:shd w:val="clear" w:color="auto" w:fill="auto"/>
            <w:noWrap/>
            <w:vAlign w:val="bottom"/>
            <w:hideMark/>
          </w:tcPr>
          <w:p w14:paraId="15D7F8A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15,7 </w:t>
            </w:r>
          </w:p>
        </w:tc>
        <w:tc>
          <w:tcPr>
            <w:tcW w:w="702" w:type="pct"/>
            <w:tcBorders>
              <w:top w:val="nil"/>
              <w:left w:val="nil"/>
              <w:bottom w:val="nil"/>
              <w:right w:val="nil"/>
            </w:tcBorders>
            <w:shd w:val="clear" w:color="auto" w:fill="auto"/>
            <w:noWrap/>
            <w:vAlign w:val="bottom"/>
            <w:hideMark/>
          </w:tcPr>
          <w:p w14:paraId="196A456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13,8 </w:t>
            </w:r>
          </w:p>
        </w:tc>
        <w:tc>
          <w:tcPr>
            <w:tcW w:w="702" w:type="pct"/>
            <w:tcBorders>
              <w:top w:val="nil"/>
              <w:left w:val="nil"/>
              <w:bottom w:val="nil"/>
              <w:right w:val="nil"/>
            </w:tcBorders>
            <w:shd w:val="clear" w:color="auto" w:fill="auto"/>
            <w:noWrap/>
            <w:vAlign w:val="bottom"/>
            <w:hideMark/>
          </w:tcPr>
          <w:p w14:paraId="1CF659FD"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12,3 </w:t>
            </w:r>
          </w:p>
        </w:tc>
        <w:tc>
          <w:tcPr>
            <w:tcW w:w="701" w:type="pct"/>
            <w:tcBorders>
              <w:top w:val="nil"/>
              <w:left w:val="nil"/>
              <w:bottom w:val="nil"/>
              <w:right w:val="nil"/>
            </w:tcBorders>
            <w:shd w:val="clear" w:color="auto" w:fill="auto"/>
            <w:noWrap/>
            <w:vAlign w:val="bottom"/>
            <w:hideMark/>
          </w:tcPr>
          <w:p w14:paraId="31E70E4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11,2 </w:t>
            </w:r>
          </w:p>
        </w:tc>
        <w:tc>
          <w:tcPr>
            <w:tcW w:w="702" w:type="pct"/>
            <w:tcBorders>
              <w:top w:val="nil"/>
              <w:left w:val="nil"/>
              <w:bottom w:val="nil"/>
              <w:right w:val="nil"/>
            </w:tcBorders>
            <w:shd w:val="clear" w:color="auto" w:fill="auto"/>
            <w:noWrap/>
            <w:vAlign w:val="bottom"/>
            <w:hideMark/>
          </w:tcPr>
          <w:p w14:paraId="081AE188"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10,2 </w:t>
            </w:r>
          </w:p>
        </w:tc>
        <w:tc>
          <w:tcPr>
            <w:tcW w:w="701" w:type="pct"/>
            <w:tcBorders>
              <w:top w:val="nil"/>
              <w:left w:val="nil"/>
              <w:bottom w:val="nil"/>
              <w:right w:val="nil"/>
            </w:tcBorders>
            <w:shd w:val="clear" w:color="auto" w:fill="auto"/>
            <w:noWrap/>
            <w:vAlign w:val="bottom"/>
            <w:hideMark/>
          </w:tcPr>
          <w:p w14:paraId="0A4AD2E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hAnsi="Georgia" w:cs="Arial"/>
                <w:sz w:val="18"/>
                <w:szCs w:val="18"/>
              </w:rPr>
              <w:t xml:space="preserve">         9,4 </w:t>
            </w:r>
          </w:p>
        </w:tc>
      </w:tr>
    </w:tbl>
    <w:p w14:paraId="30FEFBCA" w14:textId="77777777" w:rsidR="00444375" w:rsidRPr="00D45CD8" w:rsidRDefault="00444375" w:rsidP="00444375">
      <w:pPr>
        <w:jc w:val="both"/>
        <w:rPr>
          <w:rFonts w:ascii="Georgia" w:hAnsi="Georgia"/>
          <w:sz w:val="18"/>
          <w:szCs w:val="18"/>
          <w:lang w:val="lt-LT"/>
        </w:rPr>
      </w:pPr>
    </w:p>
    <w:p w14:paraId="410E47EE" w14:textId="77777777" w:rsidR="00444375" w:rsidRPr="00DF3A8E" w:rsidRDefault="00444375" w:rsidP="00444375">
      <w:pPr>
        <w:jc w:val="both"/>
        <w:rPr>
          <w:rFonts w:ascii="Georgia" w:hAnsi="Georgia"/>
          <w:sz w:val="20"/>
          <w:lang w:val="lt-LT"/>
        </w:rPr>
      </w:pPr>
      <w:r>
        <w:rPr>
          <w:rFonts w:ascii="Georgia" w:hAnsi="Georgia"/>
          <w:sz w:val="20"/>
          <w:lang w:val="lt-LT"/>
        </w:rPr>
        <w:t>Aukščiau pateiktoje lentelėje matyti santykis tarp energijos sutaupymų ir energijos kainos, kai projektams nėra teikiama 40 proc. subsidija. Pagal pateiktus duomenis matyti, kad tipiniai viešųjų pastatų</w:t>
      </w:r>
      <w:r w:rsidRPr="00DF3A8E">
        <w:rPr>
          <w:rFonts w:ascii="Georgia" w:hAnsi="Georgia"/>
          <w:sz w:val="20"/>
          <w:lang w:val="lt-LT"/>
        </w:rPr>
        <w:t xml:space="preserve"> renovacijo</w:t>
      </w:r>
      <w:r>
        <w:rPr>
          <w:rFonts w:ascii="Georgia" w:hAnsi="Georgia"/>
          <w:sz w:val="20"/>
          <w:lang w:val="lt-LT"/>
        </w:rPr>
        <w:t>s</w:t>
      </w:r>
      <w:r w:rsidRPr="00DF3A8E">
        <w:rPr>
          <w:rFonts w:ascii="Georgia" w:hAnsi="Georgia"/>
          <w:sz w:val="20"/>
          <w:lang w:val="lt-LT"/>
        </w:rPr>
        <w:t xml:space="preserve"> projektai</w:t>
      </w:r>
      <w:r>
        <w:rPr>
          <w:rFonts w:ascii="Georgia" w:hAnsi="Georgia"/>
          <w:sz w:val="20"/>
          <w:lang w:val="lt-LT"/>
        </w:rPr>
        <w:t>,</w:t>
      </w:r>
      <w:r w:rsidRPr="00DF3A8E">
        <w:rPr>
          <w:rFonts w:ascii="Georgia" w:hAnsi="Georgia"/>
          <w:sz w:val="20"/>
          <w:lang w:val="lt-LT"/>
        </w:rPr>
        <w:t xml:space="preserve"> sutaupant 40 proc. šilumos energijos, tik kainai esant 0,</w:t>
      </w:r>
      <w:r>
        <w:rPr>
          <w:rFonts w:ascii="Georgia" w:hAnsi="Georgia"/>
          <w:sz w:val="20"/>
          <w:lang w:val="lt-LT"/>
        </w:rPr>
        <w:t>1</w:t>
      </w:r>
      <w:r>
        <w:rPr>
          <w:rFonts w:ascii="Georgia" w:hAnsi="Georgia"/>
          <w:sz w:val="20"/>
        </w:rPr>
        <w:t>1</w:t>
      </w:r>
      <w:r w:rsidRPr="00DF3A8E">
        <w:rPr>
          <w:rFonts w:ascii="Georgia" w:hAnsi="Georgia"/>
          <w:sz w:val="20"/>
          <w:lang w:val="lt-LT"/>
        </w:rPr>
        <w:t xml:space="preserve"> </w:t>
      </w:r>
      <w:r>
        <w:rPr>
          <w:rFonts w:ascii="Georgia" w:hAnsi="Georgia"/>
          <w:sz w:val="20"/>
          <w:lang w:val="lt-LT"/>
        </w:rPr>
        <w:t>EUR</w:t>
      </w:r>
      <w:r w:rsidRPr="00DF3A8E">
        <w:rPr>
          <w:rFonts w:ascii="Georgia" w:hAnsi="Georgia"/>
          <w:sz w:val="20"/>
          <w:lang w:val="lt-LT"/>
        </w:rPr>
        <w:t xml:space="preserve">/kWh atsipirktų per </w:t>
      </w:r>
      <w:r>
        <w:rPr>
          <w:rFonts w:ascii="Georgia" w:hAnsi="Georgia"/>
          <w:sz w:val="20"/>
          <w:lang w:val="lt-LT"/>
        </w:rPr>
        <w:t>25,1</w:t>
      </w:r>
      <w:r w:rsidRPr="00DF3A8E">
        <w:rPr>
          <w:rFonts w:ascii="Georgia" w:hAnsi="Georgia"/>
          <w:sz w:val="20"/>
          <w:lang w:val="lt-LT"/>
        </w:rPr>
        <w:t xml:space="preserve"> met</w:t>
      </w:r>
      <w:r>
        <w:rPr>
          <w:rFonts w:ascii="Georgia" w:hAnsi="Georgia"/>
          <w:sz w:val="20"/>
          <w:lang w:val="lt-LT"/>
        </w:rPr>
        <w:t>us</w:t>
      </w:r>
      <w:r w:rsidRPr="00DF3A8E">
        <w:rPr>
          <w:rFonts w:ascii="Georgia" w:hAnsi="Georgia"/>
          <w:sz w:val="20"/>
          <w:lang w:val="lt-LT"/>
        </w:rPr>
        <w:t>.</w:t>
      </w:r>
      <w:r>
        <w:rPr>
          <w:rFonts w:ascii="Georgia" w:hAnsi="Georgia"/>
          <w:sz w:val="20"/>
          <w:lang w:val="lt-LT"/>
        </w:rPr>
        <w:t xml:space="preserve"> Taip pat, siekiant kad projektas atsipirktų per maždaug 2</w:t>
      </w:r>
      <w:r>
        <w:rPr>
          <w:rFonts w:ascii="Georgia" w:hAnsi="Georgia"/>
          <w:sz w:val="20"/>
        </w:rPr>
        <w:t>5</w:t>
      </w:r>
      <w:r>
        <w:rPr>
          <w:rFonts w:ascii="Georgia" w:hAnsi="Georgia"/>
          <w:sz w:val="20"/>
          <w:lang w:val="lt-LT"/>
        </w:rPr>
        <w:t xml:space="preserve"> m. laikotarpį energijos kainai esant 0,09 ct/kWh, projektas turėtų pasiekti 50-55 proc. sutaupymus. Jei energijos kaina atitiks šios ex ante dalies prielaidas, projektai be subsidijos atsipirks per 64,1 metus</w:t>
      </w:r>
      <w:r w:rsidRPr="00DF3A8E">
        <w:rPr>
          <w:rFonts w:ascii="Georgia" w:hAnsi="Georgia"/>
          <w:sz w:val="20"/>
          <w:lang w:val="lt-LT"/>
        </w:rPr>
        <w:t>.</w:t>
      </w:r>
      <w:r>
        <w:rPr>
          <w:rFonts w:ascii="Georgia" w:hAnsi="Georgia"/>
          <w:sz w:val="20"/>
          <w:lang w:val="lt-LT"/>
        </w:rPr>
        <w:t xml:space="preserve"> </w:t>
      </w:r>
      <w:r w:rsidRPr="000C5B2D">
        <w:rPr>
          <w:rFonts w:ascii="Georgia" w:hAnsi="Georgia"/>
          <w:sz w:val="20"/>
          <w:lang w:val="lt-LT"/>
        </w:rPr>
        <w:t>Tačiau jei sutaupymai siektų apie 60% kaip ir daugiabučių namų atveju, tada atspirkimo laikotarpis sumažėtų iki 37,9 metų.</w:t>
      </w:r>
    </w:p>
    <w:p w14:paraId="5BEA3D3E" w14:textId="09C08335" w:rsidR="00361F6D" w:rsidRDefault="00444375" w:rsidP="00444375">
      <w:pPr>
        <w:jc w:val="both"/>
        <w:rPr>
          <w:rFonts w:ascii="Georgia" w:hAnsi="Georgia"/>
          <w:sz w:val="20"/>
          <w:lang w:val="lt-LT"/>
        </w:rPr>
      </w:pPr>
      <w:r w:rsidRPr="00DF3A8E">
        <w:rPr>
          <w:rFonts w:ascii="Georgia" w:hAnsi="Georgia"/>
          <w:sz w:val="20"/>
          <w:lang w:val="lt-LT"/>
        </w:rPr>
        <w:t xml:space="preserve">Žemiau pateiktoje jautrumo analizės </w:t>
      </w:r>
      <w:r w:rsidRPr="00C16595">
        <w:rPr>
          <w:rFonts w:ascii="Georgia" w:hAnsi="Georgia"/>
          <w:sz w:val="20"/>
          <w:lang w:val="lt-LT"/>
        </w:rPr>
        <w:t xml:space="preserve">lentelėje </w:t>
      </w:r>
      <w:r w:rsidRPr="00DF3A8E">
        <w:rPr>
          <w:rFonts w:ascii="Georgia" w:hAnsi="Georgia"/>
          <w:sz w:val="20"/>
          <w:lang w:val="lt-LT"/>
        </w:rPr>
        <w:t>analizuojamas santykis tarp energijos kainos ir subsidijos elemento</w:t>
      </w:r>
      <w:r>
        <w:rPr>
          <w:rFonts w:ascii="Georgia" w:hAnsi="Georgia"/>
          <w:sz w:val="20"/>
          <w:lang w:val="lt-LT"/>
        </w:rPr>
        <w:t>.</w:t>
      </w:r>
    </w:p>
    <w:p w14:paraId="39764060" w14:textId="77777777" w:rsidR="00361F6D" w:rsidRDefault="00361F6D">
      <w:pPr>
        <w:rPr>
          <w:rFonts w:ascii="Georgia" w:hAnsi="Georgia"/>
          <w:sz w:val="20"/>
          <w:lang w:val="lt-LT"/>
        </w:rPr>
      </w:pPr>
      <w:r>
        <w:rPr>
          <w:rFonts w:ascii="Georgia" w:hAnsi="Georgia"/>
          <w:sz w:val="20"/>
          <w:lang w:val="lt-LT"/>
        </w:rPr>
        <w:br w:type="page"/>
      </w:r>
    </w:p>
    <w:p w14:paraId="09E74EA3" w14:textId="77777777" w:rsidR="00444375" w:rsidRDefault="00444375" w:rsidP="00444375">
      <w:pPr>
        <w:jc w:val="both"/>
        <w:rPr>
          <w:rFonts w:ascii="Georgia" w:hAnsi="Georgia"/>
          <w:sz w:val="20"/>
          <w:lang w:val="lt-LT"/>
        </w:rPr>
      </w:pPr>
    </w:p>
    <w:p w14:paraId="443C4DD0" w14:textId="69846367" w:rsidR="00444375" w:rsidRPr="005A1A99" w:rsidRDefault="00444375" w:rsidP="00444375">
      <w:pPr>
        <w:pStyle w:val="Antrat"/>
        <w:jc w:val="both"/>
        <w:rPr>
          <w:b w:val="0"/>
          <w:i/>
          <w:lang w:val="lt-LT"/>
        </w:rPr>
      </w:pPr>
      <w:bookmarkStart w:id="173" w:name="_Toc503193908"/>
      <w:bookmarkStart w:id="174" w:name="_Toc507939171"/>
      <w:r w:rsidRPr="005A1A99">
        <w:rPr>
          <w:b w:val="0"/>
          <w:i/>
          <w:lang w:val="lt-LT"/>
        </w:rPr>
        <w:t xml:space="preserve">Lentelė </w:t>
      </w:r>
      <w:r w:rsidRPr="005A1A99">
        <w:rPr>
          <w:b w:val="0"/>
          <w:i/>
          <w:lang w:val="lt-LT"/>
        </w:rPr>
        <w:fldChar w:fldCharType="begin"/>
      </w:r>
      <w:r w:rsidRPr="005A1A99">
        <w:rPr>
          <w:b w:val="0"/>
          <w:i/>
          <w:lang w:val="lt-LT"/>
        </w:rPr>
        <w:instrText xml:space="preserve"> SEQ Lentelė \* ARABIC </w:instrText>
      </w:r>
      <w:r w:rsidRPr="005A1A99">
        <w:rPr>
          <w:b w:val="0"/>
          <w:i/>
          <w:lang w:val="lt-LT"/>
        </w:rPr>
        <w:fldChar w:fldCharType="separate"/>
      </w:r>
      <w:r w:rsidR="009652A6">
        <w:rPr>
          <w:b w:val="0"/>
          <w:i/>
          <w:noProof/>
          <w:lang w:val="lt-LT"/>
        </w:rPr>
        <w:t>49</w:t>
      </w:r>
      <w:r w:rsidRPr="005A1A99">
        <w:rPr>
          <w:b w:val="0"/>
          <w:i/>
          <w:lang w:val="lt-LT"/>
        </w:rPr>
        <w:fldChar w:fldCharType="end"/>
      </w:r>
      <w:r w:rsidRPr="005A1A99">
        <w:rPr>
          <w:b w:val="0"/>
          <w:i/>
          <w:lang w:val="lt-LT"/>
        </w:rPr>
        <w:t>. Energijos kainos (EUR/kWh) ir subsidijos elemento santykio analizė</w:t>
      </w:r>
      <w:bookmarkEnd w:id="173"/>
      <w:bookmarkEnd w:id="174"/>
    </w:p>
    <w:tbl>
      <w:tblPr>
        <w:tblW w:w="0" w:type="auto"/>
        <w:tblLayout w:type="fixed"/>
        <w:tblLook w:val="04A0" w:firstRow="1" w:lastRow="0" w:firstColumn="1" w:lastColumn="0" w:noHBand="0" w:noVBand="1"/>
      </w:tblPr>
      <w:tblGrid>
        <w:gridCol w:w="491"/>
        <w:gridCol w:w="995"/>
        <w:gridCol w:w="1258"/>
        <w:gridCol w:w="1259"/>
        <w:gridCol w:w="1259"/>
        <w:gridCol w:w="1259"/>
        <w:gridCol w:w="1259"/>
        <w:gridCol w:w="1259"/>
      </w:tblGrid>
      <w:tr w:rsidR="00444375" w:rsidRPr="00934257" w14:paraId="7B3C47A1" w14:textId="77777777" w:rsidTr="00444375">
        <w:trPr>
          <w:trHeight w:val="300"/>
        </w:trPr>
        <w:tc>
          <w:tcPr>
            <w:tcW w:w="1486" w:type="dxa"/>
            <w:gridSpan w:val="2"/>
            <w:tcBorders>
              <w:top w:val="nil"/>
              <w:left w:val="nil"/>
              <w:bottom w:val="nil"/>
              <w:right w:val="nil"/>
            </w:tcBorders>
            <w:shd w:val="clear" w:color="auto" w:fill="auto"/>
            <w:noWrap/>
            <w:vAlign w:val="bottom"/>
            <w:hideMark/>
          </w:tcPr>
          <w:p w14:paraId="5881F9AE" w14:textId="77777777" w:rsidR="00444375" w:rsidRPr="00D45CD8" w:rsidRDefault="00444375" w:rsidP="00444375">
            <w:pPr>
              <w:spacing w:after="0" w:line="240" w:lineRule="auto"/>
              <w:rPr>
                <w:rFonts w:ascii="Georgia" w:eastAsia="Times New Roman" w:hAnsi="Georgia" w:cs="Arial"/>
                <w:sz w:val="18"/>
                <w:szCs w:val="18"/>
              </w:rPr>
            </w:pPr>
          </w:p>
        </w:tc>
        <w:tc>
          <w:tcPr>
            <w:tcW w:w="7553" w:type="dxa"/>
            <w:gridSpan w:val="6"/>
            <w:tcBorders>
              <w:top w:val="nil"/>
              <w:left w:val="nil"/>
              <w:bottom w:val="nil"/>
              <w:right w:val="nil"/>
            </w:tcBorders>
            <w:shd w:val="clear" w:color="000000" w:fill="FFEB9C"/>
            <w:noWrap/>
            <w:vAlign w:val="bottom"/>
            <w:hideMark/>
          </w:tcPr>
          <w:p w14:paraId="0D546F3E"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Subsidija </w:t>
            </w:r>
          </w:p>
        </w:tc>
      </w:tr>
      <w:tr w:rsidR="00444375" w:rsidRPr="00934257" w14:paraId="1CAD2111" w14:textId="77777777" w:rsidTr="00444375">
        <w:trPr>
          <w:trHeight w:val="255"/>
        </w:trPr>
        <w:tc>
          <w:tcPr>
            <w:tcW w:w="491" w:type="dxa"/>
            <w:tcBorders>
              <w:top w:val="nil"/>
              <w:left w:val="nil"/>
              <w:bottom w:val="nil"/>
              <w:right w:val="nil"/>
            </w:tcBorders>
            <w:shd w:val="clear" w:color="auto" w:fill="auto"/>
            <w:noWrap/>
            <w:vAlign w:val="bottom"/>
            <w:hideMark/>
          </w:tcPr>
          <w:p w14:paraId="5294EED6" w14:textId="77777777" w:rsidR="00444375" w:rsidRPr="00D45CD8" w:rsidRDefault="00444375" w:rsidP="00444375">
            <w:pPr>
              <w:spacing w:after="0" w:line="240" w:lineRule="auto"/>
              <w:jc w:val="center"/>
              <w:rPr>
                <w:rFonts w:ascii="Georgia" w:eastAsia="Times New Roman" w:hAnsi="Georgia" w:cs="Calibri"/>
                <w:color w:val="9C6500"/>
                <w:sz w:val="18"/>
                <w:szCs w:val="18"/>
              </w:rPr>
            </w:pPr>
          </w:p>
        </w:tc>
        <w:tc>
          <w:tcPr>
            <w:tcW w:w="995" w:type="dxa"/>
            <w:tcBorders>
              <w:top w:val="nil"/>
              <w:left w:val="nil"/>
              <w:bottom w:val="nil"/>
              <w:right w:val="single" w:sz="4" w:space="0" w:color="auto"/>
            </w:tcBorders>
            <w:shd w:val="clear" w:color="auto" w:fill="auto"/>
            <w:noWrap/>
            <w:vAlign w:val="bottom"/>
            <w:hideMark/>
          </w:tcPr>
          <w:p w14:paraId="369B719E"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64 </w:t>
            </w:r>
          </w:p>
        </w:tc>
        <w:tc>
          <w:tcPr>
            <w:tcW w:w="1258" w:type="dxa"/>
            <w:tcBorders>
              <w:top w:val="single" w:sz="4" w:space="0" w:color="auto"/>
              <w:left w:val="single" w:sz="4" w:space="0" w:color="auto"/>
              <w:bottom w:val="nil"/>
              <w:right w:val="single" w:sz="4" w:space="0" w:color="auto"/>
            </w:tcBorders>
            <w:shd w:val="clear" w:color="auto" w:fill="auto"/>
            <w:noWrap/>
            <w:vAlign w:val="bottom"/>
            <w:hideMark/>
          </w:tcPr>
          <w:p w14:paraId="04628721"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40%</w:t>
            </w:r>
          </w:p>
        </w:tc>
        <w:tc>
          <w:tcPr>
            <w:tcW w:w="1259" w:type="dxa"/>
            <w:tcBorders>
              <w:top w:val="nil"/>
              <w:left w:val="single" w:sz="4" w:space="0" w:color="auto"/>
              <w:bottom w:val="nil"/>
              <w:right w:val="nil"/>
            </w:tcBorders>
            <w:shd w:val="clear" w:color="auto" w:fill="auto"/>
            <w:noWrap/>
            <w:vAlign w:val="bottom"/>
            <w:hideMark/>
          </w:tcPr>
          <w:p w14:paraId="52E6B077"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45%</w:t>
            </w:r>
          </w:p>
        </w:tc>
        <w:tc>
          <w:tcPr>
            <w:tcW w:w="1259" w:type="dxa"/>
            <w:tcBorders>
              <w:top w:val="nil"/>
              <w:left w:val="nil"/>
              <w:bottom w:val="nil"/>
              <w:right w:val="nil"/>
            </w:tcBorders>
            <w:shd w:val="clear" w:color="auto" w:fill="auto"/>
            <w:noWrap/>
            <w:vAlign w:val="bottom"/>
            <w:hideMark/>
          </w:tcPr>
          <w:p w14:paraId="770C96E6"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50%</w:t>
            </w:r>
          </w:p>
        </w:tc>
        <w:tc>
          <w:tcPr>
            <w:tcW w:w="1259" w:type="dxa"/>
            <w:tcBorders>
              <w:top w:val="nil"/>
              <w:left w:val="nil"/>
              <w:bottom w:val="nil"/>
              <w:right w:val="nil"/>
            </w:tcBorders>
            <w:shd w:val="clear" w:color="auto" w:fill="auto"/>
            <w:noWrap/>
            <w:vAlign w:val="bottom"/>
            <w:hideMark/>
          </w:tcPr>
          <w:p w14:paraId="3905F54F"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55%</w:t>
            </w:r>
          </w:p>
        </w:tc>
        <w:tc>
          <w:tcPr>
            <w:tcW w:w="1259" w:type="dxa"/>
            <w:tcBorders>
              <w:top w:val="nil"/>
              <w:left w:val="nil"/>
              <w:bottom w:val="nil"/>
              <w:right w:val="nil"/>
            </w:tcBorders>
            <w:shd w:val="clear" w:color="auto" w:fill="auto"/>
            <w:noWrap/>
            <w:vAlign w:val="bottom"/>
            <w:hideMark/>
          </w:tcPr>
          <w:p w14:paraId="34A0A600"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60%</w:t>
            </w:r>
          </w:p>
        </w:tc>
        <w:tc>
          <w:tcPr>
            <w:tcW w:w="1259" w:type="dxa"/>
            <w:tcBorders>
              <w:top w:val="nil"/>
              <w:left w:val="nil"/>
              <w:bottom w:val="nil"/>
              <w:right w:val="nil"/>
            </w:tcBorders>
            <w:shd w:val="clear" w:color="auto" w:fill="auto"/>
            <w:noWrap/>
            <w:vAlign w:val="bottom"/>
            <w:hideMark/>
          </w:tcPr>
          <w:p w14:paraId="120D20B9"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65%</w:t>
            </w:r>
          </w:p>
        </w:tc>
      </w:tr>
      <w:tr w:rsidR="00444375" w:rsidRPr="00934257" w14:paraId="7BBA1953" w14:textId="77777777" w:rsidTr="00444375">
        <w:trPr>
          <w:trHeight w:val="255"/>
        </w:trPr>
        <w:tc>
          <w:tcPr>
            <w:tcW w:w="491" w:type="dxa"/>
            <w:vMerge w:val="restart"/>
            <w:tcBorders>
              <w:top w:val="nil"/>
              <w:left w:val="nil"/>
              <w:bottom w:val="nil"/>
              <w:right w:val="nil"/>
            </w:tcBorders>
            <w:shd w:val="clear" w:color="000000" w:fill="FFEB9C"/>
            <w:noWrap/>
            <w:textDirection w:val="btLr"/>
            <w:vAlign w:val="center"/>
            <w:hideMark/>
          </w:tcPr>
          <w:p w14:paraId="38DA4412"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Šilumos kaina </w:t>
            </w:r>
          </w:p>
        </w:tc>
        <w:tc>
          <w:tcPr>
            <w:tcW w:w="995" w:type="dxa"/>
            <w:tcBorders>
              <w:top w:val="nil"/>
              <w:left w:val="nil"/>
              <w:bottom w:val="single" w:sz="4" w:space="0" w:color="auto"/>
              <w:right w:val="single" w:sz="4" w:space="0" w:color="auto"/>
            </w:tcBorders>
            <w:shd w:val="clear" w:color="auto" w:fill="auto"/>
            <w:noWrap/>
            <w:vAlign w:val="bottom"/>
            <w:hideMark/>
          </w:tcPr>
          <w:p w14:paraId="2872378A"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0,03 </w:t>
            </w:r>
          </w:p>
        </w:tc>
        <w:tc>
          <w:tcPr>
            <w:tcW w:w="1258" w:type="dxa"/>
            <w:tcBorders>
              <w:top w:val="nil"/>
              <w:left w:val="single" w:sz="4" w:space="0" w:color="auto"/>
              <w:bottom w:val="single" w:sz="4" w:space="0" w:color="auto"/>
              <w:right w:val="single" w:sz="4" w:space="0" w:color="auto"/>
            </w:tcBorders>
            <w:shd w:val="clear" w:color="auto" w:fill="auto"/>
            <w:noWrap/>
            <w:vAlign w:val="bottom"/>
            <w:hideMark/>
          </w:tcPr>
          <w:p w14:paraId="40C96A2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60,9 </w:t>
            </w:r>
          </w:p>
        </w:tc>
        <w:tc>
          <w:tcPr>
            <w:tcW w:w="1259" w:type="dxa"/>
            <w:tcBorders>
              <w:top w:val="nil"/>
              <w:left w:val="single" w:sz="4" w:space="0" w:color="auto"/>
              <w:bottom w:val="nil"/>
              <w:right w:val="nil"/>
            </w:tcBorders>
            <w:shd w:val="clear" w:color="auto" w:fill="auto"/>
            <w:noWrap/>
            <w:vAlign w:val="bottom"/>
            <w:hideMark/>
          </w:tcPr>
          <w:p w14:paraId="09FAE6F0"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54,1 </w:t>
            </w:r>
          </w:p>
        </w:tc>
        <w:tc>
          <w:tcPr>
            <w:tcW w:w="1259" w:type="dxa"/>
            <w:tcBorders>
              <w:top w:val="nil"/>
              <w:left w:val="nil"/>
              <w:bottom w:val="nil"/>
              <w:right w:val="nil"/>
            </w:tcBorders>
            <w:shd w:val="clear" w:color="auto" w:fill="auto"/>
            <w:noWrap/>
            <w:vAlign w:val="bottom"/>
            <w:hideMark/>
          </w:tcPr>
          <w:p w14:paraId="797A4D9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47,8 </w:t>
            </w:r>
          </w:p>
        </w:tc>
        <w:tc>
          <w:tcPr>
            <w:tcW w:w="1259" w:type="dxa"/>
            <w:tcBorders>
              <w:top w:val="nil"/>
              <w:left w:val="nil"/>
              <w:bottom w:val="nil"/>
              <w:right w:val="nil"/>
            </w:tcBorders>
            <w:shd w:val="clear" w:color="auto" w:fill="auto"/>
            <w:noWrap/>
            <w:vAlign w:val="bottom"/>
            <w:hideMark/>
          </w:tcPr>
          <w:p w14:paraId="63FE9F5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41,9 </w:t>
            </w:r>
          </w:p>
        </w:tc>
        <w:tc>
          <w:tcPr>
            <w:tcW w:w="1259" w:type="dxa"/>
            <w:tcBorders>
              <w:top w:val="nil"/>
              <w:left w:val="nil"/>
              <w:bottom w:val="nil"/>
              <w:right w:val="nil"/>
            </w:tcBorders>
            <w:shd w:val="clear" w:color="auto" w:fill="auto"/>
            <w:noWrap/>
            <w:vAlign w:val="bottom"/>
            <w:hideMark/>
          </w:tcPr>
          <w:p w14:paraId="3A33F3E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36,3 </w:t>
            </w:r>
          </w:p>
        </w:tc>
        <w:tc>
          <w:tcPr>
            <w:tcW w:w="1259" w:type="dxa"/>
            <w:tcBorders>
              <w:top w:val="nil"/>
              <w:left w:val="nil"/>
              <w:bottom w:val="nil"/>
              <w:right w:val="nil"/>
            </w:tcBorders>
            <w:shd w:val="clear" w:color="auto" w:fill="auto"/>
            <w:noWrap/>
            <w:vAlign w:val="bottom"/>
            <w:hideMark/>
          </w:tcPr>
          <w:p w14:paraId="76216F5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30,9 </w:t>
            </w:r>
          </w:p>
        </w:tc>
      </w:tr>
      <w:tr w:rsidR="00444375" w:rsidRPr="00934257" w14:paraId="25887C59" w14:textId="77777777" w:rsidTr="00444375">
        <w:trPr>
          <w:trHeight w:val="255"/>
        </w:trPr>
        <w:tc>
          <w:tcPr>
            <w:tcW w:w="491" w:type="dxa"/>
            <w:vMerge/>
            <w:tcBorders>
              <w:top w:val="nil"/>
              <w:left w:val="nil"/>
              <w:bottom w:val="nil"/>
              <w:right w:val="single" w:sz="4" w:space="0" w:color="auto"/>
            </w:tcBorders>
            <w:vAlign w:val="center"/>
            <w:hideMark/>
          </w:tcPr>
          <w:p w14:paraId="2D6A7D9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D341"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0,05 </w:t>
            </w:r>
          </w:p>
        </w:tc>
        <w:tc>
          <w:tcPr>
            <w:tcW w:w="125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C384B9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33,4 </w:t>
            </w:r>
          </w:p>
        </w:tc>
        <w:tc>
          <w:tcPr>
            <w:tcW w:w="1259" w:type="dxa"/>
            <w:tcBorders>
              <w:top w:val="nil"/>
              <w:left w:val="single" w:sz="4" w:space="0" w:color="auto"/>
              <w:bottom w:val="nil"/>
              <w:right w:val="nil"/>
            </w:tcBorders>
            <w:shd w:val="clear" w:color="auto" w:fill="auto"/>
            <w:noWrap/>
            <w:vAlign w:val="bottom"/>
            <w:hideMark/>
          </w:tcPr>
          <w:p w14:paraId="36B7C32E"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30,2 </w:t>
            </w:r>
          </w:p>
        </w:tc>
        <w:tc>
          <w:tcPr>
            <w:tcW w:w="1259" w:type="dxa"/>
            <w:tcBorders>
              <w:top w:val="nil"/>
              <w:left w:val="nil"/>
              <w:bottom w:val="nil"/>
              <w:right w:val="nil"/>
            </w:tcBorders>
            <w:shd w:val="clear" w:color="auto" w:fill="auto"/>
            <w:noWrap/>
            <w:vAlign w:val="bottom"/>
            <w:hideMark/>
          </w:tcPr>
          <w:p w14:paraId="42C79CD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27,0 </w:t>
            </w:r>
          </w:p>
        </w:tc>
        <w:tc>
          <w:tcPr>
            <w:tcW w:w="1259" w:type="dxa"/>
            <w:tcBorders>
              <w:top w:val="nil"/>
              <w:left w:val="nil"/>
              <w:bottom w:val="nil"/>
              <w:right w:val="nil"/>
            </w:tcBorders>
            <w:shd w:val="clear" w:color="auto" w:fill="auto"/>
            <w:noWrap/>
            <w:vAlign w:val="bottom"/>
            <w:hideMark/>
          </w:tcPr>
          <w:p w14:paraId="7ED7E75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24,0 </w:t>
            </w:r>
          </w:p>
        </w:tc>
        <w:tc>
          <w:tcPr>
            <w:tcW w:w="1259" w:type="dxa"/>
            <w:tcBorders>
              <w:top w:val="nil"/>
              <w:left w:val="nil"/>
              <w:bottom w:val="nil"/>
              <w:right w:val="nil"/>
            </w:tcBorders>
            <w:shd w:val="clear" w:color="auto" w:fill="auto"/>
            <w:noWrap/>
            <w:vAlign w:val="bottom"/>
            <w:hideMark/>
          </w:tcPr>
          <w:p w14:paraId="3BD330F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21,0 </w:t>
            </w:r>
          </w:p>
        </w:tc>
        <w:tc>
          <w:tcPr>
            <w:tcW w:w="1259" w:type="dxa"/>
            <w:tcBorders>
              <w:top w:val="nil"/>
              <w:left w:val="nil"/>
              <w:bottom w:val="nil"/>
              <w:right w:val="nil"/>
            </w:tcBorders>
            <w:shd w:val="clear" w:color="auto" w:fill="auto"/>
            <w:noWrap/>
            <w:vAlign w:val="bottom"/>
            <w:hideMark/>
          </w:tcPr>
          <w:p w14:paraId="300AB32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18,1 </w:t>
            </w:r>
          </w:p>
        </w:tc>
      </w:tr>
      <w:tr w:rsidR="00444375" w:rsidRPr="00934257" w14:paraId="724F11E7" w14:textId="77777777" w:rsidTr="00444375">
        <w:trPr>
          <w:trHeight w:val="255"/>
        </w:trPr>
        <w:tc>
          <w:tcPr>
            <w:tcW w:w="491" w:type="dxa"/>
            <w:vMerge/>
            <w:tcBorders>
              <w:top w:val="nil"/>
              <w:left w:val="nil"/>
              <w:bottom w:val="nil"/>
              <w:right w:val="single" w:sz="4" w:space="0" w:color="auto"/>
            </w:tcBorders>
            <w:vAlign w:val="center"/>
            <w:hideMark/>
          </w:tcPr>
          <w:p w14:paraId="00172240"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A268"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0,07 </w:t>
            </w:r>
          </w:p>
        </w:tc>
        <w:tc>
          <w:tcPr>
            <w:tcW w:w="125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528294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23,1 </w:t>
            </w:r>
          </w:p>
        </w:tc>
        <w:tc>
          <w:tcPr>
            <w:tcW w:w="1259" w:type="dxa"/>
            <w:tcBorders>
              <w:top w:val="nil"/>
              <w:left w:val="single" w:sz="4" w:space="0" w:color="auto"/>
              <w:bottom w:val="nil"/>
              <w:right w:val="nil"/>
            </w:tcBorders>
            <w:shd w:val="clear" w:color="auto" w:fill="auto"/>
            <w:noWrap/>
            <w:vAlign w:val="bottom"/>
            <w:hideMark/>
          </w:tcPr>
          <w:p w14:paraId="30C36FF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21,0 </w:t>
            </w:r>
          </w:p>
        </w:tc>
        <w:tc>
          <w:tcPr>
            <w:tcW w:w="1259" w:type="dxa"/>
            <w:tcBorders>
              <w:top w:val="nil"/>
              <w:left w:val="nil"/>
              <w:bottom w:val="nil"/>
              <w:right w:val="nil"/>
            </w:tcBorders>
            <w:shd w:val="clear" w:color="auto" w:fill="auto"/>
            <w:noWrap/>
            <w:vAlign w:val="bottom"/>
            <w:hideMark/>
          </w:tcPr>
          <w:p w14:paraId="54AAED5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18,9 </w:t>
            </w:r>
          </w:p>
        </w:tc>
        <w:tc>
          <w:tcPr>
            <w:tcW w:w="1259" w:type="dxa"/>
            <w:tcBorders>
              <w:top w:val="nil"/>
              <w:left w:val="nil"/>
              <w:bottom w:val="nil"/>
              <w:right w:val="nil"/>
            </w:tcBorders>
            <w:shd w:val="clear" w:color="auto" w:fill="auto"/>
            <w:noWrap/>
            <w:vAlign w:val="bottom"/>
            <w:hideMark/>
          </w:tcPr>
          <w:p w14:paraId="3C60B6B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16,8 </w:t>
            </w:r>
          </w:p>
        </w:tc>
        <w:tc>
          <w:tcPr>
            <w:tcW w:w="1259" w:type="dxa"/>
            <w:tcBorders>
              <w:top w:val="nil"/>
              <w:left w:val="nil"/>
              <w:bottom w:val="nil"/>
              <w:right w:val="nil"/>
            </w:tcBorders>
            <w:shd w:val="clear" w:color="auto" w:fill="auto"/>
            <w:noWrap/>
            <w:vAlign w:val="bottom"/>
            <w:hideMark/>
          </w:tcPr>
          <w:p w14:paraId="654E719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14,8 </w:t>
            </w:r>
          </w:p>
        </w:tc>
        <w:tc>
          <w:tcPr>
            <w:tcW w:w="1259" w:type="dxa"/>
            <w:tcBorders>
              <w:top w:val="nil"/>
              <w:left w:val="nil"/>
              <w:bottom w:val="nil"/>
              <w:right w:val="nil"/>
            </w:tcBorders>
            <w:shd w:val="clear" w:color="auto" w:fill="auto"/>
            <w:noWrap/>
            <w:vAlign w:val="bottom"/>
            <w:hideMark/>
          </w:tcPr>
          <w:p w14:paraId="0D68389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12,8 </w:t>
            </w:r>
          </w:p>
        </w:tc>
      </w:tr>
      <w:tr w:rsidR="00444375" w:rsidRPr="00934257" w14:paraId="7C416F47" w14:textId="77777777" w:rsidTr="00444375">
        <w:trPr>
          <w:trHeight w:val="255"/>
        </w:trPr>
        <w:tc>
          <w:tcPr>
            <w:tcW w:w="491" w:type="dxa"/>
            <w:vMerge/>
            <w:tcBorders>
              <w:top w:val="nil"/>
              <w:left w:val="nil"/>
              <w:bottom w:val="nil"/>
              <w:right w:val="nil"/>
            </w:tcBorders>
            <w:vAlign w:val="center"/>
            <w:hideMark/>
          </w:tcPr>
          <w:p w14:paraId="5E6EB517"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single" w:sz="4" w:space="0" w:color="auto"/>
              <w:left w:val="nil"/>
              <w:bottom w:val="nil"/>
              <w:right w:val="nil"/>
            </w:tcBorders>
            <w:shd w:val="clear" w:color="auto" w:fill="auto"/>
            <w:noWrap/>
            <w:vAlign w:val="bottom"/>
            <w:hideMark/>
          </w:tcPr>
          <w:p w14:paraId="58261C07"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0,09 </w:t>
            </w:r>
          </w:p>
        </w:tc>
        <w:tc>
          <w:tcPr>
            <w:tcW w:w="1258" w:type="dxa"/>
            <w:tcBorders>
              <w:top w:val="single" w:sz="4" w:space="0" w:color="auto"/>
              <w:left w:val="nil"/>
              <w:bottom w:val="nil"/>
              <w:right w:val="nil"/>
            </w:tcBorders>
            <w:shd w:val="clear" w:color="auto" w:fill="auto"/>
            <w:noWrap/>
            <w:vAlign w:val="bottom"/>
            <w:hideMark/>
          </w:tcPr>
          <w:p w14:paraId="490E2F3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17,7 </w:t>
            </w:r>
          </w:p>
        </w:tc>
        <w:tc>
          <w:tcPr>
            <w:tcW w:w="1259" w:type="dxa"/>
            <w:tcBorders>
              <w:top w:val="nil"/>
              <w:left w:val="nil"/>
              <w:bottom w:val="nil"/>
              <w:right w:val="nil"/>
            </w:tcBorders>
            <w:shd w:val="clear" w:color="auto" w:fill="auto"/>
            <w:noWrap/>
            <w:vAlign w:val="bottom"/>
            <w:hideMark/>
          </w:tcPr>
          <w:p w14:paraId="4036B97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16,1 </w:t>
            </w:r>
          </w:p>
        </w:tc>
        <w:tc>
          <w:tcPr>
            <w:tcW w:w="1259" w:type="dxa"/>
            <w:tcBorders>
              <w:top w:val="nil"/>
              <w:left w:val="nil"/>
              <w:bottom w:val="nil"/>
              <w:right w:val="nil"/>
            </w:tcBorders>
            <w:shd w:val="clear" w:color="auto" w:fill="auto"/>
            <w:noWrap/>
            <w:vAlign w:val="bottom"/>
            <w:hideMark/>
          </w:tcPr>
          <w:p w14:paraId="0E7695B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14,5 </w:t>
            </w:r>
          </w:p>
        </w:tc>
        <w:tc>
          <w:tcPr>
            <w:tcW w:w="1259" w:type="dxa"/>
            <w:tcBorders>
              <w:top w:val="nil"/>
              <w:left w:val="nil"/>
              <w:bottom w:val="nil"/>
              <w:right w:val="nil"/>
            </w:tcBorders>
            <w:shd w:val="clear" w:color="auto" w:fill="auto"/>
            <w:noWrap/>
            <w:vAlign w:val="bottom"/>
            <w:hideMark/>
          </w:tcPr>
          <w:p w14:paraId="765AC594"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13,0 </w:t>
            </w:r>
          </w:p>
        </w:tc>
        <w:tc>
          <w:tcPr>
            <w:tcW w:w="1259" w:type="dxa"/>
            <w:tcBorders>
              <w:top w:val="nil"/>
              <w:left w:val="nil"/>
              <w:bottom w:val="nil"/>
              <w:right w:val="nil"/>
            </w:tcBorders>
            <w:shd w:val="clear" w:color="auto" w:fill="auto"/>
            <w:noWrap/>
            <w:vAlign w:val="bottom"/>
            <w:hideMark/>
          </w:tcPr>
          <w:p w14:paraId="135AA3C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11,4 </w:t>
            </w:r>
          </w:p>
        </w:tc>
        <w:tc>
          <w:tcPr>
            <w:tcW w:w="1259" w:type="dxa"/>
            <w:tcBorders>
              <w:top w:val="nil"/>
              <w:left w:val="nil"/>
              <w:bottom w:val="nil"/>
              <w:right w:val="nil"/>
            </w:tcBorders>
            <w:shd w:val="clear" w:color="auto" w:fill="auto"/>
            <w:noWrap/>
            <w:vAlign w:val="bottom"/>
            <w:hideMark/>
          </w:tcPr>
          <w:p w14:paraId="174990B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9,9 </w:t>
            </w:r>
          </w:p>
        </w:tc>
      </w:tr>
      <w:tr w:rsidR="00444375" w:rsidRPr="00934257" w14:paraId="0C3CB41B" w14:textId="77777777" w:rsidTr="00444375">
        <w:trPr>
          <w:trHeight w:val="255"/>
        </w:trPr>
        <w:tc>
          <w:tcPr>
            <w:tcW w:w="491" w:type="dxa"/>
            <w:vMerge/>
            <w:tcBorders>
              <w:top w:val="nil"/>
              <w:left w:val="nil"/>
              <w:bottom w:val="nil"/>
              <w:right w:val="nil"/>
            </w:tcBorders>
            <w:vAlign w:val="center"/>
            <w:hideMark/>
          </w:tcPr>
          <w:p w14:paraId="7556FCD6"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nil"/>
              <w:left w:val="nil"/>
              <w:bottom w:val="nil"/>
              <w:right w:val="nil"/>
            </w:tcBorders>
            <w:shd w:val="clear" w:color="auto" w:fill="auto"/>
            <w:noWrap/>
            <w:vAlign w:val="bottom"/>
            <w:hideMark/>
          </w:tcPr>
          <w:p w14:paraId="252E9C4C"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0,11 </w:t>
            </w:r>
          </w:p>
        </w:tc>
        <w:tc>
          <w:tcPr>
            <w:tcW w:w="1258" w:type="dxa"/>
            <w:tcBorders>
              <w:top w:val="nil"/>
              <w:left w:val="nil"/>
              <w:bottom w:val="nil"/>
              <w:right w:val="nil"/>
            </w:tcBorders>
            <w:shd w:val="clear" w:color="auto" w:fill="auto"/>
            <w:noWrap/>
            <w:vAlign w:val="bottom"/>
            <w:hideMark/>
          </w:tcPr>
          <w:p w14:paraId="082EE18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14,3 </w:t>
            </w:r>
          </w:p>
        </w:tc>
        <w:tc>
          <w:tcPr>
            <w:tcW w:w="1259" w:type="dxa"/>
            <w:tcBorders>
              <w:top w:val="nil"/>
              <w:left w:val="nil"/>
              <w:bottom w:val="nil"/>
              <w:right w:val="nil"/>
            </w:tcBorders>
            <w:shd w:val="clear" w:color="auto" w:fill="auto"/>
            <w:noWrap/>
            <w:vAlign w:val="bottom"/>
            <w:hideMark/>
          </w:tcPr>
          <w:p w14:paraId="098E002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13,0 </w:t>
            </w:r>
          </w:p>
        </w:tc>
        <w:tc>
          <w:tcPr>
            <w:tcW w:w="1259" w:type="dxa"/>
            <w:tcBorders>
              <w:top w:val="nil"/>
              <w:left w:val="nil"/>
              <w:bottom w:val="nil"/>
              <w:right w:val="nil"/>
            </w:tcBorders>
            <w:shd w:val="clear" w:color="auto" w:fill="auto"/>
            <w:noWrap/>
            <w:vAlign w:val="bottom"/>
            <w:hideMark/>
          </w:tcPr>
          <w:p w14:paraId="27A8E6C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11,8 </w:t>
            </w:r>
          </w:p>
        </w:tc>
        <w:tc>
          <w:tcPr>
            <w:tcW w:w="1259" w:type="dxa"/>
            <w:tcBorders>
              <w:top w:val="nil"/>
              <w:left w:val="nil"/>
              <w:bottom w:val="nil"/>
              <w:right w:val="nil"/>
            </w:tcBorders>
            <w:shd w:val="clear" w:color="auto" w:fill="auto"/>
            <w:noWrap/>
            <w:vAlign w:val="bottom"/>
            <w:hideMark/>
          </w:tcPr>
          <w:p w14:paraId="15A96D5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10,5 </w:t>
            </w:r>
          </w:p>
        </w:tc>
        <w:tc>
          <w:tcPr>
            <w:tcW w:w="1259" w:type="dxa"/>
            <w:tcBorders>
              <w:top w:val="nil"/>
              <w:left w:val="nil"/>
              <w:bottom w:val="nil"/>
              <w:right w:val="nil"/>
            </w:tcBorders>
            <w:shd w:val="clear" w:color="auto" w:fill="auto"/>
            <w:noWrap/>
            <w:vAlign w:val="bottom"/>
            <w:hideMark/>
          </w:tcPr>
          <w:p w14:paraId="1FD4FD79"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9,3 </w:t>
            </w:r>
          </w:p>
        </w:tc>
        <w:tc>
          <w:tcPr>
            <w:tcW w:w="1259" w:type="dxa"/>
            <w:tcBorders>
              <w:top w:val="nil"/>
              <w:left w:val="nil"/>
              <w:bottom w:val="nil"/>
              <w:right w:val="nil"/>
            </w:tcBorders>
            <w:shd w:val="clear" w:color="auto" w:fill="auto"/>
            <w:noWrap/>
            <w:vAlign w:val="bottom"/>
            <w:hideMark/>
          </w:tcPr>
          <w:p w14:paraId="490CD46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8,1 </w:t>
            </w:r>
          </w:p>
        </w:tc>
      </w:tr>
      <w:tr w:rsidR="00444375" w:rsidRPr="00934257" w14:paraId="22940C0E" w14:textId="77777777" w:rsidTr="00444375">
        <w:trPr>
          <w:trHeight w:val="255"/>
        </w:trPr>
        <w:tc>
          <w:tcPr>
            <w:tcW w:w="491" w:type="dxa"/>
            <w:vMerge/>
            <w:tcBorders>
              <w:top w:val="nil"/>
              <w:left w:val="nil"/>
              <w:bottom w:val="nil"/>
              <w:right w:val="nil"/>
            </w:tcBorders>
            <w:vAlign w:val="center"/>
            <w:hideMark/>
          </w:tcPr>
          <w:p w14:paraId="0FD636FE"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nil"/>
              <w:left w:val="nil"/>
              <w:bottom w:val="nil"/>
              <w:right w:val="nil"/>
            </w:tcBorders>
            <w:shd w:val="clear" w:color="auto" w:fill="auto"/>
            <w:noWrap/>
            <w:vAlign w:val="bottom"/>
            <w:hideMark/>
          </w:tcPr>
          <w:p w14:paraId="2808772E"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0,13 </w:t>
            </w:r>
          </w:p>
        </w:tc>
        <w:tc>
          <w:tcPr>
            <w:tcW w:w="1258" w:type="dxa"/>
            <w:tcBorders>
              <w:top w:val="nil"/>
              <w:left w:val="nil"/>
              <w:bottom w:val="nil"/>
              <w:right w:val="nil"/>
            </w:tcBorders>
            <w:shd w:val="clear" w:color="auto" w:fill="auto"/>
            <w:noWrap/>
            <w:vAlign w:val="bottom"/>
            <w:hideMark/>
          </w:tcPr>
          <w:p w14:paraId="67D0EF6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12,0 </w:t>
            </w:r>
          </w:p>
        </w:tc>
        <w:tc>
          <w:tcPr>
            <w:tcW w:w="1259" w:type="dxa"/>
            <w:tcBorders>
              <w:top w:val="nil"/>
              <w:left w:val="nil"/>
              <w:bottom w:val="nil"/>
              <w:right w:val="nil"/>
            </w:tcBorders>
            <w:shd w:val="clear" w:color="auto" w:fill="auto"/>
            <w:noWrap/>
            <w:vAlign w:val="bottom"/>
            <w:hideMark/>
          </w:tcPr>
          <w:p w14:paraId="557E595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11,0 </w:t>
            </w:r>
          </w:p>
        </w:tc>
        <w:tc>
          <w:tcPr>
            <w:tcW w:w="1259" w:type="dxa"/>
            <w:tcBorders>
              <w:top w:val="nil"/>
              <w:left w:val="nil"/>
              <w:bottom w:val="nil"/>
              <w:right w:val="nil"/>
            </w:tcBorders>
            <w:shd w:val="clear" w:color="auto" w:fill="auto"/>
            <w:noWrap/>
            <w:vAlign w:val="bottom"/>
            <w:hideMark/>
          </w:tcPr>
          <w:p w14:paraId="6B36BE5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9,9 </w:t>
            </w:r>
          </w:p>
        </w:tc>
        <w:tc>
          <w:tcPr>
            <w:tcW w:w="1259" w:type="dxa"/>
            <w:tcBorders>
              <w:top w:val="nil"/>
              <w:left w:val="nil"/>
              <w:bottom w:val="nil"/>
              <w:right w:val="nil"/>
            </w:tcBorders>
            <w:shd w:val="clear" w:color="auto" w:fill="auto"/>
            <w:noWrap/>
            <w:vAlign w:val="bottom"/>
            <w:hideMark/>
          </w:tcPr>
          <w:p w14:paraId="2E30F7F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8,9 </w:t>
            </w:r>
          </w:p>
        </w:tc>
        <w:tc>
          <w:tcPr>
            <w:tcW w:w="1259" w:type="dxa"/>
            <w:tcBorders>
              <w:top w:val="nil"/>
              <w:left w:val="nil"/>
              <w:bottom w:val="nil"/>
              <w:right w:val="nil"/>
            </w:tcBorders>
            <w:shd w:val="clear" w:color="auto" w:fill="auto"/>
            <w:noWrap/>
            <w:vAlign w:val="bottom"/>
            <w:hideMark/>
          </w:tcPr>
          <w:p w14:paraId="27A63313"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7,9 </w:t>
            </w:r>
          </w:p>
        </w:tc>
        <w:tc>
          <w:tcPr>
            <w:tcW w:w="1259" w:type="dxa"/>
            <w:tcBorders>
              <w:top w:val="nil"/>
              <w:left w:val="nil"/>
              <w:bottom w:val="nil"/>
              <w:right w:val="nil"/>
            </w:tcBorders>
            <w:shd w:val="clear" w:color="auto" w:fill="auto"/>
            <w:noWrap/>
            <w:vAlign w:val="bottom"/>
            <w:hideMark/>
          </w:tcPr>
          <w:p w14:paraId="2E02200B"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6,8 </w:t>
            </w:r>
          </w:p>
        </w:tc>
      </w:tr>
      <w:tr w:rsidR="00444375" w:rsidRPr="00934257" w14:paraId="5BA67C8D" w14:textId="77777777" w:rsidTr="00444375">
        <w:trPr>
          <w:trHeight w:val="255"/>
        </w:trPr>
        <w:tc>
          <w:tcPr>
            <w:tcW w:w="491" w:type="dxa"/>
            <w:vMerge/>
            <w:tcBorders>
              <w:top w:val="nil"/>
              <w:left w:val="nil"/>
              <w:bottom w:val="nil"/>
              <w:right w:val="nil"/>
            </w:tcBorders>
            <w:vAlign w:val="center"/>
            <w:hideMark/>
          </w:tcPr>
          <w:p w14:paraId="249F488F"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nil"/>
              <w:left w:val="nil"/>
              <w:bottom w:val="nil"/>
              <w:right w:val="nil"/>
            </w:tcBorders>
            <w:shd w:val="clear" w:color="auto" w:fill="auto"/>
            <w:noWrap/>
            <w:vAlign w:val="bottom"/>
            <w:hideMark/>
          </w:tcPr>
          <w:p w14:paraId="0DAF56C4"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0,15 </w:t>
            </w:r>
          </w:p>
        </w:tc>
        <w:tc>
          <w:tcPr>
            <w:tcW w:w="1258" w:type="dxa"/>
            <w:tcBorders>
              <w:top w:val="nil"/>
              <w:left w:val="nil"/>
              <w:bottom w:val="nil"/>
              <w:right w:val="nil"/>
            </w:tcBorders>
            <w:shd w:val="clear" w:color="auto" w:fill="auto"/>
            <w:noWrap/>
            <w:vAlign w:val="bottom"/>
            <w:hideMark/>
          </w:tcPr>
          <w:p w14:paraId="1AA05541"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10,4 </w:t>
            </w:r>
          </w:p>
        </w:tc>
        <w:tc>
          <w:tcPr>
            <w:tcW w:w="1259" w:type="dxa"/>
            <w:tcBorders>
              <w:top w:val="nil"/>
              <w:left w:val="nil"/>
              <w:bottom w:val="nil"/>
              <w:right w:val="nil"/>
            </w:tcBorders>
            <w:shd w:val="clear" w:color="auto" w:fill="auto"/>
            <w:noWrap/>
            <w:vAlign w:val="bottom"/>
            <w:hideMark/>
          </w:tcPr>
          <w:p w14:paraId="13F34CF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9,5 </w:t>
            </w:r>
          </w:p>
        </w:tc>
        <w:tc>
          <w:tcPr>
            <w:tcW w:w="1259" w:type="dxa"/>
            <w:tcBorders>
              <w:top w:val="nil"/>
              <w:left w:val="nil"/>
              <w:bottom w:val="nil"/>
              <w:right w:val="nil"/>
            </w:tcBorders>
            <w:shd w:val="clear" w:color="auto" w:fill="auto"/>
            <w:noWrap/>
            <w:vAlign w:val="bottom"/>
            <w:hideMark/>
          </w:tcPr>
          <w:p w14:paraId="77DD96D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8,6 </w:t>
            </w:r>
          </w:p>
        </w:tc>
        <w:tc>
          <w:tcPr>
            <w:tcW w:w="1259" w:type="dxa"/>
            <w:tcBorders>
              <w:top w:val="nil"/>
              <w:left w:val="nil"/>
              <w:bottom w:val="nil"/>
              <w:right w:val="nil"/>
            </w:tcBorders>
            <w:shd w:val="clear" w:color="auto" w:fill="auto"/>
            <w:noWrap/>
            <w:vAlign w:val="bottom"/>
            <w:hideMark/>
          </w:tcPr>
          <w:p w14:paraId="0AEFDB5F"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7,7 </w:t>
            </w:r>
          </w:p>
        </w:tc>
        <w:tc>
          <w:tcPr>
            <w:tcW w:w="1259" w:type="dxa"/>
            <w:tcBorders>
              <w:top w:val="nil"/>
              <w:left w:val="nil"/>
              <w:bottom w:val="nil"/>
              <w:right w:val="nil"/>
            </w:tcBorders>
            <w:shd w:val="clear" w:color="auto" w:fill="auto"/>
            <w:noWrap/>
            <w:vAlign w:val="bottom"/>
            <w:hideMark/>
          </w:tcPr>
          <w:p w14:paraId="2EBF8056"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6,8 </w:t>
            </w:r>
          </w:p>
        </w:tc>
        <w:tc>
          <w:tcPr>
            <w:tcW w:w="1259" w:type="dxa"/>
            <w:tcBorders>
              <w:top w:val="nil"/>
              <w:left w:val="nil"/>
              <w:bottom w:val="nil"/>
              <w:right w:val="nil"/>
            </w:tcBorders>
            <w:shd w:val="clear" w:color="auto" w:fill="auto"/>
            <w:noWrap/>
            <w:vAlign w:val="bottom"/>
            <w:hideMark/>
          </w:tcPr>
          <w:p w14:paraId="03AB3F42"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5,9 </w:t>
            </w:r>
          </w:p>
        </w:tc>
      </w:tr>
      <w:tr w:rsidR="00444375" w:rsidRPr="00934257" w14:paraId="21235CA1" w14:textId="77777777" w:rsidTr="00444375">
        <w:trPr>
          <w:trHeight w:val="255"/>
        </w:trPr>
        <w:tc>
          <w:tcPr>
            <w:tcW w:w="491" w:type="dxa"/>
            <w:vMerge/>
            <w:tcBorders>
              <w:top w:val="nil"/>
              <w:left w:val="nil"/>
              <w:bottom w:val="nil"/>
              <w:right w:val="nil"/>
            </w:tcBorders>
            <w:vAlign w:val="center"/>
            <w:hideMark/>
          </w:tcPr>
          <w:p w14:paraId="1D050232"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995" w:type="dxa"/>
            <w:tcBorders>
              <w:top w:val="nil"/>
              <w:left w:val="nil"/>
              <w:bottom w:val="nil"/>
              <w:right w:val="nil"/>
            </w:tcBorders>
            <w:shd w:val="clear" w:color="auto" w:fill="auto"/>
            <w:noWrap/>
            <w:vAlign w:val="bottom"/>
            <w:hideMark/>
          </w:tcPr>
          <w:p w14:paraId="6431EAE3" w14:textId="77777777" w:rsidR="00444375" w:rsidRPr="00D45CD8" w:rsidRDefault="00444375" w:rsidP="00444375">
            <w:pPr>
              <w:spacing w:after="0" w:line="240" w:lineRule="auto"/>
              <w:rPr>
                <w:rFonts w:ascii="Georgia" w:eastAsia="Times New Roman" w:hAnsi="Georgia" w:cs="Arial"/>
                <w:b/>
                <w:sz w:val="18"/>
                <w:szCs w:val="18"/>
              </w:rPr>
            </w:pPr>
            <w:r w:rsidRPr="00D45CD8">
              <w:rPr>
                <w:rFonts w:ascii="Georgia" w:eastAsia="Times New Roman" w:hAnsi="Georgia" w:cs="Arial"/>
                <w:b/>
                <w:sz w:val="18"/>
                <w:szCs w:val="18"/>
              </w:rPr>
              <w:t xml:space="preserve">       0,17 </w:t>
            </w:r>
          </w:p>
        </w:tc>
        <w:tc>
          <w:tcPr>
            <w:tcW w:w="1258" w:type="dxa"/>
            <w:tcBorders>
              <w:top w:val="nil"/>
              <w:left w:val="nil"/>
              <w:bottom w:val="nil"/>
              <w:right w:val="nil"/>
            </w:tcBorders>
            <w:shd w:val="clear" w:color="auto" w:fill="auto"/>
            <w:noWrap/>
            <w:vAlign w:val="bottom"/>
            <w:hideMark/>
          </w:tcPr>
          <w:p w14:paraId="6A0D058A"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9,1 </w:t>
            </w:r>
          </w:p>
        </w:tc>
        <w:tc>
          <w:tcPr>
            <w:tcW w:w="1259" w:type="dxa"/>
            <w:tcBorders>
              <w:top w:val="nil"/>
              <w:left w:val="nil"/>
              <w:bottom w:val="nil"/>
              <w:right w:val="nil"/>
            </w:tcBorders>
            <w:shd w:val="clear" w:color="auto" w:fill="auto"/>
            <w:noWrap/>
            <w:vAlign w:val="bottom"/>
            <w:hideMark/>
          </w:tcPr>
          <w:p w14:paraId="109A81BC"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8,3 </w:t>
            </w:r>
          </w:p>
        </w:tc>
        <w:tc>
          <w:tcPr>
            <w:tcW w:w="1259" w:type="dxa"/>
            <w:tcBorders>
              <w:top w:val="nil"/>
              <w:left w:val="nil"/>
              <w:bottom w:val="nil"/>
              <w:right w:val="nil"/>
            </w:tcBorders>
            <w:shd w:val="clear" w:color="auto" w:fill="auto"/>
            <w:noWrap/>
            <w:vAlign w:val="bottom"/>
            <w:hideMark/>
          </w:tcPr>
          <w:p w14:paraId="126FD3C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7,5 </w:t>
            </w:r>
          </w:p>
        </w:tc>
        <w:tc>
          <w:tcPr>
            <w:tcW w:w="1259" w:type="dxa"/>
            <w:tcBorders>
              <w:top w:val="nil"/>
              <w:left w:val="nil"/>
              <w:bottom w:val="nil"/>
              <w:right w:val="nil"/>
            </w:tcBorders>
            <w:shd w:val="clear" w:color="auto" w:fill="auto"/>
            <w:noWrap/>
            <w:vAlign w:val="bottom"/>
            <w:hideMark/>
          </w:tcPr>
          <w:p w14:paraId="671C41E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6,8 </w:t>
            </w:r>
          </w:p>
        </w:tc>
        <w:tc>
          <w:tcPr>
            <w:tcW w:w="1259" w:type="dxa"/>
            <w:tcBorders>
              <w:top w:val="nil"/>
              <w:left w:val="nil"/>
              <w:bottom w:val="nil"/>
              <w:right w:val="nil"/>
            </w:tcBorders>
            <w:shd w:val="clear" w:color="auto" w:fill="auto"/>
            <w:noWrap/>
            <w:vAlign w:val="bottom"/>
            <w:hideMark/>
          </w:tcPr>
          <w:p w14:paraId="4218EEC5"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6,0 </w:t>
            </w:r>
          </w:p>
        </w:tc>
        <w:tc>
          <w:tcPr>
            <w:tcW w:w="1259" w:type="dxa"/>
            <w:tcBorders>
              <w:top w:val="nil"/>
              <w:left w:val="nil"/>
              <w:bottom w:val="nil"/>
              <w:right w:val="nil"/>
            </w:tcBorders>
            <w:shd w:val="clear" w:color="auto" w:fill="auto"/>
            <w:noWrap/>
            <w:vAlign w:val="bottom"/>
            <w:hideMark/>
          </w:tcPr>
          <w:p w14:paraId="518CC9B7" w14:textId="77777777" w:rsidR="00444375" w:rsidRPr="00D45CD8" w:rsidRDefault="00444375" w:rsidP="00444375">
            <w:pPr>
              <w:spacing w:after="0" w:line="240" w:lineRule="auto"/>
              <w:rPr>
                <w:rFonts w:ascii="Georgia" w:eastAsia="Times New Roman" w:hAnsi="Georgia" w:cs="Arial"/>
                <w:sz w:val="18"/>
                <w:szCs w:val="18"/>
              </w:rPr>
            </w:pPr>
            <w:r w:rsidRPr="00D45CD8">
              <w:rPr>
                <w:rFonts w:ascii="Georgia" w:eastAsia="Times New Roman" w:hAnsi="Georgia" w:cs="Arial"/>
                <w:sz w:val="18"/>
                <w:szCs w:val="18"/>
              </w:rPr>
              <w:t xml:space="preserve">         5,2 </w:t>
            </w:r>
          </w:p>
        </w:tc>
      </w:tr>
    </w:tbl>
    <w:p w14:paraId="64A55C96" w14:textId="77777777" w:rsidR="00444375" w:rsidRPr="00D45CD8" w:rsidRDefault="00444375" w:rsidP="00444375">
      <w:pPr>
        <w:jc w:val="both"/>
        <w:rPr>
          <w:rFonts w:ascii="Georgia" w:hAnsi="Georgia"/>
          <w:sz w:val="18"/>
          <w:szCs w:val="18"/>
          <w:lang w:val="lt-LT"/>
        </w:rPr>
      </w:pPr>
    </w:p>
    <w:p w14:paraId="36DDC700" w14:textId="77777777" w:rsidR="00444375" w:rsidRPr="005A15CD" w:rsidRDefault="00444375" w:rsidP="00444375">
      <w:pPr>
        <w:jc w:val="both"/>
        <w:rPr>
          <w:rFonts w:ascii="Georgia" w:hAnsi="Georgia"/>
          <w:sz w:val="20"/>
        </w:rPr>
      </w:pPr>
      <w:r w:rsidRPr="00DF3A8E">
        <w:rPr>
          <w:rFonts w:ascii="Georgia" w:hAnsi="Georgia"/>
          <w:sz w:val="20"/>
          <w:lang w:val="lt-LT"/>
        </w:rPr>
        <w:t xml:space="preserve">Aukščiau pateiktos </w:t>
      </w:r>
      <w:r w:rsidRPr="00C16595">
        <w:rPr>
          <w:rFonts w:ascii="Georgia" w:hAnsi="Georgia"/>
          <w:sz w:val="20"/>
          <w:lang w:val="lt-LT"/>
        </w:rPr>
        <w:t xml:space="preserve">lentelės </w:t>
      </w:r>
      <w:r>
        <w:rPr>
          <w:rFonts w:ascii="Georgia" w:hAnsi="Georgia"/>
          <w:sz w:val="20"/>
          <w:lang w:val="lt-LT"/>
        </w:rPr>
        <w:t>d</w:t>
      </w:r>
      <w:r w:rsidRPr="00DF3A8E">
        <w:rPr>
          <w:rFonts w:ascii="Georgia" w:hAnsi="Georgia"/>
          <w:sz w:val="20"/>
          <w:lang w:val="lt-LT"/>
        </w:rPr>
        <w:t xml:space="preserve">uomenys rodo, jog </w:t>
      </w:r>
      <w:r>
        <w:rPr>
          <w:rFonts w:ascii="Georgia" w:hAnsi="Georgia"/>
          <w:sz w:val="20"/>
          <w:lang w:val="lt-LT"/>
        </w:rPr>
        <w:t xml:space="preserve">skiriant </w:t>
      </w:r>
      <w:r>
        <w:rPr>
          <w:rFonts w:ascii="Georgia" w:hAnsi="Georgia"/>
          <w:sz w:val="20"/>
        </w:rPr>
        <w:t>55</w:t>
      </w:r>
      <w:r>
        <w:rPr>
          <w:rFonts w:ascii="Georgia" w:hAnsi="Georgia"/>
          <w:sz w:val="20"/>
          <w:lang w:val="lt-LT"/>
        </w:rPr>
        <w:t xml:space="preserve"> proc. subsidiją prie šiuo metu vyraujančių šilumos kainų ir </w:t>
      </w:r>
      <w:r w:rsidRPr="00DF3A8E">
        <w:rPr>
          <w:rFonts w:ascii="Georgia" w:hAnsi="Georgia"/>
          <w:sz w:val="20"/>
          <w:lang w:val="lt-LT"/>
        </w:rPr>
        <w:t>nekeičiant</w:t>
      </w:r>
      <w:r>
        <w:rPr>
          <w:rFonts w:ascii="Georgia" w:hAnsi="Georgia"/>
          <w:sz w:val="20"/>
          <w:lang w:val="lt-LT"/>
        </w:rPr>
        <w:t xml:space="preserve"> kitų prielaidų (energijos sutaupymai – </w:t>
      </w:r>
      <w:r>
        <w:rPr>
          <w:rFonts w:ascii="Georgia" w:hAnsi="Georgia"/>
          <w:sz w:val="20"/>
        </w:rPr>
        <w:t>40 proc.</w:t>
      </w:r>
      <w:r>
        <w:rPr>
          <w:rFonts w:ascii="Georgia" w:hAnsi="Georgia"/>
          <w:sz w:val="20"/>
          <w:lang w:val="lt-LT"/>
        </w:rPr>
        <w:t>)</w:t>
      </w:r>
      <w:r w:rsidRPr="00DF3A8E">
        <w:rPr>
          <w:rFonts w:ascii="Georgia" w:hAnsi="Georgia"/>
          <w:sz w:val="20"/>
          <w:lang w:val="lt-LT"/>
        </w:rPr>
        <w:t xml:space="preserve"> renovacijos projektai </w:t>
      </w:r>
      <w:r>
        <w:rPr>
          <w:rFonts w:ascii="Georgia" w:hAnsi="Georgia"/>
          <w:sz w:val="20"/>
          <w:lang w:val="lt-LT"/>
        </w:rPr>
        <w:t xml:space="preserve">atsipirktų </w:t>
      </w:r>
      <w:r w:rsidRPr="00DF3A8E">
        <w:rPr>
          <w:rFonts w:ascii="Georgia" w:hAnsi="Georgia"/>
          <w:sz w:val="20"/>
          <w:lang w:val="lt-LT"/>
        </w:rPr>
        <w:t xml:space="preserve">per </w:t>
      </w:r>
      <w:r>
        <w:rPr>
          <w:rFonts w:ascii="Georgia" w:hAnsi="Georgia"/>
          <w:sz w:val="20"/>
        </w:rPr>
        <w:t>33,4 met</w:t>
      </w:r>
      <w:r>
        <w:rPr>
          <w:rFonts w:ascii="Georgia" w:hAnsi="Georgia"/>
          <w:sz w:val="20"/>
          <w:lang w:val="lt-LT"/>
        </w:rPr>
        <w:t xml:space="preserve">ų laikotarpį. Tačiau šilumos kainai padidėjus iki </w:t>
      </w:r>
      <w:r>
        <w:rPr>
          <w:rFonts w:ascii="Georgia" w:hAnsi="Georgia"/>
          <w:sz w:val="20"/>
        </w:rPr>
        <w:t>0,07 ct/kWh, projekto atsipirkimo laikotarpis suma</w:t>
      </w:r>
      <w:r>
        <w:rPr>
          <w:rFonts w:ascii="Georgia" w:hAnsi="Georgia"/>
          <w:sz w:val="20"/>
          <w:lang w:val="lt-LT"/>
        </w:rPr>
        <w:t xml:space="preserve">žėtų iki </w:t>
      </w:r>
      <w:r>
        <w:rPr>
          <w:rFonts w:ascii="Georgia" w:hAnsi="Georgia"/>
          <w:sz w:val="20"/>
        </w:rPr>
        <w:t>23,1 met</w:t>
      </w:r>
      <w:r>
        <w:rPr>
          <w:rFonts w:ascii="Georgia" w:hAnsi="Georgia"/>
          <w:sz w:val="20"/>
          <w:lang w:val="lt-LT"/>
        </w:rPr>
        <w:t>ų.</w:t>
      </w:r>
      <w:r w:rsidRPr="00DF3A8E">
        <w:rPr>
          <w:rFonts w:ascii="Georgia" w:hAnsi="Georgia"/>
          <w:sz w:val="20"/>
          <w:lang w:val="lt-LT"/>
        </w:rPr>
        <w:t xml:space="preserve"> </w:t>
      </w:r>
    </w:p>
    <w:p w14:paraId="7528230A" w14:textId="77777777" w:rsidR="00444375" w:rsidRDefault="00444375" w:rsidP="00444375">
      <w:pPr>
        <w:jc w:val="both"/>
        <w:rPr>
          <w:rFonts w:ascii="Georgia" w:hAnsi="Georgia"/>
          <w:sz w:val="20"/>
          <w:lang w:val="lt-LT"/>
        </w:rPr>
      </w:pPr>
      <w:r w:rsidRPr="00DF3A8E">
        <w:rPr>
          <w:rFonts w:ascii="Georgia" w:hAnsi="Georgia"/>
          <w:sz w:val="20"/>
          <w:lang w:val="lt-LT"/>
        </w:rPr>
        <w:t xml:space="preserve">Žemiau pateikta </w:t>
      </w:r>
      <w:r w:rsidRPr="00C16595">
        <w:rPr>
          <w:rFonts w:ascii="Georgia" w:hAnsi="Georgia"/>
          <w:sz w:val="20"/>
          <w:lang w:val="lt-LT"/>
        </w:rPr>
        <w:t xml:space="preserve">lentelė </w:t>
      </w:r>
      <w:r w:rsidRPr="00DF3A8E">
        <w:rPr>
          <w:rFonts w:ascii="Georgia" w:hAnsi="Georgia"/>
          <w:sz w:val="20"/>
          <w:lang w:val="lt-LT"/>
        </w:rPr>
        <w:t>su jautrumo analiz</w:t>
      </w:r>
      <w:r>
        <w:rPr>
          <w:rFonts w:ascii="Georgia" w:hAnsi="Georgia"/>
          <w:sz w:val="20"/>
          <w:lang w:val="lt-LT"/>
        </w:rPr>
        <w:t xml:space="preserve">ės rezultatais vertinant santykį </w:t>
      </w:r>
      <w:r w:rsidRPr="00DF3A8E">
        <w:rPr>
          <w:rFonts w:ascii="Georgia" w:hAnsi="Georgia"/>
          <w:sz w:val="20"/>
          <w:lang w:val="lt-LT"/>
        </w:rPr>
        <w:t>tarp energijos kainos augimo ir subsidi</w:t>
      </w:r>
      <w:r>
        <w:rPr>
          <w:rFonts w:ascii="Georgia" w:hAnsi="Georgia"/>
          <w:sz w:val="20"/>
          <w:lang w:val="lt-LT"/>
        </w:rPr>
        <w:t>jos</w:t>
      </w:r>
      <w:r w:rsidRPr="00DF3A8E">
        <w:rPr>
          <w:rFonts w:ascii="Georgia" w:hAnsi="Georgia"/>
          <w:sz w:val="20"/>
          <w:lang w:val="lt-LT"/>
        </w:rPr>
        <w:t xml:space="preserve"> elemento.</w:t>
      </w:r>
    </w:p>
    <w:p w14:paraId="1FD520E2" w14:textId="1DECE209" w:rsidR="00444375" w:rsidRPr="00EB3D2A" w:rsidRDefault="00444375" w:rsidP="00444375">
      <w:pPr>
        <w:pStyle w:val="Antrat"/>
        <w:jc w:val="both"/>
        <w:rPr>
          <w:b w:val="0"/>
          <w:i/>
          <w:lang w:val="lt-LT"/>
        </w:rPr>
      </w:pPr>
      <w:bookmarkStart w:id="175" w:name="_Toc503193909"/>
      <w:bookmarkStart w:id="176" w:name="_Toc507939172"/>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50</w:t>
      </w:r>
      <w:r w:rsidRPr="00EB3D2A">
        <w:rPr>
          <w:b w:val="0"/>
          <w:i/>
          <w:lang w:val="lt-LT"/>
        </w:rPr>
        <w:fldChar w:fldCharType="end"/>
      </w:r>
      <w:r w:rsidRPr="00EB3D2A">
        <w:rPr>
          <w:b w:val="0"/>
          <w:i/>
          <w:lang w:val="lt-LT"/>
        </w:rPr>
        <w:t>. Energijos kainos augimo ir subsidijos elemento jautrumo analizė.</w:t>
      </w:r>
      <w:bookmarkEnd w:id="175"/>
      <w:bookmarkEnd w:id="176"/>
    </w:p>
    <w:tbl>
      <w:tblPr>
        <w:tblW w:w="5000" w:type="pct"/>
        <w:tblLook w:val="04A0" w:firstRow="1" w:lastRow="0" w:firstColumn="1" w:lastColumn="0" w:noHBand="0" w:noVBand="1"/>
      </w:tblPr>
      <w:tblGrid>
        <w:gridCol w:w="1031"/>
        <w:gridCol w:w="995"/>
        <w:gridCol w:w="1203"/>
        <w:gridCol w:w="1203"/>
        <w:gridCol w:w="1203"/>
        <w:gridCol w:w="1203"/>
        <w:gridCol w:w="1203"/>
        <w:gridCol w:w="1201"/>
      </w:tblGrid>
      <w:tr w:rsidR="00444375" w:rsidRPr="00934257" w14:paraId="58C58626" w14:textId="77777777" w:rsidTr="00444375">
        <w:trPr>
          <w:trHeight w:val="300"/>
        </w:trPr>
        <w:tc>
          <w:tcPr>
            <w:tcW w:w="1095" w:type="pct"/>
            <w:gridSpan w:val="2"/>
            <w:tcBorders>
              <w:top w:val="nil"/>
              <w:left w:val="nil"/>
              <w:bottom w:val="nil"/>
              <w:right w:val="nil"/>
            </w:tcBorders>
            <w:shd w:val="clear" w:color="auto" w:fill="auto"/>
            <w:noWrap/>
            <w:vAlign w:val="bottom"/>
            <w:hideMark/>
          </w:tcPr>
          <w:p w14:paraId="4E5B4775" w14:textId="77777777" w:rsidR="00444375" w:rsidRPr="00D45CD8" w:rsidRDefault="00444375" w:rsidP="00444375">
            <w:pPr>
              <w:spacing w:after="0" w:line="240" w:lineRule="auto"/>
              <w:rPr>
                <w:rFonts w:ascii="Georgia" w:eastAsia="Times New Roman" w:hAnsi="Georgia" w:cs="Arial"/>
                <w:sz w:val="18"/>
                <w:szCs w:val="18"/>
              </w:rPr>
            </w:pPr>
          </w:p>
        </w:tc>
        <w:tc>
          <w:tcPr>
            <w:tcW w:w="3905" w:type="pct"/>
            <w:gridSpan w:val="6"/>
            <w:tcBorders>
              <w:top w:val="nil"/>
              <w:left w:val="nil"/>
              <w:bottom w:val="nil"/>
              <w:right w:val="nil"/>
            </w:tcBorders>
            <w:shd w:val="clear" w:color="000000" w:fill="FFEB9C"/>
            <w:noWrap/>
            <w:vAlign w:val="bottom"/>
            <w:hideMark/>
          </w:tcPr>
          <w:p w14:paraId="1ED126AD"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Subsidija </w:t>
            </w:r>
          </w:p>
        </w:tc>
      </w:tr>
      <w:tr w:rsidR="00444375" w:rsidRPr="00934257" w14:paraId="6117F8A3" w14:textId="77777777" w:rsidTr="00444375">
        <w:trPr>
          <w:trHeight w:val="255"/>
        </w:trPr>
        <w:tc>
          <w:tcPr>
            <w:tcW w:w="557" w:type="pct"/>
            <w:tcBorders>
              <w:top w:val="nil"/>
              <w:left w:val="nil"/>
              <w:bottom w:val="nil"/>
              <w:right w:val="nil"/>
            </w:tcBorders>
            <w:shd w:val="clear" w:color="auto" w:fill="auto"/>
            <w:noWrap/>
            <w:vAlign w:val="bottom"/>
            <w:hideMark/>
          </w:tcPr>
          <w:p w14:paraId="2CB84EB3" w14:textId="77777777" w:rsidR="00444375" w:rsidRPr="00D45CD8" w:rsidRDefault="00444375" w:rsidP="00444375">
            <w:pPr>
              <w:spacing w:after="0" w:line="240" w:lineRule="auto"/>
              <w:jc w:val="center"/>
              <w:rPr>
                <w:rFonts w:ascii="Georgia" w:eastAsia="Times New Roman" w:hAnsi="Georgia" w:cs="Calibri"/>
                <w:color w:val="9C6500"/>
                <w:sz w:val="18"/>
                <w:szCs w:val="18"/>
              </w:rPr>
            </w:pPr>
          </w:p>
        </w:tc>
        <w:tc>
          <w:tcPr>
            <w:tcW w:w="538" w:type="pct"/>
            <w:tcBorders>
              <w:top w:val="nil"/>
              <w:left w:val="nil"/>
              <w:bottom w:val="nil"/>
              <w:right w:val="single" w:sz="4" w:space="0" w:color="auto"/>
            </w:tcBorders>
            <w:shd w:val="clear" w:color="auto" w:fill="auto"/>
            <w:noWrap/>
            <w:vAlign w:val="bottom"/>
            <w:hideMark/>
          </w:tcPr>
          <w:p w14:paraId="35AFFC46" w14:textId="77777777" w:rsidR="00444375" w:rsidRPr="00D45CD8" w:rsidRDefault="00444375" w:rsidP="00444375">
            <w:pPr>
              <w:spacing w:after="0" w:line="240" w:lineRule="auto"/>
              <w:rPr>
                <w:rFonts w:ascii="Georgia" w:eastAsia="Times New Roman" w:hAnsi="Georgia" w:cs="Arial"/>
                <w:color w:val="FFFFFF"/>
                <w:sz w:val="18"/>
                <w:szCs w:val="18"/>
              </w:rPr>
            </w:pPr>
            <w:r w:rsidRPr="00D45CD8">
              <w:rPr>
                <w:rFonts w:ascii="Georgia" w:eastAsia="Times New Roman" w:hAnsi="Georgia" w:cs="Arial"/>
                <w:color w:val="FFFFFF"/>
                <w:sz w:val="18"/>
                <w:szCs w:val="18"/>
              </w:rPr>
              <w:t xml:space="preserve">          64 </w:t>
            </w:r>
          </w:p>
        </w:tc>
        <w:tc>
          <w:tcPr>
            <w:tcW w:w="651" w:type="pct"/>
            <w:tcBorders>
              <w:top w:val="single" w:sz="4" w:space="0" w:color="auto"/>
              <w:left w:val="single" w:sz="4" w:space="0" w:color="auto"/>
              <w:bottom w:val="nil"/>
              <w:right w:val="single" w:sz="4" w:space="0" w:color="auto"/>
            </w:tcBorders>
            <w:shd w:val="clear" w:color="auto" w:fill="auto"/>
            <w:noWrap/>
            <w:vAlign w:val="bottom"/>
            <w:hideMark/>
          </w:tcPr>
          <w:p w14:paraId="3B6DDBB4"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40%</w:t>
            </w:r>
          </w:p>
        </w:tc>
        <w:tc>
          <w:tcPr>
            <w:tcW w:w="651" w:type="pct"/>
            <w:tcBorders>
              <w:top w:val="nil"/>
              <w:left w:val="single" w:sz="4" w:space="0" w:color="auto"/>
              <w:bottom w:val="nil"/>
              <w:right w:val="nil"/>
            </w:tcBorders>
            <w:shd w:val="clear" w:color="auto" w:fill="auto"/>
            <w:noWrap/>
            <w:vAlign w:val="bottom"/>
            <w:hideMark/>
          </w:tcPr>
          <w:p w14:paraId="00924CCE"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45%</w:t>
            </w:r>
          </w:p>
        </w:tc>
        <w:tc>
          <w:tcPr>
            <w:tcW w:w="651" w:type="pct"/>
            <w:tcBorders>
              <w:top w:val="nil"/>
              <w:left w:val="nil"/>
              <w:bottom w:val="nil"/>
              <w:right w:val="single" w:sz="4" w:space="0" w:color="auto"/>
            </w:tcBorders>
            <w:shd w:val="clear" w:color="auto" w:fill="auto"/>
            <w:noWrap/>
            <w:vAlign w:val="bottom"/>
            <w:hideMark/>
          </w:tcPr>
          <w:p w14:paraId="07992819"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50%</w:t>
            </w:r>
          </w:p>
        </w:tc>
        <w:tc>
          <w:tcPr>
            <w:tcW w:w="651" w:type="pct"/>
            <w:tcBorders>
              <w:top w:val="single" w:sz="4" w:space="0" w:color="auto"/>
              <w:left w:val="single" w:sz="4" w:space="0" w:color="auto"/>
              <w:bottom w:val="nil"/>
              <w:right w:val="single" w:sz="4" w:space="0" w:color="auto"/>
            </w:tcBorders>
            <w:shd w:val="clear" w:color="auto" w:fill="auto"/>
            <w:noWrap/>
            <w:vAlign w:val="bottom"/>
            <w:hideMark/>
          </w:tcPr>
          <w:p w14:paraId="19A3EF79"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55%</w:t>
            </w:r>
          </w:p>
        </w:tc>
        <w:tc>
          <w:tcPr>
            <w:tcW w:w="651" w:type="pct"/>
            <w:tcBorders>
              <w:top w:val="nil"/>
              <w:left w:val="single" w:sz="4" w:space="0" w:color="auto"/>
              <w:bottom w:val="nil"/>
              <w:right w:val="nil"/>
            </w:tcBorders>
            <w:shd w:val="clear" w:color="auto" w:fill="auto"/>
            <w:noWrap/>
            <w:vAlign w:val="bottom"/>
            <w:hideMark/>
          </w:tcPr>
          <w:p w14:paraId="4126B043"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60%</w:t>
            </w:r>
          </w:p>
        </w:tc>
        <w:tc>
          <w:tcPr>
            <w:tcW w:w="651" w:type="pct"/>
            <w:tcBorders>
              <w:top w:val="nil"/>
              <w:left w:val="nil"/>
              <w:bottom w:val="nil"/>
              <w:right w:val="nil"/>
            </w:tcBorders>
            <w:shd w:val="clear" w:color="auto" w:fill="auto"/>
            <w:noWrap/>
            <w:vAlign w:val="bottom"/>
            <w:hideMark/>
          </w:tcPr>
          <w:p w14:paraId="0444DE7C" w14:textId="77777777" w:rsidR="00444375" w:rsidRPr="00D45CD8" w:rsidRDefault="00444375" w:rsidP="00444375">
            <w:pPr>
              <w:spacing w:after="0" w:line="240" w:lineRule="auto"/>
              <w:jc w:val="center"/>
              <w:rPr>
                <w:rFonts w:ascii="Georgia" w:eastAsia="Times New Roman" w:hAnsi="Georgia" w:cs="Arial"/>
                <w:b/>
                <w:sz w:val="18"/>
                <w:szCs w:val="18"/>
              </w:rPr>
            </w:pPr>
            <w:r w:rsidRPr="00D45CD8">
              <w:rPr>
                <w:rFonts w:ascii="Georgia" w:eastAsia="Times New Roman" w:hAnsi="Georgia" w:cs="Arial"/>
                <w:b/>
                <w:sz w:val="18"/>
                <w:szCs w:val="18"/>
              </w:rPr>
              <w:t>65%</w:t>
            </w:r>
          </w:p>
        </w:tc>
      </w:tr>
      <w:tr w:rsidR="00444375" w:rsidRPr="00934257" w14:paraId="77FE7330" w14:textId="77777777" w:rsidTr="00444375">
        <w:trPr>
          <w:trHeight w:val="255"/>
        </w:trPr>
        <w:tc>
          <w:tcPr>
            <w:tcW w:w="557" w:type="pct"/>
            <w:vMerge w:val="restart"/>
            <w:tcBorders>
              <w:top w:val="nil"/>
              <w:left w:val="nil"/>
              <w:bottom w:val="nil"/>
              <w:right w:val="nil"/>
            </w:tcBorders>
            <w:shd w:val="clear" w:color="000000" w:fill="FFEB9C"/>
            <w:textDirection w:val="btLr"/>
            <w:vAlign w:val="center"/>
            <w:hideMark/>
          </w:tcPr>
          <w:p w14:paraId="6FAA6AE4" w14:textId="77777777" w:rsidR="00444375" w:rsidRPr="00D45CD8" w:rsidRDefault="00444375" w:rsidP="00444375">
            <w:pPr>
              <w:spacing w:after="0" w:line="240" w:lineRule="auto"/>
              <w:jc w:val="center"/>
              <w:rPr>
                <w:rFonts w:ascii="Georgia" w:eastAsia="Times New Roman" w:hAnsi="Georgia" w:cs="Calibri"/>
                <w:color w:val="9C6500"/>
                <w:sz w:val="18"/>
                <w:szCs w:val="18"/>
              </w:rPr>
            </w:pPr>
            <w:r w:rsidRPr="00D45CD8">
              <w:rPr>
                <w:rFonts w:ascii="Georgia" w:eastAsia="Times New Roman" w:hAnsi="Georgia" w:cs="Calibri"/>
                <w:color w:val="9C6500"/>
                <w:sz w:val="18"/>
                <w:szCs w:val="18"/>
              </w:rPr>
              <w:t xml:space="preserve">Šilumos kainų  augimas </w:t>
            </w:r>
            <w:r w:rsidRPr="00D45CD8">
              <w:rPr>
                <w:rFonts w:ascii="Georgia" w:eastAsia="Times New Roman" w:hAnsi="Georgia" w:cs="Calibri"/>
                <w:color w:val="9C6500"/>
                <w:sz w:val="18"/>
                <w:szCs w:val="18"/>
              </w:rPr>
              <w:br/>
              <w:t xml:space="preserve">(per metus) </w:t>
            </w:r>
          </w:p>
        </w:tc>
        <w:tc>
          <w:tcPr>
            <w:tcW w:w="538" w:type="pct"/>
            <w:tcBorders>
              <w:top w:val="nil"/>
              <w:left w:val="nil"/>
              <w:bottom w:val="nil"/>
              <w:right w:val="single" w:sz="4" w:space="0" w:color="auto"/>
            </w:tcBorders>
            <w:shd w:val="clear" w:color="auto" w:fill="auto"/>
            <w:noWrap/>
            <w:vAlign w:val="bottom"/>
            <w:hideMark/>
          </w:tcPr>
          <w:p w14:paraId="77D39952"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-2,0%</w:t>
            </w:r>
          </w:p>
        </w:tc>
        <w:tc>
          <w:tcPr>
            <w:tcW w:w="651" w:type="pct"/>
            <w:tcBorders>
              <w:top w:val="nil"/>
              <w:left w:val="single" w:sz="4" w:space="0" w:color="auto"/>
              <w:bottom w:val="nil"/>
              <w:right w:val="single" w:sz="4" w:space="0" w:color="auto"/>
            </w:tcBorders>
            <w:shd w:val="clear" w:color="auto" w:fill="auto"/>
            <w:noWrap/>
            <w:vAlign w:val="bottom"/>
            <w:hideMark/>
          </w:tcPr>
          <w:p w14:paraId="0BADDF98"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53,3</w:t>
            </w:r>
          </w:p>
        </w:tc>
        <w:tc>
          <w:tcPr>
            <w:tcW w:w="651" w:type="pct"/>
            <w:tcBorders>
              <w:top w:val="nil"/>
              <w:left w:val="single" w:sz="4" w:space="0" w:color="auto"/>
              <w:bottom w:val="nil"/>
              <w:right w:val="nil"/>
            </w:tcBorders>
            <w:shd w:val="clear" w:color="auto" w:fill="auto"/>
            <w:noWrap/>
            <w:vAlign w:val="bottom"/>
            <w:hideMark/>
          </w:tcPr>
          <w:p w14:paraId="286786F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47,6</w:t>
            </w:r>
          </w:p>
        </w:tc>
        <w:tc>
          <w:tcPr>
            <w:tcW w:w="651" w:type="pct"/>
            <w:tcBorders>
              <w:top w:val="nil"/>
              <w:left w:val="nil"/>
              <w:bottom w:val="nil"/>
              <w:right w:val="single" w:sz="4" w:space="0" w:color="auto"/>
            </w:tcBorders>
            <w:shd w:val="clear" w:color="auto" w:fill="auto"/>
            <w:noWrap/>
            <w:vAlign w:val="bottom"/>
            <w:hideMark/>
          </w:tcPr>
          <w:p w14:paraId="26B2574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42,2</w:t>
            </w:r>
          </w:p>
        </w:tc>
        <w:tc>
          <w:tcPr>
            <w:tcW w:w="651" w:type="pct"/>
            <w:tcBorders>
              <w:top w:val="nil"/>
              <w:left w:val="single" w:sz="4" w:space="0" w:color="auto"/>
              <w:bottom w:val="nil"/>
              <w:right w:val="single" w:sz="4" w:space="0" w:color="auto"/>
            </w:tcBorders>
            <w:shd w:val="clear" w:color="auto" w:fill="auto"/>
            <w:noWrap/>
            <w:vAlign w:val="bottom"/>
            <w:hideMark/>
          </w:tcPr>
          <w:p w14:paraId="22CBF213"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37,1</w:t>
            </w:r>
          </w:p>
        </w:tc>
        <w:tc>
          <w:tcPr>
            <w:tcW w:w="651" w:type="pct"/>
            <w:tcBorders>
              <w:top w:val="nil"/>
              <w:left w:val="single" w:sz="4" w:space="0" w:color="auto"/>
              <w:bottom w:val="nil"/>
              <w:right w:val="nil"/>
            </w:tcBorders>
            <w:shd w:val="clear" w:color="auto" w:fill="auto"/>
            <w:noWrap/>
            <w:vAlign w:val="bottom"/>
            <w:hideMark/>
          </w:tcPr>
          <w:p w14:paraId="05129939"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32,2</w:t>
            </w:r>
          </w:p>
        </w:tc>
        <w:tc>
          <w:tcPr>
            <w:tcW w:w="651" w:type="pct"/>
            <w:tcBorders>
              <w:top w:val="nil"/>
              <w:left w:val="nil"/>
              <w:bottom w:val="nil"/>
              <w:right w:val="nil"/>
            </w:tcBorders>
            <w:shd w:val="clear" w:color="auto" w:fill="auto"/>
            <w:noWrap/>
            <w:vAlign w:val="bottom"/>
            <w:hideMark/>
          </w:tcPr>
          <w:p w14:paraId="358CDCC6"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27,6</w:t>
            </w:r>
          </w:p>
        </w:tc>
      </w:tr>
      <w:tr w:rsidR="00444375" w:rsidRPr="00934257" w14:paraId="4E272E12" w14:textId="77777777" w:rsidTr="00444375">
        <w:trPr>
          <w:trHeight w:val="255"/>
        </w:trPr>
        <w:tc>
          <w:tcPr>
            <w:tcW w:w="557" w:type="pct"/>
            <w:vMerge/>
            <w:tcBorders>
              <w:top w:val="nil"/>
              <w:left w:val="nil"/>
              <w:bottom w:val="nil"/>
              <w:right w:val="nil"/>
            </w:tcBorders>
            <w:vAlign w:val="center"/>
            <w:hideMark/>
          </w:tcPr>
          <w:p w14:paraId="779601C7"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single" w:sz="4" w:space="0" w:color="auto"/>
            </w:tcBorders>
            <w:shd w:val="clear" w:color="auto" w:fill="auto"/>
            <w:noWrap/>
            <w:vAlign w:val="bottom"/>
            <w:hideMark/>
          </w:tcPr>
          <w:p w14:paraId="50CF2D8C"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-1,0%</w:t>
            </w:r>
          </w:p>
        </w:tc>
        <w:tc>
          <w:tcPr>
            <w:tcW w:w="651" w:type="pct"/>
            <w:tcBorders>
              <w:top w:val="nil"/>
              <w:left w:val="single" w:sz="4" w:space="0" w:color="auto"/>
              <w:bottom w:val="nil"/>
              <w:right w:val="single" w:sz="4" w:space="0" w:color="auto"/>
            </w:tcBorders>
            <w:shd w:val="clear" w:color="auto" w:fill="auto"/>
            <w:noWrap/>
            <w:vAlign w:val="bottom"/>
            <w:hideMark/>
          </w:tcPr>
          <w:p w14:paraId="3713303F"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47,3</w:t>
            </w:r>
          </w:p>
        </w:tc>
        <w:tc>
          <w:tcPr>
            <w:tcW w:w="651" w:type="pct"/>
            <w:tcBorders>
              <w:top w:val="nil"/>
              <w:left w:val="single" w:sz="4" w:space="0" w:color="auto"/>
              <w:bottom w:val="nil"/>
              <w:right w:val="nil"/>
            </w:tcBorders>
            <w:shd w:val="clear" w:color="auto" w:fill="auto"/>
            <w:noWrap/>
            <w:vAlign w:val="bottom"/>
            <w:hideMark/>
          </w:tcPr>
          <w:p w14:paraId="762EB94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42,4</w:t>
            </w:r>
          </w:p>
        </w:tc>
        <w:tc>
          <w:tcPr>
            <w:tcW w:w="651" w:type="pct"/>
            <w:tcBorders>
              <w:top w:val="nil"/>
              <w:left w:val="nil"/>
              <w:bottom w:val="nil"/>
              <w:right w:val="single" w:sz="4" w:space="0" w:color="auto"/>
            </w:tcBorders>
            <w:shd w:val="clear" w:color="auto" w:fill="auto"/>
            <w:noWrap/>
            <w:vAlign w:val="bottom"/>
            <w:hideMark/>
          </w:tcPr>
          <w:p w14:paraId="7987A5B2"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37,7</w:t>
            </w:r>
          </w:p>
        </w:tc>
        <w:tc>
          <w:tcPr>
            <w:tcW w:w="651" w:type="pct"/>
            <w:tcBorders>
              <w:top w:val="nil"/>
              <w:left w:val="single" w:sz="4" w:space="0" w:color="auto"/>
              <w:bottom w:val="nil"/>
              <w:right w:val="single" w:sz="4" w:space="0" w:color="auto"/>
            </w:tcBorders>
            <w:shd w:val="clear" w:color="auto" w:fill="auto"/>
            <w:noWrap/>
            <w:vAlign w:val="bottom"/>
            <w:hideMark/>
          </w:tcPr>
          <w:p w14:paraId="63EC9F10"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33,2</w:t>
            </w:r>
          </w:p>
        </w:tc>
        <w:tc>
          <w:tcPr>
            <w:tcW w:w="651" w:type="pct"/>
            <w:tcBorders>
              <w:top w:val="nil"/>
              <w:left w:val="single" w:sz="4" w:space="0" w:color="auto"/>
              <w:bottom w:val="nil"/>
              <w:right w:val="nil"/>
            </w:tcBorders>
            <w:shd w:val="clear" w:color="auto" w:fill="auto"/>
            <w:noWrap/>
            <w:vAlign w:val="bottom"/>
            <w:hideMark/>
          </w:tcPr>
          <w:p w14:paraId="079F1D54"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29,0</w:t>
            </w:r>
          </w:p>
        </w:tc>
        <w:tc>
          <w:tcPr>
            <w:tcW w:w="651" w:type="pct"/>
            <w:tcBorders>
              <w:top w:val="nil"/>
              <w:left w:val="nil"/>
              <w:bottom w:val="nil"/>
              <w:right w:val="nil"/>
            </w:tcBorders>
            <w:shd w:val="clear" w:color="auto" w:fill="auto"/>
            <w:noWrap/>
            <w:vAlign w:val="bottom"/>
            <w:hideMark/>
          </w:tcPr>
          <w:p w14:paraId="7E34E44C"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24,8</w:t>
            </w:r>
          </w:p>
        </w:tc>
      </w:tr>
      <w:tr w:rsidR="00444375" w:rsidRPr="00934257" w14:paraId="099B5390" w14:textId="77777777" w:rsidTr="00444375">
        <w:trPr>
          <w:trHeight w:val="255"/>
        </w:trPr>
        <w:tc>
          <w:tcPr>
            <w:tcW w:w="557" w:type="pct"/>
            <w:vMerge/>
            <w:tcBorders>
              <w:top w:val="nil"/>
              <w:left w:val="nil"/>
              <w:bottom w:val="nil"/>
              <w:right w:val="nil"/>
            </w:tcBorders>
            <w:vAlign w:val="center"/>
            <w:hideMark/>
          </w:tcPr>
          <w:p w14:paraId="501F491F"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single" w:sz="4" w:space="0" w:color="auto"/>
            </w:tcBorders>
            <w:shd w:val="clear" w:color="auto" w:fill="auto"/>
            <w:noWrap/>
            <w:vAlign w:val="bottom"/>
            <w:hideMark/>
          </w:tcPr>
          <w:p w14:paraId="5B450945"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0,0%</w:t>
            </w:r>
          </w:p>
        </w:tc>
        <w:tc>
          <w:tcPr>
            <w:tcW w:w="651" w:type="pct"/>
            <w:tcBorders>
              <w:top w:val="nil"/>
              <w:left w:val="single" w:sz="4" w:space="0" w:color="auto"/>
              <w:bottom w:val="nil"/>
              <w:right w:val="single" w:sz="4" w:space="0" w:color="auto"/>
            </w:tcBorders>
            <w:shd w:val="clear" w:color="auto" w:fill="auto"/>
            <w:noWrap/>
            <w:vAlign w:val="bottom"/>
            <w:hideMark/>
          </w:tcPr>
          <w:p w14:paraId="02818233"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42,0</w:t>
            </w:r>
          </w:p>
        </w:tc>
        <w:tc>
          <w:tcPr>
            <w:tcW w:w="651" w:type="pct"/>
            <w:tcBorders>
              <w:top w:val="nil"/>
              <w:left w:val="single" w:sz="4" w:space="0" w:color="auto"/>
              <w:bottom w:val="nil"/>
              <w:right w:val="nil"/>
            </w:tcBorders>
            <w:shd w:val="clear" w:color="auto" w:fill="auto"/>
            <w:noWrap/>
            <w:vAlign w:val="bottom"/>
            <w:hideMark/>
          </w:tcPr>
          <w:p w14:paraId="3D6C81BE"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37,8</w:t>
            </w:r>
          </w:p>
        </w:tc>
        <w:tc>
          <w:tcPr>
            <w:tcW w:w="651" w:type="pct"/>
            <w:tcBorders>
              <w:top w:val="nil"/>
              <w:left w:val="nil"/>
              <w:bottom w:val="nil"/>
              <w:right w:val="single" w:sz="4" w:space="0" w:color="auto"/>
            </w:tcBorders>
            <w:shd w:val="clear" w:color="auto" w:fill="auto"/>
            <w:noWrap/>
            <w:vAlign w:val="bottom"/>
            <w:hideMark/>
          </w:tcPr>
          <w:p w14:paraId="06BA3E1B"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33,7</w:t>
            </w:r>
          </w:p>
        </w:tc>
        <w:tc>
          <w:tcPr>
            <w:tcW w:w="651" w:type="pct"/>
            <w:tcBorders>
              <w:top w:val="nil"/>
              <w:left w:val="single" w:sz="4" w:space="0" w:color="auto"/>
              <w:bottom w:val="nil"/>
              <w:right w:val="single" w:sz="4" w:space="0" w:color="auto"/>
            </w:tcBorders>
            <w:shd w:val="clear" w:color="auto" w:fill="auto"/>
            <w:noWrap/>
            <w:vAlign w:val="bottom"/>
            <w:hideMark/>
          </w:tcPr>
          <w:p w14:paraId="31ED4164"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29,8</w:t>
            </w:r>
          </w:p>
        </w:tc>
        <w:tc>
          <w:tcPr>
            <w:tcW w:w="651" w:type="pct"/>
            <w:tcBorders>
              <w:top w:val="nil"/>
              <w:left w:val="single" w:sz="4" w:space="0" w:color="auto"/>
              <w:bottom w:val="nil"/>
              <w:right w:val="nil"/>
            </w:tcBorders>
            <w:shd w:val="clear" w:color="auto" w:fill="auto"/>
            <w:noWrap/>
            <w:vAlign w:val="bottom"/>
            <w:hideMark/>
          </w:tcPr>
          <w:p w14:paraId="75F259EA"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26,0</w:t>
            </w:r>
          </w:p>
        </w:tc>
        <w:tc>
          <w:tcPr>
            <w:tcW w:w="651" w:type="pct"/>
            <w:tcBorders>
              <w:top w:val="nil"/>
              <w:left w:val="nil"/>
              <w:bottom w:val="nil"/>
              <w:right w:val="nil"/>
            </w:tcBorders>
            <w:shd w:val="clear" w:color="auto" w:fill="auto"/>
            <w:noWrap/>
            <w:vAlign w:val="bottom"/>
            <w:hideMark/>
          </w:tcPr>
          <w:p w14:paraId="6D7055E0"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22,4</w:t>
            </w:r>
          </w:p>
        </w:tc>
      </w:tr>
      <w:tr w:rsidR="00444375" w:rsidRPr="00934257" w14:paraId="22930EA9" w14:textId="77777777" w:rsidTr="00444375">
        <w:trPr>
          <w:trHeight w:val="255"/>
        </w:trPr>
        <w:tc>
          <w:tcPr>
            <w:tcW w:w="557" w:type="pct"/>
            <w:vMerge/>
            <w:tcBorders>
              <w:top w:val="nil"/>
              <w:left w:val="nil"/>
              <w:bottom w:val="nil"/>
              <w:right w:val="nil"/>
            </w:tcBorders>
            <w:vAlign w:val="center"/>
            <w:hideMark/>
          </w:tcPr>
          <w:p w14:paraId="26E15F0E"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single" w:sz="4" w:space="0" w:color="auto"/>
              <w:right w:val="single" w:sz="4" w:space="0" w:color="auto"/>
            </w:tcBorders>
            <w:shd w:val="clear" w:color="auto" w:fill="auto"/>
            <w:noWrap/>
            <w:vAlign w:val="bottom"/>
            <w:hideMark/>
          </w:tcPr>
          <w:p w14:paraId="2F086837"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1,0%</w:t>
            </w:r>
          </w:p>
        </w:tc>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092CE6F"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37,4</w:t>
            </w:r>
          </w:p>
        </w:tc>
        <w:tc>
          <w:tcPr>
            <w:tcW w:w="651" w:type="pct"/>
            <w:tcBorders>
              <w:top w:val="nil"/>
              <w:left w:val="single" w:sz="4" w:space="0" w:color="auto"/>
              <w:bottom w:val="single" w:sz="4" w:space="0" w:color="auto"/>
              <w:right w:val="nil"/>
            </w:tcBorders>
            <w:shd w:val="clear" w:color="auto" w:fill="auto"/>
            <w:noWrap/>
            <w:vAlign w:val="bottom"/>
            <w:hideMark/>
          </w:tcPr>
          <w:p w14:paraId="4B066AF7"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33,7</w:t>
            </w:r>
          </w:p>
        </w:tc>
        <w:tc>
          <w:tcPr>
            <w:tcW w:w="651" w:type="pct"/>
            <w:tcBorders>
              <w:top w:val="nil"/>
              <w:left w:val="nil"/>
              <w:bottom w:val="single" w:sz="4" w:space="0" w:color="auto"/>
              <w:right w:val="single" w:sz="4" w:space="0" w:color="auto"/>
            </w:tcBorders>
            <w:shd w:val="clear" w:color="auto" w:fill="auto"/>
            <w:noWrap/>
            <w:vAlign w:val="bottom"/>
            <w:hideMark/>
          </w:tcPr>
          <w:p w14:paraId="50425C46"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30,1</w:t>
            </w:r>
          </w:p>
        </w:tc>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DABB67"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26,6</w:t>
            </w:r>
          </w:p>
        </w:tc>
        <w:tc>
          <w:tcPr>
            <w:tcW w:w="651" w:type="pct"/>
            <w:tcBorders>
              <w:top w:val="nil"/>
              <w:left w:val="single" w:sz="4" w:space="0" w:color="auto"/>
              <w:bottom w:val="nil"/>
              <w:right w:val="nil"/>
            </w:tcBorders>
            <w:shd w:val="clear" w:color="auto" w:fill="auto"/>
            <w:noWrap/>
            <w:vAlign w:val="bottom"/>
            <w:hideMark/>
          </w:tcPr>
          <w:p w14:paraId="0E542D52"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23,3</w:t>
            </w:r>
          </w:p>
        </w:tc>
        <w:tc>
          <w:tcPr>
            <w:tcW w:w="651" w:type="pct"/>
            <w:tcBorders>
              <w:top w:val="nil"/>
              <w:left w:val="nil"/>
              <w:bottom w:val="nil"/>
              <w:right w:val="nil"/>
            </w:tcBorders>
            <w:shd w:val="clear" w:color="auto" w:fill="auto"/>
            <w:noWrap/>
            <w:vAlign w:val="bottom"/>
            <w:hideMark/>
          </w:tcPr>
          <w:p w14:paraId="4E5B6088"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20,1</w:t>
            </w:r>
          </w:p>
        </w:tc>
      </w:tr>
      <w:tr w:rsidR="00444375" w:rsidRPr="00934257" w14:paraId="7CEB9AB8" w14:textId="77777777" w:rsidTr="00444375">
        <w:trPr>
          <w:trHeight w:val="255"/>
        </w:trPr>
        <w:tc>
          <w:tcPr>
            <w:tcW w:w="557" w:type="pct"/>
            <w:vMerge/>
            <w:tcBorders>
              <w:top w:val="nil"/>
              <w:left w:val="nil"/>
              <w:bottom w:val="nil"/>
              <w:right w:val="single" w:sz="4" w:space="0" w:color="auto"/>
            </w:tcBorders>
            <w:vAlign w:val="center"/>
            <w:hideMark/>
          </w:tcPr>
          <w:p w14:paraId="7EA62748"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DF6B5"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2,0%</w:t>
            </w:r>
          </w:p>
        </w:tc>
        <w:tc>
          <w:tcPr>
            <w:tcW w:w="65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F2E59D8"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33,2</w:t>
            </w:r>
          </w:p>
        </w:tc>
        <w:tc>
          <w:tcPr>
            <w:tcW w:w="651" w:type="pct"/>
            <w:tcBorders>
              <w:top w:val="single" w:sz="4" w:space="0" w:color="auto"/>
              <w:left w:val="single" w:sz="4" w:space="0" w:color="auto"/>
              <w:bottom w:val="single" w:sz="4" w:space="0" w:color="auto"/>
              <w:right w:val="nil"/>
            </w:tcBorders>
            <w:shd w:val="clear" w:color="auto" w:fill="auto"/>
            <w:noWrap/>
            <w:vAlign w:val="bottom"/>
            <w:hideMark/>
          </w:tcPr>
          <w:p w14:paraId="20397003"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30,0</w:t>
            </w:r>
          </w:p>
        </w:tc>
        <w:tc>
          <w:tcPr>
            <w:tcW w:w="651" w:type="pct"/>
            <w:tcBorders>
              <w:top w:val="single" w:sz="4" w:space="0" w:color="auto"/>
              <w:left w:val="nil"/>
              <w:bottom w:val="single" w:sz="4" w:space="0" w:color="auto"/>
              <w:right w:val="single" w:sz="4" w:space="0" w:color="auto"/>
            </w:tcBorders>
            <w:shd w:val="clear" w:color="auto" w:fill="auto"/>
            <w:noWrap/>
            <w:vAlign w:val="bottom"/>
            <w:hideMark/>
          </w:tcPr>
          <w:p w14:paraId="568AF3F0"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26,9</w:t>
            </w:r>
          </w:p>
        </w:tc>
        <w:tc>
          <w:tcPr>
            <w:tcW w:w="65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BBD17A7"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23,8</w:t>
            </w:r>
          </w:p>
        </w:tc>
        <w:tc>
          <w:tcPr>
            <w:tcW w:w="651" w:type="pct"/>
            <w:tcBorders>
              <w:top w:val="nil"/>
              <w:left w:val="single" w:sz="4" w:space="0" w:color="auto"/>
              <w:bottom w:val="nil"/>
              <w:right w:val="nil"/>
            </w:tcBorders>
            <w:shd w:val="clear" w:color="auto" w:fill="auto"/>
            <w:noWrap/>
            <w:vAlign w:val="bottom"/>
            <w:hideMark/>
          </w:tcPr>
          <w:p w14:paraId="104136D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20,9</w:t>
            </w:r>
          </w:p>
        </w:tc>
        <w:tc>
          <w:tcPr>
            <w:tcW w:w="651" w:type="pct"/>
            <w:tcBorders>
              <w:top w:val="nil"/>
              <w:left w:val="nil"/>
              <w:bottom w:val="nil"/>
              <w:right w:val="nil"/>
            </w:tcBorders>
            <w:shd w:val="clear" w:color="auto" w:fill="auto"/>
            <w:noWrap/>
            <w:vAlign w:val="bottom"/>
            <w:hideMark/>
          </w:tcPr>
          <w:p w14:paraId="30E283EB"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18,0</w:t>
            </w:r>
          </w:p>
        </w:tc>
      </w:tr>
      <w:tr w:rsidR="00444375" w:rsidRPr="00934257" w14:paraId="24F01E61" w14:textId="77777777" w:rsidTr="00444375">
        <w:trPr>
          <w:trHeight w:val="255"/>
        </w:trPr>
        <w:tc>
          <w:tcPr>
            <w:tcW w:w="557" w:type="pct"/>
            <w:vMerge/>
            <w:tcBorders>
              <w:top w:val="nil"/>
              <w:left w:val="nil"/>
              <w:bottom w:val="nil"/>
              <w:right w:val="nil"/>
            </w:tcBorders>
            <w:vAlign w:val="center"/>
            <w:hideMark/>
          </w:tcPr>
          <w:p w14:paraId="759B8891"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single" w:sz="4" w:space="0" w:color="auto"/>
              <w:left w:val="nil"/>
              <w:bottom w:val="nil"/>
              <w:right w:val="nil"/>
            </w:tcBorders>
            <w:shd w:val="clear" w:color="auto" w:fill="auto"/>
            <w:noWrap/>
            <w:vAlign w:val="bottom"/>
            <w:hideMark/>
          </w:tcPr>
          <w:p w14:paraId="6AD3091A"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3,0%</w:t>
            </w:r>
          </w:p>
        </w:tc>
        <w:tc>
          <w:tcPr>
            <w:tcW w:w="651" w:type="pct"/>
            <w:tcBorders>
              <w:top w:val="single" w:sz="4" w:space="0" w:color="auto"/>
              <w:left w:val="nil"/>
              <w:bottom w:val="nil"/>
              <w:right w:val="nil"/>
            </w:tcBorders>
            <w:shd w:val="clear" w:color="auto" w:fill="auto"/>
            <w:noWrap/>
            <w:vAlign w:val="bottom"/>
            <w:hideMark/>
          </w:tcPr>
          <w:p w14:paraId="3D110FF9"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29,5</w:t>
            </w:r>
          </w:p>
        </w:tc>
        <w:tc>
          <w:tcPr>
            <w:tcW w:w="651" w:type="pct"/>
            <w:tcBorders>
              <w:top w:val="single" w:sz="4" w:space="0" w:color="auto"/>
              <w:left w:val="nil"/>
              <w:bottom w:val="nil"/>
              <w:right w:val="nil"/>
            </w:tcBorders>
            <w:shd w:val="clear" w:color="auto" w:fill="auto"/>
            <w:noWrap/>
            <w:vAlign w:val="bottom"/>
            <w:hideMark/>
          </w:tcPr>
          <w:p w14:paraId="529EA217"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26,7</w:t>
            </w:r>
          </w:p>
        </w:tc>
        <w:tc>
          <w:tcPr>
            <w:tcW w:w="651" w:type="pct"/>
            <w:tcBorders>
              <w:top w:val="single" w:sz="4" w:space="0" w:color="auto"/>
              <w:left w:val="nil"/>
              <w:bottom w:val="nil"/>
              <w:right w:val="nil"/>
            </w:tcBorders>
            <w:shd w:val="clear" w:color="auto" w:fill="auto"/>
            <w:noWrap/>
            <w:vAlign w:val="bottom"/>
            <w:hideMark/>
          </w:tcPr>
          <w:p w14:paraId="2ABD3602"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23,9</w:t>
            </w:r>
          </w:p>
        </w:tc>
        <w:tc>
          <w:tcPr>
            <w:tcW w:w="651" w:type="pct"/>
            <w:tcBorders>
              <w:top w:val="single" w:sz="4" w:space="0" w:color="auto"/>
              <w:left w:val="nil"/>
              <w:bottom w:val="nil"/>
              <w:right w:val="nil"/>
            </w:tcBorders>
            <w:shd w:val="clear" w:color="auto" w:fill="auto"/>
            <w:noWrap/>
            <w:vAlign w:val="bottom"/>
            <w:hideMark/>
          </w:tcPr>
          <w:p w14:paraId="37CDA28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21,3</w:t>
            </w:r>
          </w:p>
        </w:tc>
        <w:tc>
          <w:tcPr>
            <w:tcW w:w="651" w:type="pct"/>
            <w:tcBorders>
              <w:top w:val="nil"/>
              <w:left w:val="nil"/>
              <w:bottom w:val="nil"/>
              <w:right w:val="nil"/>
            </w:tcBorders>
            <w:shd w:val="clear" w:color="auto" w:fill="auto"/>
            <w:noWrap/>
            <w:vAlign w:val="bottom"/>
            <w:hideMark/>
          </w:tcPr>
          <w:p w14:paraId="66E1BB0F"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18,7</w:t>
            </w:r>
          </w:p>
        </w:tc>
        <w:tc>
          <w:tcPr>
            <w:tcW w:w="651" w:type="pct"/>
            <w:tcBorders>
              <w:top w:val="nil"/>
              <w:left w:val="nil"/>
              <w:bottom w:val="nil"/>
              <w:right w:val="nil"/>
            </w:tcBorders>
            <w:shd w:val="clear" w:color="auto" w:fill="auto"/>
            <w:noWrap/>
            <w:vAlign w:val="bottom"/>
            <w:hideMark/>
          </w:tcPr>
          <w:p w14:paraId="7CD2255B"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16,1</w:t>
            </w:r>
          </w:p>
        </w:tc>
      </w:tr>
      <w:tr w:rsidR="00444375" w:rsidRPr="00934257" w14:paraId="5923A12A" w14:textId="77777777" w:rsidTr="00444375">
        <w:trPr>
          <w:trHeight w:val="300"/>
        </w:trPr>
        <w:tc>
          <w:tcPr>
            <w:tcW w:w="557" w:type="pct"/>
            <w:vMerge/>
            <w:tcBorders>
              <w:top w:val="nil"/>
              <w:left w:val="nil"/>
              <w:bottom w:val="nil"/>
              <w:right w:val="nil"/>
            </w:tcBorders>
            <w:vAlign w:val="center"/>
            <w:hideMark/>
          </w:tcPr>
          <w:p w14:paraId="2ACA2EB4"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296E8376"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4,0%</w:t>
            </w:r>
          </w:p>
        </w:tc>
        <w:tc>
          <w:tcPr>
            <w:tcW w:w="651" w:type="pct"/>
            <w:tcBorders>
              <w:top w:val="nil"/>
              <w:left w:val="nil"/>
              <w:bottom w:val="nil"/>
              <w:right w:val="nil"/>
            </w:tcBorders>
            <w:shd w:val="clear" w:color="auto" w:fill="auto"/>
            <w:noWrap/>
            <w:vAlign w:val="bottom"/>
            <w:hideMark/>
          </w:tcPr>
          <w:p w14:paraId="0FB61811"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26,2</w:t>
            </w:r>
          </w:p>
        </w:tc>
        <w:tc>
          <w:tcPr>
            <w:tcW w:w="651" w:type="pct"/>
            <w:tcBorders>
              <w:top w:val="nil"/>
              <w:left w:val="nil"/>
              <w:bottom w:val="nil"/>
              <w:right w:val="nil"/>
            </w:tcBorders>
            <w:shd w:val="clear" w:color="auto" w:fill="auto"/>
            <w:noWrap/>
            <w:vAlign w:val="bottom"/>
            <w:hideMark/>
          </w:tcPr>
          <w:p w14:paraId="57C6019E"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23,7</w:t>
            </w:r>
          </w:p>
        </w:tc>
        <w:tc>
          <w:tcPr>
            <w:tcW w:w="651" w:type="pct"/>
            <w:tcBorders>
              <w:top w:val="nil"/>
              <w:left w:val="nil"/>
              <w:bottom w:val="nil"/>
              <w:right w:val="nil"/>
            </w:tcBorders>
            <w:shd w:val="clear" w:color="auto" w:fill="auto"/>
            <w:noWrap/>
            <w:vAlign w:val="bottom"/>
            <w:hideMark/>
          </w:tcPr>
          <w:p w14:paraId="6238E223"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21,3</w:t>
            </w:r>
          </w:p>
        </w:tc>
        <w:tc>
          <w:tcPr>
            <w:tcW w:w="651" w:type="pct"/>
            <w:tcBorders>
              <w:top w:val="nil"/>
              <w:left w:val="nil"/>
              <w:bottom w:val="nil"/>
              <w:right w:val="nil"/>
            </w:tcBorders>
            <w:shd w:val="clear" w:color="auto" w:fill="auto"/>
            <w:noWrap/>
            <w:vAlign w:val="bottom"/>
            <w:hideMark/>
          </w:tcPr>
          <w:p w14:paraId="3B484D74"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19,0</w:t>
            </w:r>
          </w:p>
        </w:tc>
        <w:tc>
          <w:tcPr>
            <w:tcW w:w="651" w:type="pct"/>
            <w:tcBorders>
              <w:top w:val="nil"/>
              <w:left w:val="nil"/>
              <w:bottom w:val="nil"/>
              <w:right w:val="nil"/>
            </w:tcBorders>
            <w:shd w:val="clear" w:color="auto" w:fill="auto"/>
            <w:noWrap/>
            <w:vAlign w:val="bottom"/>
            <w:hideMark/>
          </w:tcPr>
          <w:p w14:paraId="5FD034D4"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16,7</w:t>
            </w:r>
          </w:p>
        </w:tc>
        <w:tc>
          <w:tcPr>
            <w:tcW w:w="651" w:type="pct"/>
            <w:tcBorders>
              <w:top w:val="nil"/>
              <w:left w:val="nil"/>
              <w:bottom w:val="nil"/>
              <w:right w:val="nil"/>
            </w:tcBorders>
            <w:shd w:val="clear" w:color="auto" w:fill="auto"/>
            <w:noWrap/>
            <w:vAlign w:val="bottom"/>
            <w:hideMark/>
          </w:tcPr>
          <w:p w14:paraId="5187931D"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14,5</w:t>
            </w:r>
          </w:p>
        </w:tc>
      </w:tr>
      <w:tr w:rsidR="00444375" w:rsidRPr="00934257" w14:paraId="67FC49FE" w14:textId="77777777" w:rsidTr="00444375">
        <w:trPr>
          <w:trHeight w:val="300"/>
        </w:trPr>
        <w:tc>
          <w:tcPr>
            <w:tcW w:w="557" w:type="pct"/>
            <w:vMerge/>
            <w:tcBorders>
              <w:top w:val="nil"/>
              <w:left w:val="nil"/>
              <w:bottom w:val="nil"/>
              <w:right w:val="nil"/>
            </w:tcBorders>
            <w:vAlign w:val="center"/>
            <w:hideMark/>
          </w:tcPr>
          <w:p w14:paraId="46EABC19" w14:textId="77777777" w:rsidR="00444375" w:rsidRPr="00D45CD8" w:rsidRDefault="00444375" w:rsidP="00444375">
            <w:pPr>
              <w:spacing w:after="0" w:line="240" w:lineRule="auto"/>
              <w:rPr>
                <w:rFonts w:ascii="Georgia" w:eastAsia="Times New Roman" w:hAnsi="Georgia" w:cs="Calibri"/>
                <w:color w:val="9C6500"/>
                <w:sz w:val="18"/>
                <w:szCs w:val="18"/>
              </w:rPr>
            </w:pPr>
          </w:p>
        </w:tc>
        <w:tc>
          <w:tcPr>
            <w:tcW w:w="538" w:type="pct"/>
            <w:tcBorders>
              <w:top w:val="nil"/>
              <w:left w:val="nil"/>
              <w:bottom w:val="nil"/>
              <w:right w:val="nil"/>
            </w:tcBorders>
            <w:shd w:val="clear" w:color="auto" w:fill="auto"/>
            <w:noWrap/>
            <w:vAlign w:val="bottom"/>
            <w:hideMark/>
          </w:tcPr>
          <w:p w14:paraId="363EDDE1" w14:textId="77777777" w:rsidR="00444375" w:rsidRPr="00D45CD8" w:rsidRDefault="00444375" w:rsidP="00444375">
            <w:pPr>
              <w:spacing w:after="0" w:line="240" w:lineRule="auto"/>
              <w:jc w:val="right"/>
              <w:rPr>
                <w:rFonts w:ascii="Georgia" w:eastAsia="Times New Roman" w:hAnsi="Georgia" w:cs="Arial"/>
                <w:b/>
                <w:sz w:val="18"/>
                <w:szCs w:val="18"/>
              </w:rPr>
            </w:pPr>
            <w:r w:rsidRPr="00D45CD8">
              <w:rPr>
                <w:rFonts w:ascii="Georgia" w:eastAsia="Times New Roman" w:hAnsi="Georgia" w:cs="Arial"/>
                <w:b/>
                <w:sz w:val="18"/>
                <w:szCs w:val="18"/>
              </w:rPr>
              <w:t>5,0%</w:t>
            </w:r>
          </w:p>
        </w:tc>
        <w:tc>
          <w:tcPr>
            <w:tcW w:w="651" w:type="pct"/>
            <w:tcBorders>
              <w:top w:val="nil"/>
              <w:left w:val="nil"/>
              <w:bottom w:val="nil"/>
              <w:right w:val="nil"/>
            </w:tcBorders>
            <w:shd w:val="clear" w:color="auto" w:fill="auto"/>
            <w:noWrap/>
            <w:vAlign w:val="bottom"/>
            <w:hideMark/>
          </w:tcPr>
          <w:p w14:paraId="24D2CF91"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23,3</w:t>
            </w:r>
          </w:p>
        </w:tc>
        <w:tc>
          <w:tcPr>
            <w:tcW w:w="651" w:type="pct"/>
            <w:tcBorders>
              <w:top w:val="nil"/>
              <w:left w:val="nil"/>
              <w:bottom w:val="nil"/>
              <w:right w:val="nil"/>
            </w:tcBorders>
            <w:shd w:val="clear" w:color="auto" w:fill="auto"/>
            <w:noWrap/>
            <w:vAlign w:val="bottom"/>
            <w:hideMark/>
          </w:tcPr>
          <w:p w14:paraId="4671A473"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21,1</w:t>
            </w:r>
          </w:p>
        </w:tc>
        <w:tc>
          <w:tcPr>
            <w:tcW w:w="651" w:type="pct"/>
            <w:tcBorders>
              <w:top w:val="nil"/>
              <w:left w:val="nil"/>
              <w:bottom w:val="nil"/>
              <w:right w:val="nil"/>
            </w:tcBorders>
            <w:shd w:val="clear" w:color="auto" w:fill="auto"/>
            <w:noWrap/>
            <w:vAlign w:val="bottom"/>
            <w:hideMark/>
          </w:tcPr>
          <w:p w14:paraId="10BEA127"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19,0</w:t>
            </w:r>
          </w:p>
        </w:tc>
        <w:tc>
          <w:tcPr>
            <w:tcW w:w="651" w:type="pct"/>
            <w:tcBorders>
              <w:top w:val="nil"/>
              <w:left w:val="nil"/>
              <w:bottom w:val="nil"/>
              <w:right w:val="nil"/>
            </w:tcBorders>
            <w:shd w:val="clear" w:color="auto" w:fill="auto"/>
            <w:noWrap/>
            <w:vAlign w:val="bottom"/>
            <w:hideMark/>
          </w:tcPr>
          <w:p w14:paraId="7C3912AE"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16,9</w:t>
            </w:r>
          </w:p>
        </w:tc>
        <w:tc>
          <w:tcPr>
            <w:tcW w:w="651" w:type="pct"/>
            <w:tcBorders>
              <w:top w:val="nil"/>
              <w:left w:val="nil"/>
              <w:bottom w:val="nil"/>
              <w:right w:val="nil"/>
            </w:tcBorders>
            <w:shd w:val="clear" w:color="auto" w:fill="auto"/>
            <w:noWrap/>
            <w:vAlign w:val="bottom"/>
            <w:hideMark/>
          </w:tcPr>
          <w:p w14:paraId="348EA249"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14,9</w:t>
            </w:r>
          </w:p>
        </w:tc>
        <w:tc>
          <w:tcPr>
            <w:tcW w:w="651" w:type="pct"/>
            <w:tcBorders>
              <w:top w:val="nil"/>
              <w:left w:val="nil"/>
              <w:bottom w:val="nil"/>
              <w:right w:val="nil"/>
            </w:tcBorders>
            <w:shd w:val="clear" w:color="auto" w:fill="auto"/>
            <w:noWrap/>
            <w:vAlign w:val="bottom"/>
            <w:hideMark/>
          </w:tcPr>
          <w:p w14:paraId="5EF494C6" w14:textId="77777777" w:rsidR="00444375" w:rsidRPr="00D45CD8" w:rsidRDefault="00444375" w:rsidP="00444375">
            <w:pPr>
              <w:spacing w:after="0" w:line="240" w:lineRule="auto"/>
              <w:jc w:val="center"/>
              <w:rPr>
                <w:rFonts w:ascii="Georgia" w:eastAsia="Times New Roman" w:hAnsi="Georgia" w:cs="Arial"/>
                <w:sz w:val="18"/>
                <w:szCs w:val="18"/>
              </w:rPr>
            </w:pPr>
            <w:r w:rsidRPr="00D45CD8">
              <w:rPr>
                <w:rFonts w:ascii="Georgia" w:eastAsia="Times New Roman" w:hAnsi="Georgia" w:cs="Arial"/>
                <w:sz w:val="18"/>
                <w:szCs w:val="18"/>
              </w:rPr>
              <w:t>12,9</w:t>
            </w:r>
          </w:p>
        </w:tc>
      </w:tr>
    </w:tbl>
    <w:p w14:paraId="54AF7BD9" w14:textId="77777777" w:rsidR="00444375" w:rsidRPr="00D45CD8" w:rsidRDefault="00444375" w:rsidP="00444375">
      <w:pPr>
        <w:jc w:val="both"/>
        <w:rPr>
          <w:rFonts w:ascii="Georgia" w:hAnsi="Georgia"/>
          <w:sz w:val="18"/>
          <w:szCs w:val="18"/>
          <w:lang w:val="lt-LT"/>
        </w:rPr>
      </w:pPr>
    </w:p>
    <w:p w14:paraId="6B2F2738" w14:textId="77777777" w:rsidR="00444375" w:rsidRDefault="00444375" w:rsidP="00444375">
      <w:pPr>
        <w:jc w:val="both"/>
        <w:rPr>
          <w:rFonts w:ascii="Georgia" w:hAnsi="Georgia"/>
          <w:sz w:val="20"/>
          <w:lang w:val="lt-LT"/>
        </w:rPr>
      </w:pPr>
      <w:r w:rsidRPr="00DF3A8E">
        <w:rPr>
          <w:rFonts w:ascii="Georgia" w:hAnsi="Georgia"/>
          <w:sz w:val="20"/>
          <w:lang w:val="lt-LT"/>
        </w:rPr>
        <w:t>Iš auk</w:t>
      </w:r>
      <w:r>
        <w:rPr>
          <w:rFonts w:ascii="Georgia" w:hAnsi="Georgia"/>
          <w:sz w:val="20"/>
          <w:lang w:val="lt-LT"/>
        </w:rPr>
        <w:t>š</w:t>
      </w:r>
      <w:r w:rsidRPr="00DF3A8E">
        <w:rPr>
          <w:rFonts w:ascii="Georgia" w:hAnsi="Georgia"/>
          <w:sz w:val="20"/>
          <w:lang w:val="lt-LT"/>
        </w:rPr>
        <w:t>čiau pateik</w:t>
      </w:r>
      <w:r>
        <w:rPr>
          <w:rFonts w:ascii="Georgia" w:hAnsi="Georgia"/>
          <w:sz w:val="20"/>
          <w:lang w:val="lt-LT"/>
        </w:rPr>
        <w:t>tos lentelės matome, kad esant 2</w:t>
      </w:r>
      <w:r w:rsidRPr="00DF3A8E">
        <w:rPr>
          <w:rFonts w:ascii="Georgia" w:hAnsi="Georgia"/>
          <w:sz w:val="20"/>
          <w:lang w:val="lt-LT"/>
        </w:rPr>
        <w:t xml:space="preserve"> proc. šilumos kainos metiniam augimui</w:t>
      </w:r>
      <w:r>
        <w:rPr>
          <w:rFonts w:ascii="Georgia" w:hAnsi="Georgia"/>
          <w:sz w:val="20"/>
          <w:lang w:val="lt-LT"/>
        </w:rPr>
        <w:t xml:space="preserve"> </w:t>
      </w:r>
      <w:r>
        <w:rPr>
          <w:rFonts w:ascii="Georgia" w:hAnsi="Georgia"/>
          <w:sz w:val="20"/>
        </w:rPr>
        <w:t>(toks ar net didesnis šilumos kainos augimas yra labai tinkėtinas atsižvelgiant į 4.1.1. punkte esantį pagrindinimą dėl kainos padidėjimo)</w:t>
      </w:r>
      <w:r w:rsidRPr="00DF3A8E">
        <w:rPr>
          <w:rFonts w:ascii="Georgia" w:hAnsi="Georgia"/>
          <w:sz w:val="20"/>
          <w:lang w:val="lt-LT"/>
        </w:rPr>
        <w:t xml:space="preserve"> viešųjų pastatų renovacijos projektai atsipirktų per</w:t>
      </w:r>
      <w:r>
        <w:rPr>
          <w:rFonts w:ascii="Georgia" w:hAnsi="Georgia"/>
          <w:sz w:val="20"/>
          <w:lang w:val="lt-LT"/>
        </w:rPr>
        <w:t xml:space="preserve"> </w:t>
      </w:r>
      <w:r>
        <w:rPr>
          <w:rFonts w:ascii="Georgia" w:hAnsi="Georgia"/>
          <w:sz w:val="20"/>
        </w:rPr>
        <w:t>23,8 met</w:t>
      </w:r>
      <w:r>
        <w:rPr>
          <w:rFonts w:ascii="Georgia" w:hAnsi="Georgia"/>
          <w:sz w:val="20"/>
          <w:lang w:val="lt-LT"/>
        </w:rPr>
        <w:t>ų</w:t>
      </w:r>
      <w:r w:rsidRPr="00DF3A8E">
        <w:rPr>
          <w:rFonts w:ascii="Georgia" w:hAnsi="Georgia"/>
          <w:sz w:val="20"/>
          <w:lang w:val="lt-LT"/>
        </w:rPr>
        <w:t xml:space="preserve"> </w:t>
      </w:r>
      <w:r w:rsidRPr="00B872FD">
        <w:rPr>
          <w:rFonts w:ascii="Georgia" w:hAnsi="Georgia"/>
          <w:sz w:val="20"/>
          <w:lang w:val="lt-LT"/>
        </w:rPr>
        <w:t>laikotarpį</w:t>
      </w:r>
      <w:r>
        <w:rPr>
          <w:rFonts w:ascii="Georgia" w:hAnsi="Georgia"/>
          <w:sz w:val="20"/>
          <w:lang w:val="lt-LT"/>
        </w:rPr>
        <w:t xml:space="preserve"> taikant 55% subsidiją</w:t>
      </w:r>
      <w:r w:rsidRPr="00B872FD">
        <w:rPr>
          <w:rFonts w:ascii="Georgia" w:hAnsi="Georgia"/>
          <w:sz w:val="20"/>
          <w:lang w:val="lt-LT"/>
        </w:rPr>
        <w:t xml:space="preserve">. </w:t>
      </w:r>
      <w:r>
        <w:rPr>
          <w:rFonts w:ascii="Georgia" w:hAnsi="Georgia"/>
          <w:sz w:val="20"/>
          <w:lang w:val="lt-LT"/>
        </w:rPr>
        <w:t>Tuo tarpu taikant</w:t>
      </w:r>
      <w:r w:rsidRPr="00B872FD">
        <w:rPr>
          <w:rFonts w:ascii="Georgia" w:hAnsi="Georgia"/>
          <w:sz w:val="20"/>
          <w:lang w:val="lt-LT"/>
        </w:rPr>
        <w:t xml:space="preserve"> </w:t>
      </w:r>
      <w:r>
        <w:rPr>
          <w:rFonts w:ascii="Georgia" w:hAnsi="Georgia"/>
          <w:sz w:val="20"/>
        </w:rPr>
        <w:t>4</w:t>
      </w:r>
      <w:r w:rsidRPr="00B872FD">
        <w:rPr>
          <w:rFonts w:ascii="Georgia" w:hAnsi="Georgia"/>
          <w:sz w:val="20"/>
          <w:lang w:val="lt-LT"/>
        </w:rPr>
        <w:t xml:space="preserve">0 proc. subsidijos elementą </w:t>
      </w:r>
      <w:r>
        <w:rPr>
          <w:rFonts w:ascii="Georgia" w:hAnsi="Georgia"/>
          <w:sz w:val="20"/>
          <w:lang w:val="lt-LT"/>
        </w:rPr>
        <w:t xml:space="preserve">ir nekeičiant kitų prielaidų, su </w:t>
      </w:r>
      <w:r>
        <w:rPr>
          <w:rFonts w:ascii="Georgia" w:hAnsi="Georgia"/>
          <w:sz w:val="20"/>
        </w:rPr>
        <w:t xml:space="preserve">2 proc. </w:t>
      </w:r>
      <w:r>
        <w:rPr>
          <w:rFonts w:ascii="Georgia" w:hAnsi="Georgia"/>
          <w:sz w:val="20"/>
          <w:lang w:val="lt-LT"/>
        </w:rPr>
        <w:t xml:space="preserve">šilumos kainos augimu </w:t>
      </w:r>
      <w:r w:rsidRPr="00B872FD">
        <w:rPr>
          <w:rFonts w:ascii="Georgia" w:hAnsi="Georgia"/>
          <w:sz w:val="20"/>
          <w:lang w:val="lt-LT"/>
        </w:rPr>
        <w:t xml:space="preserve">projektas galėtų atsipirkti per </w:t>
      </w:r>
      <w:r>
        <w:rPr>
          <w:rFonts w:ascii="Georgia" w:hAnsi="Georgia"/>
          <w:sz w:val="20"/>
        </w:rPr>
        <w:t>33,2</w:t>
      </w:r>
      <w:r w:rsidRPr="00B872FD">
        <w:rPr>
          <w:rFonts w:ascii="Georgia" w:hAnsi="Georgia"/>
          <w:sz w:val="20"/>
          <w:lang w:val="lt-LT"/>
        </w:rPr>
        <w:t xml:space="preserve"> metus.</w:t>
      </w:r>
      <w:r>
        <w:rPr>
          <w:rFonts w:ascii="Georgia" w:hAnsi="Georgia"/>
          <w:sz w:val="20"/>
          <w:lang w:val="lt-LT"/>
        </w:rPr>
        <w:t xml:space="preserve"> Pabrėžtina, jog tai neatsižvelgia į tikėtiną renovacijos kaštų mažėjimą ilgesniu laikotarpiu ir didesnių energetinių sutaupymų pasiekimą (kaip rodo daugiabučių namų modernizavimo patirtis). </w:t>
      </w:r>
      <w:r w:rsidRPr="00B872FD">
        <w:rPr>
          <w:rFonts w:ascii="Georgia" w:hAnsi="Georgia"/>
          <w:sz w:val="20"/>
          <w:lang w:val="lt-LT"/>
        </w:rPr>
        <w:t xml:space="preserve"> </w:t>
      </w:r>
    </w:p>
    <w:p w14:paraId="0B00850F" w14:textId="77777777" w:rsidR="00444375" w:rsidRPr="00AD0F3A" w:rsidRDefault="00444375" w:rsidP="00444375">
      <w:pPr>
        <w:jc w:val="both"/>
        <w:rPr>
          <w:rFonts w:ascii="Georgia" w:hAnsi="Georgia"/>
          <w:b/>
          <w:i/>
          <w:sz w:val="20"/>
          <w:lang w:val="lt-LT"/>
        </w:rPr>
      </w:pPr>
      <w:r w:rsidRPr="00AD0F3A">
        <w:rPr>
          <w:rFonts w:ascii="Georgia" w:hAnsi="Georgia"/>
          <w:b/>
          <w:i/>
          <w:sz w:val="20"/>
          <w:lang w:val="lt-LT"/>
        </w:rPr>
        <w:t>I</w:t>
      </w:r>
      <w:r>
        <w:rPr>
          <w:rFonts w:ascii="Georgia" w:hAnsi="Georgia"/>
          <w:b/>
          <w:i/>
          <w:sz w:val="20"/>
          <w:lang w:val="lt-LT"/>
        </w:rPr>
        <w:t>švada dėl subsidijos dydžio</w:t>
      </w:r>
    </w:p>
    <w:p w14:paraId="2DFD51B7" w14:textId="3834A850" w:rsidR="00444375" w:rsidRDefault="00444375" w:rsidP="00444375">
      <w:pPr>
        <w:jc w:val="both"/>
        <w:rPr>
          <w:rFonts w:ascii="Georgia" w:hAnsi="Georgia"/>
          <w:sz w:val="20"/>
          <w:lang w:val="lt-LT"/>
        </w:rPr>
      </w:pPr>
      <w:r>
        <w:rPr>
          <w:rFonts w:ascii="Georgia" w:hAnsi="Georgia"/>
          <w:sz w:val="20"/>
          <w:lang w:val="lt-LT"/>
        </w:rPr>
        <w:t xml:space="preserve">Remiantis tik aukščiau lentelėse pateiktais jautrumo analizės duomenimis ir </w:t>
      </w:r>
      <w:r>
        <w:rPr>
          <w:rFonts w:ascii="Georgia" w:hAnsi="Georgia"/>
          <w:sz w:val="20"/>
        </w:rPr>
        <w:t>skyriaus pra</w:t>
      </w:r>
      <w:r>
        <w:rPr>
          <w:rFonts w:ascii="Georgia" w:hAnsi="Georgia"/>
          <w:sz w:val="20"/>
          <w:lang w:val="lt-LT"/>
        </w:rPr>
        <w:t xml:space="preserve">džioje išdėstytomis </w:t>
      </w:r>
      <w:r>
        <w:rPr>
          <w:rFonts w:ascii="Georgia" w:hAnsi="Georgia"/>
          <w:sz w:val="20"/>
        </w:rPr>
        <w:t>prielaidomis</w:t>
      </w:r>
      <w:r>
        <w:rPr>
          <w:rFonts w:ascii="Georgia" w:hAnsi="Georgia"/>
          <w:sz w:val="20"/>
          <w:lang w:val="lt-LT"/>
        </w:rPr>
        <w:t>, galima būtų daryti išvadą</w:t>
      </w:r>
      <w:r w:rsidRPr="00DF3A8E">
        <w:rPr>
          <w:rFonts w:ascii="Georgia" w:hAnsi="Georgia"/>
          <w:sz w:val="20"/>
          <w:lang w:val="lt-LT"/>
        </w:rPr>
        <w:t>, jog</w:t>
      </w:r>
      <w:r>
        <w:rPr>
          <w:rFonts w:ascii="Georgia" w:hAnsi="Georgia"/>
          <w:sz w:val="20"/>
          <w:lang w:val="lt-LT"/>
        </w:rPr>
        <w:t xml:space="preserve"> viešųjų pastatų</w:t>
      </w:r>
      <w:r w:rsidRPr="00DF3A8E">
        <w:rPr>
          <w:rFonts w:ascii="Georgia" w:hAnsi="Georgia"/>
          <w:sz w:val="20"/>
          <w:lang w:val="lt-LT"/>
        </w:rPr>
        <w:t xml:space="preserve"> renovacijos </w:t>
      </w:r>
      <w:r>
        <w:rPr>
          <w:rFonts w:ascii="Georgia" w:hAnsi="Georgia"/>
          <w:sz w:val="20"/>
          <w:lang w:val="lt-LT"/>
        </w:rPr>
        <w:t>projektams</w:t>
      </w:r>
      <w:r w:rsidRPr="00DF3A8E">
        <w:rPr>
          <w:rFonts w:ascii="Georgia" w:hAnsi="Georgia"/>
          <w:sz w:val="20"/>
          <w:lang w:val="lt-LT"/>
        </w:rPr>
        <w:t xml:space="preserve"> </w:t>
      </w:r>
      <w:r>
        <w:rPr>
          <w:rFonts w:ascii="Georgia" w:hAnsi="Georgia"/>
          <w:sz w:val="20"/>
          <w:lang w:val="lt-LT"/>
        </w:rPr>
        <w:t xml:space="preserve">būtų reikalinga iki </w:t>
      </w:r>
      <w:r>
        <w:rPr>
          <w:rFonts w:ascii="Georgia" w:hAnsi="Georgia"/>
          <w:sz w:val="20"/>
        </w:rPr>
        <w:t>55</w:t>
      </w:r>
      <w:r w:rsidRPr="00DF3A8E">
        <w:rPr>
          <w:rFonts w:ascii="Georgia" w:hAnsi="Georgia"/>
          <w:sz w:val="20"/>
          <w:lang w:val="lt-LT"/>
        </w:rPr>
        <w:t xml:space="preserve"> proc. subsidi</w:t>
      </w:r>
      <w:r>
        <w:rPr>
          <w:rFonts w:ascii="Georgia" w:hAnsi="Georgia"/>
          <w:sz w:val="20"/>
          <w:lang w:val="lt-LT"/>
        </w:rPr>
        <w:t xml:space="preserve">ja </w:t>
      </w:r>
      <w:r>
        <w:rPr>
          <w:rFonts w:ascii="Georgia" w:hAnsi="Georgia"/>
          <w:sz w:val="20"/>
        </w:rPr>
        <w:t>siekiant, kad projektai atsipirkt</w:t>
      </w:r>
      <w:r>
        <w:rPr>
          <w:rFonts w:ascii="Georgia" w:hAnsi="Georgia"/>
          <w:sz w:val="20"/>
          <w:lang w:val="lt-LT"/>
        </w:rPr>
        <w:t>ų per metodikose nustatytą laikotarpį (25 metus). Vis dėlto kaip matoma analizėje, dauguma atvejų subsidijos dydis galėtų būti ir mažesnis bei  siekti apie 30-</w:t>
      </w:r>
      <w:r>
        <w:rPr>
          <w:rFonts w:ascii="Georgia" w:hAnsi="Georgia"/>
          <w:sz w:val="20"/>
        </w:rPr>
        <w:t>40 proc. (pvz. pasiekus auk</w:t>
      </w:r>
      <w:r>
        <w:rPr>
          <w:rFonts w:ascii="Georgia" w:hAnsi="Georgia"/>
          <w:sz w:val="20"/>
          <w:lang w:val="lt-LT"/>
        </w:rPr>
        <w:t>štesnius energijos sutaupymus arba įgyvendinus renovaciją su mažesnėmis investicijomis). Žemiau pateikiamos priežastys, kodėl subsidijos veiksmingumas būtų didesnis, jei ji būtų kuo mažesnė.</w:t>
      </w:r>
    </w:p>
    <w:p w14:paraId="6A3494F9" w14:textId="5729DE00" w:rsidR="00444375" w:rsidRDefault="00444375" w:rsidP="00444375">
      <w:pPr>
        <w:pStyle w:val="Sraopastraipa"/>
        <w:numPr>
          <w:ilvl w:val="0"/>
          <w:numId w:val="84"/>
        </w:numPr>
        <w:jc w:val="both"/>
        <w:rPr>
          <w:rFonts w:ascii="Georgia" w:hAnsi="Georgia"/>
          <w:sz w:val="20"/>
          <w:lang w:val="lt-LT"/>
        </w:rPr>
      </w:pPr>
      <w:r>
        <w:rPr>
          <w:rFonts w:ascii="Georgia" w:hAnsi="Georgia"/>
          <w:sz w:val="20"/>
          <w:lang w:val="lt-LT"/>
        </w:rPr>
        <w:lastRenderedPageBreak/>
        <w:t xml:space="preserve">Jei reikšminga projekto dalis būtų finansuojama subsidija, o finansinė priemonė sudarytų pakankamai mažą dalį sumažėtų efektyvumas, didėtų resursų poreikis administruojant dvi priemones (buhalterijos vedimas, paraiškų tikrinimas, ataskaitų teikimas priežiūros komitetui ir pan.).  O nauda būtų santykinai maža ir pasireikštų lėtu perėjimu prie FP. </w:t>
      </w:r>
    </w:p>
    <w:p w14:paraId="7E43F6D6" w14:textId="77777777" w:rsidR="00444375"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Pagrindinis tokių priemonių (FP ir subsidijos) derinimo tikslas būtų greitai suformuoti naujų projektų srautą ir užtikrinti atitiktį energijos efektyvumo direktyvai. Tačiau jau dabar matoma, jog per mažas subsidijos dydis nėra vienintelė kliūtis projektų įgyvendinimui ir iniciatyvos stokai renovuojant viešuosius pastatus (nepaisant inicijuotos grąžinamosios subsidijos priemonės, paraiškų skaičius nėra didelis, o įvertinus paraiškas nesiekia siūlytos kvietimo apimties). Taipogi, teikiant didelio dydžio subsidiją pritrūktų didelės lėšų dalies siekiant renovuoti </w:t>
      </w:r>
      <w:r>
        <w:rPr>
          <w:rFonts w:ascii="Georgia" w:hAnsi="Georgia"/>
          <w:sz w:val="20"/>
        </w:rPr>
        <w:t>470 t</w:t>
      </w:r>
      <w:r>
        <w:rPr>
          <w:rFonts w:ascii="Georgia" w:hAnsi="Georgia"/>
          <w:sz w:val="20"/>
          <w:lang w:val="lt-LT"/>
        </w:rPr>
        <w:t>ūkst. kvm. Todėl galima teigti, jog didelė subsidija ne tik neužtikrintų atitikties energijos efektyvumo direktyvai, tačiau sukeltų dar didesnius iššūkius nei taikant FP su mažesniu subsidiniu elementu.</w:t>
      </w:r>
    </w:p>
    <w:p w14:paraId="10615C8B" w14:textId="7C369723" w:rsidR="00444375"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Vienas iš svarbiausių </w:t>
      </w:r>
      <w:r w:rsidRPr="00C56D1E">
        <w:rPr>
          <w:rFonts w:ascii="Georgia" w:hAnsi="Georgia"/>
          <w:sz w:val="20"/>
          <w:lang w:val="lt-LT"/>
        </w:rPr>
        <w:t xml:space="preserve">finansinių </w:t>
      </w:r>
      <w:r>
        <w:rPr>
          <w:rFonts w:ascii="Georgia" w:hAnsi="Georgia"/>
          <w:sz w:val="20"/>
          <w:lang w:val="lt-LT"/>
        </w:rPr>
        <w:t xml:space="preserve">priemonių </w:t>
      </w:r>
      <w:r w:rsidRPr="00C56D1E">
        <w:rPr>
          <w:rFonts w:ascii="Georgia" w:hAnsi="Georgia"/>
          <w:sz w:val="20"/>
          <w:lang w:val="lt-LT"/>
        </w:rPr>
        <w:t xml:space="preserve"> uždavinių yra </w:t>
      </w:r>
      <w:r w:rsidR="00A31A06" w:rsidRPr="002142B8">
        <w:rPr>
          <w:rFonts w:ascii="Georgia" w:eastAsia="Calibri" w:hAnsi="Georgia" w:cs="Arial"/>
          <w:bCs/>
          <w:sz w:val="20"/>
          <w:szCs w:val="20"/>
          <w:lang w:val="lt-LT"/>
        </w:rPr>
        <w:t>„</w:t>
      </w:r>
      <w:r w:rsidRPr="00C56D1E">
        <w:rPr>
          <w:rFonts w:ascii="Georgia" w:hAnsi="Georgia"/>
          <w:sz w:val="20"/>
          <w:lang w:val="lt-LT"/>
        </w:rPr>
        <w:t>priklausomybės nuo subsidijų“ kultūros naikinimas</w:t>
      </w:r>
      <w:r>
        <w:rPr>
          <w:rStyle w:val="Puslapioinaosnuoroda"/>
          <w:rFonts w:ascii="Georgia" w:hAnsi="Georgia"/>
          <w:sz w:val="20"/>
          <w:lang w:val="lt-LT"/>
        </w:rPr>
        <w:footnoteReference w:id="128"/>
      </w:r>
      <w:r>
        <w:rPr>
          <w:rFonts w:ascii="Georgia" w:hAnsi="Georgia"/>
          <w:sz w:val="20"/>
          <w:lang w:val="lt-LT"/>
        </w:rPr>
        <w:t>.  Mažėjant paramai iš ES lėšų ateinančiuose finansavimo perioduose būtina rasti kiek įmanoma daugiau finansinių išteklių palaikyti augimo tempams ir energijos vartojimo efektyvumo skatinimui.</w:t>
      </w:r>
    </w:p>
    <w:p w14:paraId="0227EA16" w14:textId="77777777" w:rsidR="00444375"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Teikiant didelę subsidijos dalį (pvz. </w:t>
      </w:r>
      <w:r>
        <w:rPr>
          <w:rFonts w:ascii="Georgia" w:hAnsi="Georgia"/>
          <w:sz w:val="20"/>
        </w:rPr>
        <w:t>65%) subsidij</w:t>
      </w:r>
      <w:r>
        <w:rPr>
          <w:rFonts w:ascii="Georgia" w:hAnsi="Georgia"/>
          <w:sz w:val="20"/>
          <w:lang w:val="lt-LT"/>
        </w:rPr>
        <w:t xml:space="preserve">ą/grąžintiną subsidiją grįžtamų lėšų dydis būtų ženkliai mažesnis ilguoju laikotarpiu, tuo tarpu ES reikalavimai dėl energijos vartojimo efektyvumo tikėtina didės ir jau dabar laukiama naujų nuostatų patvirtinimo iki </w:t>
      </w:r>
      <w:r>
        <w:rPr>
          <w:rFonts w:ascii="Georgia" w:hAnsi="Georgia"/>
          <w:sz w:val="20"/>
        </w:rPr>
        <w:t>2030 met</w:t>
      </w:r>
      <w:r>
        <w:rPr>
          <w:rFonts w:ascii="Georgia" w:hAnsi="Georgia"/>
          <w:sz w:val="20"/>
          <w:lang w:val="lt-LT"/>
        </w:rPr>
        <w:t>ų. Tokiu atveju taikant didesnę FP dalį galima būtų sukurti didesnį projektų srautą ir panaudoti grįžusias lėšas investuojant į tolimesnę viešųjų pastatų renovaciją. Masto ekonomija neabejotinai sumažintų renovacijos kaštus, padarytų renovacijos projektus finansiškai gyvybingus bei padidintų tokių projektų patrauklumą bankamas pritraukiant papildomų privačių lėšų.</w:t>
      </w:r>
    </w:p>
    <w:p w14:paraId="504BFA33" w14:textId="77777777" w:rsidR="00444375" w:rsidRPr="005A15CD"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Naudojant asimetrinį rizikos pasidalijimo modelį tikėtina, jog taikant mažesnę subsidijos dalį galima būtų pritraukti daugiau papildomų privačių lėšų. Pavyzdžiui, darant prielaidą, jog  privatus finansuotojas sutinka prisidėti </w:t>
      </w:r>
      <w:r>
        <w:rPr>
          <w:rFonts w:ascii="Georgia" w:hAnsi="Georgia"/>
          <w:sz w:val="20"/>
        </w:rPr>
        <w:t>50% prie įneštų viešųjų lėšų</w:t>
      </w:r>
      <w:r>
        <w:rPr>
          <w:rFonts w:ascii="Georgia" w:hAnsi="Georgia"/>
          <w:sz w:val="20"/>
          <w:lang w:val="lt-LT"/>
        </w:rPr>
        <w:t xml:space="preserve">, o ESI lėšos, kurios sudaro </w:t>
      </w:r>
      <w:r>
        <w:rPr>
          <w:rFonts w:ascii="Georgia" w:hAnsi="Georgia"/>
          <w:sz w:val="20"/>
        </w:rPr>
        <w:t>65 mln. eur</w:t>
      </w:r>
      <w:r>
        <w:rPr>
          <w:rFonts w:ascii="Georgia" w:hAnsi="Georgia"/>
          <w:sz w:val="20"/>
          <w:lang w:val="lt-LT"/>
        </w:rPr>
        <w:t xml:space="preserve">ų, išskaidomos į FP ir subsidijos priemonę, </w:t>
      </w:r>
      <w:r>
        <w:rPr>
          <w:rFonts w:ascii="Georgia" w:hAnsi="Georgia"/>
          <w:sz w:val="20"/>
        </w:rPr>
        <w:t>65% subsidij</w:t>
      </w:r>
      <w:r>
        <w:rPr>
          <w:rFonts w:ascii="Georgia" w:hAnsi="Georgia"/>
          <w:sz w:val="20"/>
          <w:lang w:val="lt-LT"/>
        </w:rPr>
        <w:t xml:space="preserve">os atveju finansuotojai prisidėtų tik </w:t>
      </w:r>
      <w:r>
        <w:rPr>
          <w:rFonts w:ascii="Georgia" w:hAnsi="Georgia"/>
          <w:sz w:val="20"/>
        </w:rPr>
        <w:t>22,75 mln. eurų, tuo tarpu 40% subsidijos atveju – 39 mln. eur</w:t>
      </w:r>
      <w:r>
        <w:rPr>
          <w:rFonts w:ascii="Georgia" w:hAnsi="Georgia"/>
          <w:sz w:val="20"/>
          <w:lang w:val="lt-LT"/>
        </w:rPr>
        <w:t xml:space="preserve">ų, arba </w:t>
      </w:r>
      <w:r>
        <w:rPr>
          <w:rFonts w:ascii="Georgia" w:hAnsi="Georgia"/>
          <w:sz w:val="20"/>
        </w:rPr>
        <w:t>71% daugiau.</w:t>
      </w:r>
    </w:p>
    <w:p w14:paraId="0DCA56D1" w14:textId="77777777" w:rsidR="00444375" w:rsidRDefault="00444375" w:rsidP="00444375">
      <w:pPr>
        <w:pStyle w:val="Sraopastraipa"/>
        <w:numPr>
          <w:ilvl w:val="0"/>
          <w:numId w:val="84"/>
        </w:numPr>
        <w:jc w:val="both"/>
        <w:rPr>
          <w:rFonts w:ascii="Georgia" w:hAnsi="Georgia"/>
          <w:sz w:val="20"/>
          <w:lang w:val="lt-LT"/>
        </w:rPr>
      </w:pPr>
      <w:r>
        <w:rPr>
          <w:rFonts w:ascii="Georgia" w:hAnsi="Georgia"/>
          <w:sz w:val="20"/>
        </w:rPr>
        <w:t>Renovacijos projektai</w:t>
      </w:r>
      <w:r>
        <w:rPr>
          <w:rFonts w:ascii="Georgia" w:hAnsi="Georgia"/>
          <w:sz w:val="20"/>
          <w:lang w:val="lt-LT"/>
        </w:rPr>
        <w:t xml:space="preserve"> prisideda prie pastato atnaujinimo ir jo eksploatacijos kaštų mažinimo, ir leidžia sutaupyti </w:t>
      </w:r>
      <w:r>
        <w:rPr>
          <w:rFonts w:ascii="Georgia" w:hAnsi="Georgia"/>
          <w:sz w:val="20"/>
        </w:rPr>
        <w:t>iki 10%  kasmetini</w:t>
      </w:r>
      <w:r>
        <w:rPr>
          <w:rFonts w:ascii="Georgia" w:hAnsi="Georgia"/>
          <w:sz w:val="20"/>
          <w:lang w:val="lt-LT"/>
        </w:rPr>
        <w:t xml:space="preserve">ų sąnaudų (ekspertinis galimo papildomo sutaupymo vertinimas, kuris nebuvo naudotas jautrumo analizėje). Net jei šis prisidėjimas ir nebus ženklus, tikėtina, jog atlikus renovaciją bus apsieita be reinvesticijų (pvz. einamųjų remontų) į pastatą per ateinančius </w:t>
      </w:r>
      <w:r>
        <w:rPr>
          <w:rFonts w:ascii="Georgia" w:hAnsi="Georgia"/>
          <w:sz w:val="20"/>
        </w:rPr>
        <w:t>10-15 met</w:t>
      </w:r>
      <w:r>
        <w:rPr>
          <w:rFonts w:ascii="Georgia" w:hAnsi="Georgia"/>
          <w:sz w:val="20"/>
          <w:lang w:val="lt-LT"/>
        </w:rPr>
        <w:t>ų, kas reiškia papildomus sutaupymus pastatų valdytojams.</w:t>
      </w:r>
    </w:p>
    <w:p w14:paraId="267143B4" w14:textId="77777777" w:rsidR="00444375"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Yra pagrindo manyti, jog kai kurios prielaidos praktikoje bus kitokios. Pavyzdžiui, tikėtina, kad renovacijos kaštai  per keletą metų priartės prie daugiabučių renovacijos kaštų už kvadratinį metrą (šiuo metu skirtumas sudaro net </w:t>
      </w:r>
      <w:r>
        <w:rPr>
          <w:rFonts w:ascii="Georgia" w:hAnsi="Georgia"/>
          <w:sz w:val="20"/>
        </w:rPr>
        <w:t xml:space="preserve">3o proc., t.y. </w:t>
      </w:r>
      <w:r>
        <w:rPr>
          <w:rFonts w:ascii="Georgia" w:hAnsi="Georgia"/>
          <w:sz w:val="20"/>
          <w:lang w:val="lt-LT"/>
        </w:rPr>
        <w:t xml:space="preserve">sumažės nuo </w:t>
      </w:r>
      <w:r>
        <w:rPr>
          <w:rFonts w:ascii="Georgia" w:hAnsi="Georgia"/>
          <w:sz w:val="20"/>
        </w:rPr>
        <w:t>255 eur</w:t>
      </w:r>
      <w:r>
        <w:rPr>
          <w:rFonts w:ascii="Georgia" w:hAnsi="Georgia"/>
          <w:sz w:val="20"/>
          <w:lang w:val="lt-LT"/>
        </w:rPr>
        <w:t>ų/m</w:t>
      </w:r>
      <w:r w:rsidRPr="00744CDF">
        <w:rPr>
          <w:rFonts w:ascii="Georgia" w:hAnsi="Georgia"/>
          <w:sz w:val="20"/>
          <w:vertAlign w:val="superscript"/>
        </w:rPr>
        <w:t>2</w:t>
      </w:r>
      <w:r>
        <w:rPr>
          <w:rFonts w:ascii="Georgia" w:hAnsi="Georgia"/>
          <w:sz w:val="20"/>
        </w:rPr>
        <w:t xml:space="preserve"> vie</w:t>
      </w:r>
      <w:r>
        <w:rPr>
          <w:rFonts w:ascii="Georgia" w:hAnsi="Georgia"/>
          <w:sz w:val="20"/>
          <w:lang w:val="lt-LT"/>
        </w:rPr>
        <w:t xml:space="preserve">šųjų pastatų atveju </w:t>
      </w:r>
      <w:r>
        <w:rPr>
          <w:rFonts w:ascii="Georgia" w:hAnsi="Georgia"/>
          <w:sz w:val="20"/>
        </w:rPr>
        <w:t>ir 195 eur</w:t>
      </w:r>
      <w:r>
        <w:rPr>
          <w:rFonts w:ascii="Georgia" w:hAnsi="Georgia"/>
          <w:sz w:val="20"/>
          <w:lang w:val="lt-LT"/>
        </w:rPr>
        <w:t>ų/m</w:t>
      </w:r>
      <w:r w:rsidRPr="005B2B98">
        <w:rPr>
          <w:rFonts w:ascii="Georgia" w:hAnsi="Georgia"/>
          <w:sz w:val="20"/>
          <w:vertAlign w:val="superscript"/>
        </w:rPr>
        <w:t>2</w:t>
      </w:r>
      <w:r>
        <w:rPr>
          <w:rFonts w:ascii="Georgia" w:hAnsi="Georgia"/>
          <w:sz w:val="20"/>
        </w:rPr>
        <w:t xml:space="preserve"> daugiabučių atveju), arba energijos sutaupymai</w:t>
      </w:r>
      <w:r>
        <w:rPr>
          <w:rFonts w:ascii="Georgia" w:hAnsi="Georgia"/>
          <w:sz w:val="20"/>
          <w:lang w:val="lt-LT"/>
        </w:rPr>
        <w:t xml:space="preserve"> pasirodys didesni nei minimalūs reikalavimai (vietoj </w:t>
      </w:r>
      <w:r>
        <w:rPr>
          <w:rFonts w:ascii="Georgia" w:hAnsi="Georgia"/>
          <w:sz w:val="20"/>
        </w:rPr>
        <w:t>40% skaičiuotinų sutaupym</w:t>
      </w:r>
      <w:r>
        <w:rPr>
          <w:rFonts w:ascii="Georgia" w:hAnsi="Georgia"/>
          <w:sz w:val="20"/>
          <w:lang w:val="lt-LT"/>
        </w:rPr>
        <w:t xml:space="preserve">ų bus pasiekta </w:t>
      </w:r>
      <w:r>
        <w:rPr>
          <w:rFonts w:ascii="Georgia" w:hAnsi="Georgia"/>
          <w:sz w:val="20"/>
        </w:rPr>
        <w:t>50-60% kaip rodo daugiabu</w:t>
      </w:r>
      <w:r>
        <w:rPr>
          <w:rFonts w:ascii="Georgia" w:hAnsi="Georgia"/>
          <w:sz w:val="20"/>
          <w:lang w:val="lt-LT"/>
        </w:rPr>
        <w:t xml:space="preserve">čių duomenys). Tokiu atveju jautrumo analizė rodo, kad apie </w:t>
      </w:r>
      <w:r>
        <w:rPr>
          <w:rFonts w:ascii="Georgia" w:hAnsi="Georgia"/>
          <w:sz w:val="20"/>
        </w:rPr>
        <w:t>40 proc. subsidijos taikymas b</w:t>
      </w:r>
      <w:r>
        <w:rPr>
          <w:rFonts w:ascii="Georgia" w:hAnsi="Georgia"/>
          <w:sz w:val="20"/>
          <w:lang w:val="lt-LT"/>
        </w:rPr>
        <w:t>ūtų pakankamas siekiant metodikose nustatyto atsipirkimo laikotarpio.</w:t>
      </w:r>
    </w:p>
    <w:p w14:paraId="623F1792" w14:textId="77777777" w:rsidR="00444375" w:rsidRPr="005A15CD" w:rsidRDefault="00444375" w:rsidP="00444375">
      <w:pPr>
        <w:pStyle w:val="Sraopastraipa"/>
        <w:numPr>
          <w:ilvl w:val="0"/>
          <w:numId w:val="84"/>
        </w:numPr>
        <w:jc w:val="both"/>
        <w:rPr>
          <w:rFonts w:ascii="Georgia" w:hAnsi="Georgia"/>
          <w:sz w:val="20"/>
          <w:lang w:val="lt-LT"/>
        </w:rPr>
      </w:pPr>
      <w:r>
        <w:rPr>
          <w:rFonts w:ascii="Georgia" w:hAnsi="Georgia"/>
          <w:sz w:val="20"/>
          <w:lang w:val="lt-LT"/>
        </w:rPr>
        <w:t xml:space="preserve">Galiausiai, atsipirkimo laikotarpis galėtų būti </w:t>
      </w:r>
      <w:r>
        <w:rPr>
          <w:rFonts w:ascii="Georgia" w:hAnsi="Georgia"/>
          <w:sz w:val="20"/>
        </w:rPr>
        <w:t>ir 25 metai, kaip tai rekomenduojama CPVA metodikoje Energetikos sektoriaus projektams. Tokiu atveju pagal jautrumo analizėje pateiktus skaičiavimus</w:t>
      </w:r>
      <w:r>
        <w:rPr>
          <w:rFonts w:ascii="Georgia" w:hAnsi="Georgia"/>
          <w:sz w:val="20"/>
          <w:lang w:val="lt-LT"/>
        </w:rPr>
        <w:t xml:space="preserve">, </w:t>
      </w:r>
      <w:r>
        <w:rPr>
          <w:rFonts w:ascii="Georgia" w:hAnsi="Georgia"/>
          <w:sz w:val="20"/>
        </w:rPr>
        <w:t>pasiekus 50% energijos sutaupymus ir suteikiant 40% subsidiją, projektas atsipirktų per 25,6 met</w:t>
      </w:r>
      <w:r>
        <w:rPr>
          <w:rFonts w:ascii="Georgia" w:hAnsi="Georgia"/>
          <w:sz w:val="20"/>
          <w:lang w:val="lt-LT"/>
        </w:rPr>
        <w:t>us</w:t>
      </w:r>
      <w:r>
        <w:rPr>
          <w:rFonts w:ascii="Georgia" w:hAnsi="Georgia"/>
          <w:sz w:val="20"/>
        </w:rPr>
        <w:t>. Tuo tarpu paskol</w:t>
      </w:r>
      <w:r>
        <w:rPr>
          <w:rFonts w:ascii="Georgia" w:hAnsi="Georgia"/>
          <w:sz w:val="20"/>
          <w:lang w:val="lt-LT"/>
        </w:rPr>
        <w:t>ą gražinus per mažesnį laikotarpį (pvz. 20 metų) visa nauda iš sutaupymo lieka galutiniam naudos gavėjui.</w:t>
      </w:r>
    </w:p>
    <w:p w14:paraId="29782B4F" w14:textId="77777777" w:rsidR="00444375" w:rsidRPr="005A15CD" w:rsidRDefault="00444375" w:rsidP="00444375">
      <w:pPr>
        <w:pStyle w:val="Sraopastraipa"/>
        <w:numPr>
          <w:ilvl w:val="0"/>
          <w:numId w:val="84"/>
        </w:numPr>
        <w:jc w:val="both"/>
        <w:rPr>
          <w:rFonts w:ascii="Georgia" w:hAnsi="Georgia"/>
          <w:sz w:val="20"/>
          <w:lang w:val="lt-LT"/>
        </w:rPr>
      </w:pPr>
      <w:r>
        <w:rPr>
          <w:rFonts w:ascii="Georgia" w:hAnsi="Georgia"/>
          <w:sz w:val="20"/>
        </w:rPr>
        <w:lastRenderedPageBreak/>
        <w:t>Jautrumo analizėje nebuvo vertinamas pozityvus renovacijos ekonominis, socialinis ar finansinis poveikis, pvz. darbuotojų pasitenkinimas darbo vieta, eksploatacinių sąnaudų sumažėjimas, turto vertės padidėjimas, pastato ekonominio tarnavimo laikotarpio pailgėjimas ir kt. Šių elementų vertinimas galėtų sustiprinti mažesnio subsidijos dydžio poreikio argumentus.</w:t>
      </w:r>
    </w:p>
    <w:p w14:paraId="0222456D" w14:textId="4B0B01BB" w:rsidR="00444375" w:rsidRDefault="00444375" w:rsidP="00444375">
      <w:pPr>
        <w:jc w:val="both"/>
        <w:rPr>
          <w:rFonts w:ascii="Georgia" w:hAnsi="Georgia"/>
          <w:sz w:val="20"/>
        </w:rPr>
      </w:pPr>
      <w:r>
        <w:rPr>
          <w:rFonts w:ascii="Georgia" w:hAnsi="Georgia"/>
          <w:sz w:val="20"/>
        </w:rPr>
        <w:t xml:space="preserve">Atsižvelgiant į visus faktorius aukščiau, sprendimas turėtų būti kompleksinis ir apimti ne tik subsidijos elemento poreikio analizę, tačiau ir centrinės valdžios pastatų valdytojų motyvacijos renovuoti valdomus pastatus analizę ir pasiūlymus ją didinti, ilgalaikę naudą siekiant atsisakyti subsidinės kultūros (kuri neskatina atsakingo projektų planavimo, įgyvendinimo ir geriausių rezultatų siekimo) ir kitus. </w:t>
      </w:r>
      <w:r>
        <w:rPr>
          <w:rFonts w:ascii="Georgia" w:hAnsi="Georgia"/>
          <w:sz w:val="20"/>
          <w:lang w:val="lt-LT"/>
        </w:rPr>
        <w:t>Siekiant optimizuoti subsidijos paramos poveikį viešųjų pastatų renovacijos procesui, kartu siūloma įgyvendinti ir papildomas priemones, pavyzdžiui teikiant pagalbą projektų pasiruošimo etape, leidžiant savo lėšomis atlikti remonto darbus nesusijusius su energiniu efektyvumu, atsižvelgiant į didesnių lėšų poreikį perkant ESCO paslaugas ir kt. Kompleksiškai sprendžiamos lėto renovacijos proceso problemos padėtų daug greičiau išjudinti viešųjų pastatų renovacijos rinką.</w:t>
      </w:r>
      <w:r w:rsidRPr="00B55759">
        <w:rPr>
          <w:rFonts w:ascii="Georgia" w:hAnsi="Georgia"/>
          <w:sz w:val="20"/>
        </w:rPr>
        <w:t xml:space="preserve"> </w:t>
      </w:r>
      <w:r>
        <w:rPr>
          <w:rFonts w:ascii="Georgia" w:hAnsi="Georgia"/>
          <w:sz w:val="20"/>
        </w:rPr>
        <w:t>Plačiau apie renovacijos proceso problemas ir siūloms sprendimus kalbama Investavimo strategijos 7.</w:t>
      </w:r>
      <w:r w:rsidR="0063653E">
        <w:rPr>
          <w:rFonts w:ascii="Georgia" w:hAnsi="Georgia"/>
          <w:sz w:val="20"/>
        </w:rPr>
        <w:t>2 ir 7</w:t>
      </w:r>
      <w:r w:rsidR="00D90D1D">
        <w:rPr>
          <w:rFonts w:ascii="Georgia" w:hAnsi="Georgia"/>
          <w:sz w:val="20"/>
        </w:rPr>
        <w:t>.</w:t>
      </w:r>
      <w:r w:rsidR="0063653E">
        <w:rPr>
          <w:rFonts w:ascii="Georgia" w:hAnsi="Georgia"/>
          <w:sz w:val="20"/>
        </w:rPr>
        <w:t>3</w:t>
      </w:r>
      <w:r>
        <w:rPr>
          <w:rFonts w:ascii="Georgia" w:hAnsi="Georgia"/>
          <w:sz w:val="20"/>
        </w:rPr>
        <w:t xml:space="preserve"> skyri</w:t>
      </w:r>
      <w:r w:rsidR="0063653E">
        <w:rPr>
          <w:rFonts w:ascii="Georgia" w:hAnsi="Georgia"/>
          <w:sz w:val="20"/>
        </w:rPr>
        <w:t>uose</w:t>
      </w:r>
      <w:r>
        <w:rPr>
          <w:rFonts w:ascii="Georgia" w:hAnsi="Georgia"/>
          <w:sz w:val="20"/>
        </w:rPr>
        <w:t xml:space="preserve">. </w:t>
      </w:r>
      <w:r w:rsidRPr="00B55759">
        <w:rPr>
          <w:rFonts w:ascii="Georgia" w:hAnsi="Georgia"/>
          <w:sz w:val="20"/>
        </w:rPr>
        <w:t xml:space="preserve"> </w:t>
      </w:r>
      <w:r w:rsidRPr="00B55759">
        <w:rPr>
          <w:rFonts w:ascii="Georgia" w:hAnsi="Georgia"/>
          <w:sz w:val="20"/>
          <w:lang w:val="lt-LT"/>
        </w:rPr>
        <w:t xml:space="preserve">   </w:t>
      </w:r>
    </w:p>
    <w:p w14:paraId="77CE2443" w14:textId="77777777" w:rsidR="00444375" w:rsidRDefault="00444375" w:rsidP="00444375">
      <w:pPr>
        <w:jc w:val="both"/>
        <w:rPr>
          <w:rFonts w:ascii="Georgia" w:hAnsi="Georgia"/>
          <w:sz w:val="20"/>
          <w:lang w:val="lt-LT"/>
        </w:rPr>
      </w:pPr>
      <w:r>
        <w:rPr>
          <w:rFonts w:ascii="Georgia" w:hAnsi="Georgia"/>
          <w:sz w:val="20"/>
        </w:rPr>
        <w:t xml:space="preserve">Mūsų vertinimu dėl aukščiau išvardintų priežasčių, </w:t>
      </w:r>
      <w:r w:rsidRPr="00F91954">
        <w:rPr>
          <w:rFonts w:ascii="Georgia" w:hAnsi="Georgia"/>
          <w:b/>
          <w:color w:val="632423" w:themeColor="accent2" w:themeShade="80"/>
          <w:sz w:val="20"/>
          <w:lang w:val="lt-LT"/>
        </w:rPr>
        <w:t>rekomenduojame pasirinkti 40 proc. subsidijos dydį</w:t>
      </w:r>
      <w:r>
        <w:rPr>
          <w:rFonts w:ascii="Georgia" w:hAnsi="Georgia"/>
          <w:sz w:val="20"/>
          <w:lang w:val="lt-LT"/>
        </w:rPr>
        <w:t>, kuris leistų įsibėgėti centrinės valdžios pastatų renovacijos projektų srautui, sukuriant masto ekonomiją, kuri tikėtina sumažintų renovacijos kaštus, paskatintų pastatų valdytojus inicijuoti tokius projektus bei kartu padidintų projektų patrauklumą komerciniams bankams prisidedant savo lėšomis prie renovacijos projektų įgyvendinimo.</w:t>
      </w:r>
    </w:p>
    <w:p w14:paraId="2AFD4A82" w14:textId="7EB1FBFF" w:rsidR="00280058" w:rsidRPr="002142B8" w:rsidRDefault="00280058" w:rsidP="00280058">
      <w:pPr>
        <w:rPr>
          <w:rFonts w:ascii="Georgia" w:hAnsi="Georgia"/>
          <w:b/>
          <w:sz w:val="20"/>
          <w:lang w:val="lt-LT"/>
        </w:rPr>
      </w:pPr>
    </w:p>
    <w:p w14:paraId="52201FC3" w14:textId="54A05CB1" w:rsidR="00280058" w:rsidRPr="002142B8" w:rsidRDefault="00280058" w:rsidP="00C03122">
      <w:pPr>
        <w:pStyle w:val="Antrat2"/>
        <w:numPr>
          <w:ilvl w:val="2"/>
          <w:numId w:val="2"/>
        </w:numPr>
        <w:rPr>
          <w:lang w:val="lt-LT"/>
        </w:rPr>
      </w:pPr>
      <w:bookmarkStart w:id="177" w:name="_Toc402352626"/>
      <w:bookmarkStart w:id="178" w:name="_Toc25589923"/>
      <w:r w:rsidRPr="002142B8">
        <w:rPr>
          <w:lang w:val="lt-LT"/>
        </w:rPr>
        <w:t>Alternatyvų palyginimas</w:t>
      </w:r>
      <w:bookmarkEnd w:id="177"/>
      <w:bookmarkEnd w:id="178"/>
    </w:p>
    <w:p w14:paraId="5B31FA64" w14:textId="77777777" w:rsidR="009F7825" w:rsidRPr="002142B8" w:rsidRDefault="009F7825" w:rsidP="009F7825">
      <w:pPr>
        <w:jc w:val="both"/>
        <w:rPr>
          <w:rFonts w:ascii="Georgia" w:hAnsi="Georgia"/>
          <w:sz w:val="20"/>
          <w:szCs w:val="20"/>
          <w:lang w:val="lt-LT"/>
        </w:rPr>
      </w:pPr>
      <w:bookmarkStart w:id="179" w:name="_Toc399924055"/>
      <w:bookmarkStart w:id="180" w:name="_Toc402352629"/>
    </w:p>
    <w:p w14:paraId="7DF84346" w14:textId="1CECEBCE" w:rsidR="009F7825" w:rsidRPr="002142B8" w:rsidRDefault="009F7825" w:rsidP="009F7825">
      <w:pPr>
        <w:jc w:val="both"/>
        <w:rPr>
          <w:rFonts w:ascii="Georgia" w:hAnsi="Georgia"/>
          <w:sz w:val="20"/>
          <w:szCs w:val="20"/>
          <w:lang w:val="lt-LT"/>
        </w:rPr>
      </w:pPr>
      <w:r w:rsidRPr="002142B8">
        <w:rPr>
          <w:rFonts w:ascii="Georgia" w:hAnsi="Georgia"/>
          <w:sz w:val="20"/>
          <w:szCs w:val="20"/>
          <w:lang w:val="lt-LT"/>
        </w:rPr>
        <w:t>Pažymėtina,</w:t>
      </w:r>
      <w:r w:rsidR="00306810" w:rsidRPr="002142B8">
        <w:rPr>
          <w:rFonts w:ascii="Georgia" w:hAnsi="Georgia"/>
          <w:sz w:val="20"/>
          <w:szCs w:val="20"/>
          <w:lang w:val="lt-LT"/>
        </w:rPr>
        <w:t xml:space="preserve"> </w:t>
      </w:r>
      <w:r w:rsidRPr="002142B8">
        <w:rPr>
          <w:rFonts w:ascii="Georgia" w:hAnsi="Georgia"/>
          <w:sz w:val="20"/>
          <w:szCs w:val="20"/>
          <w:lang w:val="lt-LT"/>
        </w:rPr>
        <w:t xml:space="preserve"> jog alternatyvų palyginime </w:t>
      </w:r>
      <w:r w:rsidR="00796F72" w:rsidRPr="002142B8">
        <w:rPr>
          <w:rFonts w:ascii="Georgia" w:hAnsi="Georgia"/>
          <w:sz w:val="20"/>
          <w:szCs w:val="20"/>
          <w:lang w:val="lt-LT"/>
        </w:rPr>
        <w:t xml:space="preserve">nagrinėjamos </w:t>
      </w:r>
      <w:r w:rsidRPr="002142B8">
        <w:rPr>
          <w:rFonts w:ascii="Georgia" w:hAnsi="Georgia"/>
          <w:sz w:val="20"/>
          <w:szCs w:val="20"/>
          <w:lang w:val="lt-LT"/>
        </w:rPr>
        <w:t xml:space="preserve">finansinės priemonės </w:t>
      </w:r>
      <w:r w:rsidR="007B4CB3" w:rsidRPr="002142B8">
        <w:rPr>
          <w:rFonts w:ascii="Georgia" w:hAnsi="Georgia"/>
          <w:sz w:val="20"/>
          <w:szCs w:val="20"/>
          <w:lang w:val="lt-LT"/>
        </w:rPr>
        <w:t>įgyvendinimo scenarijai</w:t>
      </w:r>
      <w:r w:rsidRPr="002142B8">
        <w:rPr>
          <w:rFonts w:ascii="Georgia" w:hAnsi="Georgia"/>
          <w:sz w:val="20"/>
          <w:szCs w:val="20"/>
          <w:lang w:val="lt-LT"/>
        </w:rPr>
        <w:t xml:space="preserve"> yra </w:t>
      </w:r>
      <w:r w:rsidR="007B4CB3" w:rsidRPr="002142B8">
        <w:rPr>
          <w:rFonts w:ascii="Georgia" w:hAnsi="Georgia"/>
          <w:sz w:val="20"/>
          <w:szCs w:val="20"/>
          <w:lang w:val="lt-LT"/>
        </w:rPr>
        <w:t xml:space="preserve">tik </w:t>
      </w:r>
      <w:r w:rsidRPr="002142B8">
        <w:rPr>
          <w:rFonts w:ascii="Georgia" w:hAnsi="Georgia"/>
          <w:sz w:val="20"/>
          <w:szCs w:val="20"/>
          <w:lang w:val="lt-LT"/>
        </w:rPr>
        <w:t>pavyzdiniai</w:t>
      </w:r>
      <w:r w:rsidR="00306810" w:rsidRPr="002142B8">
        <w:rPr>
          <w:rFonts w:ascii="Georgia" w:hAnsi="Georgia"/>
          <w:sz w:val="20"/>
          <w:szCs w:val="20"/>
          <w:lang w:val="lt-LT"/>
        </w:rPr>
        <w:t>,</w:t>
      </w:r>
      <w:r w:rsidRPr="002142B8">
        <w:rPr>
          <w:rFonts w:ascii="Georgia" w:hAnsi="Georgia"/>
          <w:sz w:val="20"/>
          <w:szCs w:val="20"/>
          <w:lang w:val="lt-LT"/>
        </w:rPr>
        <w:t xml:space="preserve"> siekiant </w:t>
      </w:r>
      <w:r w:rsidR="00306810" w:rsidRPr="002142B8">
        <w:rPr>
          <w:rFonts w:ascii="Georgia" w:hAnsi="Georgia"/>
          <w:sz w:val="20"/>
          <w:szCs w:val="20"/>
          <w:lang w:val="lt-LT"/>
        </w:rPr>
        <w:t xml:space="preserve">apibrėžti kiekybiniu atžvilgiu </w:t>
      </w:r>
      <w:r w:rsidR="007B4CB3" w:rsidRPr="002142B8">
        <w:rPr>
          <w:rFonts w:ascii="Georgia" w:hAnsi="Georgia"/>
          <w:sz w:val="20"/>
          <w:szCs w:val="20"/>
          <w:lang w:val="lt-LT"/>
        </w:rPr>
        <w:t>didžiausią pridėtinę vertę kurian</w:t>
      </w:r>
      <w:r w:rsidR="00306810" w:rsidRPr="002142B8">
        <w:rPr>
          <w:rFonts w:ascii="Georgia" w:hAnsi="Georgia"/>
          <w:sz w:val="20"/>
          <w:szCs w:val="20"/>
          <w:lang w:val="lt-LT"/>
        </w:rPr>
        <w:t>tį</w:t>
      </w:r>
      <w:r w:rsidR="007B4CB3" w:rsidRPr="002142B8">
        <w:rPr>
          <w:rFonts w:ascii="Georgia" w:hAnsi="Georgia"/>
          <w:sz w:val="20"/>
          <w:szCs w:val="20"/>
          <w:lang w:val="lt-LT"/>
        </w:rPr>
        <w:t xml:space="preserve"> </w:t>
      </w:r>
      <w:r w:rsidRPr="002142B8">
        <w:rPr>
          <w:rFonts w:ascii="Georgia" w:hAnsi="Georgia"/>
          <w:sz w:val="20"/>
          <w:szCs w:val="20"/>
          <w:lang w:val="lt-LT"/>
        </w:rPr>
        <w:t>finansin</w:t>
      </w:r>
      <w:r w:rsidR="00306810" w:rsidRPr="002142B8">
        <w:rPr>
          <w:rFonts w:ascii="Georgia" w:hAnsi="Georgia"/>
          <w:sz w:val="20"/>
          <w:szCs w:val="20"/>
          <w:lang w:val="lt-LT"/>
        </w:rPr>
        <w:t>ės</w:t>
      </w:r>
      <w:r w:rsidRPr="002142B8">
        <w:rPr>
          <w:rFonts w:ascii="Georgia" w:hAnsi="Georgia"/>
          <w:sz w:val="20"/>
          <w:szCs w:val="20"/>
          <w:lang w:val="lt-LT"/>
        </w:rPr>
        <w:t xml:space="preserve"> priemon</w:t>
      </w:r>
      <w:r w:rsidR="00306810" w:rsidRPr="002142B8">
        <w:rPr>
          <w:rFonts w:ascii="Georgia" w:hAnsi="Georgia"/>
          <w:sz w:val="20"/>
          <w:szCs w:val="20"/>
          <w:lang w:val="lt-LT"/>
        </w:rPr>
        <w:t>ės modelį. T</w:t>
      </w:r>
      <w:r w:rsidRPr="002142B8">
        <w:rPr>
          <w:rFonts w:ascii="Georgia" w:hAnsi="Georgia"/>
          <w:sz w:val="20"/>
          <w:szCs w:val="20"/>
          <w:lang w:val="lt-LT"/>
        </w:rPr>
        <w:t>ačiau tai neriboja</w:t>
      </w:r>
      <w:r w:rsidR="00306810" w:rsidRPr="002142B8">
        <w:rPr>
          <w:rFonts w:ascii="Georgia" w:hAnsi="Georgia"/>
          <w:sz w:val="20"/>
          <w:szCs w:val="20"/>
          <w:lang w:val="lt-LT"/>
        </w:rPr>
        <w:t xml:space="preserve"> vadovaujančiosios institucijos, </w:t>
      </w:r>
      <w:r w:rsidRPr="002142B8">
        <w:rPr>
          <w:rFonts w:ascii="Georgia" w:hAnsi="Georgia"/>
          <w:sz w:val="20"/>
          <w:szCs w:val="20"/>
          <w:lang w:val="lt-LT"/>
        </w:rPr>
        <w:t xml:space="preserve"> finansinės priemonės (ar fondų fondo) valdytojo ar ministerijų</w:t>
      </w:r>
      <w:r w:rsidR="00306810" w:rsidRPr="002142B8">
        <w:rPr>
          <w:rFonts w:ascii="Georgia" w:hAnsi="Georgia"/>
          <w:sz w:val="20"/>
          <w:szCs w:val="20"/>
          <w:lang w:val="lt-LT"/>
        </w:rPr>
        <w:t xml:space="preserve"> pasirinkimo</w:t>
      </w:r>
      <w:r w:rsidRPr="002142B8">
        <w:rPr>
          <w:rFonts w:ascii="Georgia" w:hAnsi="Georgia"/>
          <w:sz w:val="20"/>
          <w:szCs w:val="20"/>
          <w:lang w:val="lt-LT"/>
        </w:rPr>
        <w:t xml:space="preserve"> taikyti kit</w:t>
      </w:r>
      <w:r w:rsidR="00306810" w:rsidRPr="002142B8">
        <w:rPr>
          <w:rFonts w:ascii="Georgia" w:hAnsi="Georgia"/>
          <w:sz w:val="20"/>
          <w:szCs w:val="20"/>
          <w:lang w:val="lt-LT"/>
        </w:rPr>
        <w:t>us</w:t>
      </w:r>
      <w:r w:rsidR="00D9139B" w:rsidRPr="002142B8">
        <w:rPr>
          <w:rFonts w:ascii="Georgia" w:hAnsi="Georgia"/>
          <w:sz w:val="20"/>
          <w:szCs w:val="20"/>
          <w:lang w:val="lt-LT"/>
        </w:rPr>
        <w:t xml:space="preserve"> </w:t>
      </w:r>
      <w:r w:rsidRPr="002142B8">
        <w:rPr>
          <w:rFonts w:ascii="Georgia" w:hAnsi="Georgia"/>
          <w:sz w:val="20"/>
          <w:szCs w:val="20"/>
          <w:lang w:val="lt-LT"/>
        </w:rPr>
        <w:t xml:space="preserve">finansinės priemonės įgyvendinimo </w:t>
      </w:r>
      <w:r w:rsidR="00306810" w:rsidRPr="002142B8">
        <w:rPr>
          <w:rFonts w:ascii="Georgia" w:hAnsi="Georgia"/>
          <w:sz w:val="20"/>
          <w:szCs w:val="20"/>
          <w:lang w:val="lt-LT"/>
        </w:rPr>
        <w:t xml:space="preserve">modelius, </w:t>
      </w:r>
      <w:r w:rsidRPr="002142B8">
        <w:rPr>
          <w:rFonts w:ascii="Georgia" w:hAnsi="Georgia"/>
          <w:sz w:val="20"/>
          <w:szCs w:val="20"/>
          <w:lang w:val="lt-LT"/>
        </w:rPr>
        <w:t xml:space="preserve">vadovaujantis </w:t>
      </w:r>
      <w:r w:rsidR="00306810" w:rsidRPr="002142B8">
        <w:rPr>
          <w:rFonts w:ascii="Georgia" w:hAnsi="Georgia"/>
          <w:sz w:val="20"/>
          <w:szCs w:val="20"/>
          <w:lang w:val="lt-LT"/>
        </w:rPr>
        <w:t xml:space="preserve">apibrėžtų </w:t>
      </w:r>
      <w:r w:rsidR="002E14FC" w:rsidRPr="002142B8">
        <w:rPr>
          <w:rFonts w:ascii="Georgia" w:hAnsi="Georgia"/>
          <w:sz w:val="20"/>
          <w:szCs w:val="20"/>
          <w:lang w:val="lt-LT"/>
        </w:rPr>
        <w:t>schemų</w:t>
      </w:r>
      <w:r w:rsidRPr="002142B8">
        <w:rPr>
          <w:rFonts w:ascii="Georgia" w:hAnsi="Georgia"/>
          <w:sz w:val="20"/>
          <w:szCs w:val="20"/>
          <w:lang w:val="lt-LT"/>
        </w:rPr>
        <w:t xml:space="preserve"> principais</w:t>
      </w:r>
      <w:r w:rsidR="00B177DE" w:rsidRPr="002142B8">
        <w:rPr>
          <w:rFonts w:ascii="Georgia" w:hAnsi="Georgia"/>
          <w:sz w:val="20"/>
          <w:szCs w:val="20"/>
          <w:lang w:val="lt-LT"/>
        </w:rPr>
        <w:t xml:space="preserve"> </w:t>
      </w:r>
      <w:r w:rsidR="00306810" w:rsidRPr="002142B8">
        <w:rPr>
          <w:rFonts w:ascii="Georgia" w:hAnsi="Georgia"/>
          <w:sz w:val="20"/>
          <w:szCs w:val="20"/>
          <w:lang w:val="lt-LT"/>
        </w:rPr>
        <w:t xml:space="preserve">bei </w:t>
      </w:r>
      <w:r w:rsidR="00B177DE" w:rsidRPr="002142B8">
        <w:rPr>
          <w:rFonts w:ascii="Georgia" w:hAnsi="Georgia"/>
          <w:sz w:val="20"/>
          <w:szCs w:val="20"/>
          <w:lang w:val="lt-LT"/>
        </w:rPr>
        <w:t>atsižvelgiant į pasikeitusias rinkos sąlygas</w:t>
      </w:r>
      <w:r w:rsidR="00D85B81" w:rsidRPr="002142B8">
        <w:rPr>
          <w:rFonts w:ascii="Georgia" w:hAnsi="Georgia"/>
          <w:sz w:val="20"/>
          <w:szCs w:val="20"/>
          <w:lang w:val="lt-LT"/>
        </w:rPr>
        <w:t>,</w:t>
      </w:r>
      <w:r w:rsidR="00B177DE" w:rsidRPr="002142B8">
        <w:rPr>
          <w:rFonts w:ascii="Georgia" w:hAnsi="Georgia"/>
          <w:sz w:val="20"/>
          <w:szCs w:val="20"/>
          <w:lang w:val="lt-LT"/>
        </w:rPr>
        <w:t xml:space="preserve"> prielaid</w:t>
      </w:r>
      <w:r w:rsidR="00D85B81" w:rsidRPr="002142B8">
        <w:rPr>
          <w:rFonts w:ascii="Georgia" w:hAnsi="Georgia"/>
          <w:sz w:val="20"/>
          <w:szCs w:val="20"/>
          <w:lang w:val="lt-LT"/>
        </w:rPr>
        <w:t>a</w:t>
      </w:r>
      <w:r w:rsidR="00B177DE" w:rsidRPr="002142B8">
        <w:rPr>
          <w:rFonts w:ascii="Georgia" w:hAnsi="Georgia"/>
          <w:sz w:val="20"/>
          <w:szCs w:val="20"/>
          <w:lang w:val="lt-LT"/>
        </w:rPr>
        <w:t>s</w:t>
      </w:r>
      <w:r w:rsidR="00D85B81" w:rsidRPr="002142B8">
        <w:rPr>
          <w:rFonts w:ascii="Georgia" w:hAnsi="Georgia"/>
          <w:sz w:val="20"/>
          <w:szCs w:val="20"/>
          <w:lang w:val="lt-LT"/>
        </w:rPr>
        <w:t xml:space="preserve"> ir skaičiavimų rezultatus</w:t>
      </w:r>
      <w:r w:rsidRPr="002142B8">
        <w:rPr>
          <w:rFonts w:ascii="Georgia" w:hAnsi="Georgia"/>
          <w:sz w:val="20"/>
          <w:szCs w:val="20"/>
          <w:lang w:val="lt-LT"/>
        </w:rPr>
        <w:t>.</w:t>
      </w:r>
      <w:r w:rsidR="00D85B81" w:rsidRPr="002142B8">
        <w:rPr>
          <w:rFonts w:ascii="Georgia" w:hAnsi="Georgia"/>
          <w:sz w:val="20"/>
          <w:szCs w:val="20"/>
          <w:lang w:val="lt-LT"/>
        </w:rPr>
        <w:t xml:space="preserve"> </w:t>
      </w:r>
    </w:p>
    <w:p w14:paraId="22C94CA2" w14:textId="77777777" w:rsidR="00244412" w:rsidRPr="002142B8" w:rsidRDefault="00702724" w:rsidP="00C03122">
      <w:pPr>
        <w:pStyle w:val="Antrat2"/>
        <w:numPr>
          <w:ilvl w:val="3"/>
          <w:numId w:val="2"/>
        </w:numPr>
        <w:rPr>
          <w:lang w:val="lt-LT"/>
        </w:rPr>
      </w:pPr>
      <w:bookmarkStart w:id="181" w:name="_Toc25589924"/>
      <w:r w:rsidRPr="002142B8">
        <w:rPr>
          <w:lang w:val="lt-LT"/>
        </w:rPr>
        <w:t>Daugiabuči</w:t>
      </w:r>
      <w:r w:rsidR="00244412" w:rsidRPr="002142B8">
        <w:rPr>
          <w:lang w:val="lt-LT"/>
        </w:rPr>
        <w:t>ų modernizavimas</w:t>
      </w:r>
      <w:bookmarkEnd w:id="181"/>
    </w:p>
    <w:p w14:paraId="3E488B52" w14:textId="10829B07" w:rsidR="0063563D" w:rsidRPr="002142B8" w:rsidRDefault="0063563D" w:rsidP="0063563D">
      <w:pPr>
        <w:jc w:val="both"/>
        <w:rPr>
          <w:rFonts w:ascii="Georgia" w:hAnsi="Georgia"/>
          <w:sz w:val="20"/>
          <w:lang w:val="lt-LT"/>
        </w:rPr>
      </w:pPr>
    </w:p>
    <w:p w14:paraId="16850AC4" w14:textId="13C341BA" w:rsidR="00FA5C6F" w:rsidRPr="002142B8" w:rsidRDefault="00FA5C6F" w:rsidP="0063563D">
      <w:pPr>
        <w:jc w:val="both"/>
        <w:rPr>
          <w:rFonts w:ascii="Georgia" w:hAnsi="Georgia"/>
          <w:sz w:val="20"/>
          <w:lang w:val="lt-LT"/>
        </w:rPr>
      </w:pPr>
      <w:r w:rsidRPr="002142B8">
        <w:rPr>
          <w:rFonts w:ascii="Georgia" w:hAnsi="Georgia"/>
          <w:sz w:val="20"/>
          <w:lang w:val="lt-LT"/>
        </w:rPr>
        <w:t>Prieš detaliau analizuojant daugiabučių namų atnaujinimo (modernizavimo) finansavimo scenarijus, reikia paminėti, kad</w:t>
      </w:r>
      <w:r w:rsidR="004623B7" w:rsidRPr="002142B8">
        <w:rPr>
          <w:rFonts w:ascii="Georgia" w:hAnsi="Georgia"/>
          <w:sz w:val="20"/>
          <w:lang w:val="lt-LT"/>
        </w:rPr>
        <w:t xml:space="preserve"> naujos</w:t>
      </w:r>
      <w:r w:rsidRPr="002142B8">
        <w:rPr>
          <w:rFonts w:ascii="Georgia" w:hAnsi="Georgia"/>
          <w:sz w:val="20"/>
          <w:lang w:val="lt-LT"/>
        </w:rPr>
        <w:t xml:space="preserve"> Valstybės paramos daugiabučiams namams atnaujinti (moderni</w:t>
      </w:r>
      <w:r w:rsidR="004623B7" w:rsidRPr="002142B8">
        <w:rPr>
          <w:rFonts w:ascii="Georgia" w:hAnsi="Georgia"/>
          <w:sz w:val="20"/>
          <w:lang w:val="lt-LT"/>
        </w:rPr>
        <w:t>zuoti) įstatymo redakcijos</w:t>
      </w:r>
      <w:r w:rsidRPr="002142B8">
        <w:rPr>
          <w:rStyle w:val="Puslapioinaosnuoroda"/>
          <w:rFonts w:ascii="Georgia" w:hAnsi="Georgia"/>
          <w:sz w:val="20"/>
          <w:lang w:val="lt-LT"/>
        </w:rPr>
        <w:footnoteReference w:id="129"/>
      </w:r>
      <w:r w:rsidRPr="002142B8">
        <w:rPr>
          <w:rFonts w:ascii="Georgia" w:hAnsi="Georgia"/>
          <w:sz w:val="20"/>
          <w:lang w:val="lt-LT"/>
        </w:rPr>
        <w:t xml:space="preserve"> </w:t>
      </w:r>
      <w:r w:rsidR="004623B7" w:rsidRPr="002142B8">
        <w:rPr>
          <w:rFonts w:ascii="Georgia" w:hAnsi="Georgia"/>
          <w:sz w:val="20"/>
          <w:lang w:val="lt-LT"/>
        </w:rPr>
        <w:t>3 straipsnio 1 punkte įtvirtinta nuostata, kad valstybės parama teikiama „kompensuojant 30 procentų investicijų, tenkančių Vyriausybės nustatytoms energinio e</w:t>
      </w:r>
      <w:r w:rsidR="00E83894" w:rsidRPr="002142B8">
        <w:rPr>
          <w:rFonts w:ascii="Georgia" w:hAnsi="Georgia"/>
          <w:sz w:val="20"/>
          <w:lang w:val="lt-LT"/>
        </w:rPr>
        <w:t xml:space="preserve">fektyvumo didinimo priemonėms“. </w:t>
      </w:r>
      <w:r w:rsidR="00FE78A7" w:rsidRPr="002142B8">
        <w:rPr>
          <w:rFonts w:ascii="Georgia" w:hAnsi="Georgia"/>
          <w:sz w:val="20"/>
          <w:lang w:val="lt-LT"/>
        </w:rPr>
        <w:t>Taip pat įstatyme numatyta, kad valstybės parama daugiabučių modernizavimui teikiama  suteikiant lengvatinį kreditą atnaujinimo projekto daliai (techniniam darbo projektui) parengti ir (ar) įgyvendinti (rangos darbams atlikti) ir penkerius metus nuo pirmosios kredito dalies išmokėjimo dienos apmokant šio kredito bendrų metinių palūkanų dalį, viršijančią 3 procentus, tuo atveju, jeigu kredito metinės palūkanos viršija 3 procentus.</w:t>
      </w:r>
      <w:r w:rsidR="00E83894" w:rsidRPr="002142B8">
        <w:rPr>
          <w:rFonts w:ascii="Georgia" w:hAnsi="Georgia"/>
          <w:sz w:val="20"/>
          <w:lang w:val="lt-LT"/>
        </w:rPr>
        <w:t xml:space="preserve"> </w:t>
      </w:r>
      <w:r w:rsidR="00D74100" w:rsidRPr="002142B8">
        <w:rPr>
          <w:rFonts w:ascii="Georgia" w:hAnsi="Georgia"/>
          <w:sz w:val="20"/>
          <w:lang w:val="lt-LT"/>
        </w:rPr>
        <w:t>P</w:t>
      </w:r>
      <w:r w:rsidR="004623B7" w:rsidRPr="002142B8">
        <w:rPr>
          <w:rFonts w:ascii="Georgia" w:hAnsi="Georgia"/>
          <w:sz w:val="20"/>
          <w:lang w:val="lt-LT"/>
        </w:rPr>
        <w:t>rieš pradedant taikyti scena</w:t>
      </w:r>
      <w:r w:rsidR="00D74100" w:rsidRPr="002142B8">
        <w:rPr>
          <w:rFonts w:ascii="Georgia" w:hAnsi="Georgia"/>
          <w:sz w:val="20"/>
          <w:lang w:val="lt-LT"/>
        </w:rPr>
        <w:t>rijus</w:t>
      </w:r>
      <w:r w:rsidR="00855E44" w:rsidRPr="002142B8">
        <w:rPr>
          <w:rFonts w:ascii="Georgia" w:hAnsi="Georgia"/>
          <w:sz w:val="20"/>
          <w:lang w:val="lt-LT"/>
        </w:rPr>
        <w:t>,</w:t>
      </w:r>
      <w:r w:rsidR="00D74100" w:rsidRPr="002142B8">
        <w:rPr>
          <w:rFonts w:ascii="Georgia" w:hAnsi="Georgia"/>
          <w:sz w:val="20"/>
          <w:lang w:val="lt-LT"/>
        </w:rPr>
        <w:t xml:space="preserve"> numatančius kitokius nei įstatyme įtvirtinti valstybės paramos parametrai,</w:t>
      </w:r>
      <w:r w:rsidR="004623B7" w:rsidRPr="002142B8">
        <w:rPr>
          <w:rFonts w:ascii="Georgia" w:hAnsi="Georgia"/>
          <w:sz w:val="20"/>
          <w:lang w:val="lt-LT"/>
        </w:rPr>
        <w:t xml:space="preserve"> turėtų būti </w:t>
      </w:r>
      <w:r w:rsidR="004623B7" w:rsidRPr="002142B8">
        <w:rPr>
          <w:rFonts w:ascii="Georgia" w:hAnsi="Georgia"/>
          <w:sz w:val="20"/>
          <w:lang w:val="lt-LT"/>
        </w:rPr>
        <w:lastRenderedPageBreak/>
        <w:t>keičiamas</w:t>
      </w:r>
      <w:r w:rsidR="00D74100" w:rsidRPr="002142B8">
        <w:rPr>
          <w:rFonts w:ascii="Georgia" w:hAnsi="Georgia"/>
          <w:sz w:val="20"/>
          <w:lang w:val="lt-LT"/>
        </w:rPr>
        <w:t xml:space="preserve"> ir pats</w:t>
      </w:r>
      <w:r w:rsidR="00E83894" w:rsidRPr="002142B8">
        <w:rPr>
          <w:rFonts w:ascii="Georgia" w:hAnsi="Georgia"/>
          <w:sz w:val="20"/>
          <w:lang w:val="lt-LT"/>
        </w:rPr>
        <w:t xml:space="preserve"> įstatymas, </w:t>
      </w:r>
      <w:r w:rsidR="00EB252A" w:rsidRPr="002142B8">
        <w:rPr>
          <w:rFonts w:ascii="Georgia" w:hAnsi="Georgia"/>
          <w:sz w:val="20"/>
          <w:lang w:val="lt-LT"/>
        </w:rPr>
        <w:t>dėl to turėtų būti įvertinta dažnai ilgai trunkančių teisės aktų keitimo procesų įtaka finansinės priemonės įgyvendinimui.</w:t>
      </w:r>
      <w:r w:rsidR="004623B7" w:rsidRPr="002142B8">
        <w:rPr>
          <w:rFonts w:ascii="Georgia" w:hAnsi="Georgia"/>
          <w:sz w:val="20"/>
          <w:lang w:val="lt-LT"/>
        </w:rPr>
        <w:t>.</w:t>
      </w:r>
      <w:r w:rsidR="00D74100" w:rsidRPr="002142B8">
        <w:rPr>
          <w:rFonts w:ascii="Georgia" w:hAnsi="Georgia"/>
          <w:sz w:val="20"/>
          <w:lang w:val="lt-LT"/>
        </w:rPr>
        <w:t xml:space="preserve"> </w:t>
      </w:r>
    </w:p>
    <w:p w14:paraId="6A6A8BBF" w14:textId="77777777" w:rsidR="000556A1" w:rsidRPr="002142B8" w:rsidRDefault="000556A1" w:rsidP="000556A1">
      <w:pPr>
        <w:jc w:val="both"/>
        <w:rPr>
          <w:rFonts w:ascii="Georgia" w:hAnsi="Georgia"/>
          <w:sz w:val="20"/>
          <w:lang w:val="lt-LT"/>
        </w:rPr>
      </w:pPr>
      <w:r w:rsidRPr="002142B8">
        <w:rPr>
          <w:rFonts w:ascii="Georgia" w:hAnsi="Georgia"/>
          <w:sz w:val="20"/>
          <w:lang w:val="lt-LT"/>
        </w:rPr>
        <w:t>Atsižvelgiant į išvardytus aspektus identifikuojami sekantys daugiabučių renovacijos finansavimui galimi taikyti finansinės priemonės veiklos scenarijai:</w:t>
      </w:r>
    </w:p>
    <w:p w14:paraId="14800FD5" w14:textId="5027DAEB" w:rsidR="000556A1" w:rsidRPr="002142B8" w:rsidRDefault="000556A1" w:rsidP="000556A1">
      <w:pPr>
        <w:pStyle w:val="Sraopastraipa"/>
        <w:numPr>
          <w:ilvl w:val="0"/>
          <w:numId w:val="18"/>
        </w:numPr>
        <w:rPr>
          <w:rFonts w:ascii="Georgia" w:hAnsi="Georgia"/>
          <w:sz w:val="20"/>
          <w:szCs w:val="20"/>
          <w:lang w:val="lt-LT"/>
        </w:rPr>
      </w:pPr>
      <w:r w:rsidRPr="002142B8">
        <w:rPr>
          <w:rFonts w:ascii="Georgia" w:hAnsi="Georgia"/>
          <w:i/>
          <w:sz w:val="20"/>
          <w:szCs w:val="20"/>
          <w:lang w:val="lt-LT"/>
        </w:rPr>
        <w:t xml:space="preserve">Scenarijus Nr. 1: </w:t>
      </w:r>
      <w:r w:rsidR="00737630" w:rsidRPr="002142B8">
        <w:rPr>
          <w:rFonts w:ascii="Georgia" w:hAnsi="Georgia"/>
          <w:i/>
          <w:sz w:val="20"/>
          <w:szCs w:val="20"/>
          <w:lang w:val="lt-LT"/>
        </w:rPr>
        <w:t>P</w:t>
      </w:r>
      <w:r w:rsidRPr="002142B8">
        <w:rPr>
          <w:rFonts w:ascii="Georgia" w:hAnsi="Georgia"/>
          <w:i/>
          <w:sz w:val="20"/>
          <w:szCs w:val="20"/>
          <w:lang w:val="lt-LT"/>
        </w:rPr>
        <w:t xml:space="preserve">askolų teikimas </w:t>
      </w:r>
    </w:p>
    <w:p w14:paraId="6E7B8FF8" w14:textId="51002291" w:rsidR="000556A1" w:rsidRPr="002142B8" w:rsidRDefault="000556A1" w:rsidP="000556A1">
      <w:pPr>
        <w:pStyle w:val="Sraopastraipa"/>
        <w:numPr>
          <w:ilvl w:val="0"/>
          <w:numId w:val="18"/>
        </w:numPr>
        <w:rPr>
          <w:rFonts w:ascii="Georgia" w:hAnsi="Georgia"/>
          <w:i/>
          <w:sz w:val="20"/>
          <w:szCs w:val="20"/>
          <w:lang w:val="lt-LT"/>
        </w:rPr>
      </w:pPr>
      <w:r w:rsidRPr="002142B8">
        <w:rPr>
          <w:rFonts w:ascii="Georgia" w:hAnsi="Georgia"/>
          <w:i/>
          <w:sz w:val="20"/>
          <w:szCs w:val="20"/>
          <w:lang w:val="lt-LT"/>
        </w:rPr>
        <w:t xml:space="preserve">Scenarijus Nr. </w:t>
      </w:r>
      <w:r w:rsidR="008B2CF9" w:rsidRPr="002142B8">
        <w:rPr>
          <w:rFonts w:ascii="Georgia" w:hAnsi="Georgia"/>
          <w:i/>
          <w:sz w:val="20"/>
          <w:szCs w:val="20"/>
          <w:lang w:val="lt-LT"/>
        </w:rPr>
        <w:t>2</w:t>
      </w:r>
      <w:r w:rsidRPr="002142B8">
        <w:rPr>
          <w:rFonts w:ascii="Georgia" w:hAnsi="Georgia"/>
          <w:i/>
          <w:sz w:val="20"/>
          <w:szCs w:val="20"/>
          <w:lang w:val="lt-LT"/>
        </w:rPr>
        <w:t>: Dalis finansinės priemonės lėšų nukreipiama į paskolų modelį, o dalis į garantijų priemonę</w:t>
      </w:r>
    </w:p>
    <w:p w14:paraId="154F149B" w14:textId="0D3AF87C" w:rsidR="000556A1" w:rsidRPr="002142B8" w:rsidRDefault="000556A1" w:rsidP="000556A1">
      <w:pPr>
        <w:pStyle w:val="Sraopastraipa"/>
        <w:numPr>
          <w:ilvl w:val="0"/>
          <w:numId w:val="18"/>
        </w:numPr>
        <w:rPr>
          <w:rFonts w:ascii="Georgia" w:hAnsi="Georgia"/>
          <w:i/>
          <w:sz w:val="20"/>
          <w:szCs w:val="20"/>
          <w:lang w:val="lt-LT"/>
        </w:rPr>
      </w:pPr>
      <w:r w:rsidRPr="002142B8">
        <w:rPr>
          <w:rFonts w:ascii="Georgia" w:hAnsi="Georgia"/>
          <w:i/>
          <w:sz w:val="20"/>
          <w:szCs w:val="20"/>
          <w:lang w:val="lt-LT"/>
        </w:rPr>
        <w:t xml:space="preserve">Scenarijus Nr. </w:t>
      </w:r>
      <w:r w:rsidR="008B2CF9" w:rsidRPr="002142B8">
        <w:rPr>
          <w:rFonts w:ascii="Georgia" w:hAnsi="Georgia"/>
          <w:i/>
          <w:sz w:val="20"/>
          <w:szCs w:val="20"/>
          <w:lang w:val="lt-LT"/>
        </w:rPr>
        <w:t>3</w:t>
      </w:r>
      <w:r w:rsidRPr="002142B8">
        <w:rPr>
          <w:rFonts w:ascii="Georgia" w:hAnsi="Georgia"/>
          <w:i/>
          <w:sz w:val="20"/>
          <w:szCs w:val="20"/>
          <w:lang w:val="lt-LT"/>
        </w:rPr>
        <w:t>: Visos lėšos panaudojamos garantijoms</w:t>
      </w:r>
    </w:p>
    <w:p w14:paraId="15D64D5C" w14:textId="201CAF26" w:rsidR="000556A1" w:rsidRPr="002142B8" w:rsidRDefault="000556A1" w:rsidP="00620F3A">
      <w:pPr>
        <w:pStyle w:val="Sraopastraipa"/>
        <w:numPr>
          <w:ilvl w:val="0"/>
          <w:numId w:val="18"/>
        </w:numPr>
        <w:rPr>
          <w:rFonts w:ascii="Georgia" w:hAnsi="Georgia"/>
          <w:i/>
          <w:sz w:val="20"/>
          <w:szCs w:val="20"/>
          <w:lang w:val="lt-LT"/>
        </w:rPr>
      </w:pPr>
      <w:r w:rsidRPr="002142B8">
        <w:rPr>
          <w:rFonts w:ascii="Georgia" w:hAnsi="Georgia"/>
          <w:i/>
          <w:sz w:val="20"/>
          <w:szCs w:val="20"/>
          <w:lang w:val="lt-LT"/>
        </w:rPr>
        <w:t xml:space="preserve">Scenarijus Nr. </w:t>
      </w:r>
      <w:r w:rsidR="008B2CF9" w:rsidRPr="002142B8">
        <w:rPr>
          <w:rFonts w:ascii="Georgia" w:hAnsi="Georgia"/>
          <w:i/>
          <w:sz w:val="20"/>
          <w:szCs w:val="20"/>
          <w:lang w:val="lt-LT"/>
        </w:rPr>
        <w:t>4</w:t>
      </w:r>
      <w:r w:rsidRPr="002142B8">
        <w:rPr>
          <w:rFonts w:ascii="Georgia" w:hAnsi="Georgia"/>
          <w:i/>
          <w:sz w:val="20"/>
          <w:szCs w:val="20"/>
          <w:lang w:val="lt-LT"/>
        </w:rPr>
        <w:t xml:space="preserve">: </w:t>
      </w:r>
      <w:r w:rsidR="00620F3A" w:rsidRPr="002142B8">
        <w:rPr>
          <w:rFonts w:ascii="Georgia" w:hAnsi="Georgia"/>
          <w:i/>
          <w:sz w:val="20"/>
          <w:szCs w:val="20"/>
          <w:lang w:val="lt-LT"/>
        </w:rPr>
        <w:t>Paskolų teikimas taikant asimetrinį rizikos pasidalijimo modelį</w:t>
      </w:r>
      <w:r w:rsidR="00620F3A" w:rsidRPr="002142B8" w:rsidDel="00620F3A">
        <w:rPr>
          <w:rFonts w:ascii="Georgia" w:hAnsi="Georgia"/>
          <w:i/>
          <w:sz w:val="20"/>
          <w:szCs w:val="20"/>
          <w:lang w:val="lt-LT"/>
        </w:rPr>
        <w:t xml:space="preserve"> </w:t>
      </w:r>
    </w:p>
    <w:p w14:paraId="59628E19" w14:textId="0778088B" w:rsidR="000556A1" w:rsidRPr="002142B8" w:rsidRDefault="000556A1" w:rsidP="000556A1">
      <w:pPr>
        <w:pStyle w:val="Sraopastraipa"/>
        <w:numPr>
          <w:ilvl w:val="0"/>
          <w:numId w:val="18"/>
        </w:numPr>
        <w:jc w:val="both"/>
        <w:rPr>
          <w:rFonts w:ascii="Georgia" w:hAnsi="Georgia"/>
          <w:i/>
          <w:sz w:val="20"/>
          <w:szCs w:val="20"/>
          <w:lang w:val="lt-LT"/>
        </w:rPr>
      </w:pPr>
      <w:r w:rsidRPr="002142B8">
        <w:rPr>
          <w:rFonts w:ascii="Georgia" w:hAnsi="Georgia"/>
          <w:i/>
          <w:sz w:val="20"/>
          <w:szCs w:val="20"/>
          <w:lang w:val="lt-LT"/>
        </w:rPr>
        <w:t>Scenarijus Nr.</w:t>
      </w:r>
      <w:r w:rsidR="008B2CF9" w:rsidRPr="002142B8">
        <w:rPr>
          <w:rFonts w:ascii="Georgia" w:hAnsi="Georgia"/>
          <w:i/>
          <w:sz w:val="20"/>
          <w:szCs w:val="20"/>
          <w:lang w:val="lt-LT"/>
        </w:rPr>
        <w:t>5</w:t>
      </w:r>
      <w:r w:rsidRPr="002142B8">
        <w:rPr>
          <w:rFonts w:ascii="Georgia" w:hAnsi="Georgia"/>
          <w:i/>
          <w:sz w:val="20"/>
          <w:szCs w:val="20"/>
          <w:lang w:val="lt-LT"/>
        </w:rPr>
        <w:t>: Dalis finansinės priemonės lėšų nukreipiama į paskolų modelį, o dalis į garantijų priemonę su galimybe išpirkti ateities finansinius srautus</w:t>
      </w:r>
    </w:p>
    <w:p w14:paraId="1F106A97" w14:textId="48AF57A0" w:rsidR="000556A1" w:rsidRPr="002142B8" w:rsidRDefault="000556A1" w:rsidP="000556A1">
      <w:pPr>
        <w:jc w:val="both"/>
        <w:rPr>
          <w:rFonts w:ascii="Georgia" w:hAnsi="Georgia"/>
          <w:sz w:val="20"/>
          <w:lang w:val="lt-LT"/>
        </w:rPr>
      </w:pPr>
      <w:r w:rsidRPr="002142B8">
        <w:rPr>
          <w:rFonts w:ascii="Georgia" w:hAnsi="Georgia"/>
          <w:sz w:val="20"/>
          <w:lang w:val="lt-LT"/>
        </w:rPr>
        <w:t>Toliau detaliai nagrinėjami identifikuoti finansinės priemonės veiklos scenarijai.</w:t>
      </w:r>
    </w:p>
    <w:p w14:paraId="4D726DB7" w14:textId="09C173D7" w:rsidR="000556A1" w:rsidRPr="002142B8" w:rsidRDefault="000556A1" w:rsidP="00D17A57">
      <w:pPr>
        <w:keepNext/>
        <w:rPr>
          <w:rFonts w:ascii="Georgia" w:hAnsi="Georgia"/>
          <w:b/>
          <w:i/>
          <w:sz w:val="20"/>
          <w:szCs w:val="20"/>
          <w:lang w:val="lt-LT"/>
        </w:rPr>
      </w:pPr>
      <w:r w:rsidRPr="002142B8">
        <w:rPr>
          <w:rFonts w:ascii="Georgia" w:hAnsi="Georgia"/>
          <w:b/>
          <w:i/>
          <w:sz w:val="28"/>
          <w:szCs w:val="28"/>
          <w:lang w:val="lt-LT"/>
        </w:rPr>
        <w:t>Scenarijus</w:t>
      </w:r>
      <w:r w:rsidRPr="002142B8">
        <w:rPr>
          <w:rFonts w:ascii="Georgia" w:hAnsi="Georgia"/>
          <w:b/>
          <w:i/>
          <w:sz w:val="20"/>
          <w:szCs w:val="20"/>
          <w:lang w:val="lt-LT"/>
        </w:rPr>
        <w:t xml:space="preserve"> </w:t>
      </w:r>
      <w:r w:rsidRPr="002142B8">
        <w:rPr>
          <w:rFonts w:ascii="Georgia" w:hAnsi="Georgia"/>
          <w:b/>
          <w:i/>
          <w:sz w:val="28"/>
          <w:szCs w:val="28"/>
          <w:lang w:val="lt-LT"/>
        </w:rPr>
        <w:t xml:space="preserve">Nr. 1: </w:t>
      </w:r>
      <w:r w:rsidR="001B4BB2" w:rsidRPr="002142B8">
        <w:rPr>
          <w:rFonts w:ascii="Georgia" w:hAnsi="Georgia"/>
          <w:b/>
          <w:i/>
          <w:sz w:val="28"/>
          <w:szCs w:val="28"/>
          <w:lang w:val="lt-LT"/>
        </w:rPr>
        <w:t>P</w:t>
      </w:r>
      <w:r w:rsidRPr="002142B8">
        <w:rPr>
          <w:rFonts w:ascii="Georgia" w:hAnsi="Georgia"/>
          <w:b/>
          <w:i/>
          <w:sz w:val="28"/>
          <w:szCs w:val="28"/>
          <w:lang w:val="lt-LT"/>
        </w:rPr>
        <w:t xml:space="preserve">askolų teikimas </w:t>
      </w:r>
    </w:p>
    <w:p w14:paraId="39E7DD99" w14:textId="796B05EF" w:rsidR="000556A1" w:rsidRPr="002142B8" w:rsidRDefault="000556A1" w:rsidP="000556A1">
      <w:pPr>
        <w:jc w:val="both"/>
        <w:rPr>
          <w:rFonts w:ascii="Georgia" w:hAnsi="Georgia"/>
          <w:sz w:val="20"/>
          <w:lang w:val="lt-LT"/>
        </w:rPr>
      </w:pPr>
      <w:r w:rsidRPr="002142B8">
        <w:rPr>
          <w:rFonts w:ascii="Georgia" w:hAnsi="Georgia"/>
          <w:sz w:val="20"/>
          <w:lang w:val="lt-LT"/>
        </w:rPr>
        <w:t xml:space="preserve">Šiame scenarijuje modeliuojamas </w:t>
      </w:r>
      <w:r w:rsidR="00F10156" w:rsidRPr="002142B8">
        <w:rPr>
          <w:rFonts w:ascii="Georgia" w:hAnsi="Georgia"/>
          <w:sz w:val="20"/>
          <w:lang w:val="lt-LT"/>
        </w:rPr>
        <w:t>paskolų</w:t>
      </w:r>
      <w:r w:rsidRPr="002142B8">
        <w:rPr>
          <w:rFonts w:ascii="Georgia" w:hAnsi="Georgia"/>
          <w:sz w:val="20"/>
          <w:lang w:val="lt-LT"/>
        </w:rPr>
        <w:t xml:space="preserve"> modelis, pagal kurio sąlygas dabar finansuojami daugiabučių projektai Lietuvoje</w:t>
      </w:r>
      <w:r w:rsidR="001B4BB2" w:rsidRPr="002142B8">
        <w:rPr>
          <w:rFonts w:ascii="Georgia" w:hAnsi="Georgia"/>
          <w:sz w:val="20"/>
          <w:lang w:val="lt-LT"/>
        </w:rPr>
        <w:t>.</w:t>
      </w:r>
      <w:r w:rsidRPr="002142B8">
        <w:rPr>
          <w:rFonts w:ascii="Georgia" w:hAnsi="Georgia"/>
          <w:sz w:val="20"/>
          <w:lang w:val="lt-LT"/>
        </w:rPr>
        <w:t xml:space="preserve"> </w:t>
      </w:r>
      <w:r w:rsidR="001B4BB2" w:rsidRPr="002142B8">
        <w:rPr>
          <w:rFonts w:ascii="Georgia" w:hAnsi="Georgia"/>
          <w:sz w:val="20"/>
          <w:lang w:val="lt-LT"/>
        </w:rPr>
        <w:t>M</w:t>
      </w:r>
      <w:r w:rsidRPr="002142B8">
        <w:rPr>
          <w:rFonts w:ascii="Georgia" w:hAnsi="Georgia"/>
          <w:sz w:val="20"/>
          <w:lang w:val="lt-LT"/>
        </w:rPr>
        <w:t xml:space="preserve">odelyje naudojama prielaida, kad bus teikiama </w:t>
      </w:r>
      <w:r w:rsidR="00820B49" w:rsidRPr="002142B8">
        <w:rPr>
          <w:rFonts w:ascii="Georgia" w:hAnsi="Georgia"/>
          <w:sz w:val="20"/>
          <w:lang w:val="lt-LT"/>
        </w:rPr>
        <w:t xml:space="preserve">30 </w:t>
      </w:r>
      <w:r w:rsidR="00F10156" w:rsidRPr="002142B8">
        <w:rPr>
          <w:rFonts w:ascii="Georgia" w:hAnsi="Georgia"/>
          <w:sz w:val="20"/>
          <w:lang w:val="lt-LT"/>
        </w:rPr>
        <w:t xml:space="preserve">proc. subsidija </w:t>
      </w:r>
      <w:r w:rsidR="00820B49" w:rsidRPr="002142B8">
        <w:rPr>
          <w:rFonts w:ascii="Georgia" w:hAnsi="Georgia"/>
          <w:sz w:val="20"/>
          <w:lang w:val="lt-LT"/>
        </w:rPr>
        <w:t>biudžeto lėšomis</w:t>
      </w:r>
      <w:r w:rsidRPr="002142B8">
        <w:rPr>
          <w:rFonts w:ascii="Georgia" w:hAnsi="Georgia"/>
          <w:sz w:val="20"/>
          <w:lang w:val="lt-LT"/>
        </w:rPr>
        <w:t>. Finansinės priemonės teikiamos finansavimo sąlygos pavaizduotos paveiksle.</w:t>
      </w:r>
    </w:p>
    <w:p w14:paraId="0F2D0170" w14:textId="03700A11" w:rsidR="000556A1" w:rsidRPr="002142B8" w:rsidRDefault="008704D8" w:rsidP="000556A1">
      <w:pPr>
        <w:pStyle w:val="Antrat"/>
        <w:rPr>
          <w:lang w:val="lt-LT"/>
        </w:rPr>
      </w:pPr>
      <w:r w:rsidRPr="002142B8">
        <w:rPr>
          <w:noProof/>
          <w:lang w:val="lt-LT" w:eastAsia="lt-LT"/>
        </w:rPr>
        <mc:AlternateContent>
          <mc:Choice Requires="wps">
            <w:drawing>
              <wp:anchor distT="0" distB="0" distL="114300" distR="114300" simplePos="0" relativeHeight="251685888" behindDoc="0" locked="0" layoutInCell="1" allowOverlap="1" wp14:anchorId="122EE696" wp14:editId="075FF470">
                <wp:simplePos x="0" y="0"/>
                <wp:positionH relativeFrom="column">
                  <wp:posOffset>2650067</wp:posOffset>
                </wp:positionH>
                <wp:positionV relativeFrom="paragraph">
                  <wp:posOffset>1742017</wp:posOffset>
                </wp:positionV>
                <wp:extent cx="397933" cy="355600"/>
                <wp:effectExtent l="0" t="0" r="2540" b="6350"/>
                <wp:wrapNone/>
                <wp:docPr id="208" name="Text Box 208"/>
                <wp:cNvGraphicFramePr/>
                <a:graphic xmlns:a="http://schemas.openxmlformats.org/drawingml/2006/main">
                  <a:graphicData uri="http://schemas.microsoft.com/office/word/2010/wordprocessingShape">
                    <wps:wsp>
                      <wps:cNvSpPr txBox="1"/>
                      <wps:spPr>
                        <a:xfrm>
                          <a:off x="0" y="0"/>
                          <a:ext cx="397933" cy="355600"/>
                        </a:xfrm>
                        <a:prstGeom prst="rect">
                          <a:avLst/>
                        </a:prstGeom>
                        <a:solidFill>
                          <a:schemeClr val="lt1"/>
                        </a:solidFill>
                        <a:ln w="6350">
                          <a:noFill/>
                        </a:ln>
                      </wps:spPr>
                      <wps:txbx>
                        <w:txbxContent>
                          <w:p w14:paraId="0F60FBE4" w14:textId="4BFD7CAB" w:rsidR="00133798" w:rsidRPr="0063781D" w:rsidRDefault="00133798" w:rsidP="008704D8">
                            <w:pPr>
                              <w:rPr>
                                <w:rFonts w:ascii="Georgia" w:hAnsi="Georgia"/>
                                <w:sz w:val="24"/>
                                <w:szCs w:val="24"/>
                              </w:rPr>
                            </w:pPr>
                            <w:r w:rsidRPr="0063781D">
                              <w:rPr>
                                <w:rFonts w:ascii="Georgia" w:hAnsi="Georgia"/>
                                <w:sz w:val="24"/>
                                <w:szCs w:val="24"/>
                              </w:rPr>
                              <w:t>30%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8" o:spid="_x0000_s1087" type="#_x0000_t202" style="position:absolute;margin-left:208.65pt;margin-top:137.15pt;width:31.35pt;height:2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" fillcolor="white [3201]" stroked="f" strokeweight=".5pt">
                <v:textbox inset="1mm,1mm,1mm,1mm">
                  <w:txbxContent>
                    <w:p w14:paraId="0F60FBE4" w14:textId="4BFD7CAB" w:rsidR="00133798" w:rsidRPr="0063781D" w:rsidRDefault="00133798" w:rsidP="008704D8">
                      <w:pPr>
                        <w:rPr>
                          <w:rFonts w:ascii="Georgia" w:hAnsi="Georgia"/>
                          <w:sz w:val="24"/>
                          <w:szCs w:val="24"/>
                        </w:rPr>
                      </w:pPr>
                      <w:r w:rsidRPr="0063781D">
                        <w:rPr>
                          <w:rFonts w:ascii="Georgia" w:hAnsi="Georgia"/>
                          <w:sz w:val="24"/>
                          <w:szCs w:val="24"/>
                        </w:rPr>
                        <w:t>30%</w:t>
                      </w:r>
                    </w:p>
                  </w:txbxContent>
                </v:textbox>
              </v:shape>
            </w:pict>
          </mc:Fallback>
        </mc:AlternateContent>
      </w:r>
      <w:r w:rsidRPr="002142B8">
        <w:rPr>
          <w:noProof/>
          <w:lang w:val="lt-LT" w:eastAsia="lt-LT"/>
        </w:rPr>
        <mc:AlternateContent>
          <mc:Choice Requires="wps">
            <w:drawing>
              <wp:anchor distT="0" distB="0" distL="114300" distR="114300" simplePos="0" relativeHeight="251681792" behindDoc="0" locked="0" layoutInCell="1" allowOverlap="1" wp14:anchorId="61BC3910" wp14:editId="0731154D">
                <wp:simplePos x="0" y="0"/>
                <wp:positionH relativeFrom="column">
                  <wp:posOffset>2218267</wp:posOffset>
                </wp:positionH>
                <wp:positionV relativeFrom="paragraph">
                  <wp:posOffset>404283</wp:posOffset>
                </wp:positionV>
                <wp:extent cx="2057400" cy="355600"/>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2057400" cy="355600"/>
                        </a:xfrm>
                        <a:prstGeom prst="rect">
                          <a:avLst/>
                        </a:prstGeom>
                        <a:solidFill>
                          <a:schemeClr val="lt1"/>
                        </a:solidFill>
                        <a:ln w="6350">
                          <a:noFill/>
                        </a:ln>
                      </wps:spPr>
                      <wps:txbx>
                        <w:txbxContent>
                          <w:p w14:paraId="197609B6" w14:textId="77777777" w:rsidR="00133798" w:rsidRDefault="00133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88" type="#_x0000_t202" style="position:absolute;margin-left:174.65pt;margin-top:31.85pt;width:162pt;height:2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" fillcolor="white [3201]" stroked="f" strokeweight=".5pt">
                <v:textbox>
                  <w:txbxContent>
                    <w:p w14:paraId="197609B6" w14:textId="77777777" w:rsidR="00133798" w:rsidRDefault="00133798"/>
                  </w:txbxContent>
                </v:textbox>
              </v:shape>
            </w:pict>
          </mc:Fallback>
        </mc:AlternateContent>
      </w:r>
      <w:r w:rsidR="000556A1" w:rsidRPr="002142B8">
        <w:rPr>
          <w:noProof/>
          <w:lang w:val="lt-LT" w:eastAsia="lt-LT"/>
        </w:rPr>
        <w:drawing>
          <wp:inline distT="0" distB="0" distL="0" distR="0" wp14:anchorId="61D5FC5A" wp14:editId="010AEFB0">
            <wp:extent cx="5836285" cy="2472690"/>
            <wp:effectExtent l="0" t="0" r="0" b="3810"/>
            <wp:docPr id="44" name="Paveikslėlis 2" descr="\\vipa-server\ESCO_Rolandas\EE ex-antes skaiciavimai\Schemos (Rolandas) (Taisytos 2014-11-10)\Daugiabuciu\Daugiabuciai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a-server\ESCO_Rolandas\EE ex-antes skaiciavimai\Schemos (Rolandas) (Taisytos 2014-11-10)\Daugiabuciu\Daugiabuciai Nr. 1.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836285" cy="2472690"/>
                    </a:xfrm>
                    <a:prstGeom prst="rect">
                      <a:avLst/>
                    </a:prstGeom>
                    <a:noFill/>
                    <a:ln>
                      <a:noFill/>
                    </a:ln>
                  </pic:spPr>
                </pic:pic>
              </a:graphicData>
            </a:graphic>
          </wp:inline>
        </w:drawing>
      </w:r>
    </w:p>
    <w:p w14:paraId="2108EE21" w14:textId="7AD577CC" w:rsidR="00325FB1" w:rsidRPr="002142B8" w:rsidRDefault="000556A1" w:rsidP="000556A1">
      <w:pPr>
        <w:pStyle w:val="Antrat"/>
        <w:jc w:val="both"/>
        <w:rPr>
          <w:lang w:val="lt-LT"/>
        </w:rPr>
      </w:pPr>
      <w:bookmarkStart w:id="182" w:name="_Toc507939271"/>
      <w:r w:rsidRPr="002142B8">
        <w:rPr>
          <w:lang w:val="lt-LT"/>
        </w:rPr>
        <w:t xml:space="preserve">Paveikslas </w:t>
      </w:r>
      <w:r w:rsidRPr="002142B8">
        <w:rPr>
          <w:bCs w:val="0"/>
          <w:lang w:val="lt-LT"/>
        </w:rPr>
        <w:fldChar w:fldCharType="begin"/>
      </w:r>
      <w:r w:rsidRPr="002142B8">
        <w:rPr>
          <w:lang w:val="lt-LT"/>
        </w:rPr>
        <w:instrText xml:space="preserve"> SEQ Paveikslas \* ARABIC </w:instrText>
      </w:r>
      <w:r w:rsidRPr="002142B8">
        <w:rPr>
          <w:bCs w:val="0"/>
          <w:lang w:val="lt-LT"/>
        </w:rPr>
        <w:fldChar w:fldCharType="separate"/>
      </w:r>
      <w:r w:rsidR="009652A6">
        <w:rPr>
          <w:noProof/>
          <w:lang w:val="lt-LT"/>
        </w:rPr>
        <w:t>12</w:t>
      </w:r>
      <w:r w:rsidRPr="002142B8">
        <w:rPr>
          <w:bCs w:val="0"/>
          <w:lang w:val="lt-LT"/>
        </w:rPr>
        <w:fldChar w:fldCharType="end"/>
      </w:r>
      <w:r w:rsidRPr="002142B8">
        <w:rPr>
          <w:lang w:val="lt-LT"/>
        </w:rPr>
        <w:t>. Daugiabučių scenarijaus Nr. 1 veikimo schema.</w:t>
      </w:r>
      <w:bookmarkEnd w:id="182"/>
      <w:r w:rsidRPr="002142B8">
        <w:rPr>
          <w:lang w:val="lt-LT"/>
        </w:rPr>
        <w:t xml:space="preserve"> </w:t>
      </w:r>
    </w:p>
    <w:p w14:paraId="5C484528" w14:textId="67DF8AE4" w:rsidR="000556A1" w:rsidRPr="00EB3D2A" w:rsidRDefault="000556A1" w:rsidP="000556A1">
      <w:pPr>
        <w:pStyle w:val="Antrat"/>
        <w:jc w:val="both"/>
        <w:rPr>
          <w:b w:val="0"/>
          <w:i/>
          <w:lang w:val="lt-LT"/>
        </w:rPr>
      </w:pPr>
      <w:bookmarkStart w:id="183" w:name="_Toc507939173"/>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51</w:t>
      </w:r>
      <w:r w:rsidRPr="00EB3D2A">
        <w:rPr>
          <w:b w:val="0"/>
          <w:i/>
          <w:lang w:val="lt-LT"/>
        </w:rPr>
        <w:fldChar w:fldCharType="end"/>
      </w:r>
      <w:r w:rsidRPr="00EB3D2A">
        <w:rPr>
          <w:b w:val="0"/>
          <w:i/>
          <w:lang w:val="lt-LT"/>
        </w:rPr>
        <w:t>. Scenarijaus Nr. 1 prielaidos</w:t>
      </w:r>
      <w:bookmarkEnd w:id="183"/>
    </w:p>
    <w:tbl>
      <w:tblPr>
        <w:tblStyle w:val="viesussraas2parykinimas"/>
        <w:tblW w:w="5000" w:type="pct"/>
        <w:tblLook w:val="04A0" w:firstRow="1" w:lastRow="0" w:firstColumn="1" w:lastColumn="0" w:noHBand="0" w:noVBand="1"/>
      </w:tblPr>
      <w:tblGrid>
        <w:gridCol w:w="3166"/>
        <w:gridCol w:w="6076"/>
      </w:tblGrid>
      <w:tr w:rsidR="000556A1" w:rsidRPr="002142B8" w14:paraId="347743E7"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3" w:type="pct"/>
            <w:tcBorders>
              <w:bottom w:val="single" w:sz="8" w:space="0" w:color="C0504D" w:themeColor="accent2"/>
            </w:tcBorders>
          </w:tcPr>
          <w:p w14:paraId="5B91E912" w14:textId="77777777" w:rsidR="000556A1" w:rsidRPr="002142B8" w:rsidRDefault="000556A1" w:rsidP="00B042D4">
            <w:pPr>
              <w:jc w:val="center"/>
              <w:rPr>
                <w:rFonts w:ascii="Georgia" w:hAnsi="Georgia"/>
                <w:sz w:val="20"/>
              </w:rPr>
            </w:pPr>
            <w:r w:rsidRPr="002142B8">
              <w:rPr>
                <w:rFonts w:ascii="Georgia" w:hAnsi="Georgia"/>
                <w:sz w:val="20"/>
              </w:rPr>
              <w:t>Prielaidos</w:t>
            </w:r>
          </w:p>
        </w:tc>
        <w:tc>
          <w:tcPr>
            <w:tcW w:w="3287" w:type="pct"/>
            <w:tcBorders>
              <w:bottom w:val="single" w:sz="8" w:space="0" w:color="C0504D" w:themeColor="accent2"/>
            </w:tcBorders>
          </w:tcPr>
          <w:p w14:paraId="07A733B4" w14:textId="77777777" w:rsidR="000556A1" w:rsidRPr="002142B8" w:rsidRDefault="000556A1" w:rsidP="00B042D4">
            <w:pPr>
              <w:jc w:val="center"/>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Komentaras</w:t>
            </w:r>
          </w:p>
        </w:tc>
      </w:tr>
      <w:tr w:rsidR="000556A1" w:rsidRPr="002142B8" w14:paraId="66CBBA53" w14:textId="77777777" w:rsidTr="00ED555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bottom w:val="single" w:sz="6" w:space="0" w:color="C0504D" w:themeColor="accent2"/>
              <w:right w:val="single" w:sz="6" w:space="0" w:color="C0504D" w:themeColor="accent2"/>
            </w:tcBorders>
          </w:tcPr>
          <w:p w14:paraId="5E74C1A5" w14:textId="77777777" w:rsidR="000556A1" w:rsidRPr="002142B8" w:rsidRDefault="000556A1" w:rsidP="00B042D4">
            <w:pPr>
              <w:jc w:val="both"/>
              <w:rPr>
                <w:rFonts w:ascii="Georgia" w:hAnsi="Georgia"/>
                <w:b w:val="0"/>
                <w:sz w:val="20"/>
              </w:rPr>
            </w:pPr>
            <w:r w:rsidRPr="002142B8">
              <w:rPr>
                <w:rFonts w:ascii="Georgia" w:hAnsi="Georgia"/>
                <w:sz w:val="20"/>
              </w:rPr>
              <w:t>Paskolos laikotarpis: iki 20 metų</w:t>
            </w:r>
          </w:p>
        </w:tc>
        <w:tc>
          <w:tcPr>
            <w:tcW w:w="3287" w:type="pct"/>
            <w:tcBorders>
              <w:left w:val="single" w:sz="6" w:space="0" w:color="C0504D" w:themeColor="accent2"/>
              <w:bottom w:val="single" w:sz="6" w:space="0" w:color="C0504D" w:themeColor="accent2"/>
            </w:tcBorders>
          </w:tcPr>
          <w:p w14:paraId="4035B0C8"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Maksimalus paskolos suteikimo terminas 20 metų.</w:t>
            </w:r>
          </w:p>
        </w:tc>
      </w:tr>
      <w:tr w:rsidR="00ED5553" w:rsidRPr="002142B8" w14:paraId="634A19FA" w14:textId="77777777" w:rsidTr="00ED5553">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30B801E8" w14:textId="3B58B3B6" w:rsidR="00ED5553" w:rsidRPr="002142B8" w:rsidRDefault="00ED5553" w:rsidP="00ED5553">
            <w:pPr>
              <w:jc w:val="both"/>
              <w:rPr>
                <w:rFonts w:ascii="Georgia" w:hAnsi="Georgia"/>
                <w:b w:val="0"/>
                <w:sz w:val="20"/>
              </w:rPr>
            </w:pPr>
            <w:r w:rsidRPr="002142B8">
              <w:rPr>
                <w:rFonts w:ascii="Georgia" w:hAnsi="Georgia"/>
                <w:sz w:val="20"/>
              </w:rPr>
              <w:t>Subsidija</w:t>
            </w:r>
            <w:r w:rsidR="009E3962" w:rsidRPr="002142B8">
              <w:rPr>
                <w:rFonts w:ascii="Georgia" w:hAnsi="Georgia"/>
                <w:sz w:val="20"/>
              </w:rPr>
              <w:t>*</w:t>
            </w:r>
            <w:r w:rsidRPr="002142B8">
              <w:rPr>
                <w:rFonts w:ascii="Georgia" w:hAnsi="Georgia"/>
                <w:sz w:val="20"/>
              </w:rPr>
              <w:t xml:space="preserve">: </w:t>
            </w:r>
            <w:r w:rsidR="00BF10B7" w:rsidRPr="002142B8">
              <w:rPr>
                <w:rFonts w:ascii="Georgia" w:hAnsi="Georgia"/>
                <w:sz w:val="20"/>
              </w:rPr>
              <w:t xml:space="preserve">30 </w:t>
            </w:r>
            <w:r w:rsidRPr="002142B8">
              <w:rPr>
                <w:rFonts w:ascii="Georgia" w:hAnsi="Georgia"/>
                <w:sz w:val="20"/>
              </w:rPr>
              <w:t>%</w:t>
            </w:r>
          </w:p>
        </w:tc>
        <w:tc>
          <w:tcPr>
            <w:tcW w:w="3287" w:type="pct"/>
            <w:tcBorders>
              <w:top w:val="single" w:sz="8" w:space="0" w:color="C0504D"/>
              <w:left w:val="single" w:sz="6" w:space="0" w:color="C0504D" w:themeColor="accent2"/>
              <w:bottom w:val="single" w:sz="6" w:space="0" w:color="C0504D" w:themeColor="accent2"/>
            </w:tcBorders>
          </w:tcPr>
          <w:p w14:paraId="1E2DEF82" w14:textId="7B018EAF" w:rsidR="00ED5553" w:rsidRPr="002142B8" w:rsidRDefault="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Projektams, pasiekusiems ne mažesnį kaip 40 proc. sutaupymą, suteikiama </w:t>
            </w:r>
            <w:r w:rsidR="00875B0F" w:rsidRPr="002142B8">
              <w:rPr>
                <w:rFonts w:ascii="Georgia" w:hAnsi="Georgia"/>
                <w:sz w:val="20"/>
              </w:rPr>
              <w:t xml:space="preserve">30 </w:t>
            </w:r>
            <w:r w:rsidRPr="002142B8">
              <w:rPr>
                <w:rFonts w:ascii="Georgia" w:hAnsi="Georgia"/>
                <w:sz w:val="20"/>
              </w:rPr>
              <w:t>% subsidija (valstybės parama) biudžeto lėšomis</w:t>
            </w:r>
            <w:r w:rsidR="008704D8" w:rsidRPr="002142B8">
              <w:rPr>
                <w:rFonts w:ascii="Georgia" w:hAnsi="Georgia"/>
                <w:sz w:val="20"/>
              </w:rPr>
              <w:t>.</w:t>
            </w:r>
          </w:p>
        </w:tc>
      </w:tr>
      <w:tr w:rsidR="00ED5553" w:rsidRPr="002142B8" w14:paraId="1836A4D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A7FB235" w14:textId="77777777" w:rsidR="00ED5553" w:rsidRPr="002142B8" w:rsidRDefault="00ED5553" w:rsidP="00ED5553">
            <w:pPr>
              <w:jc w:val="both"/>
              <w:rPr>
                <w:rFonts w:ascii="Georgia" w:hAnsi="Georgia"/>
                <w:b w:val="0"/>
                <w:sz w:val="20"/>
              </w:rPr>
            </w:pPr>
            <w:r w:rsidRPr="002142B8">
              <w:rPr>
                <w:rFonts w:ascii="Georgia" w:hAnsi="Georgia"/>
                <w:sz w:val="20"/>
              </w:rPr>
              <w:t>Išankstinis paskolos grąžinimas: 10% praėjus dvejiems metams po projekto įgyvendinimo</w:t>
            </w:r>
          </w:p>
        </w:tc>
        <w:tc>
          <w:tcPr>
            <w:tcW w:w="3287" w:type="pct"/>
            <w:tcBorders>
              <w:top w:val="single" w:sz="6" w:space="0" w:color="C0504D" w:themeColor="accent2"/>
              <w:left w:val="single" w:sz="6" w:space="0" w:color="C0504D" w:themeColor="accent2"/>
              <w:bottom w:val="single" w:sz="6" w:space="0" w:color="C0504D" w:themeColor="accent2"/>
            </w:tcBorders>
          </w:tcPr>
          <w:p w14:paraId="1FE46656" w14:textId="77777777" w:rsidR="00ED5553" w:rsidRPr="002142B8" w:rsidRDefault="00ED5553" w:rsidP="00ED5553">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ED5553" w:rsidRPr="002142B8" w14:paraId="6A2ED39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035FB843" w14:textId="77777777" w:rsidR="00ED5553" w:rsidRPr="002142B8" w:rsidRDefault="00ED5553" w:rsidP="00ED5553">
            <w:pPr>
              <w:jc w:val="both"/>
              <w:rPr>
                <w:rFonts w:ascii="Georgia" w:hAnsi="Georgia"/>
                <w:b w:val="0"/>
                <w:sz w:val="20"/>
              </w:rPr>
            </w:pPr>
            <w:r w:rsidRPr="002142B8">
              <w:rPr>
                <w:rFonts w:ascii="Georgia" w:hAnsi="Georgia"/>
                <w:sz w:val="20"/>
              </w:rPr>
              <w:t>Blogų paskolų dalis: 5 %</w:t>
            </w:r>
          </w:p>
        </w:tc>
        <w:tc>
          <w:tcPr>
            <w:tcW w:w="3287" w:type="pct"/>
            <w:tcBorders>
              <w:top w:val="single" w:sz="6" w:space="0" w:color="C0504D" w:themeColor="accent2"/>
              <w:left w:val="single" w:sz="6" w:space="0" w:color="C0504D" w:themeColor="accent2"/>
              <w:bottom w:val="single" w:sz="6" w:space="0" w:color="C0504D" w:themeColor="accent2"/>
            </w:tcBorders>
          </w:tcPr>
          <w:p w14:paraId="0A2C8D21" w14:textId="77777777" w:rsidR="00ED5553" w:rsidRPr="002142B8"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Blogų paskolų dalis buvo nustatyta remiantis ekspertų ir komercinių bankų vertinimu.</w:t>
            </w:r>
          </w:p>
        </w:tc>
      </w:tr>
      <w:tr w:rsidR="00ED5553" w:rsidRPr="002142B8" w14:paraId="18C01E8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21787FA8" w14:textId="6FEF0CAF" w:rsidR="00ED5553" w:rsidRPr="002142B8" w:rsidRDefault="006F4A32" w:rsidP="007B0005">
            <w:pPr>
              <w:jc w:val="both"/>
              <w:rPr>
                <w:rFonts w:ascii="Georgia" w:hAnsi="Georgia"/>
                <w:b w:val="0"/>
                <w:sz w:val="20"/>
              </w:rPr>
            </w:pPr>
            <w:r w:rsidRPr="002142B8">
              <w:rPr>
                <w:rFonts w:ascii="Georgia" w:hAnsi="Georgia"/>
                <w:sz w:val="20"/>
              </w:rPr>
              <w:lastRenderedPageBreak/>
              <w:t xml:space="preserve">Modernizavimo procese dalyvaujančio vidutinio </w:t>
            </w:r>
            <w:r w:rsidR="00ED5553" w:rsidRPr="002142B8">
              <w:rPr>
                <w:rFonts w:ascii="Georgia" w:hAnsi="Georgia"/>
                <w:sz w:val="20"/>
              </w:rPr>
              <w:t xml:space="preserve">pastato projekto investicijų vertė: </w:t>
            </w:r>
            <w:r w:rsidR="007B0005" w:rsidRPr="002142B8">
              <w:rPr>
                <w:rFonts w:ascii="Georgia" w:hAnsi="Georgia"/>
                <w:sz w:val="20"/>
              </w:rPr>
              <w:t>330 000</w:t>
            </w:r>
            <w:r w:rsidR="00ED5553" w:rsidRPr="002142B8">
              <w:rPr>
                <w:rFonts w:ascii="Georgia" w:hAnsi="Georgia"/>
                <w:sz w:val="20"/>
              </w:rPr>
              <w:t xml:space="preserve"> eurų</w:t>
            </w:r>
          </w:p>
        </w:tc>
        <w:tc>
          <w:tcPr>
            <w:tcW w:w="3287" w:type="pct"/>
            <w:tcBorders>
              <w:top w:val="single" w:sz="6" w:space="0" w:color="C0504D" w:themeColor="accent2"/>
              <w:left w:val="single" w:sz="6" w:space="0" w:color="C0504D" w:themeColor="accent2"/>
              <w:bottom w:val="single" w:sz="6" w:space="0" w:color="C0504D" w:themeColor="accent2"/>
            </w:tcBorders>
          </w:tcPr>
          <w:p w14:paraId="287A10F2" w14:textId="77777777" w:rsidR="00ED5553" w:rsidRPr="002142B8" w:rsidRDefault="001B4BB2">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Pradinėje ataskaitoje v</w:t>
            </w:r>
            <w:r w:rsidR="00ED5553" w:rsidRPr="002142B8">
              <w:rPr>
                <w:rFonts w:ascii="Georgia" w:hAnsi="Georgia"/>
                <w:sz w:val="20"/>
              </w:rPr>
              <w:t>idutinė tipinio daugiabučio renovacijos kaina buvo nustatyta remiantis vidutinio daugiabučio plotu (paskaičiuota remiantis registrų centro duomenimis). Vidutinė statybos darbų kaina nustatyta pagal BETA pateiktus duomenis.</w:t>
            </w:r>
          </w:p>
          <w:p w14:paraId="2BDFC832" w14:textId="77777777" w:rsidR="007B0005" w:rsidRPr="002142B8"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p w14:paraId="7F0C6912" w14:textId="08DD9966" w:rsidR="006F4A32" w:rsidRPr="002142B8"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JESSICA KF praktinė patirtis (įvertinus 384 sutartis) parodė, kad didesni daugiabučiai dažniau įgyvendina modernizavimo projektus. Todėl vidutinio daugiabučio dalyvaujančio modernizavimo procese</w:t>
            </w:r>
            <w:r w:rsidR="00F007C1" w:rsidRPr="002142B8">
              <w:rPr>
                <w:rFonts w:ascii="Georgia" w:hAnsi="Georgia"/>
                <w:sz w:val="20"/>
              </w:rPr>
              <w:t xml:space="preserve"> bendras</w:t>
            </w:r>
            <w:r w:rsidRPr="002142B8">
              <w:rPr>
                <w:rFonts w:ascii="Georgia" w:hAnsi="Georgia"/>
                <w:sz w:val="20"/>
              </w:rPr>
              <w:t xml:space="preserve"> plotas sudaro apie 2 300</w:t>
            </w:r>
            <w:r w:rsidR="001152E4" w:rsidRPr="002142B8">
              <w:rPr>
                <w:rFonts w:ascii="Georgia" w:hAnsi="Georgia"/>
                <w:sz w:val="20"/>
              </w:rPr>
              <w:t xml:space="preserve"> m</w:t>
            </w:r>
            <w:r w:rsidR="001152E4" w:rsidRPr="002142B8">
              <w:rPr>
                <w:rFonts w:ascii="Georgia" w:hAnsi="Georgia"/>
                <w:sz w:val="20"/>
                <w:vertAlign w:val="superscript"/>
              </w:rPr>
              <w:t>2</w:t>
            </w:r>
            <w:r w:rsidR="00F007C1" w:rsidRPr="002142B8">
              <w:rPr>
                <w:rFonts w:ascii="Georgia" w:hAnsi="Georgia"/>
                <w:sz w:val="20"/>
                <w:vertAlign w:val="superscript"/>
              </w:rPr>
              <w:t xml:space="preserve"> </w:t>
            </w:r>
            <w:r w:rsidR="00F007C1" w:rsidRPr="002142B8">
              <w:rPr>
                <w:rFonts w:ascii="Georgia" w:hAnsi="Georgia"/>
                <w:sz w:val="20"/>
              </w:rPr>
              <w:t>(šildomas plotas 1 770-</w:t>
            </w:r>
            <w:r w:rsidR="007B305E">
              <w:rPr>
                <w:rFonts w:ascii="Georgia" w:hAnsi="Georgia"/>
                <w:sz w:val="20"/>
              </w:rPr>
              <w:t xml:space="preserve"> </w:t>
            </w:r>
            <w:r w:rsidR="00F007C1" w:rsidRPr="002142B8">
              <w:rPr>
                <w:rFonts w:ascii="Georgia" w:hAnsi="Georgia"/>
                <w:sz w:val="20"/>
              </w:rPr>
              <w:t>1 920 m</w:t>
            </w:r>
            <w:r w:rsidR="00F007C1" w:rsidRPr="002142B8">
              <w:rPr>
                <w:rFonts w:ascii="Georgia" w:hAnsi="Georgia"/>
                <w:sz w:val="20"/>
                <w:vertAlign w:val="superscript"/>
              </w:rPr>
              <w:t>2</w:t>
            </w:r>
            <w:r w:rsidR="00F007C1" w:rsidRPr="002142B8">
              <w:rPr>
                <w:rFonts w:ascii="Georgia" w:hAnsi="Georgia"/>
                <w:sz w:val="20"/>
              </w:rPr>
              <w:t>)</w:t>
            </w:r>
            <w:r w:rsidRPr="002142B8">
              <w:rPr>
                <w:rFonts w:ascii="Georgia" w:hAnsi="Georgia"/>
                <w:sz w:val="20"/>
              </w:rPr>
              <w:t xml:space="preserve"> tai yra</w:t>
            </w:r>
            <w:r w:rsidR="00F007C1" w:rsidRPr="002142B8">
              <w:rPr>
                <w:rFonts w:ascii="Georgia" w:hAnsi="Georgia"/>
                <w:sz w:val="20"/>
              </w:rPr>
              <w:t xml:space="preserve"> bendras plotas</w:t>
            </w:r>
            <w:r w:rsidRPr="002142B8">
              <w:rPr>
                <w:rFonts w:ascii="Georgia" w:hAnsi="Georgia"/>
                <w:sz w:val="20"/>
              </w:rPr>
              <w:t xml:space="preserve"> daugiau nei 1 000 m</w:t>
            </w:r>
            <w:r w:rsidRPr="002142B8">
              <w:rPr>
                <w:rFonts w:ascii="Georgia" w:hAnsi="Georgia"/>
                <w:sz w:val="20"/>
                <w:vertAlign w:val="superscript"/>
              </w:rPr>
              <w:t>2</w:t>
            </w:r>
            <w:r w:rsidRPr="002142B8">
              <w:rPr>
                <w:rFonts w:ascii="Georgia" w:hAnsi="Georgia"/>
                <w:sz w:val="20"/>
              </w:rPr>
              <w:t xml:space="preserve"> </w:t>
            </w:r>
            <w:r w:rsidR="006F4A32" w:rsidRPr="002142B8">
              <w:rPr>
                <w:rFonts w:ascii="Georgia" w:hAnsi="Georgia"/>
                <w:sz w:val="20"/>
              </w:rPr>
              <w:t>arba 79 proc. didesnis nei vidutinis daugiabučio plotas, apskaičiuotas pagal nekilnojamojo turto registro duomenis. Vidutinė investicijų (statybos darbų) kaina naudojama kaip Pradinėje ataskaitoje, tai yra 145 eurai/m</w:t>
            </w:r>
            <w:r w:rsidR="006F4A32" w:rsidRPr="002142B8">
              <w:rPr>
                <w:rFonts w:ascii="Georgia" w:hAnsi="Georgia"/>
                <w:sz w:val="20"/>
                <w:vertAlign w:val="superscript"/>
              </w:rPr>
              <w:t>2</w:t>
            </w:r>
            <w:r w:rsidR="006F4A32" w:rsidRPr="002142B8">
              <w:rPr>
                <w:rFonts w:ascii="Georgia" w:hAnsi="Georgia"/>
                <w:sz w:val="20"/>
              </w:rPr>
              <w:t>.</w:t>
            </w:r>
            <w:r w:rsidR="001152E4" w:rsidRPr="002142B8">
              <w:rPr>
                <w:rFonts w:ascii="Georgia" w:hAnsi="Georgia"/>
                <w:sz w:val="20"/>
              </w:rPr>
              <w:t xml:space="preserve">  Apskaičiuota projekto vertė sudarytų -333 500 eurų, patogumo dėlei, toliau skaičiavimuose naudojama suapvalinta projekto vertė – 330 000 eurų.</w:t>
            </w:r>
            <w:r w:rsidR="00C80317" w:rsidRPr="002142B8">
              <w:rPr>
                <w:rFonts w:ascii="Georgia" w:hAnsi="Georgia"/>
                <w:sz w:val="20"/>
              </w:rPr>
              <w:t xml:space="preserve"> Kitaip sakant šie pakeitimai lyginant su Pradine ataskaita neturės įtakos modernizuotam daugiabučių plotui, tačiau dėl skaičiavimuose naudojamo didesnio bendro ploto modernizuotų daugiabučių skaičius sumažės.</w:t>
            </w:r>
          </w:p>
          <w:p w14:paraId="26C6192A" w14:textId="257D88AF" w:rsidR="007B0005" w:rsidRPr="002142B8" w:rsidRDefault="007B0005">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tc>
      </w:tr>
      <w:tr w:rsidR="00ED5553" w:rsidRPr="002142B8" w14:paraId="50399B78"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1D5FD259" w14:textId="77777777" w:rsidR="00ED5553" w:rsidRPr="002142B8" w:rsidRDefault="00ED5553" w:rsidP="00ED5553">
            <w:pPr>
              <w:jc w:val="both"/>
              <w:rPr>
                <w:rFonts w:ascii="Georgia" w:hAnsi="Georgia"/>
                <w:b w:val="0"/>
                <w:sz w:val="20"/>
              </w:rPr>
            </w:pPr>
            <w:r w:rsidRPr="002142B8">
              <w:rPr>
                <w:rFonts w:ascii="Georgia" w:hAnsi="Georgia"/>
                <w:sz w:val="20"/>
              </w:rPr>
              <w:t>Palūkanų norma: 3 %</w:t>
            </w:r>
          </w:p>
        </w:tc>
        <w:tc>
          <w:tcPr>
            <w:tcW w:w="3287" w:type="pct"/>
            <w:tcBorders>
              <w:top w:val="single" w:sz="6" w:space="0" w:color="C0504D" w:themeColor="accent2"/>
              <w:left w:val="single" w:sz="6" w:space="0" w:color="C0504D" w:themeColor="accent2"/>
              <w:bottom w:val="single" w:sz="6" w:space="0" w:color="C0504D" w:themeColor="accent2"/>
            </w:tcBorders>
          </w:tcPr>
          <w:p w14:paraId="001567BE" w14:textId="77777777" w:rsidR="00ED5553" w:rsidRPr="002142B8"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Palūkanų norma galutiniams naudos gavėjams - fiksuotos 3 % metinės palūkanos.</w:t>
            </w:r>
          </w:p>
        </w:tc>
      </w:tr>
      <w:tr w:rsidR="00ED5553" w:rsidRPr="002142B8" w14:paraId="7500F44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D0E3452" w14:textId="12CAE80E" w:rsidR="00ED5553" w:rsidRPr="002142B8" w:rsidRDefault="00ED5553" w:rsidP="0046377D">
            <w:pPr>
              <w:jc w:val="both"/>
              <w:rPr>
                <w:rFonts w:ascii="Georgia" w:hAnsi="Georgia"/>
                <w:b w:val="0"/>
                <w:sz w:val="20"/>
              </w:rPr>
            </w:pPr>
            <w:r w:rsidRPr="002142B8">
              <w:rPr>
                <w:rFonts w:ascii="Georgia" w:hAnsi="Georgia"/>
                <w:sz w:val="20"/>
              </w:rPr>
              <w:t>Investuojamų ESI fondų lėšų suma: 280,9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34F9FA38" w14:textId="4176F7F6" w:rsidR="00ED5553" w:rsidRPr="002142B8" w:rsidRDefault="0046377D" w:rsidP="00C80317">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 xml:space="preserve">Pradinėje ataskaitoje buvo numatyta investuoti </w:t>
            </w:r>
            <w:r w:rsidR="00ED5553" w:rsidRPr="002142B8">
              <w:rPr>
                <w:rFonts w:ascii="Georgia" w:hAnsi="Georgia"/>
                <w:sz w:val="20"/>
              </w:rPr>
              <w:t>280,9 mln. eurų 2014-2020 m. ESI fondų lėšų skir</w:t>
            </w:r>
            <w:r w:rsidRPr="002142B8">
              <w:rPr>
                <w:rFonts w:ascii="Georgia" w:hAnsi="Georgia"/>
                <w:sz w:val="20"/>
              </w:rPr>
              <w:t>ti</w:t>
            </w:r>
            <w:r w:rsidR="00ED5553" w:rsidRPr="002142B8">
              <w:rPr>
                <w:rFonts w:ascii="Georgia" w:hAnsi="Georgia"/>
                <w:sz w:val="20"/>
              </w:rPr>
              <w:t xml:space="preserve"> daugiabučių renovacijos paskolų priemonei</w:t>
            </w:r>
            <w:r w:rsidRPr="002142B8">
              <w:rPr>
                <w:rFonts w:ascii="Georgia" w:hAnsi="Georgia"/>
                <w:sz w:val="20"/>
              </w:rPr>
              <w:t xml:space="preserve">. </w:t>
            </w:r>
          </w:p>
        </w:tc>
      </w:tr>
      <w:tr w:rsidR="00ED5553" w:rsidRPr="002142B8" w14:paraId="33B578D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0A95CDB" w14:textId="77777777" w:rsidR="00ED5553" w:rsidRPr="002142B8" w:rsidRDefault="00ED5553" w:rsidP="00ED5553">
            <w:pPr>
              <w:jc w:val="both"/>
              <w:rPr>
                <w:rFonts w:ascii="Georgia" w:hAnsi="Georgia"/>
                <w:b w:val="0"/>
                <w:sz w:val="20"/>
              </w:rPr>
            </w:pPr>
            <w:r w:rsidRPr="002142B8">
              <w:rPr>
                <w:rFonts w:ascii="Georgia" w:hAnsi="Georgia"/>
                <w:sz w:val="20"/>
              </w:rPr>
              <w:t>JESSICA KF grįžtančios lėšos: 67,2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3C5C159A" w14:textId="77777777" w:rsidR="00ED5553" w:rsidRPr="002142B8"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2007-2013 m. JESSICA KF grįžtančios lėšos (iki 2020 metų) sudaro apie 67,2 mln. eurų.</w:t>
            </w:r>
          </w:p>
        </w:tc>
      </w:tr>
      <w:tr w:rsidR="00ED5553" w:rsidRPr="002142B8" w14:paraId="0599421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53E94C95" w14:textId="614AAA56" w:rsidR="00ED5553" w:rsidRPr="002142B8" w:rsidRDefault="00ED5553" w:rsidP="00F03136">
            <w:pPr>
              <w:jc w:val="both"/>
              <w:rPr>
                <w:rFonts w:ascii="Georgia" w:hAnsi="Georgia"/>
                <w:sz w:val="20"/>
              </w:rPr>
            </w:pPr>
            <w:r w:rsidRPr="002142B8">
              <w:rPr>
                <w:rFonts w:ascii="Georgia" w:hAnsi="Georgia"/>
                <w:sz w:val="20"/>
              </w:rPr>
              <w:t xml:space="preserve">Siektinas įgyvendinamų projektų skaičius: </w:t>
            </w:r>
            <w:r w:rsidR="00F03136" w:rsidRPr="002142B8">
              <w:rPr>
                <w:rFonts w:ascii="Georgia" w:hAnsi="Georgia"/>
                <w:sz w:val="20"/>
              </w:rPr>
              <w:t>225</w:t>
            </w:r>
            <w:r w:rsidR="005B23DD" w:rsidRPr="002142B8">
              <w:rPr>
                <w:rFonts w:ascii="Georgia" w:hAnsi="Georgia"/>
                <w:sz w:val="20"/>
              </w:rPr>
              <w:t xml:space="preserve"> </w:t>
            </w:r>
            <w:r w:rsidRPr="002142B8">
              <w:rPr>
                <w:rFonts w:ascii="Georgia" w:hAnsi="Georgia"/>
                <w:sz w:val="20"/>
              </w:rPr>
              <w:t>projekt</w:t>
            </w:r>
            <w:r w:rsidR="005B23DD" w:rsidRPr="002142B8">
              <w:rPr>
                <w:rFonts w:ascii="Georgia" w:hAnsi="Georgia"/>
                <w:sz w:val="20"/>
              </w:rPr>
              <w:t>ai</w:t>
            </w:r>
            <w:r w:rsidRPr="002142B8">
              <w:rPr>
                <w:rFonts w:ascii="Georgia" w:hAnsi="Georgia"/>
                <w:sz w:val="20"/>
              </w:rPr>
              <w:t xml:space="preserve"> per metus</w:t>
            </w:r>
          </w:p>
        </w:tc>
        <w:tc>
          <w:tcPr>
            <w:tcW w:w="3287" w:type="pct"/>
            <w:tcBorders>
              <w:top w:val="single" w:sz="6" w:space="0" w:color="C0504D" w:themeColor="accent2"/>
              <w:left w:val="single" w:sz="6" w:space="0" w:color="C0504D" w:themeColor="accent2"/>
              <w:bottom w:val="single" w:sz="6" w:space="0" w:color="C0504D" w:themeColor="accent2"/>
            </w:tcBorders>
          </w:tcPr>
          <w:p w14:paraId="382BDBBA" w14:textId="08759F4E" w:rsidR="00ED5553" w:rsidRPr="002142B8" w:rsidRDefault="00ED5553" w:rsidP="00F03136">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F03136" w:rsidRPr="002142B8">
              <w:rPr>
                <w:rFonts w:ascii="Georgia" w:hAnsi="Georgia"/>
                <w:sz w:val="20"/>
              </w:rPr>
              <w:t xml:space="preserve">225 </w:t>
            </w:r>
            <w:r w:rsidRPr="002142B8">
              <w:rPr>
                <w:rFonts w:ascii="Georgia" w:hAnsi="Georgia"/>
                <w:sz w:val="20"/>
              </w:rPr>
              <w:t>naujų projektų</w:t>
            </w:r>
            <w:r w:rsidR="00F03136" w:rsidRPr="002142B8">
              <w:rPr>
                <w:rFonts w:ascii="Georgia" w:hAnsi="Georgia"/>
                <w:sz w:val="20"/>
              </w:rPr>
              <w:t>, kurio vieno vidutinė investicijų vertė bus 330 tūkst. eurų.</w:t>
            </w:r>
            <w:r w:rsidRPr="002142B8">
              <w:rPr>
                <w:rFonts w:ascii="Georgia" w:hAnsi="Georgia"/>
                <w:sz w:val="20"/>
              </w:rPr>
              <w:t>.</w:t>
            </w:r>
          </w:p>
        </w:tc>
      </w:tr>
      <w:tr w:rsidR="00ED5553" w:rsidRPr="002142B8" w14:paraId="383E5C9F"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638A40AE" w14:textId="77777777" w:rsidR="00ED5553" w:rsidRPr="002142B8" w:rsidRDefault="00ED5553" w:rsidP="00ED5553">
            <w:pPr>
              <w:jc w:val="both"/>
              <w:rPr>
                <w:rFonts w:ascii="Georgia" w:hAnsi="Georgia"/>
                <w:sz w:val="20"/>
              </w:rPr>
            </w:pPr>
            <w:r w:rsidRPr="002142B8">
              <w:rPr>
                <w:rFonts w:ascii="Georgia" w:hAnsi="Georgia"/>
                <w:sz w:val="20"/>
              </w:rPr>
              <w:t>Valdymo mokestis: vadovaujantis Deleguoto reglamento nuostatomis</w:t>
            </w:r>
          </w:p>
        </w:tc>
        <w:tc>
          <w:tcPr>
            <w:tcW w:w="3287" w:type="pct"/>
            <w:tcBorders>
              <w:top w:val="single" w:sz="6" w:space="0" w:color="C0504D" w:themeColor="accent2"/>
              <w:left w:val="single" w:sz="6" w:space="0" w:color="C0504D" w:themeColor="accent2"/>
              <w:bottom w:val="single" w:sz="6" w:space="0" w:color="C0504D" w:themeColor="accent2"/>
            </w:tcBorders>
          </w:tcPr>
          <w:p w14:paraId="49E02D80" w14:textId="77777777" w:rsidR="00ED5553" w:rsidRPr="002142B8"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ED5553" w:rsidRPr="002142B8" w14:paraId="2A5E5D8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B74006D" w14:textId="77777777" w:rsidR="00ED5553" w:rsidRPr="002142B8" w:rsidRDefault="00ED5553" w:rsidP="00ED5553">
            <w:pPr>
              <w:jc w:val="both"/>
              <w:rPr>
                <w:rFonts w:ascii="Georgia" w:hAnsi="Georgia"/>
                <w:b w:val="0"/>
                <w:sz w:val="20"/>
              </w:rPr>
            </w:pPr>
            <w:r w:rsidRPr="002142B8">
              <w:rPr>
                <w:rFonts w:ascii="Georgia" w:hAnsi="Georgia"/>
                <w:sz w:val="20"/>
              </w:rPr>
              <w:t>Projekto įgyvendinimo trukmė: 1 metai</w:t>
            </w:r>
          </w:p>
        </w:tc>
        <w:tc>
          <w:tcPr>
            <w:tcW w:w="3287" w:type="pct"/>
            <w:tcBorders>
              <w:top w:val="single" w:sz="6" w:space="0" w:color="C0504D" w:themeColor="accent2"/>
              <w:left w:val="single" w:sz="6" w:space="0" w:color="C0504D" w:themeColor="accent2"/>
              <w:bottom w:val="single" w:sz="6" w:space="0" w:color="C0504D" w:themeColor="accent2"/>
            </w:tcBorders>
          </w:tcPr>
          <w:p w14:paraId="3C412612" w14:textId="77777777" w:rsidR="00ED5553" w:rsidRPr="002142B8" w:rsidRDefault="00ED5553" w:rsidP="00ED5553">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Remiantis šiuo metu įgyvendinamų projektų duomenimis nustatyta vidutinė projekto įgyvendinimo trukmė – 1 metai nuo paskolos sutarties pasirašymo dienos.</w:t>
            </w:r>
          </w:p>
        </w:tc>
      </w:tr>
      <w:tr w:rsidR="00ED5553" w:rsidRPr="002142B8" w14:paraId="7518F002"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right w:val="single" w:sz="6" w:space="0" w:color="C0504D" w:themeColor="accent2"/>
            </w:tcBorders>
          </w:tcPr>
          <w:p w14:paraId="0136C77C" w14:textId="77777777" w:rsidR="00ED5553" w:rsidRPr="002142B8" w:rsidRDefault="00ED5553" w:rsidP="00ED5553">
            <w:pPr>
              <w:jc w:val="both"/>
              <w:rPr>
                <w:rFonts w:ascii="Georgia" w:hAnsi="Georgia"/>
                <w:b w:val="0"/>
                <w:sz w:val="20"/>
              </w:rPr>
            </w:pPr>
            <w:r w:rsidRPr="002142B8">
              <w:rPr>
                <w:rFonts w:ascii="Georgia" w:hAnsi="Georgia"/>
                <w:sz w:val="20"/>
              </w:rPr>
              <w:t xml:space="preserve">Sugrįžusios lėšos pakartotinai panaudojamos: po 2 metų </w:t>
            </w:r>
          </w:p>
        </w:tc>
        <w:tc>
          <w:tcPr>
            <w:tcW w:w="3287" w:type="pct"/>
            <w:tcBorders>
              <w:top w:val="single" w:sz="6" w:space="0" w:color="C0504D" w:themeColor="accent2"/>
              <w:left w:val="single" w:sz="6" w:space="0" w:color="C0504D" w:themeColor="accent2"/>
            </w:tcBorders>
          </w:tcPr>
          <w:p w14:paraId="2D8F7F71" w14:textId="77777777" w:rsidR="00ED5553" w:rsidRPr="002142B8" w:rsidRDefault="00ED5553" w:rsidP="00ED555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Daroma prielaida, jog grįžtančios lėšos pakartotinai panaudojamos projektų finansavimui tomis pačiomis sąlygomis po 2 metų. </w:t>
            </w:r>
          </w:p>
        </w:tc>
      </w:tr>
    </w:tbl>
    <w:p w14:paraId="58BC7FE3" w14:textId="68D55D54" w:rsidR="000556A1" w:rsidRPr="002142B8" w:rsidRDefault="000556A1" w:rsidP="000556A1">
      <w:pPr>
        <w:jc w:val="both"/>
        <w:rPr>
          <w:rFonts w:ascii="Georgia" w:hAnsi="Georgia"/>
          <w:sz w:val="20"/>
          <w:lang w:val="lt-LT"/>
        </w:rPr>
      </w:pPr>
    </w:p>
    <w:p w14:paraId="4FF2875F" w14:textId="77777777" w:rsidR="009E3962" w:rsidRPr="002142B8" w:rsidRDefault="009E3962" w:rsidP="009E3962">
      <w:pPr>
        <w:jc w:val="both"/>
        <w:rPr>
          <w:rFonts w:ascii="Georgia" w:hAnsi="Georgia"/>
          <w:sz w:val="20"/>
          <w:lang w:val="lt-LT"/>
        </w:rPr>
      </w:pPr>
      <w:r w:rsidRPr="002142B8">
        <w:rPr>
          <w:rFonts w:ascii="Georgia" w:hAnsi="Georgia"/>
          <w:sz w:val="20"/>
          <w:lang w:val="lt-LT"/>
        </w:rPr>
        <w:t>* -</w:t>
      </w:r>
      <w:r w:rsidRPr="002142B8">
        <w:rPr>
          <w:rFonts w:ascii="Georgia" w:hAnsi="Georgia"/>
          <w:sz w:val="20"/>
        </w:rPr>
        <w:t xml:space="preserve"> Pradinėje ataskaitoje  buvo numatyta, kad subsidij</w:t>
      </w:r>
      <w:r w:rsidRPr="002142B8">
        <w:rPr>
          <w:rFonts w:ascii="Georgia" w:hAnsi="Georgia"/>
          <w:sz w:val="20"/>
          <w:lang w:val="lt-LT"/>
        </w:rPr>
        <w:t xml:space="preserve">ą sudarys dvi dalys: finansinės priemonės lėšos ir valstybės biudžeto lėšos. </w:t>
      </w:r>
    </w:p>
    <w:p w14:paraId="26402B05" w14:textId="77777777" w:rsidR="009E3962" w:rsidRPr="002142B8" w:rsidRDefault="009E3962" w:rsidP="009E3962">
      <w:pPr>
        <w:jc w:val="both"/>
        <w:rPr>
          <w:rFonts w:ascii="Georgia" w:hAnsi="Georgia"/>
          <w:sz w:val="20"/>
          <w:lang w:val="lt-LT"/>
        </w:rPr>
      </w:pPr>
      <w:r w:rsidRPr="002142B8">
        <w:rPr>
          <w:rFonts w:ascii="Georgia" w:hAnsi="Georgia"/>
          <w:sz w:val="20"/>
          <w:lang w:val="lt-LT"/>
        </w:rPr>
        <w:t>Valstybės paramos teikimo tvarką apibrėžė Valstybės paramos daugiabučiams namams atnaujinti (modernizuoti) įstatymas ir LRV 2009-12-16 nutarimas Nr. 1725 „Dėl valstybės paramos daugiabučiams namams atnaujinti (modernizuoti) teikimo taisyklių patvirtinimo ir daugiabučio namo atnaujinimo (modernizavimo) projektui įgyvendinti skirto kaupiamojo įnašo ir (ar) kitų įmokų didžiausios mėnesinės įmokos nustatymo“. Minėti teisės aktai numatė, kad valstybės parama yra teikiama:</w:t>
      </w:r>
    </w:p>
    <w:p w14:paraId="06BF1AB0" w14:textId="77777777" w:rsidR="009E3962" w:rsidRPr="002142B8" w:rsidRDefault="009E3962" w:rsidP="009E3962">
      <w:pPr>
        <w:pStyle w:val="ListRoman"/>
        <w:rPr>
          <w:lang w:val="lt-LT"/>
        </w:rPr>
      </w:pPr>
      <w:r w:rsidRPr="002142B8">
        <w:rPr>
          <w:lang w:val="lt-LT"/>
        </w:rPr>
        <w:t xml:space="preserve"> biudžeto lėšomis kompensuojant 15 procentų investicijų, tenkančių energinį efektyvumą didinančioms priemonėms, ir</w:t>
      </w:r>
    </w:p>
    <w:p w14:paraId="6C6F8A6E" w14:textId="77777777" w:rsidR="009E3962" w:rsidRPr="002142B8" w:rsidRDefault="009E3962" w:rsidP="009E3962">
      <w:pPr>
        <w:pStyle w:val="ListRoman"/>
        <w:rPr>
          <w:lang w:val="lt-LT"/>
        </w:rPr>
      </w:pPr>
      <w:r w:rsidRPr="002142B8">
        <w:rPr>
          <w:lang w:val="lt-LT"/>
        </w:rPr>
        <w:lastRenderedPageBreak/>
        <w:t>Klimato kaitos specialiosios programos lėšomis (numatyta palaipsniui mažėjanti parama 15, 20 arba 25 procentų investicijų, tenkančių energinį efektyvumą didinančioms priemonėms).</w:t>
      </w:r>
    </w:p>
    <w:p w14:paraId="0E1E9C85" w14:textId="44BD354B" w:rsidR="009E3962" w:rsidRPr="002142B8" w:rsidRDefault="009E3962" w:rsidP="009E3962">
      <w:pPr>
        <w:jc w:val="both"/>
        <w:rPr>
          <w:rFonts w:ascii="Georgia" w:hAnsi="Georgia"/>
          <w:sz w:val="20"/>
        </w:rPr>
      </w:pPr>
      <w:r w:rsidRPr="002142B8">
        <w:rPr>
          <w:rFonts w:ascii="Georgia" w:hAnsi="Georgia"/>
          <w:sz w:val="20"/>
          <w:lang w:val="lt-LT"/>
        </w:rPr>
        <w:t>2016 m. buvo atliktas L</w:t>
      </w:r>
      <w:r w:rsidR="0072139F" w:rsidRPr="002142B8">
        <w:rPr>
          <w:rFonts w:ascii="Georgia" w:hAnsi="Georgia"/>
          <w:sz w:val="20"/>
          <w:lang w:val="lt-LT"/>
        </w:rPr>
        <w:t xml:space="preserve">ietuvos Respublikos Vyrausybės </w:t>
      </w:r>
      <w:r w:rsidRPr="002142B8">
        <w:rPr>
          <w:rFonts w:ascii="Georgia" w:hAnsi="Georgia"/>
          <w:sz w:val="20"/>
          <w:lang w:val="lt-LT"/>
        </w:rPr>
        <w:t xml:space="preserve"> nutarimo Nr. 1725 keitimas numatant, kad 15 proc. valstybės parama gali būti teikiama nurašant lengvatinio kredito metines palūkanas iki 0 proc, kol bendra nurašytų lengvatinio kredito palūkanų suma pasiekia 15 proc. investicijų, tenkančių investicijų plane nurodytoms energinį efektyvumą didinančioms priemonėms, sumą – kai investicijų planas patvirtintas ir lengvatinio kredito sutartis projektui įgyvendinti sudaryta po 2016-05-16.</w:t>
      </w:r>
      <w:r w:rsidRPr="002142B8">
        <w:rPr>
          <w:i/>
          <w:iCs/>
          <w:color w:val="222222"/>
          <w:sz w:val="20"/>
          <w:szCs w:val="20"/>
          <w:shd w:val="clear" w:color="auto" w:fill="FFFFFF"/>
        </w:rPr>
        <w:t> </w:t>
      </w:r>
    </w:p>
    <w:p w14:paraId="476745DA" w14:textId="77777777" w:rsidR="009E3962" w:rsidRPr="002142B8" w:rsidRDefault="009E3962" w:rsidP="009E3962">
      <w:pPr>
        <w:jc w:val="both"/>
        <w:rPr>
          <w:rFonts w:ascii="Georgia" w:hAnsi="Georgia"/>
          <w:sz w:val="20"/>
        </w:rPr>
      </w:pPr>
      <w:r w:rsidRPr="002142B8">
        <w:rPr>
          <w:rFonts w:ascii="Georgia" w:hAnsi="Georgia"/>
          <w:sz w:val="20"/>
        </w:rPr>
        <w:t xml:space="preserve">2017 m. </w:t>
      </w:r>
      <w:r w:rsidRPr="002142B8">
        <w:rPr>
          <w:rFonts w:ascii="Georgia" w:hAnsi="Georgia"/>
          <w:sz w:val="20"/>
          <w:lang w:val="lt-LT"/>
        </w:rPr>
        <w:t xml:space="preserve">valstybės paramos mokėjimo tvarka buvo pakeista numatant, kad </w:t>
      </w:r>
      <w:r w:rsidRPr="002142B8">
        <w:rPr>
          <w:rFonts w:ascii="Georgia" w:hAnsi="Georgia"/>
          <w:sz w:val="20"/>
        </w:rPr>
        <w:t xml:space="preserve">projektams, pasiekusiems ne mažesnį kaip 40 proc. sutaupymą, suteikiama 30 % subsidija (valstybės parama) biudžeto lėšomis. </w:t>
      </w:r>
    </w:p>
    <w:p w14:paraId="5FEF8420" w14:textId="77777777" w:rsidR="009E3962" w:rsidRPr="002142B8" w:rsidRDefault="009E3962" w:rsidP="009E3962">
      <w:pPr>
        <w:jc w:val="both"/>
        <w:rPr>
          <w:rFonts w:ascii="Georgia" w:hAnsi="Georgia"/>
          <w:sz w:val="20"/>
        </w:rPr>
      </w:pPr>
      <w:r w:rsidRPr="002142B8">
        <w:rPr>
          <w:rFonts w:ascii="Georgia" w:hAnsi="Georgia"/>
          <w:sz w:val="20"/>
        </w:rPr>
        <w:t>Toliau, šioje ataskaitoje, daugiabučių namų modernizavimo alternatyvų analizėje, kur taikytina remiamasi dabar galiojančia subsidijos (valstybės paramos) teikimo tvarka.</w:t>
      </w:r>
    </w:p>
    <w:p w14:paraId="5C6A4557" w14:textId="77777777" w:rsidR="009E3962" w:rsidRPr="002142B8" w:rsidRDefault="009E3962" w:rsidP="000556A1">
      <w:pPr>
        <w:jc w:val="both"/>
        <w:rPr>
          <w:rFonts w:ascii="Georgia" w:hAnsi="Georgia"/>
          <w:sz w:val="20"/>
          <w:lang w:val="lt-LT"/>
        </w:rPr>
      </w:pPr>
    </w:p>
    <w:p w14:paraId="52831323" w14:textId="5041EA0C" w:rsidR="000556A1" w:rsidRPr="00EB3D2A" w:rsidRDefault="000556A1" w:rsidP="000556A1">
      <w:pPr>
        <w:pStyle w:val="Antrat"/>
        <w:jc w:val="both"/>
        <w:rPr>
          <w:b w:val="0"/>
          <w:i/>
          <w:lang w:val="lt-LT"/>
        </w:rPr>
      </w:pPr>
      <w:bookmarkStart w:id="184" w:name="_Toc507939174"/>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52</w:t>
      </w:r>
      <w:r w:rsidRPr="00EB3D2A">
        <w:rPr>
          <w:b w:val="0"/>
          <w:i/>
          <w:lang w:val="lt-LT"/>
        </w:rPr>
        <w:fldChar w:fldCharType="end"/>
      </w:r>
      <w:r w:rsidRPr="00EB3D2A">
        <w:rPr>
          <w:b w:val="0"/>
          <w:i/>
          <w:lang w:val="lt-LT"/>
        </w:rPr>
        <w:t>. Scenarijaus Nr. 1 įgyvendinimo prognozė</w:t>
      </w:r>
      <w:bookmarkEnd w:id="184"/>
    </w:p>
    <w:p w14:paraId="1532D58C" w14:textId="210B69B8" w:rsidR="00C80317" w:rsidRPr="002142B8" w:rsidRDefault="00C80317" w:rsidP="008D155F">
      <w:pPr>
        <w:rPr>
          <w:lang w:val="lt-LT"/>
        </w:rPr>
      </w:pPr>
      <w:r w:rsidRPr="002142B8">
        <w:rPr>
          <w:noProof/>
          <w:lang w:val="lt-LT" w:eastAsia="lt-LT"/>
        </w:rPr>
        <w:drawing>
          <wp:inline distT="0" distB="0" distL="0" distR="0" wp14:anchorId="4DE3707D" wp14:editId="1B99D5B5">
            <wp:extent cx="6136520" cy="3175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4484" cy="3179120"/>
                    </a:xfrm>
                    <a:prstGeom prst="rect">
                      <a:avLst/>
                    </a:prstGeom>
                  </pic:spPr>
                </pic:pic>
              </a:graphicData>
            </a:graphic>
          </wp:inline>
        </w:drawing>
      </w:r>
    </w:p>
    <w:p w14:paraId="5B4F9B18" w14:textId="65430B90" w:rsidR="000556A1" w:rsidRPr="00EB3D2A" w:rsidRDefault="000556A1" w:rsidP="000556A1">
      <w:pPr>
        <w:pStyle w:val="Antrat"/>
        <w:jc w:val="both"/>
        <w:rPr>
          <w:b w:val="0"/>
          <w:i/>
          <w:lang w:val="lt-LT"/>
        </w:rPr>
      </w:pPr>
      <w:bookmarkStart w:id="185" w:name="_Toc507939175"/>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53</w:t>
      </w:r>
      <w:r w:rsidRPr="00EB3D2A">
        <w:rPr>
          <w:b w:val="0"/>
          <w:i/>
          <w:lang w:val="lt-LT"/>
        </w:rPr>
        <w:fldChar w:fldCharType="end"/>
      </w:r>
      <w:r w:rsidRPr="00EB3D2A">
        <w:rPr>
          <w:b w:val="0"/>
          <w:i/>
          <w:lang w:val="lt-LT"/>
        </w:rPr>
        <w:t xml:space="preserve">. </w:t>
      </w:r>
      <w:r w:rsidRPr="00EB3D2A">
        <w:rPr>
          <w:b w:val="0"/>
          <w:i/>
          <w:szCs w:val="20"/>
          <w:lang w:val="lt-LT"/>
        </w:rPr>
        <w:t>Scenarijaus Nr. 1 rezultatai</w:t>
      </w:r>
      <w:bookmarkEnd w:id="185"/>
    </w:p>
    <w:tbl>
      <w:tblPr>
        <w:tblStyle w:val="viesussraas2parykinimas"/>
        <w:tblW w:w="5000" w:type="pct"/>
        <w:tblLook w:val="04A0" w:firstRow="1" w:lastRow="0" w:firstColumn="1" w:lastColumn="0" w:noHBand="0" w:noVBand="1"/>
      </w:tblPr>
      <w:tblGrid>
        <w:gridCol w:w="6651"/>
        <w:gridCol w:w="2591"/>
      </w:tblGrid>
      <w:tr w:rsidR="000556A1" w:rsidRPr="002142B8" w14:paraId="75AFA5F2" w14:textId="77777777" w:rsidTr="00B042D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17FDC262" w14:textId="77777777" w:rsidR="000556A1" w:rsidRPr="002142B8" w:rsidRDefault="000556A1" w:rsidP="00B042D4">
            <w:pPr>
              <w:keepNext/>
              <w:spacing w:after="200" w:line="276" w:lineRule="auto"/>
              <w:jc w:val="both"/>
              <w:rPr>
                <w:rFonts w:ascii="Georgia" w:hAnsi="Georgia"/>
                <w:sz w:val="20"/>
                <w:szCs w:val="20"/>
              </w:rPr>
            </w:pPr>
            <w:r w:rsidRPr="002142B8">
              <w:rPr>
                <w:rFonts w:ascii="Georgia" w:hAnsi="Georgia"/>
                <w:sz w:val="20"/>
                <w:szCs w:val="20"/>
              </w:rPr>
              <w:t>Fondas</w:t>
            </w:r>
          </w:p>
        </w:tc>
        <w:tc>
          <w:tcPr>
            <w:tcW w:w="1402" w:type="pct"/>
          </w:tcPr>
          <w:p w14:paraId="7D16FB32" w14:textId="2F537117" w:rsidR="000556A1" w:rsidRPr="002142B8" w:rsidRDefault="00A23E59" w:rsidP="00EB5FD2">
            <w:pPr>
              <w:keepNext/>
              <w:spacing w:after="200" w:line="276" w:lineRule="auto"/>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Reikšmė</w:t>
            </w:r>
          </w:p>
        </w:tc>
      </w:tr>
      <w:tr w:rsidR="000556A1" w:rsidRPr="002142B8" w14:paraId="6806EA4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6E7E2D9F" w14:textId="396FA6C5" w:rsidR="000556A1" w:rsidRPr="002142B8" w:rsidRDefault="000556A1" w:rsidP="00B042D4">
            <w:pPr>
              <w:keepNext/>
              <w:spacing w:after="200"/>
              <w:jc w:val="both"/>
              <w:rPr>
                <w:rFonts w:ascii="Georgia" w:hAnsi="Georgia"/>
                <w:sz w:val="20"/>
                <w:szCs w:val="20"/>
              </w:rPr>
            </w:pPr>
            <w:r w:rsidRPr="002142B8">
              <w:rPr>
                <w:rFonts w:ascii="Georgia" w:hAnsi="Georgia"/>
                <w:sz w:val="20"/>
                <w:szCs w:val="20"/>
              </w:rPr>
              <w:t>Galutinius naudos gavėjus pasiekusios lėšos</w:t>
            </w:r>
            <w:r w:rsidR="00A23E59" w:rsidRPr="002142B8">
              <w:rPr>
                <w:rFonts w:ascii="Georgia" w:hAnsi="Georgia"/>
                <w:sz w:val="20"/>
                <w:szCs w:val="20"/>
              </w:rPr>
              <w:t>, mln. eurų</w:t>
            </w:r>
          </w:p>
        </w:tc>
        <w:tc>
          <w:tcPr>
            <w:tcW w:w="1402" w:type="pct"/>
          </w:tcPr>
          <w:p w14:paraId="79A91E93" w14:textId="55AC4282" w:rsidR="000556A1" w:rsidRPr="002142B8" w:rsidRDefault="000556A1" w:rsidP="00EB5FD2">
            <w:pPr>
              <w:keepNext/>
              <w:spacing w:after="200"/>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417,</w:t>
            </w:r>
            <w:r w:rsidR="00C80317" w:rsidRPr="002142B8">
              <w:rPr>
                <w:rFonts w:ascii="Georgia" w:hAnsi="Georgia"/>
                <w:sz w:val="20"/>
                <w:szCs w:val="20"/>
              </w:rPr>
              <w:t>8</w:t>
            </w:r>
          </w:p>
        </w:tc>
      </w:tr>
      <w:tr w:rsidR="000556A1" w:rsidRPr="002142B8" w14:paraId="3FDA98BF"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3598" w:type="pct"/>
          </w:tcPr>
          <w:p w14:paraId="6C57AABE" w14:textId="373D5F8C" w:rsidR="000556A1" w:rsidRPr="002142B8" w:rsidRDefault="000556A1" w:rsidP="00B042D4">
            <w:pPr>
              <w:spacing w:after="200"/>
              <w:jc w:val="both"/>
              <w:rPr>
                <w:rFonts w:ascii="Georgia" w:hAnsi="Georgia"/>
                <w:b w:val="0"/>
                <w:sz w:val="20"/>
                <w:szCs w:val="20"/>
              </w:rPr>
            </w:pPr>
            <w:r w:rsidRPr="002142B8">
              <w:rPr>
                <w:rFonts w:ascii="Georgia" w:hAnsi="Georgia"/>
                <w:sz w:val="20"/>
                <w:szCs w:val="20"/>
              </w:rPr>
              <w:t>Į fondą grįžusios lėšos iki 2019 metų (įskaitant subsidijas bei JESSICA KF grįžtančias lėšas)</w:t>
            </w:r>
            <w:r w:rsidR="00A23E59" w:rsidRPr="002142B8">
              <w:rPr>
                <w:rFonts w:ascii="Georgia" w:hAnsi="Georgia"/>
                <w:sz w:val="20"/>
                <w:szCs w:val="20"/>
              </w:rPr>
              <w:t>, mln. eurų</w:t>
            </w:r>
          </w:p>
        </w:tc>
        <w:tc>
          <w:tcPr>
            <w:tcW w:w="1402" w:type="pct"/>
          </w:tcPr>
          <w:p w14:paraId="7A3E3740" w14:textId="77777777" w:rsidR="000556A1" w:rsidRPr="002142B8" w:rsidRDefault="000556A1" w:rsidP="00EB5FD2">
            <w:pPr>
              <w:spacing w:after="200"/>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149,3</w:t>
            </w:r>
          </w:p>
        </w:tc>
      </w:tr>
      <w:tr w:rsidR="000556A1" w:rsidRPr="002142B8" w14:paraId="00C972CB"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4022B306" w14:textId="77777777" w:rsidR="000556A1" w:rsidRPr="002142B8" w:rsidRDefault="000556A1" w:rsidP="00B042D4">
            <w:pPr>
              <w:spacing w:after="200"/>
              <w:jc w:val="both"/>
              <w:rPr>
                <w:rFonts w:ascii="Georgia" w:hAnsi="Georgia"/>
                <w:sz w:val="20"/>
                <w:szCs w:val="20"/>
              </w:rPr>
            </w:pPr>
            <w:r w:rsidRPr="002142B8">
              <w:rPr>
                <w:rFonts w:ascii="Georgia" w:hAnsi="Georgia"/>
                <w:sz w:val="20"/>
                <w:szCs w:val="20"/>
              </w:rPr>
              <w:t>Renovuotų pastatų skaičius</w:t>
            </w:r>
          </w:p>
        </w:tc>
        <w:tc>
          <w:tcPr>
            <w:tcW w:w="1402" w:type="pct"/>
          </w:tcPr>
          <w:p w14:paraId="0E3ACCA4" w14:textId="499F8A10" w:rsidR="000556A1" w:rsidRPr="002142B8" w:rsidRDefault="00C80317" w:rsidP="00EB5FD2">
            <w:pPr>
              <w:spacing w:after="200"/>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1 264</w:t>
            </w:r>
          </w:p>
        </w:tc>
      </w:tr>
    </w:tbl>
    <w:p w14:paraId="4B458699" w14:textId="77777777" w:rsidR="000556A1" w:rsidRPr="002142B8" w:rsidRDefault="000556A1" w:rsidP="000556A1">
      <w:pPr>
        <w:rPr>
          <w:rFonts w:ascii="Georgia" w:hAnsi="Georgia"/>
          <w:lang w:val="lt-LT"/>
        </w:rPr>
      </w:pPr>
    </w:p>
    <w:p w14:paraId="005B0C9B" w14:textId="1F09A005" w:rsidR="000556A1" w:rsidRPr="002142B8" w:rsidRDefault="000556A1" w:rsidP="00D17A57">
      <w:pPr>
        <w:keepNext/>
        <w:rPr>
          <w:rFonts w:ascii="Georgia" w:hAnsi="Georgia"/>
          <w:b/>
          <w:i/>
          <w:sz w:val="28"/>
          <w:szCs w:val="28"/>
          <w:lang w:val="lt-LT"/>
        </w:rPr>
      </w:pPr>
      <w:r w:rsidRPr="002142B8">
        <w:rPr>
          <w:rFonts w:ascii="Georgia" w:hAnsi="Georgia"/>
          <w:b/>
          <w:i/>
          <w:sz w:val="28"/>
          <w:szCs w:val="28"/>
          <w:lang w:val="lt-LT"/>
        </w:rPr>
        <w:lastRenderedPageBreak/>
        <w:t xml:space="preserve">Scenarijus Nr. </w:t>
      </w:r>
      <w:r w:rsidR="001B4BB2" w:rsidRPr="002142B8">
        <w:rPr>
          <w:rFonts w:ascii="Georgia" w:hAnsi="Georgia"/>
          <w:b/>
          <w:i/>
          <w:sz w:val="28"/>
          <w:szCs w:val="28"/>
        </w:rPr>
        <w:t>2</w:t>
      </w:r>
      <w:r w:rsidRPr="002142B8">
        <w:rPr>
          <w:rFonts w:ascii="Georgia" w:hAnsi="Georgia"/>
          <w:b/>
          <w:i/>
          <w:sz w:val="28"/>
          <w:szCs w:val="28"/>
          <w:lang w:val="lt-LT"/>
        </w:rPr>
        <w:t xml:space="preserve">: Dalis finansinės priemonės lėšų nukreipiama į paskolų modelį, o dalis į garantijų priemonę </w:t>
      </w:r>
    </w:p>
    <w:p w14:paraId="2D329C6C" w14:textId="4CCEBB76" w:rsidR="00EB5FD2" w:rsidRPr="002142B8" w:rsidRDefault="00ED628E" w:rsidP="00EB5FD2">
      <w:pPr>
        <w:pStyle w:val="Antrat"/>
        <w:spacing w:line="276" w:lineRule="auto"/>
        <w:jc w:val="both"/>
        <w:rPr>
          <w:rFonts w:eastAsiaTheme="minorHAnsi" w:cstheme="minorBidi"/>
          <w:b w:val="0"/>
          <w:bCs w:val="0"/>
          <w:color w:val="auto"/>
          <w:szCs w:val="22"/>
          <w:lang w:val="lt-LT"/>
        </w:rPr>
      </w:pPr>
      <w:r w:rsidRPr="002142B8">
        <w:rPr>
          <w:rFonts w:eastAsiaTheme="minorHAnsi" w:cstheme="minorBidi"/>
          <w:b w:val="0"/>
          <w:bCs w:val="0"/>
          <w:color w:val="auto"/>
          <w:szCs w:val="22"/>
          <w:lang w:val="lt-LT"/>
        </w:rPr>
        <w:t>Antrajame</w:t>
      </w:r>
      <w:r w:rsidR="00EB5FD2" w:rsidRPr="002142B8">
        <w:rPr>
          <w:rFonts w:eastAsiaTheme="minorHAnsi" w:cstheme="minorBidi"/>
          <w:b w:val="0"/>
          <w:bCs w:val="0"/>
          <w:color w:val="auto"/>
          <w:szCs w:val="22"/>
          <w:lang w:val="lt-LT"/>
        </w:rPr>
        <w:t xml:space="preserve"> scenarijuje yra kuriamas modelis, kai paskolų priemonė yra derinama su garantijų priemone, t.y., būtų teikiamos ir daugiabučių namų modernizavimo paskolos, ir teikiama garantija kreditoriams.</w:t>
      </w:r>
    </w:p>
    <w:p w14:paraId="09A7B108" w14:textId="77777777" w:rsidR="00EB5FD2" w:rsidRPr="002142B8" w:rsidRDefault="00EB5FD2" w:rsidP="00EB5FD2">
      <w:pPr>
        <w:spacing w:after="0" w:line="240" w:lineRule="atLeast"/>
        <w:jc w:val="both"/>
        <w:rPr>
          <w:rFonts w:ascii="Georgia" w:hAnsi="Georgia" w:cs="Arial"/>
          <w:b/>
          <w:i/>
          <w:sz w:val="20"/>
          <w:szCs w:val="20"/>
          <w:lang w:val="lt-LT"/>
        </w:rPr>
      </w:pPr>
      <w:r w:rsidRPr="002142B8">
        <w:rPr>
          <w:rFonts w:ascii="Georgia" w:hAnsi="Georgia" w:cs="Arial"/>
          <w:b/>
          <w:i/>
          <w:sz w:val="20"/>
          <w:szCs w:val="20"/>
          <w:lang w:val="lt-LT"/>
        </w:rPr>
        <w:t>Modernizavimo paskolos</w:t>
      </w:r>
    </w:p>
    <w:p w14:paraId="013F3290" w14:textId="77777777" w:rsidR="00EB5FD2" w:rsidRPr="002142B8" w:rsidRDefault="00EB5FD2" w:rsidP="00EB5FD2">
      <w:pPr>
        <w:spacing w:after="0" w:line="240" w:lineRule="atLeast"/>
        <w:jc w:val="both"/>
        <w:rPr>
          <w:rFonts w:ascii="Arial" w:hAnsi="Arial" w:cs="Arial"/>
          <w:sz w:val="20"/>
          <w:szCs w:val="20"/>
          <w:lang w:val="lt-LT"/>
        </w:rPr>
      </w:pPr>
    </w:p>
    <w:p w14:paraId="0A0C65D4" w14:textId="734D4FB6" w:rsidR="00EB5FD2" w:rsidRPr="002142B8" w:rsidRDefault="00EB5FD2" w:rsidP="00EB5FD2">
      <w:pPr>
        <w:pStyle w:val="Antrat"/>
        <w:spacing w:line="276" w:lineRule="auto"/>
        <w:jc w:val="both"/>
        <w:rPr>
          <w:rFonts w:ascii="Arial" w:hAnsi="Arial" w:cs="Arial"/>
          <w:i/>
          <w:szCs w:val="20"/>
          <w:lang w:val="lt-LT"/>
        </w:rPr>
      </w:pPr>
      <w:r w:rsidRPr="002142B8">
        <w:rPr>
          <w:rFonts w:eastAsiaTheme="minorHAnsi" w:cstheme="minorBidi"/>
          <w:b w:val="0"/>
          <w:bCs w:val="0"/>
          <w:color w:val="auto"/>
          <w:szCs w:val="22"/>
          <w:lang w:val="lt-LT"/>
        </w:rPr>
        <w:t xml:space="preserve">Modernizavimo paskolos galėtų būti teikiamos pagal </w:t>
      </w:r>
      <w:r w:rsidR="00325FB1" w:rsidRPr="002142B8">
        <w:rPr>
          <w:rFonts w:eastAsiaTheme="minorHAnsi" w:cstheme="minorBidi"/>
          <w:b w:val="0"/>
          <w:bCs w:val="0"/>
          <w:color w:val="auto"/>
          <w:szCs w:val="22"/>
          <w:lang w:val="lt-LT"/>
        </w:rPr>
        <w:t>pirmajame scenarijuje</w:t>
      </w:r>
      <w:r w:rsidRPr="002142B8">
        <w:rPr>
          <w:rFonts w:eastAsiaTheme="minorHAnsi" w:cstheme="minorBidi"/>
          <w:b w:val="0"/>
          <w:bCs w:val="0"/>
          <w:color w:val="auto"/>
          <w:szCs w:val="22"/>
          <w:lang w:val="lt-LT"/>
        </w:rPr>
        <w:t xml:space="preserve"> išanalizuotą modelį, tad jų įgyvendinimo prognozės nėra keičiamos bei teikimo sąlygos toliau neanalizuojamos. </w:t>
      </w:r>
    </w:p>
    <w:p w14:paraId="7D958E52" w14:textId="77777777" w:rsidR="00325FB1" w:rsidRPr="002142B8" w:rsidRDefault="00325FB1" w:rsidP="00EB5FD2">
      <w:pPr>
        <w:spacing w:after="0" w:line="240" w:lineRule="atLeast"/>
        <w:jc w:val="both"/>
        <w:rPr>
          <w:rFonts w:ascii="Georgia" w:hAnsi="Georgia" w:cs="Arial"/>
          <w:b/>
          <w:i/>
          <w:sz w:val="20"/>
          <w:szCs w:val="20"/>
          <w:lang w:val="lt-LT"/>
        </w:rPr>
      </w:pPr>
    </w:p>
    <w:p w14:paraId="18AB1ACF" w14:textId="20B70644" w:rsidR="00EB5FD2" w:rsidRPr="002142B8" w:rsidRDefault="00EB5FD2" w:rsidP="00EB5FD2">
      <w:pPr>
        <w:spacing w:after="0" w:line="240" w:lineRule="atLeast"/>
        <w:jc w:val="both"/>
        <w:rPr>
          <w:rFonts w:ascii="Georgia" w:hAnsi="Georgia" w:cs="Arial"/>
          <w:b/>
          <w:i/>
          <w:sz w:val="20"/>
          <w:szCs w:val="20"/>
          <w:lang w:val="lt-LT"/>
        </w:rPr>
      </w:pPr>
      <w:r w:rsidRPr="002142B8">
        <w:rPr>
          <w:rFonts w:ascii="Georgia" w:hAnsi="Georgia" w:cs="Arial"/>
          <w:b/>
          <w:i/>
          <w:sz w:val="20"/>
          <w:szCs w:val="20"/>
          <w:lang w:val="lt-LT"/>
        </w:rPr>
        <w:t>Garantija</w:t>
      </w:r>
    </w:p>
    <w:p w14:paraId="773031CA" w14:textId="77777777" w:rsidR="00EB5FD2" w:rsidRPr="002142B8" w:rsidRDefault="00EB5FD2" w:rsidP="00EB5FD2">
      <w:pPr>
        <w:pStyle w:val="Sraopastraipa"/>
        <w:spacing w:after="0" w:line="240" w:lineRule="atLeast"/>
        <w:jc w:val="both"/>
        <w:rPr>
          <w:rFonts w:ascii="Arial" w:hAnsi="Arial" w:cs="Arial"/>
          <w:sz w:val="20"/>
          <w:szCs w:val="20"/>
          <w:lang w:val="lt-LT"/>
        </w:rPr>
      </w:pPr>
    </w:p>
    <w:p w14:paraId="0EF3143D" w14:textId="77777777" w:rsidR="00EB5FD2" w:rsidRPr="002142B8" w:rsidRDefault="00EB5FD2" w:rsidP="00EB5FD2">
      <w:pPr>
        <w:pStyle w:val="Antrat"/>
        <w:spacing w:line="276" w:lineRule="auto"/>
        <w:jc w:val="both"/>
        <w:rPr>
          <w:rFonts w:eastAsiaTheme="minorHAnsi" w:cstheme="minorBidi"/>
          <w:b w:val="0"/>
          <w:bCs w:val="0"/>
          <w:color w:val="auto"/>
          <w:szCs w:val="22"/>
          <w:lang w:val="lt-LT"/>
        </w:rPr>
      </w:pPr>
      <w:r w:rsidRPr="002142B8">
        <w:rPr>
          <w:rFonts w:eastAsiaTheme="minorHAnsi" w:cstheme="minorBidi"/>
          <w:b w:val="0"/>
          <w:bCs w:val="0"/>
          <w:color w:val="auto"/>
          <w:szCs w:val="22"/>
          <w:lang w:val="lt-LT"/>
        </w:rPr>
        <w:t>Išnagrinėjus rinkos sąlygas bei bankų komentarus, siūlomos tokios orientacinės pagrindinės pirmo nuostolio portfelinės garantijos sąlygos:</w:t>
      </w:r>
    </w:p>
    <w:p w14:paraId="4D60DC1D" w14:textId="2BACF90D" w:rsidR="00EB5FD2" w:rsidRPr="00EB3D2A" w:rsidRDefault="00EB5FD2" w:rsidP="00EB5FD2">
      <w:pPr>
        <w:pStyle w:val="Antrat"/>
        <w:jc w:val="both"/>
        <w:rPr>
          <w:b w:val="0"/>
          <w:i/>
          <w:lang w:val="lt-LT"/>
        </w:rPr>
      </w:pPr>
      <w:bookmarkStart w:id="186" w:name="_Toc507939176"/>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54</w:t>
      </w:r>
      <w:r w:rsidRPr="00EB3D2A">
        <w:rPr>
          <w:b w:val="0"/>
          <w:i/>
          <w:lang w:val="lt-LT"/>
        </w:rPr>
        <w:fldChar w:fldCharType="end"/>
      </w:r>
      <w:r w:rsidRPr="00EB3D2A">
        <w:rPr>
          <w:b w:val="0"/>
          <w:i/>
          <w:lang w:val="lt-LT"/>
        </w:rPr>
        <w:t>. Pagrindinės pirmo nuostolio portfelinės garantijos sąlygos</w:t>
      </w:r>
      <w:bookmarkEnd w:id="186"/>
    </w:p>
    <w:tbl>
      <w:tblPr>
        <w:tblStyle w:val="LightList-Accent21"/>
        <w:tblW w:w="0" w:type="auto"/>
        <w:tblBorders>
          <w:insideH w:val="single" w:sz="8" w:space="0" w:color="D62E1C"/>
        </w:tblBorders>
        <w:tblLook w:val="04A0" w:firstRow="1" w:lastRow="0" w:firstColumn="1" w:lastColumn="0" w:noHBand="0" w:noVBand="1"/>
      </w:tblPr>
      <w:tblGrid>
        <w:gridCol w:w="4627"/>
        <w:gridCol w:w="4615"/>
      </w:tblGrid>
      <w:tr w:rsidR="00EB5FD2" w:rsidRPr="002142B8" w14:paraId="40B46B2D" w14:textId="77777777" w:rsidTr="00931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shd w:val="clear" w:color="auto" w:fill="C0504D"/>
          </w:tcPr>
          <w:p w14:paraId="35F449BD" w14:textId="0D7F87B3" w:rsidR="00EB5FD2" w:rsidRPr="002142B8" w:rsidRDefault="00EB5FD2" w:rsidP="00EB5FD2">
            <w:pPr>
              <w:spacing w:line="240" w:lineRule="atLeast"/>
              <w:jc w:val="both"/>
              <w:rPr>
                <w:rFonts w:ascii="Georgia" w:hAnsi="Georgia" w:cs="Arial"/>
                <w:sz w:val="20"/>
                <w:szCs w:val="20"/>
              </w:rPr>
            </w:pPr>
            <w:r w:rsidRPr="002142B8">
              <w:rPr>
                <w:rFonts w:ascii="Georgia" w:hAnsi="Georgia" w:cs="Arial"/>
                <w:sz w:val="20"/>
                <w:szCs w:val="20"/>
              </w:rPr>
              <w:t>Rodiklis</w:t>
            </w:r>
          </w:p>
        </w:tc>
        <w:tc>
          <w:tcPr>
            <w:tcW w:w="4927" w:type="dxa"/>
            <w:shd w:val="clear" w:color="auto" w:fill="C0504D"/>
          </w:tcPr>
          <w:p w14:paraId="77BDA01D" w14:textId="74FEFA09" w:rsidR="00EB5FD2" w:rsidRPr="002142B8" w:rsidRDefault="00EB5FD2" w:rsidP="00EB5FD2">
            <w:pPr>
              <w:spacing w:line="240" w:lineRule="atLeast"/>
              <w:jc w:val="both"/>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Reikšmė</w:t>
            </w:r>
          </w:p>
        </w:tc>
      </w:tr>
      <w:tr w:rsidR="00EB5FD2" w:rsidRPr="002142B8" w14:paraId="2D68E92F" w14:textId="77777777" w:rsidTr="0093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top w:val="none" w:sz="0" w:space="0" w:color="auto"/>
              <w:left w:val="none" w:sz="0" w:space="0" w:color="auto"/>
              <w:bottom w:val="none" w:sz="0" w:space="0" w:color="auto"/>
            </w:tcBorders>
            <w:hideMark/>
          </w:tcPr>
          <w:p w14:paraId="17E916E2" w14:textId="77777777" w:rsidR="00EB5FD2" w:rsidRPr="002142B8" w:rsidRDefault="00EB5FD2" w:rsidP="00EB5FD2">
            <w:pPr>
              <w:spacing w:line="240" w:lineRule="atLeast"/>
              <w:jc w:val="both"/>
              <w:rPr>
                <w:rFonts w:ascii="Georgia" w:hAnsi="Georgia" w:cs="Arial"/>
                <w:sz w:val="20"/>
                <w:szCs w:val="20"/>
              </w:rPr>
            </w:pPr>
            <w:r w:rsidRPr="002142B8">
              <w:rPr>
                <w:rFonts w:ascii="Georgia" w:hAnsi="Georgia" w:cs="Arial"/>
                <w:sz w:val="20"/>
                <w:szCs w:val="20"/>
              </w:rPr>
              <w:t>Nuostolių padengimas</w:t>
            </w:r>
          </w:p>
        </w:tc>
        <w:tc>
          <w:tcPr>
            <w:tcW w:w="4927" w:type="dxa"/>
            <w:tcBorders>
              <w:top w:val="none" w:sz="0" w:space="0" w:color="auto"/>
              <w:bottom w:val="none" w:sz="0" w:space="0" w:color="auto"/>
              <w:right w:val="none" w:sz="0" w:space="0" w:color="auto"/>
            </w:tcBorders>
            <w:hideMark/>
          </w:tcPr>
          <w:p w14:paraId="641FA77A" w14:textId="77777777" w:rsidR="00EB5FD2" w:rsidRPr="002142B8" w:rsidRDefault="00EB5FD2" w:rsidP="00EB5FD2">
            <w:pPr>
              <w:spacing w:line="240" w:lineRule="atLeast"/>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80% patirto nuostolio kiekvienu atveju</w:t>
            </w:r>
          </w:p>
        </w:tc>
      </w:tr>
      <w:tr w:rsidR="00EB5FD2" w:rsidRPr="002142B8" w14:paraId="6FC9713C" w14:textId="77777777" w:rsidTr="00931D4D">
        <w:tc>
          <w:tcPr>
            <w:cnfStyle w:val="001000000000" w:firstRow="0" w:lastRow="0" w:firstColumn="1" w:lastColumn="0" w:oddVBand="0" w:evenVBand="0" w:oddHBand="0" w:evenHBand="0" w:firstRowFirstColumn="0" w:firstRowLastColumn="0" w:lastRowFirstColumn="0" w:lastRowLastColumn="0"/>
            <w:tcW w:w="4927" w:type="dxa"/>
            <w:hideMark/>
          </w:tcPr>
          <w:p w14:paraId="2CC67F33" w14:textId="77777777" w:rsidR="00EB5FD2" w:rsidRPr="002142B8" w:rsidRDefault="00EB5FD2" w:rsidP="00EB5FD2">
            <w:pPr>
              <w:spacing w:line="240" w:lineRule="atLeast"/>
              <w:jc w:val="both"/>
              <w:rPr>
                <w:rFonts w:ascii="Georgia" w:hAnsi="Georgia" w:cs="Arial"/>
                <w:sz w:val="20"/>
                <w:szCs w:val="20"/>
              </w:rPr>
            </w:pPr>
            <w:r w:rsidRPr="002142B8">
              <w:rPr>
                <w:rFonts w:ascii="Georgia" w:hAnsi="Georgia" w:cs="Arial"/>
                <w:sz w:val="20"/>
                <w:szCs w:val="20"/>
              </w:rPr>
              <w:t>Maksimali nuostolių suma</w:t>
            </w:r>
          </w:p>
        </w:tc>
        <w:tc>
          <w:tcPr>
            <w:tcW w:w="4927" w:type="dxa"/>
            <w:hideMark/>
          </w:tcPr>
          <w:p w14:paraId="560A9A2C" w14:textId="77777777" w:rsidR="00EB5FD2" w:rsidRPr="002142B8" w:rsidRDefault="00EB5FD2" w:rsidP="00EB5FD2">
            <w:pPr>
              <w:spacing w:line="240" w:lineRule="atLeast"/>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2142B8">
              <w:rPr>
                <w:rFonts w:ascii="Georgia" w:hAnsi="Georgia" w:cs="Arial"/>
                <w:sz w:val="20"/>
                <w:szCs w:val="20"/>
              </w:rPr>
              <w:t>25% nuo sugeneruoto portfelio vertės</w:t>
            </w:r>
          </w:p>
        </w:tc>
      </w:tr>
    </w:tbl>
    <w:p w14:paraId="1D0E5CAA" w14:textId="77777777" w:rsidR="00552BCE" w:rsidRPr="002142B8" w:rsidRDefault="00552BCE" w:rsidP="00EB5FD2">
      <w:pPr>
        <w:pStyle w:val="Antrat"/>
        <w:spacing w:line="276" w:lineRule="auto"/>
        <w:jc w:val="both"/>
        <w:rPr>
          <w:rFonts w:eastAsiaTheme="minorHAnsi" w:cstheme="minorBidi"/>
          <w:b w:val="0"/>
          <w:bCs w:val="0"/>
          <w:color w:val="auto"/>
          <w:szCs w:val="22"/>
          <w:lang w:val="lt-LT"/>
        </w:rPr>
      </w:pPr>
    </w:p>
    <w:p w14:paraId="7E4FBF0B" w14:textId="3A1D19DF" w:rsidR="00EB5FD2" w:rsidRPr="002142B8" w:rsidRDefault="00EB5FD2" w:rsidP="00EB5FD2">
      <w:pPr>
        <w:pStyle w:val="Antrat"/>
        <w:spacing w:line="276" w:lineRule="auto"/>
        <w:jc w:val="both"/>
        <w:rPr>
          <w:rFonts w:eastAsiaTheme="minorHAnsi" w:cstheme="minorBidi"/>
          <w:b w:val="0"/>
          <w:bCs w:val="0"/>
          <w:color w:val="auto"/>
          <w:szCs w:val="22"/>
          <w:lang w:val="lt-LT"/>
        </w:rPr>
      </w:pPr>
      <w:r w:rsidRPr="002142B8">
        <w:rPr>
          <w:rFonts w:eastAsiaTheme="minorHAnsi" w:cstheme="minorBidi"/>
          <w:b w:val="0"/>
          <w:bCs w:val="0"/>
          <w:color w:val="auto"/>
          <w:szCs w:val="22"/>
          <w:lang w:val="lt-LT"/>
        </w:rPr>
        <w:t>Išduodama garantija būtų pirmo pareikalavimo besąlyginė garantija ir galėtų užtikrinti bankui mažesnį kapitalo atidėjimo poreikį. Pirminės bankų diskusijos su rinkos priežiūros institucija Lietuvos banku nesuteikė užtikrintumo, kad bankai galės daryti kapitalo atidėjimus 50% ir mažiau nuo portfelio vertės, kadangi Lietuvos banko nuomone, modernizavimo paskolos yra kvalifikuotinos kaip vartojamosios paskolos. Šis aspektas yra pakankamai svarbus, siekiant užtikrinti prieinamą bankų skolinimo kainą, kadangi didėjant kapitalo atidėjimo poreikiui, bankai didintų siūlomą savo lėšų kainą, kurią turėtų kompensuoti valstybė</w:t>
      </w:r>
      <w:r w:rsidR="00BF10B7" w:rsidRPr="002142B8">
        <w:rPr>
          <w:rFonts w:eastAsiaTheme="minorHAnsi" w:cstheme="minorBidi"/>
          <w:b w:val="0"/>
          <w:bCs w:val="0"/>
          <w:color w:val="auto"/>
          <w:szCs w:val="22"/>
          <w:lang w:val="lt-LT"/>
        </w:rPr>
        <w:t xml:space="preserve"> ir/ar daugiabučių namų patalpų savininkai</w:t>
      </w:r>
      <w:r w:rsidRPr="002142B8">
        <w:rPr>
          <w:rFonts w:eastAsiaTheme="minorHAnsi" w:cstheme="minorBidi"/>
          <w:b w:val="0"/>
          <w:bCs w:val="0"/>
          <w:color w:val="auto"/>
          <w:szCs w:val="22"/>
          <w:lang w:val="lt-LT"/>
        </w:rPr>
        <w:t xml:space="preserve">. </w:t>
      </w:r>
    </w:p>
    <w:p w14:paraId="4E5B6ADE" w14:textId="3B040E14" w:rsidR="00EB5FD2" w:rsidRPr="002142B8" w:rsidRDefault="00EB5FD2" w:rsidP="00931D4D">
      <w:pPr>
        <w:pStyle w:val="Sraopastraipa"/>
        <w:rPr>
          <w:rFonts w:ascii="Arial" w:hAnsi="Arial" w:cs="Arial"/>
          <w:sz w:val="20"/>
          <w:szCs w:val="20"/>
          <w:lang w:val="lt-LT"/>
        </w:rPr>
      </w:pPr>
      <w:r w:rsidRPr="002142B8">
        <w:rPr>
          <w:noProof/>
          <w:lang w:val="lt-LT" w:eastAsia="lt-LT"/>
        </w:rPr>
        <w:drawing>
          <wp:inline distT="0" distB="0" distL="0" distR="0" wp14:anchorId="7FBDDAEA" wp14:editId="77A83F04">
            <wp:extent cx="3528060" cy="2089372"/>
            <wp:effectExtent l="0" t="0" r="0" b="6350"/>
            <wp:docPr id="20" name="Picture 2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ictur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0352" cy="2096652"/>
                    </a:xfrm>
                    <a:prstGeom prst="rect">
                      <a:avLst/>
                    </a:prstGeom>
                    <a:noFill/>
                    <a:ln>
                      <a:noFill/>
                    </a:ln>
                  </pic:spPr>
                </pic:pic>
              </a:graphicData>
            </a:graphic>
          </wp:inline>
        </w:drawing>
      </w:r>
    </w:p>
    <w:p w14:paraId="697DF44D" w14:textId="347A0D13" w:rsidR="00931D4D" w:rsidRPr="002142B8" w:rsidRDefault="00931D4D" w:rsidP="00931D4D">
      <w:pPr>
        <w:pStyle w:val="Antrat"/>
        <w:ind w:left="720"/>
        <w:rPr>
          <w:szCs w:val="20"/>
          <w:lang w:val="lt-LT"/>
        </w:rPr>
      </w:pPr>
      <w:bookmarkStart w:id="187" w:name="_Toc507939272"/>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13</w:t>
      </w:r>
      <w:r w:rsidRPr="002142B8">
        <w:rPr>
          <w:lang w:val="lt-LT"/>
        </w:rPr>
        <w:fldChar w:fldCharType="end"/>
      </w:r>
      <w:r w:rsidRPr="002142B8">
        <w:rPr>
          <w:lang w:val="lt-LT"/>
        </w:rPr>
        <w:t>. Daugiabučių scenarijaus Nr. 2 schema.</w:t>
      </w:r>
      <w:bookmarkEnd w:id="187"/>
    </w:p>
    <w:p w14:paraId="259CDD46" w14:textId="77777777" w:rsidR="00931D4D" w:rsidRPr="002142B8" w:rsidRDefault="00931D4D" w:rsidP="00931D4D">
      <w:pPr>
        <w:pStyle w:val="Antrat"/>
        <w:spacing w:line="276" w:lineRule="auto"/>
        <w:jc w:val="both"/>
        <w:rPr>
          <w:rFonts w:eastAsiaTheme="minorHAnsi" w:cstheme="minorBidi"/>
          <w:b w:val="0"/>
          <w:bCs w:val="0"/>
          <w:color w:val="auto"/>
          <w:szCs w:val="22"/>
          <w:lang w:val="lt-LT"/>
        </w:rPr>
      </w:pPr>
    </w:p>
    <w:p w14:paraId="241FA6DC" w14:textId="590BEBB3" w:rsidR="00517619" w:rsidRPr="002142B8" w:rsidRDefault="00EB5FD2" w:rsidP="00931D4D">
      <w:pPr>
        <w:pStyle w:val="Antrat"/>
        <w:spacing w:line="276" w:lineRule="auto"/>
        <w:jc w:val="both"/>
        <w:rPr>
          <w:rFonts w:eastAsiaTheme="minorHAnsi" w:cstheme="minorBidi"/>
          <w:b w:val="0"/>
          <w:bCs w:val="0"/>
          <w:color w:val="auto"/>
          <w:szCs w:val="22"/>
          <w:lang w:val="lt-LT"/>
        </w:rPr>
      </w:pPr>
      <w:r w:rsidRPr="002142B8">
        <w:rPr>
          <w:rFonts w:eastAsiaTheme="minorHAnsi" w:cstheme="minorBidi"/>
          <w:b w:val="0"/>
          <w:bCs w:val="0"/>
          <w:color w:val="auto"/>
          <w:szCs w:val="22"/>
          <w:lang w:val="lt-LT"/>
        </w:rPr>
        <w:t>Finansinis produktas galutiniam naudos gavėjui bei teikiama valstybės parama išliktų tokie patys, kaip ir teikiant paskolų priemonę.</w:t>
      </w:r>
    </w:p>
    <w:p w14:paraId="2C8A4696" w14:textId="77F7FEB6" w:rsidR="00EB5FD2" w:rsidRPr="002142B8" w:rsidRDefault="00EB5FD2" w:rsidP="00931D4D">
      <w:pPr>
        <w:rPr>
          <w:rFonts w:ascii="Georgia" w:hAnsi="Georgia"/>
          <w:sz w:val="20"/>
          <w:lang w:val="lt-LT"/>
        </w:rPr>
      </w:pPr>
      <w:r w:rsidRPr="002142B8">
        <w:rPr>
          <w:rFonts w:ascii="Georgia" w:hAnsi="Georgia"/>
          <w:sz w:val="20"/>
          <w:lang w:val="lt-LT"/>
        </w:rPr>
        <w:t xml:space="preserve">Žemiau pateikiama principinė Scenarijaus Nr. </w:t>
      </w:r>
      <w:r w:rsidR="00ED628E" w:rsidRPr="002142B8">
        <w:rPr>
          <w:rFonts w:ascii="Georgia" w:hAnsi="Georgia"/>
          <w:sz w:val="20"/>
        </w:rPr>
        <w:t>2</w:t>
      </w:r>
      <w:r w:rsidRPr="002142B8">
        <w:rPr>
          <w:rFonts w:ascii="Georgia" w:hAnsi="Georgia"/>
          <w:sz w:val="20"/>
          <w:lang w:val="lt-LT"/>
        </w:rPr>
        <w:t xml:space="preserve"> įgyvendinimo schema:</w:t>
      </w:r>
    </w:p>
    <w:p w14:paraId="10EFD94E" w14:textId="61BEF6D3" w:rsidR="00EB5FD2" w:rsidRPr="00EB3D2A" w:rsidRDefault="00931D4D" w:rsidP="00931D4D">
      <w:pPr>
        <w:pStyle w:val="Antrat"/>
        <w:rPr>
          <w:b w:val="0"/>
          <w:i/>
          <w:szCs w:val="20"/>
          <w:lang w:val="lt-LT"/>
        </w:rPr>
      </w:pPr>
      <w:bookmarkStart w:id="188" w:name="_Toc507939177"/>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55</w:t>
      </w:r>
      <w:r w:rsidRPr="00EB3D2A">
        <w:rPr>
          <w:b w:val="0"/>
          <w:i/>
          <w:lang w:val="lt-LT"/>
        </w:rPr>
        <w:fldChar w:fldCharType="end"/>
      </w:r>
      <w:r w:rsidRPr="00EB3D2A">
        <w:rPr>
          <w:b w:val="0"/>
          <w:i/>
          <w:lang w:val="lt-LT"/>
        </w:rPr>
        <w:t xml:space="preserve">. </w:t>
      </w:r>
      <w:r w:rsidRPr="00EB3D2A">
        <w:rPr>
          <w:b w:val="0"/>
          <w:i/>
          <w:szCs w:val="20"/>
          <w:lang w:val="lt-LT"/>
        </w:rPr>
        <w:t xml:space="preserve">Scenarijaus Nr. </w:t>
      </w:r>
      <w:r w:rsidR="008704D8" w:rsidRPr="00EB3D2A">
        <w:rPr>
          <w:b w:val="0"/>
          <w:i/>
          <w:szCs w:val="20"/>
          <w:lang w:val="lt-LT"/>
        </w:rPr>
        <w:t>2</w:t>
      </w:r>
      <w:r w:rsidRPr="00EB3D2A">
        <w:rPr>
          <w:b w:val="0"/>
          <w:i/>
          <w:szCs w:val="20"/>
          <w:lang w:val="lt-LT"/>
        </w:rPr>
        <w:t xml:space="preserve"> prielaidos</w:t>
      </w:r>
      <w:bookmarkEnd w:id="188"/>
    </w:p>
    <w:tbl>
      <w:tblPr>
        <w:tblStyle w:val="viesussraas2parykinimas"/>
        <w:tblW w:w="5000" w:type="pct"/>
        <w:tblLook w:val="04A0" w:firstRow="1" w:lastRow="0" w:firstColumn="1" w:lastColumn="0" w:noHBand="0" w:noVBand="1"/>
      </w:tblPr>
      <w:tblGrid>
        <w:gridCol w:w="3164"/>
        <w:gridCol w:w="6078"/>
      </w:tblGrid>
      <w:tr w:rsidR="00EB5FD2" w:rsidRPr="002142B8" w14:paraId="3937D677" w14:textId="77777777" w:rsidTr="00EB5F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5C7031C4" w14:textId="77777777" w:rsidR="00EB5FD2" w:rsidRPr="002142B8" w:rsidRDefault="00EB5FD2" w:rsidP="00931D4D">
            <w:pPr>
              <w:rPr>
                <w:rFonts w:ascii="Georgia" w:hAnsi="Georgia"/>
                <w:sz w:val="20"/>
                <w:szCs w:val="20"/>
              </w:rPr>
            </w:pPr>
            <w:r w:rsidRPr="002142B8">
              <w:rPr>
                <w:rFonts w:ascii="Georgia" w:hAnsi="Georgia"/>
                <w:sz w:val="20"/>
                <w:szCs w:val="20"/>
              </w:rPr>
              <w:t>Prielaidos</w:t>
            </w:r>
          </w:p>
        </w:tc>
        <w:tc>
          <w:tcPr>
            <w:tcW w:w="3288" w:type="pct"/>
            <w:tcBorders>
              <w:bottom w:val="single" w:sz="8" w:space="0" w:color="C0504D" w:themeColor="accent2"/>
            </w:tcBorders>
          </w:tcPr>
          <w:p w14:paraId="57322164" w14:textId="77777777" w:rsidR="00EB5FD2" w:rsidRPr="002142B8" w:rsidRDefault="00EB5FD2" w:rsidP="00931D4D">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Komentaras</w:t>
            </w:r>
          </w:p>
        </w:tc>
      </w:tr>
      <w:tr w:rsidR="00EB5FD2" w:rsidRPr="002142B8" w14:paraId="32CCBC5D"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2E2B649B" w14:textId="77777777" w:rsidR="00EB5FD2" w:rsidRPr="002142B8" w:rsidRDefault="00EB5FD2" w:rsidP="00931D4D">
            <w:pPr>
              <w:rPr>
                <w:rFonts w:ascii="Georgia" w:hAnsi="Georgia"/>
                <w:sz w:val="20"/>
                <w:szCs w:val="20"/>
              </w:rPr>
            </w:pPr>
            <w:r w:rsidRPr="002142B8">
              <w:rPr>
                <w:rFonts w:ascii="Georgia" w:hAnsi="Georgia"/>
                <w:sz w:val="20"/>
                <w:szCs w:val="20"/>
              </w:rPr>
              <w:t>Paskolos laikotarpis: iki 20 metų</w:t>
            </w:r>
          </w:p>
        </w:tc>
        <w:tc>
          <w:tcPr>
            <w:tcW w:w="3288" w:type="pct"/>
          </w:tcPr>
          <w:p w14:paraId="51BF4BD3" w14:textId="06AFCEF1" w:rsidR="00EB5FD2" w:rsidRPr="002142B8" w:rsidRDefault="00931D4D"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Maksimalus paskolos suteikimo terminas 20 metų.</w:t>
            </w:r>
          </w:p>
        </w:tc>
      </w:tr>
      <w:tr w:rsidR="00EB5FD2" w:rsidRPr="002142B8" w14:paraId="7A3ABDFE"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24E63D4B" w14:textId="1B2302A4" w:rsidR="00EB5FD2" w:rsidRPr="002142B8" w:rsidRDefault="00EB5FD2" w:rsidP="00931D4D">
            <w:pPr>
              <w:rPr>
                <w:rFonts w:ascii="Georgia" w:hAnsi="Georgia"/>
                <w:sz w:val="20"/>
                <w:szCs w:val="20"/>
              </w:rPr>
            </w:pPr>
            <w:r w:rsidRPr="002142B8">
              <w:rPr>
                <w:rFonts w:ascii="Georgia" w:hAnsi="Georgia"/>
                <w:sz w:val="20"/>
                <w:szCs w:val="20"/>
              </w:rPr>
              <w:t xml:space="preserve">Subsidija: </w:t>
            </w:r>
            <w:r w:rsidR="00BF10B7" w:rsidRPr="002142B8">
              <w:rPr>
                <w:rFonts w:ascii="Georgia" w:hAnsi="Georgia"/>
                <w:sz w:val="20"/>
                <w:szCs w:val="20"/>
              </w:rPr>
              <w:t>30</w:t>
            </w:r>
            <w:r w:rsidRPr="002142B8">
              <w:rPr>
                <w:rFonts w:ascii="Georgia" w:hAnsi="Georgia"/>
                <w:sz w:val="20"/>
                <w:szCs w:val="20"/>
              </w:rPr>
              <w:t>%</w:t>
            </w:r>
          </w:p>
        </w:tc>
        <w:tc>
          <w:tcPr>
            <w:tcW w:w="3288" w:type="pct"/>
            <w:hideMark/>
          </w:tcPr>
          <w:p w14:paraId="2FCA2D5B" w14:textId="12AA5955" w:rsidR="00EB5FD2" w:rsidRPr="002142B8" w:rsidRDefault="00EB5FD2" w:rsidP="00E8389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Projektams, pasiekusiems ne mažesnį </w:t>
            </w:r>
            <w:r w:rsidR="00E83894" w:rsidRPr="002142B8">
              <w:rPr>
                <w:rFonts w:ascii="Georgia" w:hAnsi="Georgia"/>
                <w:sz w:val="20"/>
                <w:szCs w:val="20"/>
              </w:rPr>
              <w:t xml:space="preserve">kaip 40% sutaupymą, suteikiama </w:t>
            </w:r>
            <w:r w:rsidRPr="002142B8">
              <w:rPr>
                <w:rFonts w:ascii="Georgia" w:hAnsi="Georgia"/>
                <w:sz w:val="20"/>
                <w:szCs w:val="20"/>
              </w:rPr>
              <w:t xml:space="preserve">valstybės parama. </w:t>
            </w:r>
          </w:p>
        </w:tc>
      </w:tr>
      <w:tr w:rsidR="00EB5FD2" w:rsidRPr="002142B8" w14:paraId="28EC0848"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3A97B37B" w14:textId="77777777" w:rsidR="00EB5FD2" w:rsidRPr="002142B8" w:rsidRDefault="00EB5FD2" w:rsidP="00931D4D">
            <w:pPr>
              <w:rPr>
                <w:rFonts w:ascii="Georgia" w:hAnsi="Georgia"/>
                <w:sz w:val="20"/>
                <w:szCs w:val="20"/>
              </w:rPr>
            </w:pPr>
            <w:r w:rsidRPr="002142B8">
              <w:rPr>
                <w:rFonts w:ascii="Georgia" w:hAnsi="Georgia"/>
                <w:sz w:val="20"/>
                <w:szCs w:val="20"/>
              </w:rPr>
              <w:t>Blogų paskolų dalis: 5%</w:t>
            </w:r>
          </w:p>
        </w:tc>
        <w:tc>
          <w:tcPr>
            <w:tcW w:w="3288" w:type="pct"/>
            <w:hideMark/>
          </w:tcPr>
          <w:p w14:paraId="68CD5969"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Garantijų priemonės atveju daroma prielaida, kad iki 2022 m. reikės išmokėti 50% garantijų bankams nuo planuojamų blogų paskolų.</w:t>
            </w:r>
          </w:p>
        </w:tc>
      </w:tr>
      <w:tr w:rsidR="00EB5FD2" w:rsidRPr="002142B8" w14:paraId="79A031CE"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020684A8" w14:textId="685D860C" w:rsidR="00EB5FD2" w:rsidRPr="002142B8" w:rsidRDefault="00EB5FD2" w:rsidP="00931D4D">
            <w:pPr>
              <w:rPr>
                <w:rFonts w:ascii="Georgia" w:hAnsi="Georgia"/>
                <w:sz w:val="20"/>
                <w:szCs w:val="20"/>
              </w:rPr>
            </w:pPr>
            <w:r w:rsidRPr="002142B8">
              <w:rPr>
                <w:rFonts w:ascii="Georgia" w:hAnsi="Georgia"/>
                <w:sz w:val="20"/>
                <w:szCs w:val="20"/>
              </w:rPr>
              <w:t>Tipinio pastato projekto investicijų vertė: 3</w:t>
            </w:r>
            <w:r w:rsidR="00A00383" w:rsidRPr="002142B8">
              <w:rPr>
                <w:rFonts w:ascii="Georgia" w:hAnsi="Georgia"/>
                <w:sz w:val="20"/>
                <w:szCs w:val="20"/>
              </w:rPr>
              <w:t>30</w:t>
            </w:r>
            <w:r w:rsidRPr="002142B8">
              <w:rPr>
                <w:rFonts w:ascii="Georgia" w:hAnsi="Georgia"/>
                <w:sz w:val="20"/>
                <w:szCs w:val="20"/>
              </w:rPr>
              <w:t xml:space="preserve"> tūkst. EUR</w:t>
            </w:r>
          </w:p>
        </w:tc>
        <w:tc>
          <w:tcPr>
            <w:tcW w:w="3288" w:type="pct"/>
            <w:hideMark/>
          </w:tcPr>
          <w:p w14:paraId="1A0C8E94" w14:textId="77777777" w:rsidR="00A00383" w:rsidRPr="002142B8" w:rsidRDefault="00A00383" w:rsidP="00A00383">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2142B8">
              <w:rPr>
                <w:rFonts w:ascii="Georgia" w:hAnsi="Georgia"/>
                <w:sz w:val="20"/>
                <w:vertAlign w:val="superscript"/>
              </w:rPr>
              <w:t xml:space="preserve">2 </w:t>
            </w:r>
            <w:r w:rsidRPr="002142B8">
              <w:rPr>
                <w:rFonts w:ascii="Georgia" w:hAnsi="Georgia"/>
                <w:sz w:val="20"/>
              </w:rPr>
              <w:t>(šildomas plotas 1 770-1 920 m</w:t>
            </w:r>
            <w:r w:rsidRPr="002142B8">
              <w:rPr>
                <w:rFonts w:ascii="Georgia" w:hAnsi="Georgia"/>
                <w:sz w:val="20"/>
                <w:vertAlign w:val="superscript"/>
              </w:rPr>
              <w:t>2</w:t>
            </w:r>
            <w:r w:rsidRPr="002142B8">
              <w:rPr>
                <w:rFonts w:ascii="Georgia" w:hAnsi="Georgia"/>
                <w:sz w:val="20"/>
              </w:rPr>
              <w:t>) tai yra bendras plotas daugiau nei 1 000 m</w:t>
            </w:r>
            <w:r w:rsidRPr="002142B8">
              <w:rPr>
                <w:rFonts w:ascii="Georgia" w:hAnsi="Georgia"/>
                <w:sz w:val="20"/>
                <w:vertAlign w:val="superscript"/>
              </w:rPr>
              <w:t>2</w:t>
            </w:r>
            <w:r w:rsidRPr="002142B8">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2142B8">
              <w:rPr>
                <w:rFonts w:ascii="Georgia" w:hAnsi="Georgia"/>
                <w:sz w:val="20"/>
                <w:vertAlign w:val="superscript"/>
              </w:rPr>
              <w:t>2</w:t>
            </w:r>
            <w:r w:rsidRPr="002142B8">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4F1BD3FB" w14:textId="10011D90"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2142B8" w14:paraId="79DB138C"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11A392B7" w14:textId="77777777" w:rsidR="00EB5FD2" w:rsidRPr="002142B8" w:rsidRDefault="00EB5FD2" w:rsidP="00931D4D">
            <w:pPr>
              <w:rPr>
                <w:rFonts w:ascii="Georgia" w:hAnsi="Georgia"/>
                <w:sz w:val="20"/>
                <w:szCs w:val="20"/>
              </w:rPr>
            </w:pPr>
            <w:r w:rsidRPr="002142B8">
              <w:rPr>
                <w:rFonts w:ascii="Georgia" w:hAnsi="Georgia"/>
                <w:sz w:val="20"/>
                <w:szCs w:val="20"/>
              </w:rPr>
              <w:t>Palūkanų norma: 3%</w:t>
            </w:r>
          </w:p>
        </w:tc>
        <w:tc>
          <w:tcPr>
            <w:tcW w:w="3288" w:type="pct"/>
            <w:hideMark/>
          </w:tcPr>
          <w:p w14:paraId="4B403917" w14:textId="358B9D1C"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Paskolų ir garantijų priemonių atvejams galutiniams naudos gavėjams taikoma palūkanų norma 3%. </w:t>
            </w:r>
          </w:p>
        </w:tc>
      </w:tr>
      <w:tr w:rsidR="00EB5FD2" w:rsidRPr="002142B8" w14:paraId="4CA4F320"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6489ED26" w14:textId="77777777" w:rsidR="00EB5FD2" w:rsidRPr="002142B8" w:rsidRDefault="00EB5FD2" w:rsidP="00931D4D">
            <w:pPr>
              <w:rPr>
                <w:rFonts w:ascii="Georgia" w:hAnsi="Georgia"/>
                <w:sz w:val="20"/>
                <w:szCs w:val="20"/>
              </w:rPr>
            </w:pPr>
            <w:r w:rsidRPr="002142B8">
              <w:rPr>
                <w:rFonts w:ascii="Georgia" w:hAnsi="Georgia"/>
                <w:sz w:val="20"/>
                <w:szCs w:val="20"/>
              </w:rPr>
              <w:t>Paskolos priemonė</w:t>
            </w:r>
          </w:p>
        </w:tc>
        <w:tc>
          <w:tcPr>
            <w:tcW w:w="3288" w:type="pct"/>
          </w:tcPr>
          <w:p w14:paraId="1A5BBE6C"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2142B8" w14:paraId="1E27617F"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F0FEDCF" w14:textId="77777777" w:rsidR="00EB5FD2" w:rsidRPr="002142B8" w:rsidRDefault="00EB5FD2" w:rsidP="00931D4D">
            <w:pPr>
              <w:rPr>
                <w:rFonts w:ascii="Georgia" w:hAnsi="Georgia"/>
                <w:sz w:val="20"/>
                <w:szCs w:val="20"/>
              </w:rPr>
            </w:pPr>
            <w:r w:rsidRPr="002142B8">
              <w:rPr>
                <w:rFonts w:ascii="Georgia" w:hAnsi="Georgia"/>
                <w:sz w:val="20"/>
                <w:szCs w:val="20"/>
              </w:rPr>
              <w:t>Investuojamų ESI fondų lėšų suma: 224 mln. EUR</w:t>
            </w:r>
          </w:p>
        </w:tc>
        <w:tc>
          <w:tcPr>
            <w:tcW w:w="3288" w:type="pct"/>
            <w:hideMark/>
          </w:tcPr>
          <w:p w14:paraId="51232093"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2014-2020 m. ESI fondų lėšos buvo paskirstytos taip:</w:t>
            </w:r>
          </w:p>
          <w:p w14:paraId="4BA58357"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150 mln. EUR Europos investicijų banko valdomam Jessica II fondų fondui („Jessica II“);</w:t>
            </w:r>
          </w:p>
          <w:p w14:paraId="27AC7593"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74 mln. EUR UAB „Viešųjų investicijų plėtros agentūros“ valdomam „Daugiabučių namų modernizavimo fondui“ („DNMF“).</w:t>
            </w:r>
          </w:p>
        </w:tc>
      </w:tr>
      <w:tr w:rsidR="00EB5FD2" w:rsidRPr="002142B8" w14:paraId="0B7A0BA1"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67D3F77D" w14:textId="77777777" w:rsidR="00EB5FD2" w:rsidRPr="002142B8" w:rsidRDefault="00EB5FD2" w:rsidP="00931D4D">
            <w:pPr>
              <w:rPr>
                <w:rFonts w:ascii="Georgia" w:hAnsi="Georgia"/>
                <w:sz w:val="20"/>
                <w:szCs w:val="20"/>
              </w:rPr>
            </w:pPr>
            <w:r w:rsidRPr="002142B8">
              <w:rPr>
                <w:rFonts w:ascii="Georgia" w:hAnsi="Georgia"/>
                <w:sz w:val="20"/>
                <w:szCs w:val="20"/>
              </w:rPr>
              <w:t>Pritrauktų privačių lėšų suma: 200 mln. EUR</w:t>
            </w:r>
          </w:p>
        </w:tc>
        <w:tc>
          <w:tcPr>
            <w:tcW w:w="3288" w:type="pct"/>
            <w:hideMark/>
          </w:tcPr>
          <w:p w14:paraId="49CA52A6"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150 mln. EUR planuojama pritraukti ar jau yra pritraukta į Jessica II fondą;</w:t>
            </w:r>
          </w:p>
          <w:p w14:paraId="71D174C8" w14:textId="38CD22EB"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50 mln. EUR</w:t>
            </w:r>
            <w:r w:rsidR="00A32C03" w:rsidRPr="002142B8">
              <w:rPr>
                <w:rFonts w:ascii="Georgia" w:hAnsi="Georgia"/>
                <w:sz w:val="20"/>
                <w:szCs w:val="20"/>
              </w:rPr>
              <w:t xml:space="preserve"> jau</w:t>
            </w:r>
            <w:r w:rsidRPr="002142B8">
              <w:rPr>
                <w:rFonts w:ascii="Georgia" w:hAnsi="Georgia"/>
                <w:sz w:val="20"/>
                <w:szCs w:val="20"/>
              </w:rPr>
              <w:t xml:space="preserve"> pritraukt</w:t>
            </w:r>
            <w:r w:rsidR="00A32C03" w:rsidRPr="002142B8">
              <w:rPr>
                <w:rFonts w:ascii="Georgia" w:hAnsi="Georgia"/>
                <w:sz w:val="20"/>
                <w:szCs w:val="20"/>
              </w:rPr>
              <w:t>a</w:t>
            </w:r>
            <w:r w:rsidRPr="002142B8">
              <w:rPr>
                <w:rFonts w:ascii="Georgia" w:hAnsi="Georgia"/>
                <w:sz w:val="20"/>
                <w:szCs w:val="20"/>
              </w:rPr>
              <w:t xml:space="preserve"> į DNMF.</w:t>
            </w:r>
          </w:p>
        </w:tc>
      </w:tr>
      <w:tr w:rsidR="00EB5FD2" w:rsidRPr="002142B8" w14:paraId="07260728"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41CD369" w14:textId="3D934CE4" w:rsidR="00EB5FD2" w:rsidRPr="002142B8" w:rsidRDefault="00EB5FD2">
            <w:pPr>
              <w:rPr>
                <w:rFonts w:ascii="Georgia" w:hAnsi="Georgia"/>
                <w:sz w:val="20"/>
                <w:szCs w:val="20"/>
              </w:rPr>
            </w:pPr>
            <w:r w:rsidRPr="002142B8">
              <w:rPr>
                <w:rFonts w:ascii="Georgia" w:hAnsi="Georgia"/>
                <w:sz w:val="20"/>
                <w:szCs w:val="20"/>
              </w:rPr>
              <w:t xml:space="preserve">Siektinas įgyvendinamų projektų skaičius: </w:t>
            </w:r>
            <w:r w:rsidR="002D474F" w:rsidRPr="002142B8">
              <w:rPr>
                <w:rFonts w:ascii="Georgia" w:hAnsi="Georgia"/>
                <w:sz w:val="20"/>
                <w:szCs w:val="20"/>
              </w:rPr>
              <w:t>1230</w:t>
            </w:r>
          </w:p>
        </w:tc>
        <w:tc>
          <w:tcPr>
            <w:tcW w:w="3288" w:type="pct"/>
            <w:hideMark/>
          </w:tcPr>
          <w:p w14:paraId="40E75EA0" w14:textId="51FC5CB9"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Paskolų priemonė yra nukreipta į projektų finansavim</w:t>
            </w:r>
            <w:r w:rsidR="00A32C03" w:rsidRPr="002142B8">
              <w:rPr>
                <w:rFonts w:ascii="Georgia" w:hAnsi="Georgia"/>
                <w:sz w:val="20"/>
                <w:szCs w:val="20"/>
              </w:rPr>
              <w:t>ą siekiant pasiekti veiskmų programoje nustatytus rezultatus, kadangi garantijos priemonei reikalingas bankų pasitikėjimas ir tam tikra paskolų grąžinimo istorija. Pažymėtina jog paskolų priemonė gali egzistuoti paraleliai garantijų priemonei, tokiu būdu, atsižvelgiat į vasltybės galimybes, suteikiant valstybei pasirinkimo alternatyvą remtis ta priemone kuri sėkmingiau siekia strateginių rezultatų.</w:t>
            </w:r>
          </w:p>
        </w:tc>
      </w:tr>
      <w:tr w:rsidR="00EB5FD2" w:rsidRPr="002142B8" w14:paraId="0440391D"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58ED33A4" w14:textId="77777777" w:rsidR="00EB5FD2" w:rsidRPr="002142B8" w:rsidRDefault="00EB5FD2" w:rsidP="00931D4D">
            <w:pPr>
              <w:rPr>
                <w:rFonts w:ascii="Georgia" w:hAnsi="Georgia"/>
                <w:sz w:val="20"/>
                <w:szCs w:val="20"/>
              </w:rPr>
            </w:pPr>
            <w:r w:rsidRPr="002142B8">
              <w:rPr>
                <w:rFonts w:ascii="Georgia" w:hAnsi="Georgia"/>
                <w:sz w:val="20"/>
                <w:szCs w:val="20"/>
              </w:rPr>
              <w:t>Garantijos priemonė</w:t>
            </w:r>
          </w:p>
        </w:tc>
        <w:tc>
          <w:tcPr>
            <w:tcW w:w="3288" w:type="pct"/>
          </w:tcPr>
          <w:p w14:paraId="1EE2F791"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EB5FD2" w:rsidRPr="002142B8" w14:paraId="4D77CA22"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2EDBD34B" w14:textId="77777777" w:rsidR="00EB5FD2" w:rsidRPr="002142B8" w:rsidRDefault="00EB5FD2" w:rsidP="00931D4D">
            <w:pPr>
              <w:rPr>
                <w:rFonts w:ascii="Georgia" w:hAnsi="Georgia"/>
                <w:sz w:val="20"/>
                <w:szCs w:val="20"/>
              </w:rPr>
            </w:pPr>
            <w:r w:rsidRPr="002142B8">
              <w:rPr>
                <w:rFonts w:ascii="Georgia" w:hAnsi="Georgia"/>
                <w:sz w:val="20"/>
                <w:szCs w:val="20"/>
              </w:rPr>
              <w:t xml:space="preserve">Komercinių bankų paskolų palūkanos: </w:t>
            </w:r>
          </w:p>
          <w:p w14:paraId="4245C235" w14:textId="77777777" w:rsidR="00EB5FD2" w:rsidRPr="002142B8" w:rsidRDefault="00EB5FD2" w:rsidP="00931D4D">
            <w:pPr>
              <w:rPr>
                <w:rFonts w:ascii="Georgia" w:hAnsi="Georgia"/>
                <w:sz w:val="20"/>
                <w:szCs w:val="20"/>
              </w:rPr>
            </w:pPr>
            <w:r w:rsidRPr="002142B8">
              <w:rPr>
                <w:rFonts w:ascii="Georgia" w:hAnsi="Georgia"/>
                <w:sz w:val="20"/>
                <w:szCs w:val="20"/>
              </w:rPr>
              <w:t>4-6% + EURIBOR</w:t>
            </w:r>
          </w:p>
        </w:tc>
        <w:tc>
          <w:tcPr>
            <w:tcW w:w="3288" w:type="pct"/>
            <w:hideMark/>
          </w:tcPr>
          <w:p w14:paraId="09383C8E"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Projektuojamas EURIBOR judėjimas: po 2 metų kilimas iki 0,25%, po 12 metų kilimas iki 3%.</w:t>
            </w:r>
          </w:p>
        </w:tc>
      </w:tr>
      <w:tr w:rsidR="00EB5FD2" w:rsidRPr="002142B8" w14:paraId="00AFB5FC"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07925D30" w14:textId="77777777" w:rsidR="00EB5FD2" w:rsidRPr="002142B8" w:rsidRDefault="00EB5FD2" w:rsidP="00931D4D">
            <w:pPr>
              <w:rPr>
                <w:rFonts w:ascii="Georgia" w:hAnsi="Georgia"/>
                <w:sz w:val="20"/>
                <w:szCs w:val="20"/>
              </w:rPr>
            </w:pPr>
            <w:r w:rsidRPr="002142B8">
              <w:rPr>
                <w:rFonts w:ascii="Georgia" w:hAnsi="Georgia"/>
                <w:sz w:val="20"/>
                <w:szCs w:val="20"/>
              </w:rPr>
              <w:t>Garantinei priemonei skiriamų lėšų suma: 100 mln. EUR</w:t>
            </w:r>
          </w:p>
        </w:tc>
        <w:tc>
          <w:tcPr>
            <w:tcW w:w="3288" w:type="pct"/>
            <w:hideMark/>
          </w:tcPr>
          <w:p w14:paraId="150D9DF5"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100 mln. EUR garantinei priemonei būtų skiriamos iš šių šaltinių:</w:t>
            </w:r>
          </w:p>
          <w:p w14:paraId="4671773A"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- 90 mln. EUR iš ESI fondų;</w:t>
            </w:r>
          </w:p>
          <w:p w14:paraId="09F7C0E5"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- 10 mln. EUR iš grįžusių lėšų.</w:t>
            </w:r>
          </w:p>
        </w:tc>
      </w:tr>
      <w:tr w:rsidR="00EB5FD2" w:rsidRPr="002142B8" w14:paraId="41C54ED0"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FE53F23" w14:textId="597E08EF" w:rsidR="00EB5FD2" w:rsidRPr="002142B8" w:rsidRDefault="00EB5FD2" w:rsidP="00931D4D">
            <w:pPr>
              <w:rPr>
                <w:rFonts w:ascii="Georgia" w:hAnsi="Georgia"/>
                <w:sz w:val="20"/>
                <w:szCs w:val="20"/>
              </w:rPr>
            </w:pPr>
            <w:r w:rsidRPr="002142B8">
              <w:rPr>
                <w:rFonts w:ascii="Georgia" w:hAnsi="Georgia"/>
                <w:sz w:val="20"/>
                <w:szCs w:val="20"/>
              </w:rPr>
              <w:t>Rezervuojamos lėšos garantijai: 2</w:t>
            </w:r>
            <w:r w:rsidR="00ED628E" w:rsidRPr="002142B8">
              <w:rPr>
                <w:rFonts w:ascii="Georgia" w:hAnsi="Georgia"/>
                <w:sz w:val="20"/>
                <w:szCs w:val="20"/>
              </w:rPr>
              <w:t>5</w:t>
            </w:r>
            <w:r w:rsidRPr="002142B8">
              <w:rPr>
                <w:rFonts w:ascii="Georgia" w:hAnsi="Georgia"/>
                <w:sz w:val="20"/>
                <w:szCs w:val="20"/>
              </w:rPr>
              <w:t>%</w:t>
            </w:r>
          </w:p>
        </w:tc>
        <w:tc>
          <w:tcPr>
            <w:tcW w:w="3288" w:type="pct"/>
            <w:hideMark/>
          </w:tcPr>
          <w:p w14:paraId="48B42391" w14:textId="77777777"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Modernizavimo paskolos nėra tipinis bankinis produktas, jų istorija dar nėra pakankamai ilga, kad būtų adekvačiai įvertintos rizikos, tad viršutinė riba yra nustatoma aukščiau nei tikėtini paskolų nuostoliai. </w:t>
            </w:r>
          </w:p>
        </w:tc>
      </w:tr>
      <w:tr w:rsidR="00EB5FD2" w:rsidRPr="002142B8" w14:paraId="40F09E1A"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496D52EF" w14:textId="5D077DC3" w:rsidR="00EB5FD2" w:rsidRPr="002142B8" w:rsidRDefault="00EB5FD2" w:rsidP="002D474F">
            <w:pPr>
              <w:rPr>
                <w:rFonts w:ascii="Georgia" w:hAnsi="Georgia"/>
                <w:sz w:val="20"/>
                <w:szCs w:val="20"/>
              </w:rPr>
            </w:pPr>
            <w:r w:rsidRPr="002142B8">
              <w:rPr>
                <w:rFonts w:ascii="Georgia" w:hAnsi="Georgia"/>
                <w:sz w:val="20"/>
                <w:szCs w:val="20"/>
              </w:rPr>
              <w:t xml:space="preserve">Siektinas įgyvendinamų projektų skaičius: </w:t>
            </w:r>
            <w:r w:rsidR="002D474F" w:rsidRPr="002142B8">
              <w:rPr>
                <w:rFonts w:ascii="Georgia" w:hAnsi="Georgia"/>
                <w:sz w:val="20"/>
                <w:szCs w:val="20"/>
              </w:rPr>
              <w:t>1 344</w:t>
            </w:r>
            <w:r w:rsidRPr="002142B8">
              <w:rPr>
                <w:rFonts w:ascii="Georgia" w:hAnsi="Georgia"/>
                <w:sz w:val="20"/>
                <w:szCs w:val="20"/>
              </w:rPr>
              <w:t xml:space="preserve"> projektai</w:t>
            </w:r>
          </w:p>
        </w:tc>
        <w:tc>
          <w:tcPr>
            <w:tcW w:w="3288" w:type="pct"/>
            <w:hideMark/>
          </w:tcPr>
          <w:p w14:paraId="02137EB5" w14:textId="03707F0E" w:rsidR="00EB5FD2" w:rsidRPr="002142B8" w:rsidRDefault="00EB5FD2" w:rsidP="002D474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Vertinant projektų kiekį, buvo paskaičiuota kiek projektų galima atlikti turimomis fondo lėšomis (pagal šią priemonę), įvertinus, kad garantijos priemonė galėtų pradėti veikti nuo 2017 m, išdėstant proporcingai </w:t>
            </w:r>
            <w:r w:rsidR="002D474F" w:rsidRPr="002142B8">
              <w:rPr>
                <w:rFonts w:ascii="Georgia" w:hAnsi="Georgia"/>
                <w:sz w:val="20"/>
                <w:szCs w:val="20"/>
              </w:rPr>
              <w:t xml:space="preserve">253 </w:t>
            </w:r>
            <w:r w:rsidRPr="002142B8">
              <w:rPr>
                <w:rFonts w:ascii="Georgia" w:hAnsi="Georgia"/>
                <w:sz w:val="20"/>
                <w:szCs w:val="20"/>
              </w:rPr>
              <w:t xml:space="preserve">projektus per 2017-2022 m. </w:t>
            </w:r>
          </w:p>
        </w:tc>
      </w:tr>
      <w:tr w:rsidR="00EB5FD2" w:rsidRPr="002142B8" w14:paraId="7C0A273A" w14:textId="77777777" w:rsidTr="00EB5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hideMark/>
          </w:tcPr>
          <w:p w14:paraId="69EE15B3" w14:textId="77777777" w:rsidR="00EB5FD2" w:rsidRPr="002142B8" w:rsidRDefault="00EB5FD2" w:rsidP="00931D4D">
            <w:pPr>
              <w:rPr>
                <w:rFonts w:ascii="Georgia" w:hAnsi="Georgia"/>
                <w:sz w:val="20"/>
                <w:szCs w:val="20"/>
              </w:rPr>
            </w:pPr>
            <w:r w:rsidRPr="002142B8">
              <w:rPr>
                <w:rFonts w:ascii="Georgia" w:hAnsi="Georgia"/>
                <w:sz w:val="20"/>
                <w:szCs w:val="20"/>
              </w:rPr>
              <w:lastRenderedPageBreak/>
              <w:t>Valdymo mokestis: remiantis Deleguoto reglamento nuostatomis</w:t>
            </w:r>
          </w:p>
        </w:tc>
        <w:tc>
          <w:tcPr>
            <w:tcW w:w="3288" w:type="pct"/>
            <w:hideMark/>
          </w:tcPr>
          <w:p w14:paraId="6DC36517" w14:textId="543E6834" w:rsidR="00EB5FD2" w:rsidRPr="002142B8" w:rsidRDefault="00EB5FD2" w:rsidP="00931D4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Vadovaujantis Deleguoto reglamento nuostatomis, valdymo mokestis susideda iš dviejų dalių: 0,5% bazinis mokestis nuo finansinei priemonei skirtų ir įmokėtų lėšų ir: paskolų atveju – 1%. mokestis nuo paskolų, suteiktų galutiniams naudos gavėjams, sumos; garantijų atveju </w:t>
            </w:r>
            <w:r w:rsidR="00ED628E" w:rsidRPr="002142B8">
              <w:rPr>
                <w:rFonts w:ascii="Georgia" w:hAnsi="Georgia"/>
                <w:sz w:val="20"/>
                <w:szCs w:val="20"/>
              </w:rPr>
              <w:t>1,5 % programos įnašų, pagal Reglamento (ES) Nr. 1303/2013 42 straipsnio 1 dalies b punktą skirtų galiojančioms garantijų sutartims</w:t>
            </w:r>
          </w:p>
        </w:tc>
      </w:tr>
      <w:tr w:rsidR="00EB5FD2" w:rsidRPr="002142B8" w14:paraId="52A2DF33" w14:textId="77777777" w:rsidTr="00EB5FD2">
        <w:tc>
          <w:tcPr>
            <w:cnfStyle w:val="001000000000" w:firstRow="0" w:lastRow="0" w:firstColumn="1" w:lastColumn="0" w:oddVBand="0" w:evenVBand="0" w:oddHBand="0" w:evenHBand="0" w:firstRowFirstColumn="0" w:firstRowLastColumn="0" w:lastRowFirstColumn="0" w:lastRowLastColumn="0"/>
            <w:tcW w:w="1712" w:type="pct"/>
            <w:hideMark/>
          </w:tcPr>
          <w:p w14:paraId="2C8FD049" w14:textId="77777777" w:rsidR="00EB5FD2" w:rsidRPr="002142B8" w:rsidRDefault="00EB5FD2" w:rsidP="00931D4D">
            <w:pPr>
              <w:rPr>
                <w:rFonts w:ascii="Georgia" w:hAnsi="Georgia"/>
                <w:sz w:val="20"/>
                <w:szCs w:val="20"/>
              </w:rPr>
            </w:pPr>
            <w:r w:rsidRPr="002142B8">
              <w:rPr>
                <w:rFonts w:ascii="Georgia" w:hAnsi="Georgia"/>
                <w:sz w:val="20"/>
                <w:szCs w:val="20"/>
              </w:rPr>
              <w:t>Projekto įgyvendinimo trukmė: 15 mėnesių</w:t>
            </w:r>
          </w:p>
        </w:tc>
        <w:tc>
          <w:tcPr>
            <w:tcW w:w="3288" w:type="pct"/>
            <w:hideMark/>
          </w:tcPr>
          <w:p w14:paraId="24364FDF" w14:textId="77777777" w:rsidR="00EB5FD2" w:rsidRPr="002142B8" w:rsidRDefault="00EB5FD2" w:rsidP="00931D4D">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Remiantis šiuo metu įgyvendinamų projektų duomenimis nustatyta vidutinė projekto įgyvendinimo trukmė – 15 mėnesių nuo paskolos sutarties pasirašymo dienos.</w:t>
            </w:r>
          </w:p>
        </w:tc>
      </w:tr>
    </w:tbl>
    <w:p w14:paraId="4D59826A" w14:textId="77777777" w:rsidR="00EB5FD2" w:rsidRPr="002142B8" w:rsidRDefault="00EB5FD2" w:rsidP="00931D4D">
      <w:pPr>
        <w:rPr>
          <w:lang w:val="lt-LT"/>
        </w:rPr>
      </w:pPr>
    </w:p>
    <w:p w14:paraId="48D0E6D4" w14:textId="48219BE0" w:rsidR="00931D4D" w:rsidRPr="00EB3D2A" w:rsidRDefault="00931D4D" w:rsidP="00931D4D">
      <w:pPr>
        <w:pStyle w:val="Antrat"/>
        <w:rPr>
          <w:b w:val="0"/>
          <w:i/>
          <w:szCs w:val="20"/>
          <w:lang w:val="lt-LT"/>
        </w:rPr>
      </w:pPr>
      <w:bookmarkStart w:id="189" w:name="_Toc507939178"/>
      <w:bookmarkStart w:id="190" w:name="_Toc460321642"/>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56</w:t>
      </w:r>
      <w:r w:rsidRPr="00EB3D2A">
        <w:rPr>
          <w:b w:val="0"/>
          <w:i/>
          <w:lang w:val="lt-LT"/>
        </w:rPr>
        <w:fldChar w:fldCharType="end"/>
      </w:r>
      <w:r w:rsidRPr="00EB3D2A">
        <w:rPr>
          <w:b w:val="0"/>
          <w:i/>
          <w:lang w:val="lt-LT"/>
        </w:rPr>
        <w:t xml:space="preserve">. Scenarijaus Nr. </w:t>
      </w:r>
      <w:r w:rsidR="00ED628E" w:rsidRPr="00EB3D2A">
        <w:rPr>
          <w:b w:val="0"/>
          <w:i/>
          <w:lang w:val="lt-LT"/>
        </w:rPr>
        <w:t>2</w:t>
      </w:r>
      <w:r w:rsidRPr="00EB3D2A">
        <w:rPr>
          <w:b w:val="0"/>
          <w:i/>
          <w:lang w:val="lt-LT"/>
        </w:rPr>
        <w:t xml:space="preserve"> paskolų finansinės priemonės įgyvendinimo prognozė</w:t>
      </w:r>
      <w:bookmarkEnd w:id="189"/>
    </w:p>
    <w:bookmarkEnd w:id="190"/>
    <w:p w14:paraId="349C7A2B" w14:textId="528AEA54" w:rsidR="00A00383" w:rsidRPr="002142B8" w:rsidRDefault="00A00383" w:rsidP="008D155F">
      <w:pPr>
        <w:rPr>
          <w:lang w:val="lt-LT"/>
        </w:rPr>
      </w:pPr>
      <w:r w:rsidRPr="002142B8">
        <w:rPr>
          <w:noProof/>
          <w:lang w:val="lt-LT" w:eastAsia="lt-LT"/>
        </w:rPr>
        <w:drawing>
          <wp:inline distT="0" distB="0" distL="0" distR="0" wp14:anchorId="364C8443" wp14:editId="0C8685FD">
            <wp:extent cx="5731510" cy="2965450"/>
            <wp:effectExtent l="0" t="0" r="2540" b="6350"/>
            <wp:docPr id="50177" name="Picture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965450"/>
                    </a:xfrm>
                    <a:prstGeom prst="rect">
                      <a:avLst/>
                    </a:prstGeom>
                  </pic:spPr>
                </pic:pic>
              </a:graphicData>
            </a:graphic>
          </wp:inline>
        </w:drawing>
      </w:r>
    </w:p>
    <w:p w14:paraId="7FB8B3E4" w14:textId="1193A155" w:rsidR="00931D4D" w:rsidRPr="00EB3D2A" w:rsidRDefault="00931D4D" w:rsidP="00931D4D">
      <w:pPr>
        <w:pStyle w:val="Antrat"/>
        <w:rPr>
          <w:b w:val="0"/>
          <w:i/>
          <w:szCs w:val="20"/>
          <w:lang w:val="lt-LT"/>
        </w:rPr>
      </w:pPr>
      <w:bookmarkStart w:id="191" w:name="_Toc507939179"/>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57</w:t>
      </w:r>
      <w:r w:rsidRPr="00EB3D2A">
        <w:rPr>
          <w:b w:val="0"/>
          <w:i/>
          <w:lang w:val="lt-LT"/>
        </w:rPr>
        <w:fldChar w:fldCharType="end"/>
      </w:r>
      <w:r w:rsidRPr="00EB3D2A">
        <w:rPr>
          <w:b w:val="0"/>
          <w:i/>
          <w:lang w:val="lt-LT"/>
        </w:rPr>
        <w:t xml:space="preserve">. Scenarijaus Nr. </w:t>
      </w:r>
      <w:r w:rsidR="00ED628E" w:rsidRPr="00EB3D2A">
        <w:rPr>
          <w:b w:val="0"/>
          <w:i/>
          <w:lang w:val="lt-LT"/>
        </w:rPr>
        <w:t>2</w:t>
      </w:r>
      <w:r w:rsidRPr="00EB3D2A">
        <w:rPr>
          <w:b w:val="0"/>
          <w:i/>
          <w:lang w:val="lt-LT"/>
        </w:rPr>
        <w:t xml:space="preserve"> garantijų finansinės priemonės įgyvendinimo prognozė</w:t>
      </w:r>
      <w:bookmarkEnd w:id="191"/>
    </w:p>
    <w:p w14:paraId="6E1CC175" w14:textId="71FA9FE2" w:rsidR="00A00383" w:rsidRPr="002142B8" w:rsidRDefault="00A00383" w:rsidP="008D155F">
      <w:pPr>
        <w:rPr>
          <w:lang w:val="lt-LT"/>
        </w:rPr>
      </w:pPr>
      <w:r w:rsidRPr="002142B8">
        <w:rPr>
          <w:noProof/>
          <w:lang w:val="lt-LT" w:eastAsia="lt-LT"/>
        </w:rPr>
        <w:drawing>
          <wp:inline distT="0" distB="0" distL="0" distR="0" wp14:anchorId="36D4885B" wp14:editId="1FCEEAA4">
            <wp:extent cx="5731510" cy="2660015"/>
            <wp:effectExtent l="0" t="0" r="2540" b="6985"/>
            <wp:docPr id="50178" name="Picture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660015"/>
                    </a:xfrm>
                    <a:prstGeom prst="rect">
                      <a:avLst/>
                    </a:prstGeom>
                  </pic:spPr>
                </pic:pic>
              </a:graphicData>
            </a:graphic>
          </wp:inline>
        </w:drawing>
      </w:r>
    </w:p>
    <w:p w14:paraId="343BB713" w14:textId="06BC1E24" w:rsidR="00A679FF" w:rsidRPr="00EB3D2A" w:rsidRDefault="00A679FF" w:rsidP="00A679FF">
      <w:pPr>
        <w:pStyle w:val="Antrat"/>
        <w:rPr>
          <w:b w:val="0"/>
          <w:i/>
          <w:szCs w:val="20"/>
          <w:lang w:val="lt-LT"/>
        </w:rPr>
      </w:pPr>
      <w:bookmarkStart w:id="192" w:name="_Toc507939180"/>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58</w:t>
      </w:r>
      <w:r w:rsidRPr="00EB3D2A">
        <w:rPr>
          <w:b w:val="0"/>
          <w:i/>
          <w:lang w:val="lt-LT"/>
        </w:rPr>
        <w:fldChar w:fldCharType="end"/>
      </w:r>
      <w:r w:rsidRPr="00EB3D2A">
        <w:rPr>
          <w:b w:val="0"/>
          <w:i/>
          <w:lang w:val="lt-LT"/>
        </w:rPr>
        <w:t xml:space="preserve">. Scenarijaus Nr. </w:t>
      </w:r>
      <w:r w:rsidR="00ED628E" w:rsidRPr="00EB3D2A">
        <w:rPr>
          <w:b w:val="0"/>
          <w:i/>
          <w:lang w:val="lt-LT"/>
        </w:rPr>
        <w:t>2</w:t>
      </w:r>
      <w:r w:rsidRPr="00EB3D2A">
        <w:rPr>
          <w:b w:val="0"/>
          <w:i/>
          <w:lang w:val="lt-LT"/>
        </w:rPr>
        <w:t xml:space="preserve"> rezultatai</w:t>
      </w:r>
      <w:bookmarkEnd w:id="192"/>
    </w:p>
    <w:tbl>
      <w:tblPr>
        <w:tblStyle w:val="LightList-Accent21"/>
        <w:tblW w:w="4966" w:type="pct"/>
        <w:tblLayout w:type="fixed"/>
        <w:tblLook w:val="04A0" w:firstRow="1" w:lastRow="0" w:firstColumn="1" w:lastColumn="0" w:noHBand="0" w:noVBand="1"/>
      </w:tblPr>
      <w:tblGrid>
        <w:gridCol w:w="4827"/>
        <w:gridCol w:w="1661"/>
        <w:gridCol w:w="2691"/>
      </w:tblGrid>
      <w:tr w:rsidR="00EB5FD2" w:rsidRPr="002142B8" w14:paraId="11DEABEB" w14:textId="77777777" w:rsidTr="00A23E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tcBorders>
              <w:bottom w:val="single" w:sz="8" w:space="0" w:color="D62E1C"/>
            </w:tcBorders>
            <w:shd w:val="clear" w:color="auto" w:fill="C0504D"/>
            <w:noWrap/>
            <w:hideMark/>
          </w:tcPr>
          <w:p w14:paraId="214E812C" w14:textId="0AD169E9" w:rsidR="00EB5FD2" w:rsidRPr="002142B8" w:rsidRDefault="00A679FF" w:rsidP="00EB5FD2">
            <w:pPr>
              <w:rPr>
                <w:rFonts w:ascii="Georgia" w:hAnsi="Georgia"/>
                <w:sz w:val="18"/>
                <w:szCs w:val="18"/>
              </w:rPr>
            </w:pPr>
            <w:r w:rsidRPr="002142B8">
              <w:rPr>
                <w:rFonts w:ascii="Georgia" w:hAnsi="Georgia"/>
                <w:sz w:val="18"/>
                <w:szCs w:val="18"/>
              </w:rPr>
              <w:t>Rodiklis</w:t>
            </w:r>
          </w:p>
        </w:tc>
        <w:tc>
          <w:tcPr>
            <w:tcW w:w="905" w:type="pct"/>
            <w:tcBorders>
              <w:bottom w:val="single" w:sz="8" w:space="0" w:color="D62E1C"/>
            </w:tcBorders>
            <w:shd w:val="clear" w:color="auto" w:fill="C0504D"/>
            <w:noWrap/>
            <w:hideMark/>
          </w:tcPr>
          <w:p w14:paraId="5BBE4BD3" w14:textId="77777777" w:rsidR="00EB5FD2" w:rsidRPr="002142B8" w:rsidRDefault="00EB5FD2" w:rsidP="00A679FF">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2142B8">
              <w:rPr>
                <w:rFonts w:ascii="Georgia" w:hAnsi="Georgia" w:cs="Arial"/>
                <w:color w:val="FFFFFF" w:themeColor="background1"/>
                <w:sz w:val="18"/>
                <w:szCs w:val="18"/>
              </w:rPr>
              <w:t xml:space="preserve">mln. </w:t>
            </w:r>
            <w:r w:rsidRPr="002142B8">
              <w:rPr>
                <w:rFonts w:ascii="Georgia" w:eastAsia="Times New Roman" w:hAnsi="Georgia" w:cs="Arial"/>
                <w:color w:val="FFFFFF" w:themeColor="background1"/>
                <w:sz w:val="18"/>
                <w:szCs w:val="18"/>
                <w:lang w:eastAsia="lt-LT"/>
              </w:rPr>
              <w:t>EUR</w:t>
            </w:r>
          </w:p>
        </w:tc>
        <w:tc>
          <w:tcPr>
            <w:tcW w:w="1467" w:type="pct"/>
            <w:tcBorders>
              <w:bottom w:val="single" w:sz="8" w:space="0" w:color="D62E1C"/>
            </w:tcBorders>
            <w:shd w:val="clear" w:color="auto" w:fill="C0504D"/>
            <w:noWrap/>
            <w:hideMark/>
          </w:tcPr>
          <w:p w14:paraId="2E6FCB80" w14:textId="77777777" w:rsidR="00EB5FD2" w:rsidRPr="002142B8" w:rsidRDefault="00EB5FD2" w:rsidP="00A679FF">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2142B8">
              <w:rPr>
                <w:rFonts w:ascii="Georgia" w:hAnsi="Georgia" w:cs="Arial"/>
                <w:color w:val="FFFFFF" w:themeColor="background1"/>
                <w:sz w:val="18"/>
                <w:szCs w:val="18"/>
              </w:rPr>
              <w:t>mln</w:t>
            </w:r>
            <w:r w:rsidRPr="002142B8">
              <w:rPr>
                <w:rFonts w:ascii="Georgia" w:eastAsia="Times New Roman" w:hAnsi="Georgia" w:cs="Arial"/>
                <w:iCs/>
                <w:color w:val="FFFFFF" w:themeColor="background1"/>
                <w:sz w:val="18"/>
                <w:szCs w:val="18"/>
                <w:lang w:eastAsia="lt-LT"/>
              </w:rPr>
              <w:t>. EUR</w:t>
            </w:r>
          </w:p>
        </w:tc>
      </w:tr>
      <w:tr w:rsidR="00EB5FD2" w:rsidRPr="002142B8" w14:paraId="1DD524AD"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2676159D"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Galutinius naudos gavėjus pasiekusios lėšos</w:t>
            </w:r>
          </w:p>
        </w:tc>
        <w:tc>
          <w:tcPr>
            <w:tcW w:w="905" w:type="pct"/>
            <w:noWrap/>
            <w:hideMark/>
          </w:tcPr>
          <w:p w14:paraId="1B27E734" w14:textId="77777777" w:rsidR="00EB5FD2" w:rsidRPr="002142B8"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849,9</w:t>
            </w:r>
          </w:p>
        </w:tc>
        <w:tc>
          <w:tcPr>
            <w:tcW w:w="1467" w:type="pct"/>
            <w:noWrap/>
            <w:hideMark/>
          </w:tcPr>
          <w:p w14:paraId="64DD6E16" w14:textId="6C944C9F" w:rsidR="00EB5FD2" w:rsidRPr="002142B8" w:rsidRDefault="00224B73"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406,8 + 443,</w:t>
            </w:r>
            <w:r w:rsidR="00EB5FD2" w:rsidRPr="002142B8">
              <w:rPr>
                <w:rFonts w:ascii="Georgia" w:hAnsi="Georgia" w:cs="Arial"/>
                <w:i/>
                <w:color w:val="000000"/>
                <w:sz w:val="18"/>
                <w:szCs w:val="18"/>
              </w:rPr>
              <w:t>1</w:t>
            </w:r>
          </w:p>
        </w:tc>
      </w:tr>
      <w:tr w:rsidR="00EB5FD2" w:rsidRPr="002142B8" w14:paraId="24C60023" w14:textId="77777777" w:rsidTr="00A23E59">
        <w:trPr>
          <w:trHeight w:val="6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14ECBCCB"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Į fondą grįžusios lėšos iki 2019 metų (įskaitant subsidijas bei iš JESSICA KF grįžtančias lėšas)</w:t>
            </w:r>
          </w:p>
        </w:tc>
        <w:tc>
          <w:tcPr>
            <w:tcW w:w="905" w:type="pct"/>
            <w:tcBorders>
              <w:top w:val="single" w:sz="8" w:space="0" w:color="D62E1C"/>
              <w:bottom w:val="single" w:sz="8" w:space="0" w:color="D62E1C"/>
            </w:tcBorders>
            <w:noWrap/>
            <w:hideMark/>
          </w:tcPr>
          <w:p w14:paraId="59137736" w14:textId="77777777" w:rsidR="00EB5FD2" w:rsidRPr="002142B8"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27,6</w:t>
            </w:r>
          </w:p>
        </w:tc>
        <w:tc>
          <w:tcPr>
            <w:tcW w:w="1467" w:type="pct"/>
            <w:tcBorders>
              <w:top w:val="single" w:sz="8" w:space="0" w:color="D62E1C"/>
              <w:bottom w:val="single" w:sz="8" w:space="0" w:color="D62E1C"/>
            </w:tcBorders>
            <w:noWrap/>
            <w:hideMark/>
          </w:tcPr>
          <w:p w14:paraId="5AD126AF" w14:textId="135D60CF" w:rsidR="00EB5FD2" w:rsidRPr="002142B8" w:rsidRDefault="00224B73"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26,2+1,</w:t>
            </w:r>
            <w:r w:rsidR="00EB5FD2" w:rsidRPr="002142B8">
              <w:rPr>
                <w:rFonts w:ascii="Georgia" w:hAnsi="Georgia" w:cs="Arial"/>
                <w:i/>
                <w:color w:val="000000"/>
                <w:sz w:val="18"/>
                <w:szCs w:val="18"/>
              </w:rPr>
              <w:t>4</w:t>
            </w:r>
          </w:p>
        </w:tc>
      </w:tr>
      <w:tr w:rsidR="00EB5FD2" w:rsidRPr="002142B8" w14:paraId="336BE987"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5AFFFC28"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Komercinių bankų išmokėtos/planuojamos išmokėti lėšos</w:t>
            </w:r>
          </w:p>
        </w:tc>
        <w:tc>
          <w:tcPr>
            <w:tcW w:w="905" w:type="pct"/>
            <w:noWrap/>
            <w:hideMark/>
          </w:tcPr>
          <w:p w14:paraId="29796246" w14:textId="77777777" w:rsidR="00EB5FD2" w:rsidRPr="002142B8"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643,1</w:t>
            </w:r>
          </w:p>
        </w:tc>
        <w:tc>
          <w:tcPr>
            <w:tcW w:w="1467" w:type="pct"/>
            <w:noWrap/>
            <w:hideMark/>
          </w:tcPr>
          <w:p w14:paraId="30BBE5CE" w14:textId="5FBAEEC4" w:rsidR="00EB5FD2" w:rsidRPr="002142B8" w:rsidRDefault="00224B73"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150 + 50 + 443,</w:t>
            </w:r>
            <w:r w:rsidR="00EB5FD2" w:rsidRPr="002142B8">
              <w:rPr>
                <w:rFonts w:ascii="Georgia" w:hAnsi="Georgia" w:cs="Arial"/>
                <w:i/>
                <w:color w:val="000000"/>
                <w:sz w:val="18"/>
                <w:szCs w:val="18"/>
              </w:rPr>
              <w:t xml:space="preserve">1 </w:t>
            </w:r>
          </w:p>
        </w:tc>
      </w:tr>
      <w:tr w:rsidR="00EB5FD2" w:rsidRPr="002142B8" w14:paraId="3D510133" w14:textId="77777777" w:rsidTr="008D155F">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4DEAA3C7"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Renovuotų pastatų skaičius</w:t>
            </w:r>
          </w:p>
        </w:tc>
        <w:tc>
          <w:tcPr>
            <w:tcW w:w="905" w:type="pct"/>
            <w:tcBorders>
              <w:top w:val="single" w:sz="8" w:space="0" w:color="D62E1C"/>
              <w:bottom w:val="single" w:sz="8" w:space="0" w:color="D62E1C"/>
            </w:tcBorders>
            <w:noWrap/>
          </w:tcPr>
          <w:p w14:paraId="3D99EAED" w14:textId="72584343" w:rsidR="00EB5FD2" w:rsidRPr="002142B8" w:rsidRDefault="008E477E"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2 574</w:t>
            </w:r>
          </w:p>
        </w:tc>
        <w:tc>
          <w:tcPr>
            <w:tcW w:w="1467" w:type="pct"/>
            <w:tcBorders>
              <w:top w:val="single" w:sz="8" w:space="0" w:color="D62E1C"/>
              <w:bottom w:val="single" w:sz="8" w:space="0" w:color="D62E1C"/>
            </w:tcBorders>
            <w:noWrap/>
          </w:tcPr>
          <w:p w14:paraId="54D65393" w14:textId="3E848BAF" w:rsidR="00EB5FD2" w:rsidRPr="002142B8" w:rsidRDefault="008E477E"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1 230 +1344</w:t>
            </w:r>
          </w:p>
        </w:tc>
      </w:tr>
      <w:tr w:rsidR="00EB5FD2" w:rsidRPr="002142B8" w14:paraId="4A66E292"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66058D32"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ESI fondų lėšos</w:t>
            </w:r>
          </w:p>
        </w:tc>
        <w:tc>
          <w:tcPr>
            <w:tcW w:w="905" w:type="pct"/>
            <w:noWrap/>
            <w:hideMark/>
          </w:tcPr>
          <w:p w14:paraId="7E06A7C7" w14:textId="77777777" w:rsidR="00EB5FD2" w:rsidRPr="002142B8"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314,0</w:t>
            </w:r>
          </w:p>
        </w:tc>
        <w:tc>
          <w:tcPr>
            <w:tcW w:w="1467" w:type="pct"/>
            <w:noWrap/>
            <w:hideMark/>
          </w:tcPr>
          <w:p w14:paraId="605F7DB8" w14:textId="77777777" w:rsidR="00EB5FD2" w:rsidRPr="002142B8"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150 + 74 + 90</w:t>
            </w:r>
          </w:p>
        </w:tc>
      </w:tr>
      <w:tr w:rsidR="00EB5FD2" w:rsidRPr="002142B8" w14:paraId="27B2DF0A" w14:textId="77777777" w:rsidTr="00A23E59">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noWrap/>
            <w:hideMark/>
          </w:tcPr>
          <w:p w14:paraId="680ED600"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Nacionalinis ko-finansavimas</w:t>
            </w:r>
          </w:p>
        </w:tc>
        <w:tc>
          <w:tcPr>
            <w:tcW w:w="905" w:type="pct"/>
            <w:tcBorders>
              <w:top w:val="single" w:sz="8" w:space="0" w:color="D62E1C"/>
              <w:bottom w:val="single" w:sz="8" w:space="0" w:color="D62E1C"/>
            </w:tcBorders>
            <w:noWrap/>
            <w:hideMark/>
          </w:tcPr>
          <w:p w14:paraId="1C34AB79" w14:textId="77777777" w:rsidR="00EB5FD2" w:rsidRPr="002142B8"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10,0</w:t>
            </w:r>
          </w:p>
        </w:tc>
        <w:tc>
          <w:tcPr>
            <w:tcW w:w="1467" w:type="pct"/>
            <w:tcBorders>
              <w:top w:val="single" w:sz="8" w:space="0" w:color="D62E1C"/>
              <w:bottom w:val="single" w:sz="8" w:space="0" w:color="D62E1C"/>
            </w:tcBorders>
            <w:noWrap/>
            <w:hideMark/>
          </w:tcPr>
          <w:p w14:paraId="2BA302E5" w14:textId="77777777" w:rsidR="00EB5FD2" w:rsidRPr="002142B8" w:rsidRDefault="00EB5FD2" w:rsidP="00EB5FD2">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Skirtas papildyti garantijos priemonę</w:t>
            </w:r>
          </w:p>
        </w:tc>
      </w:tr>
      <w:tr w:rsidR="00EB5FD2" w:rsidRPr="002142B8" w14:paraId="54D80ED5" w14:textId="77777777" w:rsidTr="00A23E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11A6F4F9" w14:textId="77777777" w:rsidR="00EB5FD2" w:rsidRPr="002142B8" w:rsidRDefault="00EB5FD2" w:rsidP="00EB5FD2">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Sverto efektas</w:t>
            </w:r>
          </w:p>
        </w:tc>
        <w:tc>
          <w:tcPr>
            <w:tcW w:w="905" w:type="pct"/>
            <w:noWrap/>
            <w:hideMark/>
          </w:tcPr>
          <w:p w14:paraId="4D10B98A" w14:textId="77777777" w:rsidR="00EB5FD2" w:rsidRPr="002142B8" w:rsidRDefault="00EB5FD2" w:rsidP="00EB5FD2">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2,67</w:t>
            </w:r>
          </w:p>
        </w:tc>
        <w:tc>
          <w:tcPr>
            <w:tcW w:w="1467" w:type="pct"/>
            <w:noWrap/>
            <w:hideMark/>
          </w:tcPr>
          <w:p w14:paraId="15AACF1B" w14:textId="77777777" w:rsidR="00EB5FD2" w:rsidRPr="002142B8" w:rsidRDefault="00EB5FD2" w:rsidP="00EB5FD2">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p>
        </w:tc>
      </w:tr>
    </w:tbl>
    <w:p w14:paraId="48FEAE79" w14:textId="079F810A" w:rsidR="000556A1" w:rsidRPr="002142B8" w:rsidRDefault="000556A1" w:rsidP="000556A1">
      <w:pPr>
        <w:rPr>
          <w:rFonts w:ascii="Georgia" w:hAnsi="Georgia"/>
          <w:sz w:val="20"/>
          <w:szCs w:val="20"/>
          <w:lang w:val="lt-LT"/>
        </w:rPr>
      </w:pPr>
    </w:p>
    <w:p w14:paraId="0D26216C" w14:textId="29212C42" w:rsidR="00A3268D" w:rsidRPr="002142B8" w:rsidRDefault="00A3268D" w:rsidP="00B3012C">
      <w:pPr>
        <w:jc w:val="both"/>
        <w:rPr>
          <w:rFonts w:ascii="Georgia" w:hAnsi="Georgia"/>
          <w:sz w:val="20"/>
          <w:szCs w:val="20"/>
          <w:lang w:val="lt-LT"/>
        </w:rPr>
      </w:pPr>
      <w:r w:rsidRPr="002142B8">
        <w:rPr>
          <w:rFonts w:ascii="Georgia" w:hAnsi="Georgia"/>
          <w:sz w:val="20"/>
          <w:szCs w:val="20"/>
          <w:lang w:val="lt-LT"/>
        </w:rPr>
        <w:t xml:space="preserve">Atsižvelgiant į tai, kad </w:t>
      </w:r>
      <w:r w:rsidR="00EC6FDF" w:rsidRPr="002142B8">
        <w:rPr>
          <w:rFonts w:ascii="Georgia" w:hAnsi="Georgia"/>
          <w:sz w:val="20"/>
          <w:szCs w:val="20"/>
          <w:lang w:val="lt-LT"/>
        </w:rPr>
        <w:t xml:space="preserve">antrojo </w:t>
      </w:r>
      <w:r w:rsidRPr="002142B8">
        <w:rPr>
          <w:rFonts w:ascii="Georgia" w:hAnsi="Georgia"/>
          <w:sz w:val="20"/>
          <w:szCs w:val="20"/>
          <w:lang w:val="lt-LT"/>
        </w:rPr>
        <w:t xml:space="preserve">scenarijaus </w:t>
      </w:r>
      <w:r w:rsidR="00B3012C" w:rsidRPr="002142B8">
        <w:rPr>
          <w:rFonts w:ascii="Georgia" w:hAnsi="Georgia"/>
          <w:sz w:val="20"/>
          <w:szCs w:val="20"/>
          <w:lang w:val="lt-LT"/>
        </w:rPr>
        <w:t>įgyvendinimo prognozės ir rezultatai buvo perskaičiuoti pagal prielaidas, kurios buvo pakor</w:t>
      </w:r>
      <w:r w:rsidR="00D9139B" w:rsidRPr="002142B8">
        <w:rPr>
          <w:rFonts w:ascii="Georgia" w:hAnsi="Georgia"/>
          <w:sz w:val="20"/>
          <w:szCs w:val="20"/>
          <w:lang w:val="lt-LT"/>
        </w:rPr>
        <w:t>eg</w:t>
      </w:r>
      <w:r w:rsidR="00B3012C" w:rsidRPr="002142B8">
        <w:rPr>
          <w:rFonts w:ascii="Georgia" w:hAnsi="Georgia"/>
          <w:sz w:val="20"/>
          <w:szCs w:val="20"/>
          <w:lang w:val="lt-LT"/>
        </w:rPr>
        <w:t xml:space="preserve">uotos lyginant su Pradinės ataskaitos prielaidomis (ESI fondų lėšų suma, projekto vidutinė kaina ir kitos), toliau palyginimo tikslais yra pateikiami </w:t>
      </w:r>
      <w:r w:rsidR="00EC6FDF" w:rsidRPr="002142B8">
        <w:rPr>
          <w:rFonts w:ascii="Georgia" w:hAnsi="Georgia"/>
          <w:sz w:val="20"/>
          <w:szCs w:val="20"/>
          <w:lang w:val="lt-LT"/>
        </w:rPr>
        <w:t xml:space="preserve">antrojo </w:t>
      </w:r>
      <w:r w:rsidR="00B3012C" w:rsidRPr="002142B8">
        <w:rPr>
          <w:rFonts w:ascii="Georgia" w:hAnsi="Georgia"/>
          <w:sz w:val="20"/>
          <w:szCs w:val="20"/>
          <w:lang w:val="lt-LT"/>
        </w:rPr>
        <w:t>scenarijaus rezultatai, perskaičiuoti pagal Pradinėje ataskaitoje naudotas prielaidas.</w:t>
      </w:r>
    </w:p>
    <w:p w14:paraId="13E3E779" w14:textId="65BC5C98" w:rsidR="00A3268D" w:rsidRPr="00EB3D2A" w:rsidRDefault="00A3268D" w:rsidP="00A3268D">
      <w:pPr>
        <w:pStyle w:val="Antrat"/>
        <w:rPr>
          <w:b w:val="0"/>
          <w:i/>
          <w:szCs w:val="20"/>
          <w:lang w:val="lt-LT"/>
        </w:rPr>
      </w:pPr>
      <w:bookmarkStart w:id="193" w:name="_Toc507939181"/>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59</w:t>
      </w:r>
      <w:r w:rsidRPr="00EB3D2A">
        <w:rPr>
          <w:b w:val="0"/>
          <w:i/>
          <w:lang w:val="lt-LT"/>
        </w:rPr>
        <w:fldChar w:fldCharType="end"/>
      </w:r>
      <w:r w:rsidRPr="00EB3D2A">
        <w:rPr>
          <w:b w:val="0"/>
          <w:i/>
          <w:lang w:val="lt-LT"/>
        </w:rPr>
        <w:t xml:space="preserve">. Scenarijaus Nr. </w:t>
      </w:r>
      <w:r w:rsidR="00ED628E" w:rsidRPr="00EB3D2A">
        <w:rPr>
          <w:b w:val="0"/>
          <w:i/>
          <w:lang w:val="en-US"/>
        </w:rPr>
        <w:t>2</w:t>
      </w:r>
      <w:r w:rsidRPr="00EB3D2A">
        <w:rPr>
          <w:b w:val="0"/>
          <w:i/>
          <w:lang w:val="lt-LT"/>
        </w:rPr>
        <w:t xml:space="preserve"> rezultatai, esant Pradinės ataskaitos prielaidoms</w:t>
      </w:r>
      <w:bookmarkEnd w:id="193"/>
    </w:p>
    <w:tbl>
      <w:tblPr>
        <w:tblStyle w:val="LightList-Accent21"/>
        <w:tblW w:w="4966" w:type="pct"/>
        <w:tblLayout w:type="fixed"/>
        <w:tblLook w:val="04A0" w:firstRow="1" w:lastRow="0" w:firstColumn="1" w:lastColumn="0" w:noHBand="0" w:noVBand="1"/>
      </w:tblPr>
      <w:tblGrid>
        <w:gridCol w:w="4827"/>
        <w:gridCol w:w="1661"/>
        <w:gridCol w:w="2691"/>
      </w:tblGrid>
      <w:tr w:rsidR="00A3268D" w:rsidRPr="002142B8" w14:paraId="6C5DA59E" w14:textId="77777777" w:rsidTr="00A326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tcBorders>
              <w:bottom w:val="single" w:sz="8" w:space="0" w:color="D62E1C"/>
            </w:tcBorders>
            <w:shd w:val="clear" w:color="auto" w:fill="C0504D"/>
            <w:noWrap/>
            <w:hideMark/>
          </w:tcPr>
          <w:p w14:paraId="2933D21E" w14:textId="77777777" w:rsidR="00A3268D" w:rsidRPr="002142B8" w:rsidRDefault="00A3268D" w:rsidP="00A3268D">
            <w:pPr>
              <w:rPr>
                <w:rFonts w:ascii="Georgia" w:hAnsi="Georgia"/>
                <w:sz w:val="18"/>
                <w:szCs w:val="18"/>
              </w:rPr>
            </w:pPr>
            <w:r w:rsidRPr="002142B8">
              <w:rPr>
                <w:rFonts w:ascii="Georgia" w:hAnsi="Georgia"/>
                <w:sz w:val="18"/>
                <w:szCs w:val="18"/>
              </w:rPr>
              <w:t>Rodiklis</w:t>
            </w:r>
          </w:p>
        </w:tc>
        <w:tc>
          <w:tcPr>
            <w:tcW w:w="905" w:type="pct"/>
            <w:tcBorders>
              <w:bottom w:val="single" w:sz="8" w:space="0" w:color="D62E1C"/>
            </w:tcBorders>
            <w:shd w:val="clear" w:color="auto" w:fill="C0504D"/>
            <w:noWrap/>
            <w:hideMark/>
          </w:tcPr>
          <w:p w14:paraId="4410957A" w14:textId="77777777" w:rsidR="00A3268D" w:rsidRPr="002142B8" w:rsidRDefault="00A3268D" w:rsidP="00A3268D">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2142B8">
              <w:rPr>
                <w:rFonts w:ascii="Georgia" w:hAnsi="Georgia" w:cs="Arial"/>
                <w:color w:val="FFFFFF" w:themeColor="background1"/>
                <w:sz w:val="18"/>
                <w:szCs w:val="18"/>
              </w:rPr>
              <w:t xml:space="preserve">mln. </w:t>
            </w:r>
            <w:r w:rsidRPr="002142B8">
              <w:rPr>
                <w:rFonts w:ascii="Georgia" w:eastAsia="Times New Roman" w:hAnsi="Georgia" w:cs="Arial"/>
                <w:color w:val="FFFFFF" w:themeColor="background1"/>
                <w:sz w:val="18"/>
                <w:szCs w:val="18"/>
                <w:lang w:eastAsia="lt-LT"/>
              </w:rPr>
              <w:t>EUR</w:t>
            </w:r>
          </w:p>
        </w:tc>
        <w:tc>
          <w:tcPr>
            <w:tcW w:w="1467" w:type="pct"/>
            <w:tcBorders>
              <w:bottom w:val="single" w:sz="8" w:space="0" w:color="D62E1C"/>
            </w:tcBorders>
            <w:shd w:val="clear" w:color="auto" w:fill="C0504D"/>
            <w:noWrap/>
            <w:hideMark/>
          </w:tcPr>
          <w:p w14:paraId="4B433539" w14:textId="77777777" w:rsidR="00A3268D" w:rsidRPr="002142B8" w:rsidRDefault="00A3268D" w:rsidP="00A3268D">
            <w:pPr>
              <w:spacing w:line="240" w:lineRule="atLeast"/>
              <w:jc w:val="right"/>
              <w:cnfStyle w:val="100000000000" w:firstRow="1" w:lastRow="0" w:firstColumn="0" w:lastColumn="0" w:oddVBand="0" w:evenVBand="0" w:oddHBand="0" w:evenHBand="0" w:firstRowFirstColumn="0" w:firstRowLastColumn="0" w:lastRowFirstColumn="0" w:lastRowLastColumn="0"/>
              <w:rPr>
                <w:rFonts w:ascii="Georgia" w:hAnsi="Georgia" w:cs="Arial"/>
                <w:color w:val="FFFFFF" w:themeColor="background1"/>
                <w:sz w:val="18"/>
                <w:szCs w:val="18"/>
              </w:rPr>
            </w:pPr>
            <w:r w:rsidRPr="002142B8">
              <w:rPr>
                <w:rFonts w:ascii="Georgia" w:hAnsi="Georgia" w:cs="Arial"/>
                <w:color w:val="FFFFFF" w:themeColor="background1"/>
                <w:sz w:val="18"/>
                <w:szCs w:val="18"/>
              </w:rPr>
              <w:t>mln</w:t>
            </w:r>
            <w:r w:rsidRPr="002142B8">
              <w:rPr>
                <w:rFonts w:ascii="Georgia" w:eastAsia="Times New Roman" w:hAnsi="Georgia" w:cs="Arial"/>
                <w:iCs/>
                <w:color w:val="FFFFFF" w:themeColor="background1"/>
                <w:sz w:val="18"/>
                <w:szCs w:val="18"/>
                <w:lang w:eastAsia="lt-LT"/>
              </w:rPr>
              <w:t>. EUR</w:t>
            </w:r>
          </w:p>
        </w:tc>
      </w:tr>
      <w:tr w:rsidR="00A3268D" w:rsidRPr="002142B8" w14:paraId="52CB0B41"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5FA79D66"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Galutinius naudos gavėjus pasiekusios lėšos</w:t>
            </w:r>
          </w:p>
        </w:tc>
        <w:tc>
          <w:tcPr>
            <w:tcW w:w="905" w:type="pct"/>
            <w:noWrap/>
          </w:tcPr>
          <w:p w14:paraId="3C4E4DC3" w14:textId="2B797A36" w:rsidR="00A3268D" w:rsidRPr="002142B8"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741,6</w:t>
            </w:r>
          </w:p>
        </w:tc>
        <w:tc>
          <w:tcPr>
            <w:tcW w:w="1467" w:type="pct"/>
            <w:noWrap/>
            <w:hideMark/>
          </w:tcPr>
          <w:p w14:paraId="230A0769" w14:textId="1C1E16F4" w:rsidR="00A3268D" w:rsidRPr="002142B8" w:rsidRDefault="007E1195"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378,9+362,7</w:t>
            </w:r>
          </w:p>
        </w:tc>
      </w:tr>
      <w:tr w:rsidR="00A3268D" w:rsidRPr="002142B8" w14:paraId="2DBBA793" w14:textId="77777777" w:rsidTr="00B3012C">
        <w:trPr>
          <w:trHeight w:val="6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527B9AB9"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Į fondą grįžusios lėšos iki 2019 metų (įskaitant subsidijas bei iš JESSICA KF grįžtančias lėšas)</w:t>
            </w:r>
          </w:p>
        </w:tc>
        <w:tc>
          <w:tcPr>
            <w:tcW w:w="905" w:type="pct"/>
            <w:tcBorders>
              <w:top w:val="single" w:sz="8" w:space="0" w:color="D62E1C"/>
              <w:bottom w:val="single" w:sz="8" w:space="0" w:color="D62E1C"/>
            </w:tcBorders>
            <w:noWrap/>
          </w:tcPr>
          <w:p w14:paraId="6AEB8A70" w14:textId="3DC38790" w:rsidR="00A3268D" w:rsidRPr="002142B8" w:rsidRDefault="00B3012C"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27,6</w:t>
            </w:r>
          </w:p>
        </w:tc>
        <w:tc>
          <w:tcPr>
            <w:tcW w:w="1467" w:type="pct"/>
            <w:tcBorders>
              <w:top w:val="single" w:sz="8" w:space="0" w:color="D62E1C"/>
              <w:bottom w:val="single" w:sz="8" w:space="0" w:color="D62E1C"/>
            </w:tcBorders>
            <w:noWrap/>
            <w:hideMark/>
          </w:tcPr>
          <w:p w14:paraId="692AE5B8" w14:textId="77777777" w:rsidR="00A3268D" w:rsidRPr="002142B8" w:rsidRDefault="00A3268D"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26,2+1,4</w:t>
            </w:r>
          </w:p>
        </w:tc>
      </w:tr>
      <w:tr w:rsidR="00A3268D" w:rsidRPr="002142B8" w14:paraId="53408047"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hideMark/>
          </w:tcPr>
          <w:p w14:paraId="1318832E"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Komercinių bankų išmokėtos/planuojamos išmokėti lėšos</w:t>
            </w:r>
          </w:p>
        </w:tc>
        <w:tc>
          <w:tcPr>
            <w:tcW w:w="905" w:type="pct"/>
            <w:noWrap/>
          </w:tcPr>
          <w:p w14:paraId="2E6D27D8" w14:textId="35930DD8" w:rsidR="00A3268D" w:rsidRPr="002142B8"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541,7</w:t>
            </w:r>
          </w:p>
        </w:tc>
        <w:tc>
          <w:tcPr>
            <w:tcW w:w="1467" w:type="pct"/>
            <w:noWrap/>
            <w:hideMark/>
          </w:tcPr>
          <w:p w14:paraId="2C9E62C9" w14:textId="3B629B30" w:rsidR="00A3268D" w:rsidRPr="002142B8" w:rsidRDefault="00A3268D" w:rsidP="007E119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w:t>
            </w:r>
            <w:r w:rsidR="007E1195" w:rsidRPr="002142B8">
              <w:rPr>
                <w:rFonts w:ascii="Georgia" w:hAnsi="Georgia" w:cs="Arial"/>
                <w:i/>
                <w:color w:val="000000"/>
                <w:sz w:val="18"/>
                <w:szCs w:val="18"/>
              </w:rPr>
              <w:t>34</w:t>
            </w:r>
            <w:r w:rsidRPr="002142B8">
              <w:rPr>
                <w:rFonts w:ascii="Georgia" w:hAnsi="Georgia" w:cs="Arial"/>
                <w:i/>
                <w:color w:val="000000"/>
                <w:sz w:val="18"/>
                <w:szCs w:val="18"/>
              </w:rPr>
              <w:t xml:space="preserve"> +</w:t>
            </w:r>
            <w:r w:rsidR="007E1195" w:rsidRPr="002142B8">
              <w:rPr>
                <w:rFonts w:ascii="Georgia" w:hAnsi="Georgia" w:cs="Arial"/>
                <w:i/>
                <w:color w:val="000000"/>
                <w:sz w:val="18"/>
                <w:szCs w:val="18"/>
              </w:rPr>
              <w:t>45</w:t>
            </w:r>
            <w:r w:rsidRPr="002142B8">
              <w:rPr>
                <w:rFonts w:ascii="Georgia" w:hAnsi="Georgia" w:cs="Arial"/>
                <w:i/>
                <w:color w:val="000000"/>
                <w:sz w:val="18"/>
                <w:szCs w:val="18"/>
              </w:rPr>
              <w:t xml:space="preserve"> + </w:t>
            </w:r>
            <w:r w:rsidR="007E1195" w:rsidRPr="002142B8">
              <w:rPr>
                <w:rFonts w:ascii="Georgia" w:hAnsi="Georgia" w:cs="Arial"/>
                <w:i/>
                <w:color w:val="000000"/>
                <w:sz w:val="18"/>
                <w:szCs w:val="18"/>
              </w:rPr>
              <w:t>362,7</w:t>
            </w:r>
            <w:r w:rsidRPr="002142B8">
              <w:rPr>
                <w:rFonts w:ascii="Georgia" w:hAnsi="Georgia" w:cs="Arial"/>
                <w:i/>
                <w:color w:val="000000"/>
                <w:sz w:val="18"/>
                <w:szCs w:val="18"/>
              </w:rPr>
              <w:t xml:space="preserve"> </w:t>
            </w:r>
          </w:p>
        </w:tc>
      </w:tr>
      <w:tr w:rsidR="00A3268D" w:rsidRPr="002142B8" w14:paraId="10D4F4AC" w14:textId="77777777" w:rsidTr="00B3012C">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hideMark/>
          </w:tcPr>
          <w:p w14:paraId="6C85F3AA"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Renovuotų pastatų skaičius</w:t>
            </w:r>
          </w:p>
        </w:tc>
        <w:tc>
          <w:tcPr>
            <w:tcW w:w="905" w:type="pct"/>
            <w:tcBorders>
              <w:top w:val="single" w:sz="8" w:space="0" w:color="D62E1C"/>
              <w:bottom w:val="single" w:sz="8" w:space="0" w:color="D62E1C"/>
            </w:tcBorders>
            <w:noWrap/>
          </w:tcPr>
          <w:p w14:paraId="69E1B2B9" w14:textId="69668E79" w:rsidR="00A3268D" w:rsidRPr="002142B8" w:rsidRDefault="008E477E" w:rsidP="008E477E">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 xml:space="preserve">2 247 </w:t>
            </w:r>
          </w:p>
        </w:tc>
        <w:tc>
          <w:tcPr>
            <w:tcW w:w="1467" w:type="pct"/>
            <w:tcBorders>
              <w:top w:val="single" w:sz="8" w:space="0" w:color="D62E1C"/>
              <w:bottom w:val="single" w:sz="8" w:space="0" w:color="D62E1C"/>
            </w:tcBorders>
            <w:noWrap/>
            <w:hideMark/>
          </w:tcPr>
          <w:p w14:paraId="129247B0" w14:textId="03E97CBF" w:rsidR="00A3268D" w:rsidRPr="002142B8" w:rsidRDefault="008E477E" w:rsidP="002D474F">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w:t>
            </w:r>
            <w:r w:rsidR="002D474F" w:rsidRPr="002142B8">
              <w:rPr>
                <w:rFonts w:ascii="Georgia" w:hAnsi="Georgia" w:cs="Arial"/>
                <w:i/>
                <w:color w:val="000000"/>
                <w:sz w:val="18"/>
                <w:szCs w:val="18"/>
              </w:rPr>
              <w:t xml:space="preserve"> </w:t>
            </w:r>
            <w:r w:rsidRPr="002142B8">
              <w:rPr>
                <w:rFonts w:ascii="Georgia" w:hAnsi="Georgia" w:cs="Arial"/>
                <w:i/>
                <w:color w:val="000000"/>
                <w:sz w:val="18"/>
                <w:szCs w:val="18"/>
              </w:rPr>
              <w:t>148+1</w:t>
            </w:r>
            <w:r w:rsidR="002D474F" w:rsidRPr="002142B8">
              <w:rPr>
                <w:rFonts w:ascii="Georgia" w:hAnsi="Georgia" w:cs="Arial"/>
                <w:i/>
                <w:color w:val="000000"/>
                <w:sz w:val="18"/>
                <w:szCs w:val="18"/>
              </w:rPr>
              <w:t xml:space="preserve"> </w:t>
            </w:r>
            <w:r w:rsidRPr="002142B8">
              <w:rPr>
                <w:rFonts w:ascii="Georgia" w:hAnsi="Georgia" w:cs="Arial"/>
                <w:i/>
                <w:color w:val="000000"/>
                <w:sz w:val="18"/>
                <w:szCs w:val="18"/>
              </w:rPr>
              <w:t xml:space="preserve">099 </w:t>
            </w:r>
          </w:p>
        </w:tc>
      </w:tr>
      <w:tr w:rsidR="00A3268D" w:rsidRPr="002142B8" w14:paraId="267465D5"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54BB13C5"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ESI fondų lėšos</w:t>
            </w:r>
          </w:p>
        </w:tc>
        <w:tc>
          <w:tcPr>
            <w:tcW w:w="905" w:type="pct"/>
            <w:noWrap/>
          </w:tcPr>
          <w:p w14:paraId="27F249A1" w14:textId="509BF125" w:rsidR="00A3268D" w:rsidRPr="002142B8"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280,9</w:t>
            </w:r>
          </w:p>
        </w:tc>
        <w:tc>
          <w:tcPr>
            <w:tcW w:w="1467" w:type="pct"/>
            <w:noWrap/>
            <w:hideMark/>
          </w:tcPr>
          <w:p w14:paraId="14FF6FE5" w14:textId="25A12263" w:rsidR="00A3268D" w:rsidRPr="002142B8" w:rsidRDefault="007E1195" w:rsidP="007E119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134</w:t>
            </w:r>
            <w:r w:rsidR="00A3268D" w:rsidRPr="002142B8">
              <w:rPr>
                <w:rFonts w:ascii="Georgia" w:hAnsi="Georgia" w:cs="Arial"/>
                <w:i/>
                <w:color w:val="000000"/>
                <w:sz w:val="18"/>
                <w:szCs w:val="18"/>
              </w:rPr>
              <w:t xml:space="preserve"> +</w:t>
            </w:r>
            <w:r w:rsidRPr="002142B8">
              <w:rPr>
                <w:rFonts w:ascii="Georgia" w:hAnsi="Georgia" w:cs="Arial"/>
                <w:i/>
                <w:color w:val="000000"/>
                <w:sz w:val="18"/>
                <w:szCs w:val="18"/>
              </w:rPr>
              <w:t>66</w:t>
            </w:r>
            <w:r w:rsidR="00A3268D" w:rsidRPr="002142B8">
              <w:rPr>
                <w:rFonts w:ascii="Georgia" w:hAnsi="Georgia" w:cs="Arial"/>
                <w:i/>
                <w:color w:val="000000"/>
                <w:sz w:val="18"/>
                <w:szCs w:val="18"/>
              </w:rPr>
              <w:t xml:space="preserve"> + </w:t>
            </w:r>
            <w:r w:rsidRPr="002142B8">
              <w:rPr>
                <w:rFonts w:ascii="Georgia" w:hAnsi="Georgia" w:cs="Arial"/>
                <w:i/>
                <w:color w:val="000000"/>
                <w:sz w:val="18"/>
                <w:szCs w:val="18"/>
              </w:rPr>
              <w:t>80,9</w:t>
            </w:r>
          </w:p>
        </w:tc>
      </w:tr>
      <w:tr w:rsidR="00A3268D" w:rsidRPr="002142B8" w14:paraId="0C34AF0C" w14:textId="77777777" w:rsidTr="00B3012C">
        <w:trPr>
          <w:trHeight w:val="300"/>
        </w:trPr>
        <w:tc>
          <w:tcPr>
            <w:cnfStyle w:val="001000000000" w:firstRow="0" w:lastRow="0" w:firstColumn="1" w:lastColumn="0" w:oddVBand="0" w:evenVBand="0" w:oddHBand="0" w:evenHBand="0" w:firstRowFirstColumn="0" w:firstRowLastColumn="0" w:lastRowFirstColumn="0" w:lastRowLastColumn="0"/>
            <w:tcW w:w="2629" w:type="pct"/>
            <w:tcBorders>
              <w:top w:val="single" w:sz="8" w:space="0" w:color="D62E1C"/>
              <w:bottom w:val="single" w:sz="8" w:space="0" w:color="D62E1C"/>
            </w:tcBorders>
            <w:noWrap/>
            <w:hideMark/>
          </w:tcPr>
          <w:p w14:paraId="5A735459"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Nacionalinis ko-finansavimas</w:t>
            </w:r>
          </w:p>
        </w:tc>
        <w:tc>
          <w:tcPr>
            <w:tcW w:w="905" w:type="pct"/>
            <w:tcBorders>
              <w:top w:val="single" w:sz="8" w:space="0" w:color="D62E1C"/>
              <w:bottom w:val="single" w:sz="8" w:space="0" w:color="D62E1C"/>
            </w:tcBorders>
            <w:noWrap/>
          </w:tcPr>
          <w:p w14:paraId="1577CE79" w14:textId="74F571DA" w:rsidR="00A3268D" w:rsidRPr="002142B8" w:rsidRDefault="00B3012C"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0,0</w:t>
            </w:r>
          </w:p>
        </w:tc>
        <w:tc>
          <w:tcPr>
            <w:tcW w:w="1467" w:type="pct"/>
            <w:tcBorders>
              <w:top w:val="single" w:sz="8" w:space="0" w:color="D62E1C"/>
              <w:bottom w:val="single" w:sz="8" w:space="0" w:color="D62E1C"/>
            </w:tcBorders>
            <w:noWrap/>
            <w:hideMark/>
          </w:tcPr>
          <w:p w14:paraId="3038C044" w14:textId="77777777" w:rsidR="00A3268D" w:rsidRPr="002142B8" w:rsidRDefault="00A3268D" w:rsidP="00A3268D">
            <w:pPr>
              <w:spacing w:line="240" w:lineRule="atLeast"/>
              <w:jc w:val="right"/>
              <w:cnfStyle w:val="000000000000" w:firstRow="0" w:lastRow="0" w:firstColumn="0" w:lastColumn="0" w:oddVBand="0" w:evenVBand="0" w:oddHBand="0" w:evenHBand="0" w:firstRowFirstColumn="0" w:firstRowLastColumn="0" w:lastRowFirstColumn="0" w:lastRowLastColumn="0"/>
              <w:rPr>
                <w:rFonts w:ascii="Georgia" w:hAnsi="Georgia" w:cs="Arial"/>
                <w:i/>
                <w:color w:val="000000"/>
                <w:sz w:val="18"/>
                <w:szCs w:val="18"/>
              </w:rPr>
            </w:pPr>
            <w:r w:rsidRPr="002142B8">
              <w:rPr>
                <w:rFonts w:ascii="Georgia" w:hAnsi="Georgia" w:cs="Arial"/>
                <w:i/>
                <w:color w:val="000000"/>
                <w:sz w:val="18"/>
                <w:szCs w:val="18"/>
              </w:rPr>
              <w:t>Skirtas papildyti garantijos priemonę</w:t>
            </w:r>
          </w:p>
        </w:tc>
      </w:tr>
      <w:tr w:rsidR="00A3268D" w:rsidRPr="002142B8" w14:paraId="7336D6C1" w14:textId="77777777" w:rsidTr="00B30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9" w:type="pct"/>
            <w:noWrap/>
            <w:hideMark/>
          </w:tcPr>
          <w:p w14:paraId="5C2C17A1" w14:textId="77777777" w:rsidR="00A3268D" w:rsidRPr="002142B8" w:rsidRDefault="00A3268D" w:rsidP="00A3268D">
            <w:pPr>
              <w:spacing w:line="240" w:lineRule="atLeast"/>
              <w:rPr>
                <w:rFonts w:ascii="Georgia" w:hAnsi="Georgia" w:cs="Arial"/>
                <w:b w:val="0"/>
                <w:color w:val="000000"/>
                <w:sz w:val="18"/>
                <w:szCs w:val="18"/>
              </w:rPr>
            </w:pPr>
            <w:r w:rsidRPr="002142B8">
              <w:rPr>
                <w:rFonts w:ascii="Georgia" w:hAnsi="Georgia" w:cs="Arial"/>
                <w:b w:val="0"/>
                <w:color w:val="000000"/>
                <w:sz w:val="18"/>
                <w:szCs w:val="18"/>
              </w:rPr>
              <w:t>Sverto efektas</w:t>
            </w:r>
          </w:p>
        </w:tc>
        <w:tc>
          <w:tcPr>
            <w:tcW w:w="905" w:type="pct"/>
            <w:noWrap/>
          </w:tcPr>
          <w:p w14:paraId="22936524" w14:textId="3B812BC9" w:rsidR="00A3268D" w:rsidRPr="002142B8" w:rsidRDefault="00B3012C" w:rsidP="00A3268D">
            <w:pPr>
              <w:spacing w:line="240" w:lineRule="atLeast"/>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r w:rsidRPr="002142B8">
              <w:rPr>
                <w:rFonts w:ascii="Georgia" w:hAnsi="Georgia" w:cs="Arial"/>
                <w:color w:val="000000"/>
                <w:sz w:val="18"/>
                <w:szCs w:val="18"/>
              </w:rPr>
              <w:t>2,64</w:t>
            </w:r>
          </w:p>
        </w:tc>
        <w:tc>
          <w:tcPr>
            <w:tcW w:w="1467" w:type="pct"/>
            <w:noWrap/>
            <w:hideMark/>
          </w:tcPr>
          <w:p w14:paraId="0B9BCDE7" w14:textId="77777777" w:rsidR="00A3268D" w:rsidRPr="002142B8" w:rsidRDefault="00A3268D" w:rsidP="00A3268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8"/>
                <w:szCs w:val="18"/>
              </w:rPr>
            </w:pPr>
          </w:p>
        </w:tc>
      </w:tr>
    </w:tbl>
    <w:p w14:paraId="5A6FF6D5" w14:textId="77777777" w:rsidR="00A3268D" w:rsidRPr="002142B8" w:rsidRDefault="00A3268D" w:rsidP="000556A1">
      <w:pPr>
        <w:rPr>
          <w:rFonts w:ascii="Georgia" w:hAnsi="Georgia"/>
          <w:sz w:val="20"/>
          <w:szCs w:val="20"/>
          <w:lang w:val="lt-LT"/>
        </w:rPr>
      </w:pPr>
    </w:p>
    <w:p w14:paraId="6D782EF2" w14:textId="6A305035" w:rsidR="000556A1" w:rsidRPr="002142B8" w:rsidRDefault="000556A1" w:rsidP="00D17A57">
      <w:pPr>
        <w:keepNext/>
        <w:rPr>
          <w:rFonts w:ascii="Georgia" w:hAnsi="Georgia"/>
          <w:b/>
          <w:i/>
          <w:sz w:val="28"/>
          <w:szCs w:val="28"/>
          <w:lang w:val="lt-LT"/>
        </w:rPr>
      </w:pPr>
      <w:r w:rsidRPr="002142B8">
        <w:rPr>
          <w:rFonts w:ascii="Georgia" w:hAnsi="Georgia"/>
          <w:b/>
          <w:i/>
          <w:sz w:val="28"/>
          <w:szCs w:val="28"/>
          <w:lang w:val="lt-LT"/>
        </w:rPr>
        <w:t xml:space="preserve">Scenarijus Nr. </w:t>
      </w:r>
      <w:r w:rsidR="00ED628E" w:rsidRPr="002142B8">
        <w:rPr>
          <w:rFonts w:ascii="Georgia" w:hAnsi="Georgia"/>
          <w:b/>
          <w:i/>
          <w:sz w:val="28"/>
          <w:szCs w:val="28"/>
          <w:lang w:val="lt-LT"/>
        </w:rPr>
        <w:t>3</w:t>
      </w:r>
      <w:r w:rsidRPr="002142B8">
        <w:rPr>
          <w:rFonts w:ascii="Georgia" w:hAnsi="Georgia"/>
          <w:b/>
          <w:i/>
          <w:sz w:val="28"/>
          <w:szCs w:val="28"/>
          <w:lang w:val="lt-LT"/>
        </w:rPr>
        <w:t>: Visos lėšos panaudojamos garantijoms</w:t>
      </w:r>
    </w:p>
    <w:p w14:paraId="7E3DACE0" w14:textId="544C3B3D" w:rsidR="000556A1" w:rsidRPr="002142B8" w:rsidRDefault="000556A1" w:rsidP="0063781D">
      <w:pPr>
        <w:keepNext/>
        <w:jc w:val="both"/>
        <w:rPr>
          <w:lang w:val="lt-LT"/>
        </w:rPr>
      </w:pPr>
      <w:r w:rsidRPr="002142B8">
        <w:rPr>
          <w:rFonts w:ascii="Georgia" w:hAnsi="Georgia"/>
          <w:sz w:val="20"/>
          <w:szCs w:val="20"/>
          <w:lang w:val="lt-LT"/>
        </w:rPr>
        <w:t xml:space="preserve">Šiame modelyje visos daugiabučių renovacijai numatytos ESI fondų lėšos skiriamos garantijų priemonės įgyvendinimui. Kartu su 2014-2020 m. ES lėšomis garantijų priemonei skiriamos ir visos grįžtančios lėšos iš JESSICA KF. Visos garantijų priemonės prielaidos tokios pat, kaip </w:t>
      </w:r>
      <w:r w:rsidR="00ED628E" w:rsidRPr="002142B8">
        <w:rPr>
          <w:rFonts w:ascii="Georgia" w:hAnsi="Georgia"/>
          <w:sz w:val="20"/>
          <w:szCs w:val="20"/>
          <w:lang w:val="lt-LT"/>
        </w:rPr>
        <w:t xml:space="preserve">antrajame </w:t>
      </w:r>
      <w:r w:rsidRPr="002142B8">
        <w:rPr>
          <w:rFonts w:ascii="Georgia" w:hAnsi="Georgia"/>
          <w:sz w:val="20"/>
          <w:szCs w:val="20"/>
          <w:lang w:val="lt-LT"/>
        </w:rPr>
        <w:t>scenarijuje (garantinio modelio dalyje). Šiame scenarijuje modeliuojamas maksimalus projektų skaičius.</w:t>
      </w:r>
    </w:p>
    <w:p w14:paraId="5FADF07E" w14:textId="32348FA9" w:rsidR="000556A1" w:rsidRPr="00EB3D2A" w:rsidRDefault="000556A1" w:rsidP="000556A1">
      <w:pPr>
        <w:pStyle w:val="Antrat"/>
        <w:rPr>
          <w:b w:val="0"/>
          <w:i/>
          <w:szCs w:val="20"/>
          <w:lang w:val="lt-LT"/>
        </w:rPr>
      </w:pPr>
      <w:bookmarkStart w:id="194" w:name="_Toc507939182"/>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60</w:t>
      </w:r>
      <w:r w:rsidRPr="00EB3D2A">
        <w:rPr>
          <w:b w:val="0"/>
          <w:i/>
          <w:lang w:val="lt-LT"/>
        </w:rPr>
        <w:fldChar w:fldCharType="end"/>
      </w:r>
      <w:r w:rsidRPr="00EB3D2A">
        <w:rPr>
          <w:b w:val="0"/>
          <w:i/>
          <w:lang w:val="lt-LT"/>
        </w:rPr>
        <w:t xml:space="preserve">. Scenarijaus Nr. </w:t>
      </w:r>
      <w:r w:rsidR="00ED628E" w:rsidRPr="00EB3D2A">
        <w:rPr>
          <w:b w:val="0"/>
          <w:i/>
          <w:lang w:val="lt-LT"/>
        </w:rPr>
        <w:t>3</w:t>
      </w:r>
      <w:r w:rsidRPr="00EB3D2A">
        <w:rPr>
          <w:b w:val="0"/>
          <w:i/>
          <w:lang w:val="lt-LT"/>
        </w:rPr>
        <w:t xml:space="preserve"> prielaidos</w:t>
      </w:r>
      <w:bookmarkEnd w:id="194"/>
    </w:p>
    <w:tbl>
      <w:tblPr>
        <w:tblStyle w:val="viesussraas2parykinimas"/>
        <w:tblW w:w="5000" w:type="pct"/>
        <w:tblLook w:val="04A0" w:firstRow="1" w:lastRow="0" w:firstColumn="1" w:lastColumn="0" w:noHBand="0" w:noVBand="1"/>
      </w:tblPr>
      <w:tblGrid>
        <w:gridCol w:w="3164"/>
        <w:gridCol w:w="6078"/>
      </w:tblGrid>
      <w:tr w:rsidR="000556A1" w:rsidRPr="002142B8" w14:paraId="1A14699C"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2EEFFF2C" w14:textId="77777777" w:rsidR="000556A1" w:rsidRPr="002142B8" w:rsidRDefault="000556A1" w:rsidP="00B042D4">
            <w:pPr>
              <w:keepNext/>
              <w:jc w:val="center"/>
              <w:rPr>
                <w:rFonts w:ascii="Georgia" w:hAnsi="Georgia"/>
                <w:sz w:val="20"/>
                <w:szCs w:val="20"/>
              </w:rPr>
            </w:pPr>
            <w:r w:rsidRPr="002142B8">
              <w:rPr>
                <w:rFonts w:ascii="Georgia" w:hAnsi="Georgia"/>
                <w:sz w:val="20"/>
                <w:szCs w:val="20"/>
              </w:rPr>
              <w:t>Prielaidos</w:t>
            </w:r>
          </w:p>
        </w:tc>
        <w:tc>
          <w:tcPr>
            <w:tcW w:w="3288" w:type="pct"/>
            <w:tcBorders>
              <w:bottom w:val="single" w:sz="8" w:space="0" w:color="C0504D" w:themeColor="accent2"/>
            </w:tcBorders>
          </w:tcPr>
          <w:p w14:paraId="481CF5F4" w14:textId="77777777" w:rsidR="000556A1" w:rsidRPr="002142B8"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Komentaras</w:t>
            </w:r>
          </w:p>
        </w:tc>
      </w:tr>
      <w:tr w:rsidR="000556A1" w:rsidRPr="002142B8" w14:paraId="547897E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1C244297" w14:textId="77777777" w:rsidR="000556A1" w:rsidRPr="002142B8" w:rsidRDefault="000556A1" w:rsidP="00B042D4">
            <w:pPr>
              <w:rPr>
                <w:rFonts w:ascii="Georgia" w:hAnsi="Georgia"/>
                <w:b w:val="0"/>
                <w:sz w:val="20"/>
                <w:szCs w:val="20"/>
              </w:rPr>
            </w:pPr>
            <w:r w:rsidRPr="002142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361B682F" w14:textId="239C19C3"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Maksimalus paskolos suteikimo terminas 20 metų.</w:t>
            </w:r>
          </w:p>
        </w:tc>
      </w:tr>
      <w:tr w:rsidR="000556A1" w:rsidRPr="002142B8" w14:paraId="2505B366"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16982E4" w14:textId="4298B41F" w:rsidR="000556A1" w:rsidRPr="002142B8" w:rsidRDefault="000556A1" w:rsidP="00B042D4">
            <w:pPr>
              <w:rPr>
                <w:rFonts w:ascii="Georgia" w:hAnsi="Georgia"/>
                <w:b w:val="0"/>
                <w:sz w:val="20"/>
                <w:szCs w:val="20"/>
              </w:rPr>
            </w:pPr>
            <w:r w:rsidRPr="002142B8">
              <w:rPr>
                <w:rFonts w:ascii="Georgia" w:hAnsi="Georgia"/>
                <w:sz w:val="20"/>
                <w:szCs w:val="20"/>
              </w:rPr>
              <w:t xml:space="preserve">Subsidija: </w:t>
            </w:r>
            <w:r w:rsidR="006420B1" w:rsidRPr="002142B8">
              <w:rPr>
                <w:rFonts w:ascii="Georgia" w:hAnsi="Georgia"/>
                <w:sz w:val="20"/>
                <w:szCs w:val="20"/>
              </w:rPr>
              <w:t>30</w:t>
            </w:r>
            <w:r w:rsidRPr="002142B8">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37CF4137" w14:textId="37F3797D" w:rsidR="000556A1" w:rsidRPr="002142B8"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Projektams, pasiekusiems ne mažesnį kaip 40 proc. sutaupymą, suteikiama </w:t>
            </w:r>
            <w:r w:rsidR="006420B1" w:rsidRPr="002142B8">
              <w:rPr>
                <w:rFonts w:ascii="Georgia" w:hAnsi="Georgia"/>
                <w:sz w:val="20"/>
              </w:rPr>
              <w:t xml:space="preserve">30 </w:t>
            </w:r>
            <w:r w:rsidRPr="002142B8">
              <w:rPr>
                <w:rFonts w:ascii="Georgia" w:hAnsi="Georgia"/>
                <w:sz w:val="20"/>
              </w:rPr>
              <w:t>% subsidija (valstybės parama) biudžeto lėšomis.</w:t>
            </w:r>
          </w:p>
        </w:tc>
      </w:tr>
      <w:tr w:rsidR="000556A1" w:rsidRPr="002142B8" w14:paraId="012277B7"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B0D7035" w14:textId="77777777" w:rsidR="000556A1" w:rsidRPr="002142B8" w:rsidRDefault="000556A1" w:rsidP="00B042D4">
            <w:pPr>
              <w:rPr>
                <w:rFonts w:ascii="Georgia" w:hAnsi="Georgia"/>
                <w:b w:val="0"/>
                <w:sz w:val="20"/>
                <w:szCs w:val="20"/>
              </w:rPr>
            </w:pPr>
            <w:r w:rsidRPr="002142B8">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2D967C12" w14:textId="77777777" w:rsidR="000556A1" w:rsidRPr="002142B8" w:rsidRDefault="000556A1" w:rsidP="00B04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Blogų paskolų dalis buvo nustatyta remiantis ekspertų ir komercinių bankų vertinimu</w:t>
            </w:r>
            <w:r w:rsidRPr="002142B8">
              <w:rPr>
                <w:rFonts w:ascii="Georgia" w:hAnsi="Georgia"/>
                <w:sz w:val="20"/>
                <w:szCs w:val="20"/>
              </w:rPr>
              <w:t>. Daroma prielaida, kad iki 2022 metų reikės išmokėti 50% garantijų bankams nuo planuojamų blogų paskolų.</w:t>
            </w:r>
          </w:p>
        </w:tc>
      </w:tr>
      <w:tr w:rsidR="008A0A09" w:rsidRPr="002142B8" w14:paraId="054C2C2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A2EEED3" w14:textId="77777777" w:rsidR="008A0A09" w:rsidRPr="002142B8" w:rsidRDefault="008A0A09" w:rsidP="008A0A09">
            <w:pPr>
              <w:rPr>
                <w:rFonts w:ascii="Georgia" w:hAnsi="Georgia"/>
                <w:sz w:val="20"/>
              </w:rPr>
            </w:pPr>
            <w:r w:rsidRPr="002142B8">
              <w:rPr>
                <w:rFonts w:ascii="Georgia" w:hAnsi="Georgia"/>
                <w:sz w:val="20"/>
              </w:rPr>
              <w:lastRenderedPageBreak/>
              <w:t>Modernizavimo procese dalyvaujančio vidutinio pastato projekto investicijų vertė: 330 000 eurų</w:t>
            </w:r>
          </w:p>
          <w:p w14:paraId="44F375D7" w14:textId="77777777" w:rsidR="008A0A09" w:rsidRPr="002142B8" w:rsidRDefault="008A0A09" w:rsidP="008A0A09">
            <w:pPr>
              <w:rPr>
                <w:rFonts w:ascii="Georgia" w:hAnsi="Georgia"/>
                <w:sz w:val="20"/>
              </w:rPr>
            </w:pPr>
          </w:p>
          <w:p w14:paraId="09F075B6" w14:textId="7F87F5E6" w:rsidR="008A0A09" w:rsidRPr="002142B8" w:rsidRDefault="008A0A09" w:rsidP="008A0A09">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32C6E165" w14:textId="77777777" w:rsidR="008A0A09" w:rsidRPr="002142B8"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12C1AB26" w14:textId="77777777" w:rsidR="008A0A09" w:rsidRPr="002142B8"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p>
          <w:p w14:paraId="2ACF80E9" w14:textId="77777777" w:rsidR="008A0A09" w:rsidRPr="002142B8" w:rsidRDefault="008A0A09" w:rsidP="008A0A09">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2142B8">
              <w:rPr>
                <w:rFonts w:ascii="Georgia" w:hAnsi="Georgia"/>
                <w:sz w:val="20"/>
                <w:vertAlign w:val="superscript"/>
              </w:rPr>
              <w:t xml:space="preserve">2 </w:t>
            </w:r>
            <w:r w:rsidRPr="002142B8">
              <w:rPr>
                <w:rFonts w:ascii="Georgia" w:hAnsi="Georgia"/>
                <w:sz w:val="20"/>
              </w:rPr>
              <w:t>(šildomas plotas 1 770-1 920 m</w:t>
            </w:r>
            <w:r w:rsidRPr="002142B8">
              <w:rPr>
                <w:rFonts w:ascii="Georgia" w:hAnsi="Georgia"/>
                <w:sz w:val="20"/>
                <w:vertAlign w:val="superscript"/>
              </w:rPr>
              <w:t>2</w:t>
            </w:r>
            <w:r w:rsidRPr="002142B8">
              <w:rPr>
                <w:rFonts w:ascii="Georgia" w:hAnsi="Georgia"/>
                <w:sz w:val="20"/>
              </w:rPr>
              <w:t>) tai yra bendras plotas daugiau nei 1 000 m</w:t>
            </w:r>
            <w:r w:rsidRPr="002142B8">
              <w:rPr>
                <w:rFonts w:ascii="Georgia" w:hAnsi="Georgia"/>
                <w:sz w:val="20"/>
                <w:vertAlign w:val="superscript"/>
              </w:rPr>
              <w:t>2</w:t>
            </w:r>
            <w:r w:rsidRPr="002142B8">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2142B8">
              <w:rPr>
                <w:rFonts w:ascii="Georgia" w:hAnsi="Georgia"/>
                <w:sz w:val="20"/>
                <w:vertAlign w:val="superscript"/>
              </w:rPr>
              <w:t>2</w:t>
            </w:r>
            <w:r w:rsidRPr="002142B8">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68E07096" w14:textId="518D74D9" w:rsidR="008A0A09" w:rsidRPr="002142B8" w:rsidRDefault="008A0A09" w:rsidP="008A0A09">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0556A1" w:rsidRPr="002142B8" w14:paraId="322E71F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646CDDA" w14:textId="77777777" w:rsidR="000556A1" w:rsidRPr="002142B8" w:rsidRDefault="000556A1" w:rsidP="00B042D4">
            <w:pPr>
              <w:rPr>
                <w:rFonts w:ascii="Georgia" w:hAnsi="Georgia"/>
                <w:b w:val="0"/>
                <w:sz w:val="20"/>
                <w:szCs w:val="20"/>
              </w:rPr>
            </w:pPr>
            <w:r w:rsidRPr="002142B8">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7553FD6F" w14:textId="77777777" w:rsidR="000556A1" w:rsidRPr="002142B8" w:rsidRDefault="000556A1" w:rsidP="00B042D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Galutiniams naudos gavėjams taikoma palūkanų norma 3 proc. Garantijų priemonės atveju numatoma bankams kompensuoti palūkanų skirtumą viršijantį 3 proc. palūkanų normą.</w:t>
            </w:r>
          </w:p>
        </w:tc>
      </w:tr>
      <w:tr w:rsidR="000556A1" w:rsidRPr="002142B8" w14:paraId="4A47D4B0"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AD757F7" w14:textId="128871FA" w:rsidR="000556A1" w:rsidRPr="002142B8" w:rsidRDefault="000556A1" w:rsidP="00B042D4">
            <w:pPr>
              <w:rPr>
                <w:rFonts w:ascii="Georgia" w:hAnsi="Georgia"/>
                <w:b w:val="0"/>
                <w:sz w:val="20"/>
                <w:szCs w:val="20"/>
              </w:rPr>
            </w:pPr>
            <w:r w:rsidRPr="002142B8">
              <w:rPr>
                <w:rFonts w:ascii="Georgia" w:hAnsi="Georgia"/>
                <w:sz w:val="20"/>
                <w:szCs w:val="20"/>
              </w:rPr>
              <w:t xml:space="preserve">Bankų palūkanos: </w:t>
            </w:r>
            <w:r w:rsidR="00AD7E1C" w:rsidRPr="002142B8">
              <w:rPr>
                <w:rFonts w:ascii="Georgia" w:hAnsi="Georgia"/>
                <w:sz w:val="20"/>
                <w:szCs w:val="20"/>
              </w:rPr>
              <w:t>5,8</w:t>
            </w:r>
            <w:r w:rsidRPr="002142B8">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7F7D7CE5" w14:textId="4AE21919" w:rsidR="00AD7E1C" w:rsidRPr="002142B8" w:rsidRDefault="00AD7E1C"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2142B8">
              <w:rPr>
                <w:rFonts w:ascii="Georgia" w:hAnsi="Georgia"/>
                <w:sz w:val="20"/>
                <w:szCs w:val="20"/>
              </w:rPr>
              <w:br/>
              <w:t>1) Prognozuojamas suderintas vartotojų kainų indekso (SVKI) vidurkis Lietuvoje 2017-2019 (2,9%);</w:t>
            </w:r>
            <w:r w:rsidRPr="002142B8">
              <w:rPr>
                <w:rFonts w:ascii="Georgia" w:hAnsi="Georgia"/>
                <w:sz w:val="20"/>
                <w:szCs w:val="20"/>
              </w:rPr>
              <w:br/>
              <w:t xml:space="preserve">2) vidutinės Lietuvos Respublikos Vyriausybės obligacijų emisijos (2536 dienų trukmės) palūkanos 2014 rugsėjo mėnesį (0,8%); </w:t>
            </w:r>
            <w:r w:rsidRPr="002142B8">
              <w:rPr>
                <w:rFonts w:ascii="Georgia" w:hAnsi="Georgia"/>
                <w:sz w:val="20"/>
                <w:szCs w:val="20"/>
              </w:rPr>
              <w:br/>
              <w:t>3) Galima komercinių bankų marža (2,1%).</w:t>
            </w:r>
          </w:p>
          <w:p w14:paraId="232B2C1B" w14:textId="18A77FEF"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 </w:t>
            </w:r>
          </w:p>
        </w:tc>
      </w:tr>
      <w:tr w:rsidR="000556A1" w:rsidRPr="002142B8" w14:paraId="1708A09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F411275" w14:textId="77777777" w:rsidR="000556A1" w:rsidRPr="002142B8" w:rsidRDefault="000556A1" w:rsidP="00B042D4">
            <w:pPr>
              <w:rPr>
                <w:rFonts w:ascii="Georgia" w:hAnsi="Georgia"/>
                <w:b w:val="0"/>
                <w:sz w:val="20"/>
                <w:szCs w:val="20"/>
              </w:rPr>
            </w:pPr>
            <w:r w:rsidRPr="002142B8">
              <w:rPr>
                <w:rFonts w:ascii="Georgia" w:hAnsi="Georgia"/>
                <w:sz w:val="20"/>
                <w:szCs w:val="20"/>
              </w:rPr>
              <w:t>Investuojamų ESI fondų lėšų suma: 280,9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3E6DD81D" w14:textId="3C3250A9" w:rsidR="000556A1" w:rsidRPr="002142B8"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Pradinėje ataskaitoje buvo numatyta investuoti 280,9 mln. eurų</w:t>
            </w:r>
            <w:r w:rsidRPr="002142B8">
              <w:rPr>
                <w:rFonts w:ascii="Georgia" w:hAnsi="Georgia"/>
                <w:sz w:val="20"/>
                <w:szCs w:val="20"/>
              </w:rPr>
              <w:t xml:space="preserve">. Šiame scenarijuje  visos </w:t>
            </w:r>
            <w:r w:rsidR="000556A1" w:rsidRPr="002142B8">
              <w:rPr>
                <w:rFonts w:ascii="Georgia" w:hAnsi="Georgia"/>
                <w:sz w:val="20"/>
                <w:szCs w:val="20"/>
              </w:rPr>
              <w:t>ESI fondų lėšos skiriamos garantijų priemonei</w:t>
            </w:r>
          </w:p>
        </w:tc>
      </w:tr>
      <w:tr w:rsidR="000556A1" w:rsidRPr="002142B8" w14:paraId="4B8684E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104677D" w14:textId="77777777" w:rsidR="000556A1" w:rsidRPr="002142B8" w:rsidRDefault="000556A1" w:rsidP="00B042D4">
            <w:pPr>
              <w:rPr>
                <w:rFonts w:ascii="Georgia" w:hAnsi="Georgia"/>
                <w:sz w:val="20"/>
                <w:szCs w:val="20"/>
              </w:rPr>
            </w:pPr>
            <w:r w:rsidRPr="002142B8">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61030292"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rPr>
              <w:t xml:space="preserve"> 2007-2013 m. periodo grįžtančios lėšos, kurios sudarytų apie 67,2 mln. eurų.</w:t>
            </w:r>
          </w:p>
        </w:tc>
      </w:tr>
      <w:tr w:rsidR="000556A1" w:rsidRPr="002142B8" w14:paraId="7E5B5763"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2A5D1BD" w14:textId="77777777" w:rsidR="000556A1" w:rsidRPr="002142B8" w:rsidRDefault="000556A1" w:rsidP="00B042D4">
            <w:pPr>
              <w:rPr>
                <w:rFonts w:ascii="Georgia" w:hAnsi="Georgia"/>
                <w:sz w:val="20"/>
                <w:szCs w:val="20"/>
              </w:rPr>
            </w:pPr>
            <w:r w:rsidRPr="002142B8">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2E6BF323"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Fondo garantiniams įsipareigojimams vykdyti rezervuojama 10% nuo bankų suteiktų paskolų sumos galutiniams naudos gavėjams. Ši prielaida atitinka PwC studijoje aprašytą prielaidą.</w:t>
            </w:r>
          </w:p>
        </w:tc>
      </w:tr>
      <w:tr w:rsidR="000556A1" w:rsidRPr="002142B8" w14:paraId="7199DFB4"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134615C" w14:textId="77777777" w:rsidR="000556A1" w:rsidRPr="002142B8" w:rsidRDefault="000556A1" w:rsidP="00B042D4">
            <w:pPr>
              <w:jc w:val="both"/>
              <w:rPr>
                <w:rFonts w:ascii="Georgia" w:hAnsi="Georgia"/>
                <w:sz w:val="20"/>
              </w:rPr>
            </w:pPr>
            <w:r w:rsidRPr="002142B8">
              <w:rPr>
                <w:rFonts w:ascii="Georgia" w:hAnsi="Georgia"/>
                <w:sz w:val="20"/>
              </w:rPr>
              <w:t>Siektinas įgyvendinamų projektų skaičius: 520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2187CB95"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520 naujų projektų.</w:t>
            </w:r>
          </w:p>
        </w:tc>
      </w:tr>
      <w:tr w:rsidR="000556A1" w:rsidRPr="002142B8" w14:paraId="77F8086C"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727EEA8" w14:textId="77777777" w:rsidR="000556A1" w:rsidRPr="002142B8" w:rsidRDefault="000556A1" w:rsidP="00B042D4">
            <w:pPr>
              <w:rPr>
                <w:rFonts w:ascii="Georgia" w:hAnsi="Georgia"/>
                <w:sz w:val="20"/>
              </w:rPr>
            </w:pPr>
            <w:r w:rsidRPr="002142B8">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11FB7D06"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0556A1" w:rsidRPr="002142B8" w14:paraId="7E87885D"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01680EC0" w14:textId="77777777" w:rsidR="000556A1" w:rsidRPr="002142B8" w:rsidRDefault="000556A1" w:rsidP="00B042D4">
            <w:pPr>
              <w:rPr>
                <w:rFonts w:ascii="Georgia" w:hAnsi="Georgia"/>
                <w:sz w:val="20"/>
              </w:rPr>
            </w:pPr>
            <w:r w:rsidRPr="002142B8">
              <w:rPr>
                <w:rFonts w:ascii="Georgia" w:hAnsi="Georgia"/>
                <w:sz w:val="20"/>
              </w:rPr>
              <w:t>Projekto įgyvendinimo trukmė: 1 metai</w:t>
            </w:r>
          </w:p>
        </w:tc>
        <w:tc>
          <w:tcPr>
            <w:tcW w:w="3288" w:type="pct"/>
            <w:tcBorders>
              <w:top w:val="single" w:sz="6" w:space="0" w:color="C0504D" w:themeColor="accent2"/>
              <w:left w:val="single" w:sz="6" w:space="0" w:color="C0504D" w:themeColor="accent2"/>
            </w:tcBorders>
          </w:tcPr>
          <w:p w14:paraId="100A8470"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Remiantis šiuo metu įgyvendinamų projektų duomenimis nustatyta vidutinė projekto įgyvendinimo trukmė – 1 metai nuo paskolos sutarties pasirašymo dienos.</w:t>
            </w:r>
          </w:p>
        </w:tc>
      </w:tr>
    </w:tbl>
    <w:p w14:paraId="51E176CB" w14:textId="77777777" w:rsidR="000556A1" w:rsidRPr="002142B8" w:rsidRDefault="000556A1" w:rsidP="000556A1">
      <w:pPr>
        <w:jc w:val="both"/>
        <w:rPr>
          <w:rFonts w:ascii="Georgia" w:hAnsi="Georgia"/>
          <w:sz w:val="20"/>
          <w:szCs w:val="20"/>
          <w:lang w:val="lt-LT"/>
        </w:rPr>
      </w:pPr>
    </w:p>
    <w:p w14:paraId="51973BF0" w14:textId="1A3B0A7D" w:rsidR="000556A1" w:rsidRPr="00EB3D2A" w:rsidRDefault="000556A1" w:rsidP="000556A1">
      <w:pPr>
        <w:pStyle w:val="Antrat"/>
        <w:jc w:val="both"/>
        <w:rPr>
          <w:b w:val="0"/>
          <w:i/>
          <w:lang w:val="lt-LT"/>
        </w:rPr>
      </w:pPr>
      <w:bookmarkStart w:id="195" w:name="_Toc507939183"/>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61</w:t>
      </w:r>
      <w:r w:rsidRPr="00EB3D2A">
        <w:rPr>
          <w:b w:val="0"/>
          <w:i/>
          <w:lang w:val="lt-LT"/>
        </w:rPr>
        <w:fldChar w:fldCharType="end"/>
      </w:r>
      <w:r w:rsidRPr="00EB3D2A">
        <w:rPr>
          <w:b w:val="0"/>
          <w:i/>
          <w:lang w:val="lt-LT"/>
        </w:rPr>
        <w:t xml:space="preserve">. Scenarijaus Nr. </w:t>
      </w:r>
      <w:r w:rsidR="008B2CF9" w:rsidRPr="00EB3D2A">
        <w:rPr>
          <w:b w:val="0"/>
          <w:i/>
          <w:lang w:val="lt-LT"/>
        </w:rPr>
        <w:t>3</w:t>
      </w:r>
      <w:r w:rsidRPr="00EB3D2A">
        <w:rPr>
          <w:b w:val="0"/>
          <w:i/>
          <w:lang w:val="lt-LT"/>
        </w:rPr>
        <w:t xml:space="preserve"> įgyvendinimo prognozė</w:t>
      </w:r>
      <w:bookmarkEnd w:id="195"/>
    </w:p>
    <w:p w14:paraId="31E33922" w14:textId="6C7C6BD5" w:rsidR="000556A1" w:rsidRPr="002142B8" w:rsidRDefault="000556A1" w:rsidP="000556A1">
      <w:pPr>
        <w:pStyle w:val="Antrat"/>
        <w:rPr>
          <w:lang w:val="lt-LT"/>
        </w:rPr>
      </w:pPr>
      <w:r w:rsidRPr="002142B8">
        <w:rPr>
          <w:noProof/>
          <w:lang w:val="lt-LT" w:eastAsia="lt-LT"/>
        </w:rPr>
        <w:drawing>
          <wp:inline distT="0" distB="0" distL="0" distR="0" wp14:anchorId="7C6E89BC" wp14:editId="600C641A">
            <wp:extent cx="6120130" cy="3298825"/>
            <wp:effectExtent l="0" t="0" r="0" b="0"/>
            <wp:docPr id="5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120130" cy="3298825"/>
                    </a:xfrm>
                    <a:prstGeom prst="rect">
                      <a:avLst/>
                    </a:prstGeom>
                    <a:noFill/>
                    <a:ln>
                      <a:noFill/>
                    </a:ln>
                  </pic:spPr>
                </pic:pic>
              </a:graphicData>
            </a:graphic>
          </wp:inline>
        </w:drawing>
      </w:r>
    </w:p>
    <w:p w14:paraId="7C41C02A" w14:textId="13BA32F4" w:rsidR="008A0A09" w:rsidRPr="002142B8" w:rsidRDefault="008A0A09" w:rsidP="008D155F">
      <w:pPr>
        <w:rPr>
          <w:lang w:val="lt-LT"/>
        </w:rPr>
      </w:pPr>
      <w:r w:rsidRPr="002142B8">
        <w:rPr>
          <w:noProof/>
          <w:lang w:val="lt-LT" w:eastAsia="lt-LT"/>
        </w:rPr>
        <w:drawing>
          <wp:inline distT="0" distB="0" distL="0" distR="0" wp14:anchorId="69417E86" wp14:editId="56692112">
            <wp:extent cx="6087533" cy="337559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3753" cy="3390132"/>
                    </a:xfrm>
                    <a:prstGeom prst="rect">
                      <a:avLst/>
                    </a:prstGeom>
                  </pic:spPr>
                </pic:pic>
              </a:graphicData>
            </a:graphic>
          </wp:inline>
        </w:drawing>
      </w:r>
    </w:p>
    <w:p w14:paraId="2F77B2A0" w14:textId="77777777" w:rsidR="008A0A09" w:rsidRPr="002142B8" w:rsidRDefault="008A0A09" w:rsidP="008D155F">
      <w:pPr>
        <w:rPr>
          <w:lang w:val="lt-LT"/>
        </w:rPr>
      </w:pPr>
    </w:p>
    <w:p w14:paraId="7513AA1C" w14:textId="018DD167" w:rsidR="000556A1" w:rsidRPr="00EB3D2A" w:rsidRDefault="000556A1" w:rsidP="000556A1">
      <w:pPr>
        <w:pStyle w:val="Antrat"/>
        <w:rPr>
          <w:b w:val="0"/>
          <w:i/>
          <w:szCs w:val="20"/>
          <w:lang w:val="lt-LT"/>
        </w:rPr>
      </w:pPr>
      <w:bookmarkStart w:id="196" w:name="_Toc507939184"/>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62</w:t>
      </w:r>
      <w:r w:rsidRPr="00EB3D2A">
        <w:rPr>
          <w:b w:val="0"/>
          <w:i/>
          <w:lang w:val="lt-LT"/>
        </w:rPr>
        <w:fldChar w:fldCharType="end"/>
      </w:r>
      <w:r w:rsidRPr="00EB3D2A">
        <w:rPr>
          <w:b w:val="0"/>
          <w:i/>
          <w:lang w:val="lt-LT"/>
        </w:rPr>
        <w:t xml:space="preserve">. </w:t>
      </w:r>
      <w:r w:rsidRPr="00EB3D2A">
        <w:rPr>
          <w:b w:val="0"/>
          <w:i/>
          <w:szCs w:val="20"/>
          <w:lang w:val="lt-LT"/>
        </w:rPr>
        <w:t xml:space="preserve">Scenarijaus Nr. </w:t>
      </w:r>
      <w:r w:rsidR="008B2CF9" w:rsidRPr="00EB3D2A">
        <w:rPr>
          <w:b w:val="0"/>
          <w:i/>
          <w:szCs w:val="20"/>
          <w:lang w:val="lt-LT"/>
        </w:rPr>
        <w:t>3</w:t>
      </w:r>
      <w:r w:rsidRPr="00EB3D2A">
        <w:rPr>
          <w:b w:val="0"/>
          <w:i/>
          <w:szCs w:val="20"/>
          <w:lang w:val="lt-LT"/>
        </w:rPr>
        <w:t xml:space="preserve"> rezultatai</w:t>
      </w:r>
      <w:bookmarkEnd w:id="196"/>
    </w:p>
    <w:tbl>
      <w:tblPr>
        <w:tblStyle w:val="viesussraas2parykinimas"/>
        <w:tblW w:w="5000" w:type="pct"/>
        <w:tblLook w:val="04A0" w:firstRow="1" w:lastRow="0" w:firstColumn="1" w:lastColumn="0" w:noHBand="0" w:noVBand="1"/>
      </w:tblPr>
      <w:tblGrid>
        <w:gridCol w:w="6651"/>
        <w:gridCol w:w="2591"/>
      </w:tblGrid>
      <w:tr w:rsidR="000556A1" w:rsidRPr="002142B8" w14:paraId="1433DF57" w14:textId="77777777" w:rsidTr="00B04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E71EF6F" w14:textId="77777777" w:rsidR="000556A1" w:rsidRPr="002142B8" w:rsidRDefault="000556A1" w:rsidP="0042786A">
            <w:pPr>
              <w:rPr>
                <w:rFonts w:ascii="Georgia" w:hAnsi="Georgia"/>
                <w:sz w:val="20"/>
                <w:szCs w:val="20"/>
              </w:rPr>
            </w:pPr>
            <w:r w:rsidRPr="002142B8">
              <w:rPr>
                <w:rFonts w:ascii="Georgia" w:hAnsi="Georgia"/>
                <w:sz w:val="20"/>
                <w:szCs w:val="20"/>
              </w:rPr>
              <w:t>Fondas</w:t>
            </w:r>
          </w:p>
        </w:tc>
        <w:tc>
          <w:tcPr>
            <w:tcW w:w="1402" w:type="pct"/>
          </w:tcPr>
          <w:p w14:paraId="43FB2128" w14:textId="77777777" w:rsidR="000556A1" w:rsidRPr="002142B8" w:rsidRDefault="000556A1" w:rsidP="0042786A">
            <w:pPr>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mln. </w:t>
            </w:r>
            <w:r w:rsidRPr="002142B8">
              <w:rPr>
                <w:rFonts w:ascii="Georgia" w:hAnsi="Georgia"/>
                <w:sz w:val="20"/>
              </w:rPr>
              <w:t>eurų</w:t>
            </w:r>
          </w:p>
        </w:tc>
      </w:tr>
      <w:tr w:rsidR="000556A1" w:rsidRPr="002142B8" w14:paraId="41D5496C"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50BBDFC" w14:textId="77777777" w:rsidR="000556A1" w:rsidRPr="002142B8" w:rsidRDefault="000556A1" w:rsidP="00B042D4">
            <w:pPr>
              <w:rPr>
                <w:rFonts w:ascii="Georgia" w:hAnsi="Georgia"/>
                <w:sz w:val="20"/>
                <w:szCs w:val="20"/>
              </w:rPr>
            </w:pPr>
            <w:r w:rsidRPr="002142B8">
              <w:rPr>
                <w:rFonts w:ascii="Georgia" w:hAnsi="Georgia"/>
                <w:sz w:val="20"/>
                <w:szCs w:val="20"/>
              </w:rPr>
              <w:t>Galutinius naudos gavėjus pasiekusios lėšos</w:t>
            </w:r>
          </w:p>
        </w:tc>
        <w:tc>
          <w:tcPr>
            <w:tcW w:w="1402" w:type="pct"/>
          </w:tcPr>
          <w:p w14:paraId="4E843AEC" w14:textId="77777777" w:rsidR="000556A1" w:rsidRPr="002142B8" w:rsidRDefault="000556A1" w:rsidP="0042786A">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629,1</w:t>
            </w:r>
          </w:p>
        </w:tc>
      </w:tr>
      <w:tr w:rsidR="000556A1" w:rsidRPr="002142B8" w14:paraId="4262E311" w14:textId="77777777" w:rsidTr="00B042D4">
        <w:tc>
          <w:tcPr>
            <w:cnfStyle w:val="001000000000" w:firstRow="0" w:lastRow="0" w:firstColumn="1" w:lastColumn="0" w:oddVBand="0" w:evenVBand="0" w:oddHBand="0" w:evenHBand="0" w:firstRowFirstColumn="0" w:firstRowLastColumn="0" w:lastRowFirstColumn="0" w:lastRowLastColumn="0"/>
            <w:tcW w:w="3598" w:type="pct"/>
          </w:tcPr>
          <w:p w14:paraId="2E6E9E56" w14:textId="77777777" w:rsidR="000556A1" w:rsidRPr="002142B8" w:rsidRDefault="000556A1" w:rsidP="00B042D4">
            <w:pPr>
              <w:rPr>
                <w:rFonts w:ascii="Georgia" w:hAnsi="Georgia"/>
                <w:sz w:val="20"/>
                <w:szCs w:val="20"/>
              </w:rPr>
            </w:pPr>
            <w:r w:rsidRPr="002142B8">
              <w:rPr>
                <w:rFonts w:ascii="Georgia" w:hAnsi="Georgia"/>
                <w:sz w:val="20"/>
                <w:szCs w:val="20"/>
              </w:rPr>
              <w:t>Komercinių bankų išmokėtos lėšos</w:t>
            </w:r>
          </w:p>
        </w:tc>
        <w:tc>
          <w:tcPr>
            <w:tcW w:w="1402" w:type="pct"/>
          </w:tcPr>
          <w:p w14:paraId="64BD0482" w14:textId="77777777" w:rsidR="000556A1" w:rsidRPr="002142B8" w:rsidRDefault="000556A1" w:rsidP="0042786A">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534,7</w:t>
            </w:r>
          </w:p>
        </w:tc>
      </w:tr>
      <w:tr w:rsidR="000556A1" w:rsidRPr="002142B8" w14:paraId="4CA4274B"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66ADD5F8" w14:textId="77777777" w:rsidR="000556A1" w:rsidRPr="002142B8" w:rsidRDefault="000556A1" w:rsidP="00B042D4">
            <w:pPr>
              <w:rPr>
                <w:rFonts w:ascii="Georgia" w:hAnsi="Georgia"/>
                <w:sz w:val="20"/>
                <w:szCs w:val="20"/>
              </w:rPr>
            </w:pPr>
            <w:r w:rsidRPr="002142B8">
              <w:rPr>
                <w:rFonts w:ascii="Georgia" w:hAnsi="Georgia"/>
                <w:sz w:val="20"/>
                <w:szCs w:val="20"/>
              </w:rPr>
              <w:t>Renovuotų pastatų skaičius</w:t>
            </w:r>
          </w:p>
        </w:tc>
        <w:tc>
          <w:tcPr>
            <w:tcW w:w="1402" w:type="pct"/>
          </w:tcPr>
          <w:p w14:paraId="35F68048" w14:textId="3B345CF0" w:rsidR="000556A1" w:rsidRPr="002142B8" w:rsidRDefault="008A0A09" w:rsidP="0042786A">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1 907</w:t>
            </w:r>
          </w:p>
        </w:tc>
      </w:tr>
    </w:tbl>
    <w:p w14:paraId="5084399E" w14:textId="77777777" w:rsidR="000556A1" w:rsidRPr="002142B8" w:rsidRDefault="000556A1" w:rsidP="000556A1">
      <w:pPr>
        <w:rPr>
          <w:rFonts w:ascii="Georgia" w:hAnsi="Georgia"/>
          <w:sz w:val="20"/>
          <w:szCs w:val="20"/>
          <w:lang w:val="lt-LT"/>
        </w:rPr>
      </w:pPr>
    </w:p>
    <w:p w14:paraId="7BA34646" w14:textId="519F6F84" w:rsidR="000556A1" w:rsidRPr="002142B8" w:rsidRDefault="000556A1" w:rsidP="00D17A57">
      <w:pPr>
        <w:keepNext/>
        <w:rPr>
          <w:rFonts w:ascii="Georgia" w:hAnsi="Georgia"/>
          <w:b/>
          <w:i/>
          <w:sz w:val="28"/>
          <w:szCs w:val="28"/>
          <w:lang w:val="lt-LT"/>
        </w:rPr>
      </w:pPr>
      <w:r w:rsidRPr="002142B8">
        <w:rPr>
          <w:rFonts w:ascii="Georgia" w:hAnsi="Georgia"/>
          <w:b/>
          <w:i/>
          <w:sz w:val="28"/>
          <w:szCs w:val="28"/>
          <w:lang w:val="lt-LT"/>
        </w:rPr>
        <w:lastRenderedPageBreak/>
        <w:t xml:space="preserve">Scenarijus Nr. </w:t>
      </w:r>
      <w:r w:rsidR="00BC5B4B" w:rsidRPr="002142B8">
        <w:rPr>
          <w:rFonts w:ascii="Georgia" w:hAnsi="Georgia"/>
          <w:b/>
          <w:i/>
          <w:sz w:val="28"/>
          <w:szCs w:val="28"/>
          <w:lang w:val="lt-LT"/>
        </w:rPr>
        <w:t>4</w:t>
      </w:r>
      <w:r w:rsidRPr="002142B8">
        <w:rPr>
          <w:rFonts w:ascii="Georgia" w:hAnsi="Georgia"/>
          <w:b/>
          <w:i/>
          <w:sz w:val="28"/>
          <w:szCs w:val="28"/>
          <w:lang w:val="lt-LT"/>
        </w:rPr>
        <w:t xml:space="preserve">: </w:t>
      </w:r>
      <w:r w:rsidR="00AD7E1C" w:rsidRPr="002142B8">
        <w:rPr>
          <w:rFonts w:ascii="Georgia" w:hAnsi="Georgia"/>
          <w:b/>
          <w:i/>
          <w:sz w:val="28"/>
          <w:szCs w:val="28"/>
          <w:lang w:val="lt-LT"/>
        </w:rPr>
        <w:t>Paskolų teikimas taikant asimetrinį rizikos pasidalijimo modelį</w:t>
      </w:r>
      <w:r w:rsidR="00AD7E1C" w:rsidRPr="002142B8" w:rsidDel="00AD7E1C">
        <w:rPr>
          <w:rFonts w:ascii="Georgia" w:hAnsi="Georgia"/>
          <w:b/>
          <w:i/>
          <w:sz w:val="28"/>
          <w:szCs w:val="28"/>
          <w:lang w:val="lt-LT"/>
        </w:rPr>
        <w:t xml:space="preserve"> </w:t>
      </w:r>
    </w:p>
    <w:p w14:paraId="41CBF081" w14:textId="7C728951" w:rsidR="000556A1" w:rsidRPr="002142B8" w:rsidRDefault="00AD7E1C" w:rsidP="000556A1">
      <w:pPr>
        <w:keepNext/>
        <w:jc w:val="both"/>
        <w:rPr>
          <w:szCs w:val="20"/>
          <w:lang w:val="lt-LT"/>
        </w:rPr>
      </w:pPr>
      <w:r w:rsidRPr="002142B8">
        <w:rPr>
          <w:rFonts w:ascii="Georgia" w:hAnsi="Georgia"/>
          <w:sz w:val="20"/>
          <w:szCs w:val="20"/>
          <w:lang w:val="lt-LT"/>
        </w:rPr>
        <w:t>Šio scenarijaus atveju numatoma, jog bus taikomas asimetrinis rizikų pasidalijimo modelis siekiant pritraukti papildomą finansavimą. Finansinės priemonės valdytojas ir (ar) ministerijos gali taikyti įvairius asimetrinio rizikos pasidalijimo modelio variantus. Šiame scenarijuje modeliuojamas vienas pavyzdys iš galimų taikyti varia</w:t>
      </w:r>
      <w:r w:rsidR="001B3CD0" w:rsidRPr="002142B8">
        <w:rPr>
          <w:rFonts w:ascii="Georgia" w:hAnsi="Georgia"/>
          <w:sz w:val="20"/>
          <w:szCs w:val="20"/>
          <w:lang w:val="lt-LT"/>
        </w:rPr>
        <w:t>ntų</w:t>
      </w:r>
      <w:r w:rsidRPr="002142B8">
        <w:rPr>
          <w:rFonts w:ascii="Georgia" w:hAnsi="Georgia"/>
          <w:sz w:val="20"/>
          <w:szCs w:val="20"/>
          <w:lang w:val="lt-LT"/>
        </w:rPr>
        <w:t>, t.y. kai ESI fondų lėšos būtų nukreipiamos į naujai sukurtą juridinio asmens statusą turintį subjektą – investicinį fondą, ir tomis lėšomis būtų užtikrinama privačių investuotojų ir/ar paskolos davėjų investicijų saugumas, o toks subjektas tiesiogiai teikia paskolas projektams.</w:t>
      </w:r>
      <w:r w:rsidR="000556A1" w:rsidRPr="002142B8">
        <w:rPr>
          <w:rFonts w:ascii="Georgia" w:hAnsi="Georgia"/>
          <w:sz w:val="20"/>
          <w:szCs w:val="20"/>
          <w:lang w:val="lt-LT"/>
        </w:rPr>
        <w:t xml:space="preserve"> </w:t>
      </w:r>
      <w:r w:rsidR="00620F3A" w:rsidRPr="002142B8">
        <w:rPr>
          <w:rFonts w:ascii="Georgia" w:hAnsi="Georgia"/>
          <w:sz w:val="20"/>
          <w:szCs w:val="20"/>
          <w:lang w:val="lt-LT"/>
        </w:rPr>
        <w:t xml:space="preserve">Principinė asimetrinio rizikos pasidalijimo modelio esmė, kad ESI fondų </w:t>
      </w:r>
      <w:r w:rsidR="000556A1" w:rsidRPr="002142B8">
        <w:rPr>
          <w:rFonts w:ascii="Georgia" w:hAnsi="Georgia"/>
          <w:sz w:val="20"/>
          <w:szCs w:val="20"/>
          <w:lang w:val="lt-LT"/>
        </w:rPr>
        <w:t>lėšomis būtų užtikrinamas privačių investuotojų ir/ar paskolos davėjų investicijų saugumas.</w:t>
      </w:r>
      <w:r w:rsidR="00121CFF" w:rsidRPr="002142B8">
        <w:rPr>
          <w:lang w:val="lt-LT"/>
        </w:rPr>
        <w:t xml:space="preserve"> </w:t>
      </w:r>
    </w:p>
    <w:p w14:paraId="47D64F1E" w14:textId="6D426C0B" w:rsidR="000556A1" w:rsidRPr="002142B8" w:rsidRDefault="008704D8" w:rsidP="000556A1">
      <w:pPr>
        <w:pStyle w:val="Antrat"/>
        <w:rPr>
          <w:lang w:val="lt-LT"/>
        </w:rPr>
      </w:pPr>
      <w:r w:rsidRPr="002142B8">
        <w:rPr>
          <w:noProof/>
          <w:lang w:val="lt-LT" w:eastAsia="lt-LT"/>
        </w:rPr>
        <mc:AlternateContent>
          <mc:Choice Requires="wps">
            <w:drawing>
              <wp:anchor distT="0" distB="0" distL="114300" distR="114300" simplePos="0" relativeHeight="251689984" behindDoc="0" locked="0" layoutInCell="1" allowOverlap="1" wp14:anchorId="3FD591B6" wp14:editId="1A269166">
                <wp:simplePos x="0" y="0"/>
                <wp:positionH relativeFrom="column">
                  <wp:posOffset>2523067</wp:posOffset>
                </wp:positionH>
                <wp:positionV relativeFrom="paragraph">
                  <wp:posOffset>1818429</wp:posOffset>
                </wp:positionV>
                <wp:extent cx="397933" cy="355600"/>
                <wp:effectExtent l="0" t="0" r="2540" b="6350"/>
                <wp:wrapNone/>
                <wp:docPr id="210" name="Text Box 210"/>
                <wp:cNvGraphicFramePr/>
                <a:graphic xmlns:a="http://schemas.openxmlformats.org/drawingml/2006/main">
                  <a:graphicData uri="http://schemas.microsoft.com/office/word/2010/wordprocessingShape">
                    <wps:wsp>
                      <wps:cNvSpPr txBox="1"/>
                      <wps:spPr>
                        <a:xfrm>
                          <a:off x="0" y="0"/>
                          <a:ext cx="397933" cy="355600"/>
                        </a:xfrm>
                        <a:prstGeom prst="rect">
                          <a:avLst/>
                        </a:prstGeom>
                        <a:solidFill>
                          <a:schemeClr val="lt1"/>
                        </a:solidFill>
                        <a:ln w="6350">
                          <a:noFill/>
                        </a:ln>
                      </wps:spPr>
                      <wps:txbx>
                        <w:txbxContent>
                          <w:p w14:paraId="0FB9E52C" w14:textId="77777777" w:rsidR="00133798" w:rsidRPr="0063781D" w:rsidRDefault="00133798" w:rsidP="008704D8">
                            <w:pPr>
                              <w:rPr>
                                <w:rFonts w:ascii="Georgia" w:hAnsi="Georgia"/>
                                <w:sz w:val="24"/>
                                <w:szCs w:val="24"/>
                              </w:rPr>
                            </w:pPr>
                            <w:r w:rsidRPr="0063781D">
                              <w:rPr>
                                <w:rFonts w:ascii="Georgia" w:hAnsi="Georgia"/>
                                <w:sz w:val="24"/>
                                <w:szCs w:val="24"/>
                              </w:rPr>
                              <w:t>30%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 o:spid="_x0000_s1089" type="#_x0000_t202" style="position:absolute;margin-left:198.65pt;margin-top:143.2pt;width:31.35pt;height:2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" fillcolor="white [3201]" stroked="f" strokeweight=".5pt">
                <v:textbox inset="1mm,1mm,1mm,1mm">
                  <w:txbxContent>
                    <w:p w14:paraId="0FB9E52C" w14:textId="77777777" w:rsidR="00133798" w:rsidRPr="0063781D" w:rsidRDefault="00133798" w:rsidP="008704D8">
                      <w:pPr>
                        <w:rPr>
                          <w:rFonts w:ascii="Georgia" w:hAnsi="Georgia"/>
                          <w:sz w:val="24"/>
                          <w:szCs w:val="24"/>
                        </w:rPr>
                      </w:pPr>
                      <w:r w:rsidRPr="0063781D">
                        <w:rPr>
                          <w:rFonts w:ascii="Georgia" w:hAnsi="Georgia"/>
                          <w:sz w:val="24"/>
                          <w:szCs w:val="24"/>
                        </w:rPr>
                        <w:t>30%</w:t>
                      </w:r>
                    </w:p>
                  </w:txbxContent>
                </v:textbox>
              </v:shape>
            </w:pict>
          </mc:Fallback>
        </mc:AlternateContent>
      </w:r>
      <w:r w:rsidR="00121CFF" w:rsidRPr="002142B8">
        <w:rPr>
          <w:noProof/>
          <w:lang w:val="lt-LT" w:eastAsia="lt-LT"/>
        </w:rPr>
        <mc:AlternateContent>
          <mc:Choice Requires="wps">
            <w:drawing>
              <wp:anchor distT="0" distB="0" distL="114300" distR="114300" simplePos="0" relativeHeight="251659264" behindDoc="0" locked="0" layoutInCell="1" allowOverlap="1" wp14:anchorId="3AD31160" wp14:editId="54A4B212">
                <wp:simplePos x="0" y="0"/>
                <wp:positionH relativeFrom="column">
                  <wp:posOffset>2049780</wp:posOffset>
                </wp:positionH>
                <wp:positionV relativeFrom="paragraph">
                  <wp:posOffset>194945</wp:posOffset>
                </wp:positionV>
                <wp:extent cx="2042160" cy="5181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42160" cy="518160"/>
                        </a:xfrm>
                        <a:prstGeom prst="rect">
                          <a:avLst/>
                        </a:prstGeom>
                        <a:solidFill>
                          <a:schemeClr val="lt1"/>
                        </a:solidFill>
                        <a:ln w="6350">
                          <a:noFill/>
                        </a:ln>
                      </wps:spPr>
                      <wps:txbx>
                        <w:txbxContent>
                          <w:p w14:paraId="023A7B0A" w14:textId="29BCEF37" w:rsidR="00133798" w:rsidRPr="00ED5553" w:rsidRDefault="00133798" w:rsidP="00121CFF">
                            <w:pPr>
                              <w:jc w:val="center"/>
                              <w:rPr>
                                <w:rFonts w:ascii="Georgia" w:hAnsi="Georgia"/>
                                <w:lang w:val="lt-L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90" type="#_x0000_t202" style="position:absolute;margin-left:161.4pt;margin-top:15.35pt;width:160.8pt;height:4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" fillcolor="white [3201]" stroked="f" strokeweight=".5pt">
                <v:textbox inset="0,0,0,0">
                  <w:txbxContent>
                    <w:p w14:paraId="023A7B0A" w14:textId="29BCEF37" w:rsidR="00133798" w:rsidRPr="00ED5553" w:rsidRDefault="00133798" w:rsidP="00121CFF">
                      <w:pPr>
                        <w:jc w:val="center"/>
                        <w:rPr>
                          <w:rFonts w:ascii="Georgia" w:hAnsi="Georgia"/>
                          <w:lang w:val="lt-LT"/>
                        </w:rPr>
                      </w:pPr>
                    </w:p>
                  </w:txbxContent>
                </v:textbox>
              </v:shape>
            </w:pict>
          </mc:Fallback>
        </mc:AlternateContent>
      </w:r>
      <w:r w:rsidR="000556A1" w:rsidRPr="002142B8">
        <w:rPr>
          <w:noProof/>
          <w:lang w:val="lt-LT" w:eastAsia="lt-LT"/>
        </w:rPr>
        <w:drawing>
          <wp:inline distT="0" distB="0" distL="0" distR="0" wp14:anchorId="1C7FB6BF" wp14:editId="4D504956">
            <wp:extent cx="5811520" cy="2501900"/>
            <wp:effectExtent l="0" t="0" r="0" b="0"/>
            <wp:docPr id="52"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811520" cy="2501900"/>
                    </a:xfrm>
                    <a:prstGeom prst="rect">
                      <a:avLst/>
                    </a:prstGeom>
                    <a:noFill/>
                    <a:ln>
                      <a:noFill/>
                    </a:ln>
                  </pic:spPr>
                </pic:pic>
              </a:graphicData>
            </a:graphic>
          </wp:inline>
        </w:drawing>
      </w:r>
    </w:p>
    <w:p w14:paraId="03A60BF7" w14:textId="2F0335B4" w:rsidR="000556A1" w:rsidRPr="002142B8" w:rsidRDefault="000556A1" w:rsidP="000556A1">
      <w:pPr>
        <w:pStyle w:val="Antrat"/>
        <w:rPr>
          <w:szCs w:val="20"/>
          <w:lang w:val="lt-LT"/>
        </w:rPr>
      </w:pPr>
      <w:bookmarkStart w:id="197" w:name="_Toc507939273"/>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14</w:t>
      </w:r>
      <w:r w:rsidRPr="002142B8">
        <w:rPr>
          <w:lang w:val="lt-LT"/>
        </w:rPr>
        <w:fldChar w:fldCharType="end"/>
      </w:r>
      <w:r w:rsidRPr="002142B8">
        <w:rPr>
          <w:lang w:val="lt-LT"/>
        </w:rPr>
        <w:t xml:space="preserve">. Daugiabučių scenarijaus Nr. </w:t>
      </w:r>
      <w:r w:rsidR="00BC5B4B" w:rsidRPr="002142B8">
        <w:rPr>
          <w:lang w:val="lt-LT"/>
        </w:rPr>
        <w:t>4</w:t>
      </w:r>
      <w:r w:rsidR="008B2CF9" w:rsidRPr="002142B8">
        <w:rPr>
          <w:lang w:val="lt-LT"/>
        </w:rPr>
        <w:t xml:space="preserve"> </w:t>
      </w:r>
      <w:r w:rsidRPr="002142B8">
        <w:rPr>
          <w:lang w:val="lt-LT"/>
        </w:rPr>
        <w:t>schema.</w:t>
      </w:r>
      <w:bookmarkEnd w:id="197"/>
      <w:r w:rsidRPr="002142B8">
        <w:rPr>
          <w:lang w:val="lt-LT"/>
        </w:rPr>
        <w:t xml:space="preserve"> </w:t>
      </w:r>
    </w:p>
    <w:p w14:paraId="1425C2F2" w14:textId="17D39AA1" w:rsidR="000556A1" w:rsidRPr="002142B8" w:rsidRDefault="000556A1" w:rsidP="000556A1">
      <w:pPr>
        <w:jc w:val="both"/>
        <w:rPr>
          <w:rFonts w:ascii="Georgia" w:hAnsi="Georgia"/>
          <w:sz w:val="20"/>
          <w:szCs w:val="20"/>
          <w:lang w:val="lt-LT"/>
        </w:rPr>
      </w:pPr>
      <w:r w:rsidRPr="002142B8">
        <w:rPr>
          <w:rFonts w:ascii="Georgia" w:hAnsi="Georgia"/>
          <w:sz w:val="20"/>
          <w:szCs w:val="20"/>
          <w:lang w:val="lt-LT"/>
        </w:rPr>
        <w:t xml:space="preserve">Atsižvelgiant į komercinių bankų ir kitų finansų institucijų nuomonę, vertinant trumpą turimą paskolų grąžinimo istoriją bei JESSICA programos įgyvendinimo patirtį, </w:t>
      </w:r>
      <w:r w:rsidR="00620F3A" w:rsidRPr="002142B8">
        <w:rPr>
          <w:rFonts w:ascii="Georgia" w:hAnsi="Georgia"/>
          <w:sz w:val="20"/>
          <w:szCs w:val="20"/>
          <w:lang w:val="lt-LT"/>
        </w:rPr>
        <w:t xml:space="preserve">šiame scenarijuje daroma prielaida, kad </w:t>
      </w:r>
      <w:r w:rsidRPr="002142B8">
        <w:rPr>
          <w:rFonts w:ascii="Georgia" w:hAnsi="Georgia"/>
          <w:sz w:val="20"/>
          <w:szCs w:val="20"/>
          <w:lang w:val="lt-LT"/>
        </w:rPr>
        <w:t>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14:paraId="07B48AF2" w14:textId="2BDFC1D8" w:rsidR="000556A1" w:rsidRPr="002142B8" w:rsidRDefault="000556A1" w:rsidP="000556A1">
      <w:pPr>
        <w:jc w:val="both"/>
        <w:rPr>
          <w:rFonts w:ascii="Georgia" w:hAnsi="Georgia"/>
          <w:sz w:val="20"/>
          <w:szCs w:val="20"/>
          <w:lang w:val="lt-LT"/>
        </w:rPr>
      </w:pPr>
      <w:r w:rsidRPr="002142B8">
        <w:rPr>
          <w:rFonts w:ascii="Georgia" w:hAnsi="Georgia"/>
          <w:sz w:val="20"/>
          <w:szCs w:val="20"/>
          <w:lang w:val="lt-LT"/>
        </w:rPr>
        <w:t xml:space="preserve">Su galimais investuotojais (tarptautinėmis finansų institucijomis, komerciniais bankais, pensijų fondais ir t.t.) aptarus </w:t>
      </w:r>
      <w:r w:rsidR="00447EB9" w:rsidRPr="002142B8">
        <w:rPr>
          <w:rFonts w:ascii="Georgia" w:hAnsi="Georgia"/>
          <w:sz w:val="20"/>
          <w:szCs w:val="20"/>
          <w:lang w:val="lt-LT"/>
        </w:rPr>
        <w:t>asimetrinio rizikos pasidalijimo</w:t>
      </w:r>
      <w:r w:rsidRPr="002142B8">
        <w:rPr>
          <w:rFonts w:ascii="Georgia" w:hAnsi="Georgia"/>
          <w:sz w:val="20"/>
          <w:szCs w:val="20"/>
          <w:lang w:val="lt-LT"/>
        </w:rPr>
        <w:t xml:space="preserve"> galimybes, buvo nustatyta, jog apie 30 proc. kuriamo investicinio fondo lėšų galėtų sudaryti 2014-2020 m. periodo ESI fondų lėšos, o 70 proc. privačių investuotojų lėšos (paskolos ir/ar investicijos). Taigi daroma prielaida, kad bendras fondas siektų iki 1 mlrd. eurų, iš kurių apie 655,4 mln. eurų sudarytų privačių investuotojų lėšos, o 280,9 mln. eurų – 2014-2020 m. periodo lėšos. Pagal turimą fondo dydį vertinamos maksimalios galutinius naudos gavėjus pasiekusios lėšos ir maksimalus galimas projektų skaičius.</w:t>
      </w:r>
    </w:p>
    <w:p w14:paraId="34430EE7" w14:textId="6C7B654E" w:rsidR="000556A1" w:rsidRPr="00EB3D2A" w:rsidRDefault="000556A1" w:rsidP="000556A1">
      <w:pPr>
        <w:pStyle w:val="Antrat"/>
        <w:rPr>
          <w:b w:val="0"/>
          <w:i/>
          <w:szCs w:val="20"/>
          <w:lang w:val="lt-LT"/>
        </w:rPr>
      </w:pPr>
      <w:bookmarkStart w:id="198" w:name="_Toc507939185"/>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63</w:t>
      </w:r>
      <w:r w:rsidRPr="00EB3D2A">
        <w:rPr>
          <w:b w:val="0"/>
          <w:i/>
          <w:lang w:val="lt-LT"/>
        </w:rPr>
        <w:fldChar w:fldCharType="end"/>
      </w:r>
      <w:r w:rsidRPr="00EB3D2A">
        <w:rPr>
          <w:b w:val="0"/>
          <w:i/>
          <w:lang w:val="lt-LT"/>
        </w:rPr>
        <w:t xml:space="preserve">. Scenarijaus Nr. </w:t>
      </w:r>
      <w:r w:rsidR="00BC5B4B" w:rsidRPr="00EB3D2A">
        <w:rPr>
          <w:b w:val="0"/>
          <w:i/>
          <w:lang w:val="lt-LT"/>
        </w:rPr>
        <w:t>4</w:t>
      </w:r>
      <w:r w:rsidRPr="00EB3D2A">
        <w:rPr>
          <w:b w:val="0"/>
          <w:i/>
          <w:lang w:val="lt-LT"/>
        </w:rPr>
        <w:t xml:space="preserve"> prielaidos</w:t>
      </w:r>
      <w:bookmarkEnd w:id="198"/>
    </w:p>
    <w:tbl>
      <w:tblPr>
        <w:tblStyle w:val="viesussraas2parykinimas"/>
        <w:tblW w:w="5000" w:type="pct"/>
        <w:tblLook w:val="04A0" w:firstRow="1" w:lastRow="0" w:firstColumn="1" w:lastColumn="0" w:noHBand="0" w:noVBand="1"/>
      </w:tblPr>
      <w:tblGrid>
        <w:gridCol w:w="3164"/>
        <w:gridCol w:w="6078"/>
      </w:tblGrid>
      <w:tr w:rsidR="000556A1" w:rsidRPr="002142B8" w14:paraId="1702FE2B"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0B9F751C" w14:textId="77777777" w:rsidR="000556A1" w:rsidRPr="002142B8" w:rsidRDefault="000556A1" w:rsidP="00B042D4">
            <w:pPr>
              <w:keepNext/>
              <w:jc w:val="center"/>
              <w:rPr>
                <w:rFonts w:ascii="Georgia" w:hAnsi="Georgia"/>
                <w:sz w:val="20"/>
                <w:szCs w:val="20"/>
              </w:rPr>
            </w:pPr>
            <w:r w:rsidRPr="002142B8">
              <w:rPr>
                <w:rFonts w:ascii="Georgia" w:hAnsi="Georgia"/>
                <w:sz w:val="20"/>
                <w:szCs w:val="20"/>
              </w:rPr>
              <w:t>Prielaidos</w:t>
            </w:r>
          </w:p>
        </w:tc>
        <w:tc>
          <w:tcPr>
            <w:tcW w:w="3288" w:type="pct"/>
            <w:tcBorders>
              <w:bottom w:val="single" w:sz="8" w:space="0" w:color="C0504D" w:themeColor="accent2"/>
            </w:tcBorders>
          </w:tcPr>
          <w:p w14:paraId="7F5C67B1" w14:textId="77777777" w:rsidR="000556A1" w:rsidRPr="002142B8"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Komentaras</w:t>
            </w:r>
          </w:p>
        </w:tc>
      </w:tr>
      <w:tr w:rsidR="000556A1" w:rsidRPr="002142B8" w14:paraId="5C9CAD63"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68DD7DAD" w14:textId="77777777" w:rsidR="000556A1" w:rsidRPr="002142B8" w:rsidRDefault="000556A1" w:rsidP="00B042D4">
            <w:pPr>
              <w:rPr>
                <w:rFonts w:ascii="Georgia" w:hAnsi="Georgia"/>
                <w:b w:val="0"/>
                <w:sz w:val="20"/>
                <w:szCs w:val="20"/>
              </w:rPr>
            </w:pPr>
            <w:r w:rsidRPr="002142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142B4FAF"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Maksimalus paskolos suteikimo terminas 20 metų.</w:t>
            </w:r>
          </w:p>
        </w:tc>
      </w:tr>
      <w:tr w:rsidR="000556A1" w:rsidRPr="002142B8" w14:paraId="540D47F3"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1B48D61" w14:textId="0D64D647" w:rsidR="000556A1" w:rsidRPr="002142B8" w:rsidRDefault="000556A1" w:rsidP="00B042D4">
            <w:pPr>
              <w:rPr>
                <w:rFonts w:ascii="Georgia" w:hAnsi="Georgia"/>
                <w:b w:val="0"/>
                <w:sz w:val="20"/>
                <w:szCs w:val="20"/>
              </w:rPr>
            </w:pPr>
            <w:r w:rsidRPr="002142B8">
              <w:rPr>
                <w:rFonts w:ascii="Georgia" w:hAnsi="Georgia"/>
                <w:sz w:val="20"/>
                <w:szCs w:val="20"/>
              </w:rPr>
              <w:t xml:space="preserve">Subsidija: </w:t>
            </w:r>
            <w:r w:rsidR="00447EB9" w:rsidRPr="002142B8">
              <w:rPr>
                <w:rFonts w:ascii="Georgia" w:hAnsi="Georgia"/>
                <w:sz w:val="20"/>
                <w:szCs w:val="20"/>
              </w:rPr>
              <w:t xml:space="preserve">30 </w:t>
            </w:r>
            <w:r w:rsidRPr="002142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14:paraId="06A0709F" w14:textId="07D13ED2" w:rsidR="000556A1" w:rsidRPr="002142B8"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Projektams, pasiekusiems ne mažesnį kaip 40 proc. sutaupymą, suteikiama </w:t>
            </w:r>
            <w:r w:rsidR="00BC5B4B" w:rsidRPr="002142B8">
              <w:rPr>
                <w:rFonts w:ascii="Georgia" w:hAnsi="Georgia"/>
                <w:sz w:val="20"/>
              </w:rPr>
              <w:t xml:space="preserve">30 </w:t>
            </w:r>
            <w:r w:rsidRPr="002142B8">
              <w:rPr>
                <w:rFonts w:ascii="Georgia" w:hAnsi="Georgia"/>
                <w:sz w:val="20"/>
              </w:rPr>
              <w:t>% subsidija (papildoma valstybės parama) biudžeto lėšomis.</w:t>
            </w:r>
          </w:p>
        </w:tc>
      </w:tr>
      <w:tr w:rsidR="000556A1" w:rsidRPr="002142B8" w14:paraId="2ADC82CC"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F53CA4E" w14:textId="77777777" w:rsidR="000556A1" w:rsidRPr="002142B8" w:rsidRDefault="000556A1" w:rsidP="00B042D4">
            <w:pPr>
              <w:rPr>
                <w:rFonts w:ascii="Georgia" w:hAnsi="Georgia"/>
                <w:b w:val="0"/>
                <w:sz w:val="20"/>
                <w:szCs w:val="20"/>
              </w:rPr>
            </w:pPr>
            <w:r w:rsidRPr="002142B8">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1C84B9E7"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556A1" w:rsidRPr="002142B8" w14:paraId="586AB9D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892A892" w14:textId="77777777" w:rsidR="000556A1" w:rsidRPr="002142B8" w:rsidRDefault="000556A1" w:rsidP="00B042D4">
            <w:pPr>
              <w:rPr>
                <w:rFonts w:ascii="Georgia" w:hAnsi="Georgia"/>
                <w:b w:val="0"/>
                <w:sz w:val="20"/>
                <w:szCs w:val="20"/>
              </w:rPr>
            </w:pPr>
            <w:r w:rsidRPr="002142B8">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5D59C86C"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Blogų paskolų dalis buvo nustatyta remiantis ekspertų ir komercinių bankų vertinimu.</w:t>
            </w:r>
          </w:p>
        </w:tc>
      </w:tr>
      <w:tr w:rsidR="000D43FF" w:rsidRPr="002142B8" w14:paraId="380FF262"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7BE3668" w14:textId="77777777" w:rsidR="000D43FF" w:rsidRPr="002142B8" w:rsidRDefault="000D43FF" w:rsidP="000D43FF">
            <w:pPr>
              <w:rPr>
                <w:rFonts w:ascii="Georgia" w:hAnsi="Georgia"/>
                <w:sz w:val="20"/>
              </w:rPr>
            </w:pPr>
            <w:r w:rsidRPr="002142B8">
              <w:rPr>
                <w:rFonts w:ascii="Georgia" w:hAnsi="Georgia"/>
                <w:sz w:val="20"/>
              </w:rPr>
              <w:t>Modernizavimo procese dalyvaujančio vidutinio pastato projekto investicijų vertė: 330 000 eurų</w:t>
            </w:r>
          </w:p>
          <w:p w14:paraId="473A054E" w14:textId="77777777" w:rsidR="000D43FF" w:rsidRPr="002142B8" w:rsidRDefault="000D43FF" w:rsidP="000D43FF">
            <w:pPr>
              <w:rPr>
                <w:rFonts w:ascii="Georgia" w:hAnsi="Georgia"/>
                <w:sz w:val="20"/>
              </w:rPr>
            </w:pPr>
          </w:p>
          <w:p w14:paraId="68B000FF" w14:textId="7ACF834E" w:rsidR="000D43FF" w:rsidRPr="002142B8" w:rsidRDefault="000D43FF" w:rsidP="000D43FF">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17EA4CCB" w14:textId="77777777" w:rsidR="000D43FF" w:rsidRPr="002142B8"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1290B7DA" w14:textId="77777777" w:rsidR="000D43FF" w:rsidRPr="002142B8"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p w14:paraId="54E9F133" w14:textId="77777777" w:rsidR="000D43FF" w:rsidRPr="002142B8"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2142B8">
              <w:rPr>
                <w:rFonts w:ascii="Georgia" w:hAnsi="Georgia"/>
                <w:sz w:val="20"/>
                <w:vertAlign w:val="superscript"/>
              </w:rPr>
              <w:t xml:space="preserve">2 </w:t>
            </w:r>
            <w:r w:rsidRPr="002142B8">
              <w:rPr>
                <w:rFonts w:ascii="Georgia" w:hAnsi="Georgia"/>
                <w:sz w:val="20"/>
              </w:rPr>
              <w:t>(šildomas plotas 1 770-1 920 m</w:t>
            </w:r>
            <w:r w:rsidRPr="002142B8">
              <w:rPr>
                <w:rFonts w:ascii="Georgia" w:hAnsi="Georgia"/>
                <w:sz w:val="20"/>
                <w:vertAlign w:val="superscript"/>
              </w:rPr>
              <w:t>2</w:t>
            </w:r>
            <w:r w:rsidRPr="002142B8">
              <w:rPr>
                <w:rFonts w:ascii="Georgia" w:hAnsi="Georgia"/>
                <w:sz w:val="20"/>
              </w:rPr>
              <w:t>) tai yra bendras plotas daugiau nei 1 000 m</w:t>
            </w:r>
            <w:r w:rsidRPr="002142B8">
              <w:rPr>
                <w:rFonts w:ascii="Georgia" w:hAnsi="Georgia"/>
                <w:sz w:val="20"/>
                <w:vertAlign w:val="superscript"/>
              </w:rPr>
              <w:t>2</w:t>
            </w:r>
            <w:r w:rsidRPr="002142B8">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2142B8">
              <w:rPr>
                <w:rFonts w:ascii="Georgia" w:hAnsi="Georgia"/>
                <w:sz w:val="20"/>
                <w:vertAlign w:val="superscript"/>
              </w:rPr>
              <w:t>2</w:t>
            </w:r>
            <w:r w:rsidRPr="002142B8">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432330B2" w14:textId="2F1EC939" w:rsidR="000D43FF" w:rsidRPr="002142B8" w:rsidRDefault="000D43FF" w:rsidP="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p>
        </w:tc>
      </w:tr>
      <w:tr w:rsidR="000556A1" w:rsidRPr="002142B8" w14:paraId="69FF98F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6D26BA6" w14:textId="77777777" w:rsidR="000556A1" w:rsidRPr="002142B8" w:rsidRDefault="000556A1" w:rsidP="00B042D4">
            <w:pPr>
              <w:rPr>
                <w:rFonts w:ascii="Georgia" w:hAnsi="Georgia"/>
                <w:b w:val="0"/>
                <w:sz w:val="20"/>
                <w:szCs w:val="20"/>
              </w:rPr>
            </w:pPr>
            <w:r w:rsidRPr="002142B8">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14:paraId="6178952C"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Palūkanų norma galutiniams naudos gavėjams - fiksuotos 3 % metinės palūkanos.</w:t>
            </w:r>
          </w:p>
        </w:tc>
      </w:tr>
      <w:tr w:rsidR="000556A1" w:rsidRPr="002142B8" w14:paraId="093AA25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D9C2FB9" w14:textId="77777777" w:rsidR="000556A1" w:rsidRPr="002142B8" w:rsidRDefault="000556A1" w:rsidP="00B042D4">
            <w:pPr>
              <w:rPr>
                <w:rFonts w:ascii="Georgia" w:hAnsi="Georgia"/>
                <w:b w:val="0"/>
                <w:sz w:val="20"/>
                <w:szCs w:val="20"/>
              </w:rPr>
            </w:pPr>
            <w:r w:rsidRPr="002142B8">
              <w:rPr>
                <w:rFonts w:ascii="Georgia" w:hAnsi="Georgia"/>
                <w:sz w:val="20"/>
                <w:szCs w:val="20"/>
              </w:rPr>
              <w:t xml:space="preserve">Investuojamų ESI fondų lėšų suma: 280,9 mln. </w:t>
            </w:r>
            <w:r w:rsidRPr="002142B8">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3BDF8694" w14:textId="3B56CAE0" w:rsidR="000556A1" w:rsidRPr="002142B8" w:rsidRDefault="000D43F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 xml:space="preserve">Kaip numatyta pradinėje ataskaitoje </w:t>
            </w:r>
            <w:r w:rsidR="000556A1" w:rsidRPr="002142B8">
              <w:rPr>
                <w:rFonts w:ascii="Georgia" w:hAnsi="Georgia"/>
                <w:sz w:val="20"/>
              </w:rPr>
              <w:t xml:space="preserve">280,9 mln. eurų 2014-2020 m. ESI fondų lėšų skiriama </w:t>
            </w:r>
            <w:r w:rsidR="00BC5B4B" w:rsidRPr="002142B8">
              <w:rPr>
                <w:rFonts w:ascii="Georgia" w:hAnsi="Georgia"/>
                <w:sz w:val="20"/>
              </w:rPr>
              <w:t>įnašui į fondą.</w:t>
            </w:r>
          </w:p>
        </w:tc>
      </w:tr>
      <w:tr w:rsidR="000556A1" w:rsidRPr="002142B8" w14:paraId="05585B8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9730E38" w14:textId="77777777" w:rsidR="000556A1" w:rsidRPr="002142B8" w:rsidRDefault="000556A1" w:rsidP="00B042D4">
            <w:pPr>
              <w:rPr>
                <w:rFonts w:ascii="Georgia" w:hAnsi="Georgia"/>
                <w:sz w:val="20"/>
                <w:szCs w:val="20"/>
              </w:rPr>
            </w:pPr>
            <w:r w:rsidRPr="002142B8">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3DF544AC"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rPr>
              <w:t>2007-2013 m. periodo grįžtančios lėšos, kurios sudarytų apie 67,2 mln. eurų.</w:t>
            </w:r>
          </w:p>
        </w:tc>
      </w:tr>
      <w:tr w:rsidR="000556A1" w:rsidRPr="002142B8" w14:paraId="13CECCB1"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9BBB969" w14:textId="6855DE37" w:rsidR="000556A1" w:rsidRPr="002142B8" w:rsidRDefault="000556A1" w:rsidP="00B042D4">
            <w:pPr>
              <w:rPr>
                <w:rFonts w:ascii="Georgia" w:hAnsi="Georgia"/>
                <w:b w:val="0"/>
                <w:sz w:val="20"/>
                <w:szCs w:val="20"/>
              </w:rPr>
            </w:pPr>
            <w:r w:rsidRPr="002142B8">
              <w:rPr>
                <w:rFonts w:ascii="Georgia" w:hAnsi="Georgia"/>
                <w:sz w:val="20"/>
                <w:szCs w:val="20"/>
              </w:rPr>
              <w:t>Galimų pritraukti privačių lėšų suma: 655,4</w:t>
            </w:r>
            <w:r w:rsidR="00BC5B4B" w:rsidRPr="002142B8">
              <w:rPr>
                <w:rFonts w:ascii="Georgia" w:hAnsi="Georgia"/>
                <w:sz w:val="20"/>
                <w:szCs w:val="20"/>
              </w:rPr>
              <w:t xml:space="preserve"> </w:t>
            </w:r>
            <w:r w:rsidR="00BC5B4B" w:rsidRPr="002142B8">
              <w:rPr>
                <w:rFonts w:ascii="Georgia" w:hAnsi="Georgia"/>
                <w:sz w:val="20"/>
              </w:rPr>
              <w:t>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21C4BE8C"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Remiantis prielaidą, kad bendroje fondo apimtyje privačios lėšos gali sudaryti apie 70 proc. visų lėšų, numatoma jog privačios lėšos sudarys - 655,4 mln. </w:t>
            </w:r>
            <w:r w:rsidRPr="002142B8">
              <w:rPr>
                <w:rFonts w:ascii="Georgia" w:hAnsi="Georgia"/>
                <w:sz w:val="20"/>
              </w:rPr>
              <w:t>eurų</w:t>
            </w:r>
            <w:r w:rsidRPr="002142B8">
              <w:rPr>
                <w:rFonts w:ascii="Georgia" w:hAnsi="Georgia"/>
                <w:sz w:val="20"/>
                <w:szCs w:val="20"/>
              </w:rPr>
              <w:t>.</w:t>
            </w:r>
          </w:p>
        </w:tc>
      </w:tr>
      <w:tr w:rsidR="000556A1" w:rsidRPr="002142B8" w14:paraId="10DDC35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F8F4EE1" w14:textId="4B1A5CCF" w:rsidR="000556A1" w:rsidRPr="002142B8" w:rsidRDefault="000556A1" w:rsidP="0071393C">
            <w:pPr>
              <w:jc w:val="both"/>
              <w:rPr>
                <w:rFonts w:ascii="Georgia" w:hAnsi="Georgia"/>
                <w:sz w:val="20"/>
              </w:rPr>
            </w:pPr>
            <w:r w:rsidRPr="002142B8">
              <w:rPr>
                <w:rFonts w:ascii="Georgia" w:hAnsi="Georgia"/>
                <w:sz w:val="20"/>
              </w:rPr>
              <w:t xml:space="preserve">Siektinas įgyvendinamų projektų skaičius: </w:t>
            </w:r>
            <w:r w:rsidR="0071393C" w:rsidRPr="002142B8">
              <w:rPr>
                <w:rFonts w:ascii="Georgia" w:hAnsi="Georgia"/>
                <w:sz w:val="20"/>
              </w:rPr>
              <w:t xml:space="preserve">apie 420 </w:t>
            </w:r>
            <w:r w:rsidRPr="002142B8">
              <w:rPr>
                <w:rFonts w:ascii="Georgia" w:hAnsi="Georgia"/>
                <w:sz w:val="20"/>
              </w:rPr>
              <w:t>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37D210DD" w14:textId="0E2F7663" w:rsidR="000556A1" w:rsidRPr="002142B8" w:rsidRDefault="000556A1"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71393C" w:rsidRPr="002142B8">
              <w:rPr>
                <w:rFonts w:ascii="Georgia" w:hAnsi="Georgia"/>
                <w:sz w:val="20"/>
              </w:rPr>
              <w:t xml:space="preserve">420 </w:t>
            </w:r>
            <w:r w:rsidRPr="002142B8">
              <w:rPr>
                <w:rFonts w:ascii="Georgia" w:hAnsi="Georgia"/>
                <w:sz w:val="20"/>
              </w:rPr>
              <w:t>naujų projektų</w:t>
            </w:r>
            <w:r w:rsidR="0071393C" w:rsidRPr="002142B8">
              <w:rPr>
                <w:rFonts w:ascii="Georgia" w:hAnsi="Georgia"/>
                <w:sz w:val="20"/>
              </w:rPr>
              <w:t>, kurio vieno investicijų vertė 330 tūkst.eurų</w:t>
            </w:r>
            <w:r w:rsidRPr="002142B8">
              <w:rPr>
                <w:rFonts w:ascii="Georgia" w:hAnsi="Georgia"/>
                <w:sz w:val="20"/>
              </w:rPr>
              <w:t>.</w:t>
            </w:r>
          </w:p>
        </w:tc>
      </w:tr>
      <w:tr w:rsidR="000556A1" w:rsidRPr="002142B8" w14:paraId="0E27174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69B4D93" w14:textId="77777777" w:rsidR="000556A1" w:rsidRPr="002142B8" w:rsidRDefault="000556A1" w:rsidP="00B042D4">
            <w:pPr>
              <w:jc w:val="both"/>
              <w:rPr>
                <w:rFonts w:ascii="Georgia" w:hAnsi="Georgia"/>
                <w:sz w:val="20"/>
              </w:rPr>
            </w:pPr>
            <w:r w:rsidRPr="002142B8">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2EFBD4FF"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556A1" w:rsidRPr="002142B8" w14:paraId="3785897C"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CB3B936" w14:textId="77777777" w:rsidR="000556A1" w:rsidRPr="002142B8" w:rsidRDefault="000556A1" w:rsidP="00B042D4">
            <w:pPr>
              <w:rPr>
                <w:rFonts w:ascii="Georgia" w:hAnsi="Georgia"/>
                <w:b w:val="0"/>
                <w:i/>
                <w:sz w:val="20"/>
                <w:szCs w:val="20"/>
              </w:rPr>
            </w:pPr>
            <w:r w:rsidRPr="002142B8">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65D5009E"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rPr>
              <w:t>Remiantis šiuo metu įgyvendinamų projektų duomenimis nustatyta vidutinė projekto įgyvendinimo trukmė – 1 metai nuo paskolos sutarties pasirašymo dienos.</w:t>
            </w:r>
          </w:p>
        </w:tc>
      </w:tr>
      <w:tr w:rsidR="000556A1" w:rsidRPr="002142B8" w14:paraId="73A8EDDF"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F83CF4" w14:textId="77777777" w:rsidR="000556A1" w:rsidRPr="002142B8" w:rsidRDefault="000556A1" w:rsidP="00B042D4">
            <w:pPr>
              <w:rPr>
                <w:rFonts w:ascii="Georgia" w:hAnsi="Georgia"/>
                <w:b w:val="0"/>
                <w:i/>
                <w:sz w:val="20"/>
                <w:szCs w:val="20"/>
              </w:rPr>
            </w:pPr>
            <w:r w:rsidRPr="002142B8">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14:paraId="06472D7E" w14:textId="77777777" w:rsidR="000556A1" w:rsidRPr="002142B8" w:rsidRDefault="000556A1" w:rsidP="00B042D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2142B8">
              <w:rPr>
                <w:rFonts w:ascii="Georgia" w:hAnsi="Georgia"/>
                <w:sz w:val="20"/>
              </w:rPr>
              <w:t>Daroma prielaida, jog grįžtančios lėšos pakartotinai panaudojamos projektų finansavimui tomis pačiomis sąlygomis po 2 metų.</w:t>
            </w:r>
          </w:p>
        </w:tc>
      </w:tr>
    </w:tbl>
    <w:p w14:paraId="32BA7F92" w14:textId="77777777" w:rsidR="000556A1" w:rsidRPr="002142B8" w:rsidRDefault="000556A1" w:rsidP="000556A1">
      <w:pPr>
        <w:rPr>
          <w:rFonts w:ascii="Georgia" w:hAnsi="Georgia"/>
          <w:sz w:val="20"/>
          <w:szCs w:val="20"/>
          <w:lang w:val="lt-LT"/>
        </w:rPr>
      </w:pPr>
    </w:p>
    <w:p w14:paraId="37BCCBBF" w14:textId="02226357" w:rsidR="000556A1" w:rsidRPr="00EB3D2A" w:rsidRDefault="000556A1" w:rsidP="000556A1">
      <w:pPr>
        <w:pStyle w:val="Antrat"/>
        <w:jc w:val="both"/>
        <w:rPr>
          <w:b w:val="0"/>
          <w:i/>
          <w:lang w:val="lt-LT"/>
        </w:rPr>
      </w:pPr>
      <w:bookmarkStart w:id="199" w:name="_Toc507939186"/>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64</w:t>
      </w:r>
      <w:r w:rsidRPr="00EB3D2A">
        <w:rPr>
          <w:b w:val="0"/>
          <w:i/>
          <w:lang w:val="lt-LT"/>
        </w:rPr>
        <w:fldChar w:fldCharType="end"/>
      </w:r>
      <w:r w:rsidRPr="00EB3D2A">
        <w:rPr>
          <w:b w:val="0"/>
          <w:i/>
          <w:lang w:val="lt-LT"/>
        </w:rPr>
        <w:t xml:space="preserve">. Scenarijaus Nr. </w:t>
      </w:r>
      <w:r w:rsidR="00BC5B4B" w:rsidRPr="00EB3D2A">
        <w:rPr>
          <w:b w:val="0"/>
          <w:i/>
          <w:lang w:val="en-US"/>
        </w:rPr>
        <w:t>4</w:t>
      </w:r>
      <w:r w:rsidRPr="00EB3D2A">
        <w:rPr>
          <w:b w:val="0"/>
          <w:i/>
          <w:lang w:val="lt-LT"/>
        </w:rPr>
        <w:t xml:space="preserve"> įgyvendinimo prognozė</w:t>
      </w:r>
      <w:bookmarkEnd w:id="199"/>
    </w:p>
    <w:p w14:paraId="7B01032F" w14:textId="5D76620A" w:rsidR="0071393C" w:rsidRPr="002142B8" w:rsidRDefault="0071393C" w:rsidP="008D155F">
      <w:pPr>
        <w:rPr>
          <w:lang w:val="lt-LT"/>
        </w:rPr>
      </w:pPr>
      <w:r w:rsidRPr="002142B8">
        <w:rPr>
          <w:noProof/>
          <w:lang w:val="lt-LT" w:eastAsia="lt-LT"/>
        </w:rPr>
        <w:drawing>
          <wp:inline distT="0" distB="0" distL="0" distR="0" wp14:anchorId="219C05C2" wp14:editId="1C1A3831">
            <wp:extent cx="6114415" cy="3023336"/>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3565" cy="3027860"/>
                    </a:xfrm>
                    <a:prstGeom prst="rect">
                      <a:avLst/>
                    </a:prstGeom>
                  </pic:spPr>
                </pic:pic>
              </a:graphicData>
            </a:graphic>
          </wp:inline>
        </w:drawing>
      </w:r>
    </w:p>
    <w:p w14:paraId="3A3CC5FF" w14:textId="6595C317" w:rsidR="000556A1" w:rsidRPr="00EB3D2A" w:rsidRDefault="000556A1" w:rsidP="000556A1">
      <w:pPr>
        <w:pStyle w:val="Antrat"/>
        <w:rPr>
          <w:b w:val="0"/>
          <w:i/>
          <w:lang w:val="lt-LT"/>
        </w:rPr>
      </w:pPr>
      <w:bookmarkStart w:id="200" w:name="_Toc507939187"/>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65</w:t>
      </w:r>
      <w:r w:rsidRPr="00EB3D2A">
        <w:rPr>
          <w:b w:val="0"/>
          <w:i/>
          <w:lang w:val="lt-LT"/>
        </w:rPr>
        <w:fldChar w:fldCharType="end"/>
      </w:r>
      <w:r w:rsidRPr="00EB3D2A">
        <w:rPr>
          <w:b w:val="0"/>
          <w:i/>
          <w:lang w:val="lt-LT"/>
        </w:rPr>
        <w:t xml:space="preserve">. </w:t>
      </w:r>
      <w:r w:rsidRPr="00EB3D2A">
        <w:rPr>
          <w:b w:val="0"/>
          <w:i/>
          <w:szCs w:val="20"/>
          <w:lang w:val="lt-LT"/>
        </w:rPr>
        <w:t xml:space="preserve">Scenarijaus Nr. </w:t>
      </w:r>
      <w:r w:rsidR="00BC5B4B" w:rsidRPr="00EB3D2A">
        <w:rPr>
          <w:b w:val="0"/>
          <w:i/>
          <w:szCs w:val="20"/>
          <w:lang w:val="lt-LT"/>
        </w:rPr>
        <w:t xml:space="preserve">4 </w:t>
      </w:r>
      <w:r w:rsidRPr="00EB3D2A">
        <w:rPr>
          <w:b w:val="0"/>
          <w:i/>
          <w:szCs w:val="20"/>
          <w:lang w:val="lt-LT"/>
        </w:rPr>
        <w:t>rezultatai</w:t>
      </w:r>
      <w:bookmarkEnd w:id="200"/>
    </w:p>
    <w:tbl>
      <w:tblPr>
        <w:tblStyle w:val="viesussraas2parykinimas"/>
        <w:tblW w:w="0" w:type="auto"/>
        <w:tblLook w:val="04A0" w:firstRow="1" w:lastRow="0" w:firstColumn="1" w:lastColumn="0" w:noHBand="0" w:noVBand="1"/>
      </w:tblPr>
      <w:tblGrid>
        <w:gridCol w:w="6651"/>
        <w:gridCol w:w="2591"/>
      </w:tblGrid>
      <w:tr w:rsidR="000556A1" w:rsidRPr="002142B8" w14:paraId="29695AF3" w14:textId="77777777" w:rsidTr="00B04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88487ED" w14:textId="77777777" w:rsidR="000556A1" w:rsidRPr="002142B8" w:rsidRDefault="000556A1" w:rsidP="00A23E59">
            <w:pPr>
              <w:rPr>
                <w:rFonts w:ascii="Georgia" w:hAnsi="Georgia"/>
                <w:sz w:val="20"/>
                <w:szCs w:val="20"/>
              </w:rPr>
            </w:pPr>
            <w:r w:rsidRPr="002142B8">
              <w:rPr>
                <w:rFonts w:ascii="Georgia" w:hAnsi="Georgia"/>
                <w:sz w:val="20"/>
                <w:szCs w:val="20"/>
              </w:rPr>
              <w:t>Fondas</w:t>
            </w:r>
          </w:p>
        </w:tc>
        <w:tc>
          <w:tcPr>
            <w:tcW w:w="2591" w:type="dxa"/>
          </w:tcPr>
          <w:p w14:paraId="1F5F6318" w14:textId="412B87D0" w:rsidR="000556A1" w:rsidRPr="002142B8" w:rsidRDefault="00A23E59" w:rsidP="00A23E59">
            <w:pPr>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Reikšmė</w:t>
            </w:r>
          </w:p>
        </w:tc>
      </w:tr>
      <w:tr w:rsidR="000556A1" w:rsidRPr="002142B8" w14:paraId="316FEBDB"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9D2DDD7" w14:textId="15E83988" w:rsidR="000556A1" w:rsidRPr="002142B8" w:rsidRDefault="000556A1" w:rsidP="00B042D4">
            <w:pPr>
              <w:rPr>
                <w:rFonts w:ascii="Georgia" w:hAnsi="Georgia"/>
                <w:sz w:val="20"/>
                <w:szCs w:val="20"/>
              </w:rPr>
            </w:pPr>
            <w:r w:rsidRPr="002142B8">
              <w:rPr>
                <w:rFonts w:ascii="Georgia" w:hAnsi="Georgia"/>
                <w:sz w:val="20"/>
                <w:szCs w:val="20"/>
              </w:rPr>
              <w:t>Galutinius naudos gavėjus pasiekusios lėšos</w:t>
            </w:r>
            <w:r w:rsidR="00A23E59" w:rsidRPr="002142B8">
              <w:rPr>
                <w:rFonts w:ascii="Georgia" w:hAnsi="Georgia"/>
                <w:sz w:val="20"/>
                <w:szCs w:val="20"/>
              </w:rPr>
              <w:t>, mln. Eurų</w:t>
            </w:r>
          </w:p>
        </w:tc>
        <w:tc>
          <w:tcPr>
            <w:tcW w:w="2591" w:type="dxa"/>
          </w:tcPr>
          <w:p w14:paraId="39955879" w14:textId="77777777" w:rsidR="000556A1" w:rsidRPr="002142B8"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832,0</w:t>
            </w:r>
          </w:p>
        </w:tc>
      </w:tr>
      <w:tr w:rsidR="000556A1" w:rsidRPr="002142B8" w14:paraId="675F2917" w14:textId="77777777" w:rsidTr="00B042D4">
        <w:tc>
          <w:tcPr>
            <w:cnfStyle w:val="001000000000" w:firstRow="0" w:lastRow="0" w:firstColumn="1" w:lastColumn="0" w:oddVBand="0" w:evenVBand="0" w:oddHBand="0" w:evenHBand="0" w:firstRowFirstColumn="0" w:firstRowLastColumn="0" w:lastRowFirstColumn="0" w:lastRowLastColumn="0"/>
            <w:tcW w:w="6651" w:type="dxa"/>
          </w:tcPr>
          <w:p w14:paraId="2DB7F87E" w14:textId="7C4D7663" w:rsidR="000556A1" w:rsidRPr="002142B8" w:rsidRDefault="000556A1" w:rsidP="00B042D4">
            <w:pPr>
              <w:rPr>
                <w:rFonts w:ascii="Georgia" w:hAnsi="Georgia"/>
                <w:sz w:val="20"/>
                <w:szCs w:val="20"/>
              </w:rPr>
            </w:pPr>
            <w:r w:rsidRPr="002142B8">
              <w:rPr>
                <w:rFonts w:ascii="Georgia" w:hAnsi="Georgia"/>
                <w:sz w:val="20"/>
                <w:szCs w:val="20"/>
              </w:rPr>
              <w:t>Pritrauktos investuotojų lėšos</w:t>
            </w:r>
            <w:r w:rsidR="00A23E59" w:rsidRPr="002142B8">
              <w:rPr>
                <w:rFonts w:ascii="Georgia" w:hAnsi="Georgia"/>
                <w:sz w:val="20"/>
                <w:szCs w:val="20"/>
              </w:rPr>
              <w:t xml:space="preserve">, </w:t>
            </w:r>
            <w:r w:rsidR="00D9139B" w:rsidRPr="002142B8">
              <w:rPr>
                <w:rFonts w:ascii="Georgia" w:hAnsi="Georgia"/>
                <w:sz w:val="20"/>
                <w:szCs w:val="20"/>
              </w:rPr>
              <w:t>mln. eurų</w:t>
            </w:r>
          </w:p>
        </w:tc>
        <w:tc>
          <w:tcPr>
            <w:tcW w:w="2591" w:type="dxa"/>
          </w:tcPr>
          <w:p w14:paraId="05C4BBA4" w14:textId="77777777" w:rsidR="000556A1" w:rsidRPr="002142B8"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655,4</w:t>
            </w:r>
          </w:p>
        </w:tc>
      </w:tr>
      <w:tr w:rsidR="000556A1" w:rsidRPr="002142B8" w14:paraId="383C06CC" w14:textId="77777777" w:rsidTr="00B0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8B83F22" w14:textId="77777777" w:rsidR="000556A1" w:rsidRPr="002142B8" w:rsidRDefault="000556A1" w:rsidP="00B042D4">
            <w:pPr>
              <w:rPr>
                <w:rFonts w:ascii="Georgia" w:hAnsi="Georgia"/>
                <w:sz w:val="20"/>
                <w:szCs w:val="20"/>
              </w:rPr>
            </w:pPr>
            <w:r w:rsidRPr="002142B8">
              <w:rPr>
                <w:rFonts w:ascii="Georgia" w:hAnsi="Georgia"/>
                <w:sz w:val="20"/>
                <w:szCs w:val="20"/>
              </w:rPr>
              <w:t>Renovuotų pastatų skaičius</w:t>
            </w:r>
          </w:p>
        </w:tc>
        <w:tc>
          <w:tcPr>
            <w:tcW w:w="2591" w:type="dxa"/>
          </w:tcPr>
          <w:p w14:paraId="5F5AC4C8" w14:textId="6AB38BB5" w:rsidR="000556A1" w:rsidRPr="002142B8" w:rsidRDefault="0071393C"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2 522</w:t>
            </w:r>
          </w:p>
        </w:tc>
      </w:tr>
    </w:tbl>
    <w:p w14:paraId="71DD874A" w14:textId="77777777" w:rsidR="000556A1" w:rsidRPr="002142B8" w:rsidRDefault="000556A1" w:rsidP="000556A1">
      <w:pPr>
        <w:rPr>
          <w:rFonts w:ascii="Georgia" w:hAnsi="Georgia"/>
          <w:lang w:val="lt-LT"/>
        </w:rPr>
      </w:pPr>
    </w:p>
    <w:p w14:paraId="304AD4F8" w14:textId="42C3A8C7" w:rsidR="000556A1" w:rsidRPr="002142B8" w:rsidRDefault="000556A1" w:rsidP="00D17A57">
      <w:pPr>
        <w:keepNext/>
        <w:rPr>
          <w:rFonts w:ascii="Georgia" w:hAnsi="Georgia"/>
          <w:b/>
          <w:i/>
          <w:sz w:val="28"/>
          <w:szCs w:val="28"/>
          <w:lang w:val="lt-LT"/>
        </w:rPr>
      </w:pPr>
      <w:r w:rsidRPr="002142B8">
        <w:rPr>
          <w:rFonts w:ascii="Georgia" w:hAnsi="Georgia"/>
          <w:b/>
          <w:i/>
          <w:sz w:val="28"/>
          <w:szCs w:val="28"/>
          <w:lang w:val="lt-LT"/>
        </w:rPr>
        <w:t xml:space="preserve">Scenarijus Nr. </w:t>
      </w:r>
      <w:r w:rsidR="00BC5B4B" w:rsidRPr="002142B8">
        <w:rPr>
          <w:rFonts w:ascii="Georgia" w:hAnsi="Georgia"/>
          <w:b/>
          <w:i/>
          <w:sz w:val="28"/>
          <w:szCs w:val="28"/>
          <w:lang w:val="lt-LT"/>
        </w:rPr>
        <w:t>5</w:t>
      </w:r>
      <w:r w:rsidRPr="002142B8">
        <w:rPr>
          <w:rFonts w:ascii="Georgia" w:hAnsi="Georgia"/>
          <w:b/>
          <w:i/>
          <w:sz w:val="28"/>
          <w:szCs w:val="28"/>
          <w:lang w:val="lt-LT"/>
        </w:rPr>
        <w:t>: Dalis finansinės priemonės lėšų nukreipiama į paskolų modelį, o dalis į garantijų priemonę su galimybe išpirkti ateities finansinius srautus</w:t>
      </w:r>
    </w:p>
    <w:p w14:paraId="3AE4B219" w14:textId="510AE3D5" w:rsidR="000556A1" w:rsidRPr="002142B8" w:rsidRDefault="000556A1" w:rsidP="0063781D">
      <w:pPr>
        <w:jc w:val="both"/>
        <w:rPr>
          <w:lang w:val="lt-LT"/>
        </w:rPr>
      </w:pPr>
      <w:r w:rsidRPr="002142B8">
        <w:rPr>
          <w:rFonts w:ascii="Georgia" w:hAnsi="Georgia"/>
          <w:sz w:val="20"/>
          <w:szCs w:val="20"/>
          <w:lang w:val="lt-LT"/>
        </w:rPr>
        <w:t xml:space="preserve">Šio scenarijaus skaičiavimai atitinka scenarijaus Nr. 3 prielaidas, kai 200 mln. eurų ESI fondų lėšų skiriama paskolų priemonei, o kita dalis lėšų – 80,9 mln. eurų garantijų priemonei. </w:t>
      </w:r>
      <w:r w:rsidR="00447EB9" w:rsidRPr="002142B8">
        <w:rPr>
          <w:rFonts w:ascii="Georgia" w:hAnsi="Georgia"/>
          <w:sz w:val="20"/>
          <w:szCs w:val="20"/>
          <w:lang w:val="lt-LT"/>
        </w:rPr>
        <w:t xml:space="preserve">Siekiant pritraukti papildomas lėšas galima būtų paskolų priemonės pinigų srautą/paskolas parduoti pritraukiant papildomą finansavimą.  </w:t>
      </w:r>
      <w:r w:rsidR="00247D53" w:rsidRPr="002142B8">
        <w:rPr>
          <w:rFonts w:ascii="Georgia" w:hAnsi="Georgia"/>
          <w:sz w:val="20"/>
          <w:szCs w:val="20"/>
          <w:lang w:val="lt-LT"/>
        </w:rPr>
        <w:t>Vienas iš tokio modelio pavyzdžių</w:t>
      </w:r>
      <w:r w:rsidR="00247D53" w:rsidRPr="002142B8">
        <w:rPr>
          <w:rStyle w:val="Puslapioinaosnuoroda"/>
          <w:rFonts w:ascii="Georgia" w:hAnsi="Georgia"/>
          <w:sz w:val="20"/>
          <w:szCs w:val="20"/>
          <w:lang w:val="lt-LT"/>
        </w:rPr>
        <w:footnoteReference w:id="130"/>
      </w:r>
      <w:r w:rsidR="00247D53" w:rsidRPr="002142B8">
        <w:rPr>
          <w:rFonts w:ascii="Georgia" w:hAnsi="Georgia"/>
          <w:sz w:val="20"/>
          <w:szCs w:val="20"/>
          <w:lang w:val="lt-LT"/>
        </w:rPr>
        <w:t xml:space="preserve"> galėtų būti privatus investicinis fondas, kuris išpirktų apie 70 proc. finansinės priemonės paskolų (investiciniam fondui būtų parduodamos gerosios paskolos), taip daug greičiau grąžinant išmokėtas lėšas ir jas investuojant į papildomus renovacijos projektus.</w:t>
      </w:r>
    </w:p>
    <w:p w14:paraId="463D71E3" w14:textId="2209088E" w:rsidR="000556A1" w:rsidRPr="00EB3D2A" w:rsidRDefault="000556A1" w:rsidP="000556A1">
      <w:pPr>
        <w:pStyle w:val="Antrat"/>
        <w:rPr>
          <w:b w:val="0"/>
          <w:i/>
          <w:szCs w:val="20"/>
          <w:lang w:val="lt-LT"/>
        </w:rPr>
      </w:pPr>
      <w:bookmarkStart w:id="201" w:name="_Toc507939188"/>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66</w:t>
      </w:r>
      <w:r w:rsidRPr="00EB3D2A">
        <w:rPr>
          <w:b w:val="0"/>
          <w:i/>
          <w:lang w:val="lt-LT"/>
        </w:rPr>
        <w:fldChar w:fldCharType="end"/>
      </w:r>
      <w:r w:rsidRPr="00EB3D2A">
        <w:rPr>
          <w:b w:val="0"/>
          <w:i/>
          <w:lang w:val="lt-LT"/>
        </w:rPr>
        <w:t xml:space="preserve">. Scenarijaus Nr. </w:t>
      </w:r>
      <w:r w:rsidR="00BC5B4B" w:rsidRPr="00EB3D2A">
        <w:rPr>
          <w:b w:val="0"/>
          <w:i/>
          <w:lang w:val="lt-LT"/>
        </w:rPr>
        <w:t>5</w:t>
      </w:r>
      <w:r w:rsidRPr="00EB3D2A">
        <w:rPr>
          <w:b w:val="0"/>
          <w:i/>
          <w:lang w:val="lt-LT"/>
        </w:rPr>
        <w:t xml:space="preserve"> prielaidos</w:t>
      </w:r>
      <w:bookmarkEnd w:id="201"/>
    </w:p>
    <w:tbl>
      <w:tblPr>
        <w:tblStyle w:val="viesussraas2parykinimas"/>
        <w:tblW w:w="5000" w:type="pct"/>
        <w:tblLook w:val="04A0" w:firstRow="1" w:lastRow="0" w:firstColumn="1" w:lastColumn="0" w:noHBand="0" w:noVBand="1"/>
      </w:tblPr>
      <w:tblGrid>
        <w:gridCol w:w="3164"/>
        <w:gridCol w:w="6078"/>
      </w:tblGrid>
      <w:tr w:rsidR="000556A1" w:rsidRPr="002142B8" w14:paraId="61F7FCC3" w14:textId="77777777" w:rsidTr="00B042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3E46DC78" w14:textId="77777777" w:rsidR="000556A1" w:rsidRPr="002142B8" w:rsidRDefault="000556A1" w:rsidP="00B042D4">
            <w:pPr>
              <w:keepNext/>
              <w:jc w:val="center"/>
              <w:rPr>
                <w:rFonts w:ascii="Georgia" w:hAnsi="Georgia"/>
                <w:sz w:val="20"/>
                <w:szCs w:val="20"/>
              </w:rPr>
            </w:pPr>
            <w:r w:rsidRPr="002142B8">
              <w:rPr>
                <w:rFonts w:ascii="Georgia" w:hAnsi="Georgia"/>
                <w:sz w:val="20"/>
                <w:szCs w:val="20"/>
              </w:rPr>
              <w:t>Prielaidos</w:t>
            </w:r>
          </w:p>
        </w:tc>
        <w:tc>
          <w:tcPr>
            <w:tcW w:w="3288" w:type="pct"/>
            <w:tcBorders>
              <w:bottom w:val="single" w:sz="8" w:space="0" w:color="C0504D" w:themeColor="accent2"/>
            </w:tcBorders>
          </w:tcPr>
          <w:p w14:paraId="3F84BA9D" w14:textId="77777777" w:rsidR="000556A1" w:rsidRPr="002142B8" w:rsidRDefault="000556A1" w:rsidP="00B042D4">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Komentaras</w:t>
            </w:r>
          </w:p>
        </w:tc>
      </w:tr>
      <w:tr w:rsidR="000556A1" w:rsidRPr="002142B8" w14:paraId="57BD54B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01A8BBFB" w14:textId="77777777" w:rsidR="000556A1" w:rsidRPr="002142B8" w:rsidRDefault="000556A1" w:rsidP="00B042D4">
            <w:pPr>
              <w:rPr>
                <w:rFonts w:ascii="Georgia" w:hAnsi="Georgia"/>
                <w:b w:val="0"/>
                <w:sz w:val="20"/>
                <w:szCs w:val="20"/>
              </w:rPr>
            </w:pPr>
            <w:r w:rsidRPr="002142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41403851"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Maksimalus paskolos suteikimo terminas 20 metų.</w:t>
            </w:r>
          </w:p>
        </w:tc>
      </w:tr>
      <w:tr w:rsidR="000556A1" w:rsidRPr="002142B8" w14:paraId="3F881DC8"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568CFBF" w14:textId="1D296F52" w:rsidR="000556A1" w:rsidRPr="002142B8" w:rsidRDefault="000556A1" w:rsidP="00B042D4">
            <w:pPr>
              <w:rPr>
                <w:rFonts w:ascii="Georgia" w:hAnsi="Georgia"/>
                <w:b w:val="0"/>
                <w:sz w:val="20"/>
                <w:szCs w:val="20"/>
              </w:rPr>
            </w:pPr>
            <w:r w:rsidRPr="002142B8">
              <w:rPr>
                <w:rFonts w:ascii="Georgia" w:hAnsi="Georgia"/>
                <w:sz w:val="20"/>
                <w:szCs w:val="20"/>
              </w:rPr>
              <w:lastRenderedPageBreak/>
              <w:t xml:space="preserve">Subsidija: </w:t>
            </w:r>
            <w:r w:rsidR="00247D53" w:rsidRPr="002142B8">
              <w:rPr>
                <w:rFonts w:ascii="Georgia" w:hAnsi="Georgia"/>
                <w:sz w:val="20"/>
                <w:szCs w:val="20"/>
              </w:rPr>
              <w:t>30</w:t>
            </w:r>
            <w:r w:rsidRPr="002142B8">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70F69A3E" w14:textId="79A96A8A" w:rsidR="000556A1" w:rsidRPr="002142B8" w:rsidRDefault="000556A1">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Projektams, pasiekusiems ne mažesnį kaip 40 proc. sutaupymą, suteikiama </w:t>
            </w:r>
            <w:r w:rsidR="00BC5B4B" w:rsidRPr="002142B8">
              <w:rPr>
                <w:rFonts w:ascii="Georgia" w:hAnsi="Georgia"/>
                <w:sz w:val="20"/>
              </w:rPr>
              <w:t xml:space="preserve">30 </w:t>
            </w:r>
            <w:r w:rsidRPr="002142B8">
              <w:rPr>
                <w:rFonts w:ascii="Georgia" w:hAnsi="Georgia"/>
                <w:sz w:val="20"/>
              </w:rPr>
              <w:t>% subsidija (papildoma valstybės parama) biudžeto lėšomis</w:t>
            </w:r>
            <w:r w:rsidR="00BC5B4B" w:rsidRPr="002142B8">
              <w:rPr>
                <w:rFonts w:ascii="Georgia" w:hAnsi="Georgia"/>
                <w:sz w:val="20"/>
              </w:rPr>
              <w:t>.</w:t>
            </w:r>
            <w:r w:rsidRPr="002142B8">
              <w:rPr>
                <w:rFonts w:ascii="Georgia" w:hAnsi="Georgia"/>
                <w:sz w:val="20"/>
              </w:rPr>
              <w:t>.</w:t>
            </w:r>
          </w:p>
        </w:tc>
      </w:tr>
      <w:tr w:rsidR="000556A1" w:rsidRPr="002142B8" w14:paraId="566C9C6E"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859E590" w14:textId="77777777" w:rsidR="000556A1" w:rsidRPr="002142B8" w:rsidRDefault="000556A1" w:rsidP="00B042D4">
            <w:pPr>
              <w:rPr>
                <w:rFonts w:ascii="Georgia" w:hAnsi="Georgia"/>
                <w:b w:val="0"/>
                <w:sz w:val="20"/>
                <w:szCs w:val="20"/>
              </w:rPr>
            </w:pPr>
            <w:r w:rsidRPr="002142B8">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7BC88393"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Blogų paskolų dalis buvo nustatyta remiantis ekspertų ir komercinių bankų vertinimu</w:t>
            </w:r>
            <w:r w:rsidRPr="002142B8">
              <w:rPr>
                <w:rFonts w:ascii="Georgia" w:hAnsi="Georgia"/>
                <w:sz w:val="20"/>
                <w:szCs w:val="20"/>
              </w:rPr>
              <w:t>. Garantijų priemonės atveju daroma prielaida, kad iki 2022 metų reikės išmokėti 50% garantijų bankams nuo planuojamų blogų paskolų.</w:t>
            </w:r>
          </w:p>
        </w:tc>
      </w:tr>
      <w:tr w:rsidR="0071393C" w:rsidRPr="002142B8" w14:paraId="521262F2"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1760303" w14:textId="77777777" w:rsidR="0071393C" w:rsidRPr="002142B8" w:rsidRDefault="0071393C" w:rsidP="0071393C">
            <w:pPr>
              <w:rPr>
                <w:rFonts w:ascii="Georgia" w:hAnsi="Georgia"/>
                <w:sz w:val="20"/>
              </w:rPr>
            </w:pPr>
            <w:r w:rsidRPr="002142B8">
              <w:rPr>
                <w:rFonts w:ascii="Georgia" w:hAnsi="Georgia"/>
                <w:sz w:val="20"/>
              </w:rPr>
              <w:t>Modernizavimo procese dalyvaujančio vidutinio pastato projekto investicijų vertė: 330 000 eurų</w:t>
            </w:r>
          </w:p>
          <w:p w14:paraId="075E6787" w14:textId="77777777" w:rsidR="0071393C" w:rsidRPr="002142B8" w:rsidRDefault="0071393C" w:rsidP="0071393C">
            <w:pPr>
              <w:rPr>
                <w:rFonts w:ascii="Georgia" w:hAnsi="Georgia"/>
                <w:sz w:val="20"/>
              </w:rPr>
            </w:pPr>
          </w:p>
          <w:p w14:paraId="40E6447C" w14:textId="08675B3A" w:rsidR="0071393C" w:rsidRPr="002142B8" w:rsidRDefault="0071393C" w:rsidP="0071393C">
            <w:pPr>
              <w:rPr>
                <w:rFonts w:ascii="Georgia" w:hAnsi="Georgia"/>
                <w:b w:val="0"/>
                <w:sz w:val="20"/>
                <w:szCs w:val="20"/>
              </w:rPr>
            </w:pPr>
          </w:p>
        </w:tc>
        <w:tc>
          <w:tcPr>
            <w:tcW w:w="3288" w:type="pct"/>
            <w:tcBorders>
              <w:top w:val="single" w:sz="6" w:space="0" w:color="C0504D" w:themeColor="accent2"/>
              <w:left w:val="single" w:sz="6" w:space="0" w:color="C0504D" w:themeColor="accent2"/>
              <w:bottom w:val="single" w:sz="6" w:space="0" w:color="C0504D" w:themeColor="accent2"/>
            </w:tcBorders>
          </w:tcPr>
          <w:p w14:paraId="5C9028FB" w14:textId="77777777" w:rsidR="0071393C" w:rsidRPr="002142B8"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Pradinėje ataskaitoje vidutinė tipinio daugiabučio renovacijos kaina buvo nustatyta remiantis vidutinio daugiabučio plotu (paskaičiuota remiantis registrų centro duomenimis). Vidutinė statybos darbų kaina nustatyta pagal BETA pateiktus duomenis.</w:t>
            </w:r>
          </w:p>
          <w:p w14:paraId="218107B7" w14:textId="77777777" w:rsidR="0071393C" w:rsidRPr="002142B8"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p>
          <w:p w14:paraId="6E11CBD9" w14:textId="77777777" w:rsidR="0071393C" w:rsidRPr="002142B8"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JESSICA KF praktinė patirtis (įvertinus 384 sutartis) parodė, kad didesni daugiabučiai dažniau įgyvendina modernizavimo projektus. Todėl vidutinio daugiabučio dalyvaujančio modernizavimo procese bendras plotas sudaro apie 2 300 m</w:t>
            </w:r>
            <w:r w:rsidRPr="002142B8">
              <w:rPr>
                <w:rFonts w:ascii="Georgia" w:hAnsi="Georgia"/>
                <w:sz w:val="20"/>
                <w:vertAlign w:val="superscript"/>
              </w:rPr>
              <w:t xml:space="preserve">2 </w:t>
            </w:r>
            <w:r w:rsidRPr="002142B8">
              <w:rPr>
                <w:rFonts w:ascii="Georgia" w:hAnsi="Georgia"/>
                <w:sz w:val="20"/>
              </w:rPr>
              <w:t>(šildomas plotas 1 770-1 920 m</w:t>
            </w:r>
            <w:r w:rsidRPr="002142B8">
              <w:rPr>
                <w:rFonts w:ascii="Georgia" w:hAnsi="Georgia"/>
                <w:sz w:val="20"/>
                <w:vertAlign w:val="superscript"/>
              </w:rPr>
              <w:t>2</w:t>
            </w:r>
            <w:r w:rsidRPr="002142B8">
              <w:rPr>
                <w:rFonts w:ascii="Georgia" w:hAnsi="Georgia"/>
                <w:sz w:val="20"/>
              </w:rPr>
              <w:t>) tai yra bendras plotas daugiau nei 1 000 m</w:t>
            </w:r>
            <w:r w:rsidRPr="002142B8">
              <w:rPr>
                <w:rFonts w:ascii="Georgia" w:hAnsi="Georgia"/>
                <w:sz w:val="20"/>
                <w:vertAlign w:val="superscript"/>
              </w:rPr>
              <w:t>2</w:t>
            </w:r>
            <w:r w:rsidRPr="002142B8">
              <w:rPr>
                <w:rFonts w:ascii="Georgia" w:hAnsi="Georgia"/>
                <w:sz w:val="20"/>
              </w:rPr>
              <w:t xml:space="preserve"> arba 79 proc. didesnis nei vidutinis daugiabučio plotas, apskaičiuotas pagal nekilnojamojo turto registro duomenis. Vidutinė investicijų (statybos darbų) kaina naudojama kaip Pradinėje ataskaitoje, tai yra 145 eurai/m</w:t>
            </w:r>
            <w:r w:rsidRPr="002142B8">
              <w:rPr>
                <w:rFonts w:ascii="Georgia" w:hAnsi="Georgia"/>
                <w:sz w:val="20"/>
                <w:vertAlign w:val="superscript"/>
              </w:rPr>
              <w:t>2</w:t>
            </w:r>
            <w:r w:rsidRPr="002142B8">
              <w:rPr>
                <w:rFonts w:ascii="Georgia" w:hAnsi="Georgia"/>
                <w:sz w:val="20"/>
              </w:rPr>
              <w:t>.  Apskaičiuota projekto vertė sudarytų -333 500 eurų, patogumo dėlei, toliau skaičiavimuose naudojama suapvalinta projekto vertė – 330 000 eurų. Kitaip sakant šie pakeitimai lyginant su Pradine ataskaita neturės įtakos modernizuotam daugiabučių plotui, tačiau dėl skaičiavimuose naudojamo didesnio bendro ploto modernizuotų daugiabučių skaičius sumažės.</w:t>
            </w:r>
          </w:p>
          <w:p w14:paraId="5CDE2A87" w14:textId="6DA6D5EA" w:rsidR="0071393C" w:rsidRPr="002142B8" w:rsidRDefault="0071393C"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0556A1" w:rsidRPr="002142B8" w14:paraId="0BADEEA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66AB8F4" w14:textId="77777777" w:rsidR="000556A1" w:rsidRPr="002142B8" w:rsidRDefault="000556A1" w:rsidP="00B042D4">
            <w:pPr>
              <w:rPr>
                <w:rFonts w:ascii="Georgia" w:hAnsi="Georgia"/>
                <w:b w:val="0"/>
                <w:sz w:val="20"/>
                <w:szCs w:val="20"/>
              </w:rPr>
            </w:pPr>
            <w:r w:rsidRPr="002142B8">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674636B7"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556A1" w:rsidRPr="002142B8" w14:paraId="3A1C6D85"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AA99D9E" w14:textId="73692C96" w:rsidR="000556A1" w:rsidRPr="002142B8" w:rsidRDefault="000556A1" w:rsidP="00B042D4">
            <w:pPr>
              <w:rPr>
                <w:rFonts w:ascii="Georgia" w:hAnsi="Georgia"/>
                <w:b w:val="0"/>
                <w:sz w:val="20"/>
                <w:szCs w:val="20"/>
              </w:rPr>
            </w:pPr>
            <w:r w:rsidRPr="002142B8">
              <w:rPr>
                <w:rFonts w:ascii="Georgia" w:hAnsi="Georgia"/>
                <w:sz w:val="20"/>
                <w:szCs w:val="20"/>
              </w:rPr>
              <w:t xml:space="preserve">Bankų palūkanos: </w:t>
            </w:r>
            <w:r w:rsidR="00BC5B4B" w:rsidRPr="002142B8">
              <w:rPr>
                <w:rFonts w:ascii="Georgia" w:hAnsi="Georgia"/>
                <w:sz w:val="20"/>
                <w:szCs w:val="20"/>
                <w:lang w:val="en-US"/>
              </w:rPr>
              <w:t>5,8</w:t>
            </w:r>
            <w:r w:rsidRPr="002142B8">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691A8991" w14:textId="6BE96C8E" w:rsidR="000556A1" w:rsidRPr="002142B8" w:rsidRDefault="00BC5B4B"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2142B8">
              <w:rPr>
                <w:rFonts w:ascii="Georgia" w:hAnsi="Georgia"/>
                <w:sz w:val="20"/>
                <w:szCs w:val="20"/>
              </w:rPr>
              <w:br/>
              <w:t>1) Prognozuojamas suderintas vartotojų kainų indekso (SVKI) vidurkis Lietuvoje 2017-2019 (2,9%);</w:t>
            </w:r>
            <w:r w:rsidRPr="002142B8">
              <w:rPr>
                <w:rFonts w:ascii="Georgia" w:hAnsi="Georgia"/>
                <w:sz w:val="20"/>
                <w:szCs w:val="20"/>
              </w:rPr>
              <w:br/>
              <w:t xml:space="preserve">2) vidutinės Lietuvos Respublikos Vyriausybės obligacijų emisijos (2536 dienų trukmės) palūkanos 2014 rugsėjo mėnesį (0,8%); </w:t>
            </w:r>
            <w:r w:rsidRPr="002142B8">
              <w:rPr>
                <w:rFonts w:ascii="Georgia" w:hAnsi="Georgia"/>
                <w:sz w:val="20"/>
                <w:szCs w:val="20"/>
              </w:rPr>
              <w:br/>
              <w:t>3) Galima komercinių bankų marža (2,1%).</w:t>
            </w:r>
          </w:p>
        </w:tc>
      </w:tr>
      <w:tr w:rsidR="000556A1" w:rsidRPr="002142B8" w14:paraId="718B6F60"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5BE1EFC" w14:textId="77777777" w:rsidR="000556A1" w:rsidRPr="002142B8" w:rsidRDefault="000556A1" w:rsidP="00B042D4">
            <w:pPr>
              <w:rPr>
                <w:rFonts w:ascii="Georgia" w:hAnsi="Georgia"/>
                <w:sz w:val="20"/>
                <w:szCs w:val="20"/>
              </w:rPr>
            </w:pPr>
            <w:r w:rsidRPr="002142B8">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59B78C3A"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 xml:space="preserve"> 2007-2013 m. JESSICA KF grįžtančios lėšos (iki 2020 metų) sudaro apie 67,2 mln. eurų.</w:t>
            </w:r>
          </w:p>
        </w:tc>
      </w:tr>
      <w:tr w:rsidR="000556A1" w:rsidRPr="002142B8" w14:paraId="6ECB2F57"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D3C9BB5" w14:textId="77777777" w:rsidR="000556A1" w:rsidRPr="002142B8" w:rsidRDefault="000556A1" w:rsidP="00B042D4">
            <w:pPr>
              <w:rPr>
                <w:rFonts w:ascii="Georgia" w:hAnsi="Georgia"/>
                <w:b w:val="0"/>
                <w:sz w:val="20"/>
                <w:szCs w:val="20"/>
              </w:rPr>
            </w:pPr>
            <w:r w:rsidRPr="002142B8">
              <w:rPr>
                <w:rFonts w:ascii="Georgia" w:hAnsi="Georgia"/>
                <w:sz w:val="20"/>
                <w:szCs w:val="20"/>
              </w:rPr>
              <w:t xml:space="preserve">Investuojamų ESI fondų lėšų suma: 280,9 mln. </w:t>
            </w:r>
            <w:r w:rsidRPr="002142B8">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692E1C88" w14:textId="25B9CDD0" w:rsidR="000556A1" w:rsidRPr="002142B8" w:rsidRDefault="0071393C"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rPr>
              <w:t xml:space="preserve">Kaip numatyta Pradinėje ataskaitoje </w:t>
            </w:r>
            <w:r w:rsidR="000556A1" w:rsidRPr="002142B8">
              <w:rPr>
                <w:rFonts w:ascii="Georgia" w:hAnsi="Georgia"/>
                <w:sz w:val="20"/>
              </w:rPr>
              <w:t>280,9 mln. eurų 2014-2020 m. ESI fondų lėšų</w:t>
            </w:r>
            <w:r w:rsidR="000556A1" w:rsidRPr="002142B8">
              <w:rPr>
                <w:rFonts w:ascii="Georgia" w:hAnsi="Georgia"/>
                <w:sz w:val="20"/>
                <w:szCs w:val="20"/>
              </w:rPr>
              <w:t xml:space="preserve"> skirstomos, taip:</w:t>
            </w:r>
          </w:p>
          <w:p w14:paraId="29098CF0" w14:textId="77777777" w:rsidR="000556A1" w:rsidRPr="002142B8" w:rsidRDefault="000556A1" w:rsidP="000556A1">
            <w:pPr>
              <w:pStyle w:val="Sraopastraipa"/>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paskolų finansinei priemonei skiriama 200 mln. eurų  bei grįžtančios lėšos skiriamos paskolų finansinei priemonei;</w:t>
            </w:r>
          </w:p>
          <w:p w14:paraId="6E708C81" w14:textId="77777777" w:rsidR="000556A1" w:rsidRPr="002142B8" w:rsidRDefault="000556A1" w:rsidP="000556A1">
            <w:pPr>
              <w:pStyle w:val="Sraopastraipa"/>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garantijų finansinei priemonei skiriama 80,9 mln. eurų.</w:t>
            </w:r>
          </w:p>
        </w:tc>
      </w:tr>
      <w:tr w:rsidR="000556A1" w:rsidRPr="002142B8" w14:paraId="2FA52424"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3E40DD3" w14:textId="77777777" w:rsidR="000556A1" w:rsidRPr="002142B8" w:rsidRDefault="000556A1" w:rsidP="00B042D4">
            <w:pPr>
              <w:rPr>
                <w:rFonts w:ascii="Georgia" w:hAnsi="Georgia"/>
                <w:sz w:val="20"/>
                <w:szCs w:val="20"/>
              </w:rPr>
            </w:pPr>
            <w:r w:rsidRPr="002142B8">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5EF31CCF" w14:textId="08AF1679" w:rsidR="000556A1" w:rsidRPr="002142B8" w:rsidRDefault="000556A1">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 xml:space="preserve">Fondo garantiniams įsipareigojimams vykdyti rezervuojama 10% nuo garantinės priemonės atveju bankų suteiktų paskolų sumos galutiniams naudos gavėjams. </w:t>
            </w:r>
          </w:p>
        </w:tc>
      </w:tr>
      <w:tr w:rsidR="000556A1" w:rsidRPr="002142B8" w14:paraId="172136B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D6844FA" w14:textId="34695AC3" w:rsidR="000556A1" w:rsidRPr="002142B8" w:rsidRDefault="000556A1" w:rsidP="0071393C">
            <w:pPr>
              <w:jc w:val="both"/>
              <w:rPr>
                <w:rFonts w:ascii="Georgia" w:hAnsi="Georgia"/>
                <w:sz w:val="20"/>
              </w:rPr>
            </w:pPr>
            <w:r w:rsidRPr="002142B8">
              <w:rPr>
                <w:rFonts w:ascii="Georgia" w:hAnsi="Georgia"/>
                <w:sz w:val="20"/>
              </w:rPr>
              <w:t xml:space="preserve">Siektinas įgyvendinamų projektų skaičius: </w:t>
            </w:r>
            <w:r w:rsidR="0071393C" w:rsidRPr="002142B8">
              <w:rPr>
                <w:rFonts w:ascii="Georgia" w:hAnsi="Georgia"/>
                <w:sz w:val="20"/>
              </w:rPr>
              <w:t xml:space="preserve">340 </w:t>
            </w:r>
            <w:r w:rsidRPr="002142B8">
              <w:rPr>
                <w:rFonts w:ascii="Georgia" w:hAnsi="Georgia"/>
                <w:sz w:val="20"/>
              </w:rPr>
              <w:t>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542B2B19" w14:textId="48CBAA27" w:rsidR="000556A1" w:rsidRPr="002142B8" w:rsidRDefault="000556A1" w:rsidP="0071393C">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 xml:space="preserve">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w:t>
            </w:r>
            <w:r w:rsidR="0071393C" w:rsidRPr="002142B8">
              <w:rPr>
                <w:rFonts w:ascii="Georgia" w:hAnsi="Georgia"/>
                <w:sz w:val="20"/>
              </w:rPr>
              <w:t xml:space="preserve">340 </w:t>
            </w:r>
            <w:r w:rsidRPr="002142B8">
              <w:rPr>
                <w:rFonts w:ascii="Georgia" w:hAnsi="Georgia"/>
                <w:sz w:val="20"/>
              </w:rPr>
              <w:t>naujų projektų</w:t>
            </w:r>
            <w:r w:rsidR="0071393C" w:rsidRPr="002142B8">
              <w:rPr>
                <w:rFonts w:ascii="Georgia" w:hAnsi="Georgia"/>
                <w:sz w:val="20"/>
              </w:rPr>
              <w:t>, kurio kiekvieno invest</w:t>
            </w:r>
            <w:r w:rsidR="009B2CAB" w:rsidRPr="002142B8">
              <w:rPr>
                <w:rFonts w:ascii="Georgia" w:hAnsi="Georgia"/>
                <w:sz w:val="20"/>
              </w:rPr>
              <w:t>i</w:t>
            </w:r>
            <w:r w:rsidR="0071393C" w:rsidRPr="002142B8">
              <w:rPr>
                <w:rFonts w:ascii="Georgia" w:hAnsi="Georgia"/>
                <w:sz w:val="20"/>
              </w:rPr>
              <w:t>cijų vertė apie 330 tūkst. eurų.s</w:t>
            </w:r>
            <w:r w:rsidRPr="002142B8">
              <w:rPr>
                <w:rFonts w:ascii="Georgia" w:hAnsi="Georgia"/>
                <w:sz w:val="20"/>
              </w:rPr>
              <w:t>.</w:t>
            </w:r>
          </w:p>
        </w:tc>
      </w:tr>
      <w:tr w:rsidR="000556A1" w:rsidRPr="002142B8" w14:paraId="3042B00B"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03D2C79" w14:textId="77777777" w:rsidR="000556A1" w:rsidRPr="002142B8" w:rsidRDefault="000556A1" w:rsidP="00B042D4">
            <w:pPr>
              <w:rPr>
                <w:rFonts w:ascii="Georgia" w:hAnsi="Georgia"/>
                <w:sz w:val="20"/>
              </w:rPr>
            </w:pPr>
            <w:r w:rsidRPr="002142B8">
              <w:rPr>
                <w:rFonts w:ascii="Georgia" w:hAnsi="Georgia"/>
                <w:sz w:val="20"/>
              </w:rPr>
              <w:lastRenderedPageBreak/>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5E012EB" w14:textId="2A928325"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w:t>
            </w:r>
            <w:r w:rsidR="00BC5B4B" w:rsidRPr="002142B8">
              <w:rPr>
                <w:rFonts w:ascii="Georgia" w:hAnsi="Georgia"/>
                <w:sz w:val="20"/>
                <w:szCs w:val="20"/>
              </w:rPr>
              <w:t>1,5 % programos įnašų, pagal Reglamento (ES) Nr. 1303/2013 42 straipsnio 1 dalies b punktą skirtų galiojančioms garantijų sutartims</w:t>
            </w:r>
          </w:p>
        </w:tc>
      </w:tr>
      <w:tr w:rsidR="000556A1" w:rsidRPr="002142B8" w14:paraId="4963F5EA"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968546A" w14:textId="77777777" w:rsidR="000556A1" w:rsidRPr="002142B8" w:rsidRDefault="000556A1" w:rsidP="00B042D4">
            <w:pPr>
              <w:rPr>
                <w:rFonts w:ascii="Georgia" w:hAnsi="Georgia"/>
                <w:b w:val="0"/>
                <w:sz w:val="20"/>
                <w:szCs w:val="20"/>
              </w:rPr>
            </w:pPr>
            <w:r w:rsidRPr="002142B8">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027B25C0" w14:textId="77777777"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2142B8">
              <w:rPr>
                <w:rFonts w:ascii="Georgia" w:hAnsi="Georgia"/>
                <w:sz w:val="20"/>
              </w:rPr>
              <w:t>Remiantis šiuo metu įgyvendinamų projektų duomenimis nustatyta vidutinė projekto įgyvendinimo trukmė – 1 metai nuo paskolos sutarties pasirašymo dienos.</w:t>
            </w:r>
          </w:p>
        </w:tc>
      </w:tr>
      <w:tr w:rsidR="000556A1" w:rsidRPr="002142B8" w14:paraId="1FDF76AA" w14:textId="77777777" w:rsidTr="00B042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1ADDF092" w14:textId="77777777" w:rsidR="000556A1" w:rsidRPr="002142B8" w:rsidRDefault="000556A1" w:rsidP="00B042D4">
            <w:pPr>
              <w:rPr>
                <w:rFonts w:ascii="Georgia" w:hAnsi="Georgia"/>
                <w:b w:val="0"/>
                <w:sz w:val="20"/>
                <w:szCs w:val="20"/>
              </w:rPr>
            </w:pPr>
            <w:r w:rsidRPr="002142B8">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4F62E45C" w14:textId="77777777" w:rsidR="000556A1" w:rsidRPr="002142B8" w:rsidRDefault="000556A1" w:rsidP="00B042D4">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2142B8">
              <w:rPr>
                <w:rFonts w:ascii="Georgia" w:hAnsi="Georgia"/>
                <w:sz w:val="20"/>
              </w:rPr>
              <w:t xml:space="preserve">Daroma prielaida, jog grįžtančios lėšos pakartotinai panaudojamos projektų finansavimui tomis pačiomis sąlygomis po 2 metų. </w:t>
            </w:r>
          </w:p>
        </w:tc>
      </w:tr>
      <w:tr w:rsidR="000556A1" w:rsidRPr="002142B8" w14:paraId="608D6649" w14:textId="77777777" w:rsidTr="00B042D4">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5AD8180C" w14:textId="77777777" w:rsidR="000556A1" w:rsidRPr="002142B8" w:rsidRDefault="000556A1" w:rsidP="00B042D4">
            <w:pPr>
              <w:rPr>
                <w:rFonts w:ascii="Georgia" w:hAnsi="Georgia"/>
                <w:sz w:val="20"/>
              </w:rPr>
            </w:pPr>
            <w:r w:rsidRPr="002142B8">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14:paraId="2F1F585B" w14:textId="51BDEB7F" w:rsidR="000556A1" w:rsidRPr="002142B8" w:rsidRDefault="000556A1" w:rsidP="00B042D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cs="Georgia"/>
                <w:sz w:val="20"/>
                <w:szCs w:val="20"/>
              </w:rPr>
              <w:t xml:space="preserve">Daroma prielaida, kad </w:t>
            </w:r>
            <w:r w:rsidR="00247D53" w:rsidRPr="002142B8">
              <w:rPr>
                <w:rFonts w:ascii="Georgia" w:hAnsi="Georgia" w:cs="Georgia"/>
                <w:sz w:val="20"/>
                <w:szCs w:val="20"/>
              </w:rPr>
              <w:t xml:space="preserve">susidarius tinkamai situacijai </w:t>
            </w:r>
            <w:r w:rsidRPr="002142B8">
              <w:rPr>
                <w:rFonts w:ascii="Georgia" w:hAnsi="Georgia" w:cs="Georgia"/>
                <w:sz w:val="20"/>
                <w:szCs w:val="20"/>
              </w:rPr>
              <w:t xml:space="preserve">privatus investicinis fondas galėtų išpirkti apie 70 proc. visų paskolų portfelio. </w:t>
            </w:r>
          </w:p>
        </w:tc>
      </w:tr>
    </w:tbl>
    <w:p w14:paraId="2B99E672" w14:textId="77777777" w:rsidR="000556A1" w:rsidRPr="002142B8" w:rsidRDefault="000556A1" w:rsidP="000556A1">
      <w:pPr>
        <w:rPr>
          <w:rFonts w:ascii="Georgia" w:hAnsi="Georgia"/>
          <w:sz w:val="20"/>
          <w:szCs w:val="20"/>
          <w:lang w:val="lt-LT"/>
        </w:rPr>
      </w:pPr>
    </w:p>
    <w:p w14:paraId="4A2A7AC8" w14:textId="036CB997" w:rsidR="000556A1" w:rsidRPr="00EB3D2A" w:rsidRDefault="000556A1" w:rsidP="000556A1">
      <w:pPr>
        <w:pStyle w:val="Antrat"/>
        <w:jc w:val="both"/>
        <w:rPr>
          <w:b w:val="0"/>
          <w:i/>
          <w:szCs w:val="20"/>
          <w:lang w:val="lt-LT"/>
        </w:rPr>
      </w:pPr>
      <w:bookmarkStart w:id="202" w:name="_Toc507939189"/>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67</w:t>
      </w:r>
      <w:r w:rsidRPr="00EB3D2A">
        <w:rPr>
          <w:b w:val="0"/>
          <w:i/>
          <w:lang w:val="lt-LT"/>
        </w:rPr>
        <w:fldChar w:fldCharType="end"/>
      </w:r>
      <w:r w:rsidRPr="00EB3D2A">
        <w:rPr>
          <w:b w:val="0"/>
          <w:i/>
          <w:lang w:val="lt-LT"/>
        </w:rPr>
        <w:t xml:space="preserve">. Scenarijaus Nr. </w:t>
      </w:r>
      <w:r w:rsidR="00BC5B4B" w:rsidRPr="00EB3D2A">
        <w:rPr>
          <w:b w:val="0"/>
          <w:i/>
          <w:lang w:val="lt-LT"/>
        </w:rPr>
        <w:t>5</w:t>
      </w:r>
      <w:r w:rsidRPr="00EB3D2A">
        <w:rPr>
          <w:b w:val="0"/>
          <w:i/>
          <w:lang w:val="lt-LT"/>
        </w:rPr>
        <w:t xml:space="preserve"> </w:t>
      </w:r>
      <w:r w:rsidRPr="00EB3D2A">
        <w:rPr>
          <w:b w:val="0"/>
          <w:i/>
          <w:szCs w:val="20"/>
          <w:lang w:val="lt-LT"/>
        </w:rPr>
        <w:t>paskolų finansinės priemonės įgyvendinimo prognozė</w:t>
      </w:r>
      <w:bookmarkEnd w:id="202"/>
    </w:p>
    <w:p w14:paraId="71153B84" w14:textId="79C6A036" w:rsidR="000556A1" w:rsidRPr="002142B8" w:rsidRDefault="0071393C" w:rsidP="000556A1">
      <w:pPr>
        <w:rPr>
          <w:lang w:val="lt-LT"/>
        </w:rPr>
      </w:pPr>
      <w:r w:rsidRPr="002142B8">
        <w:rPr>
          <w:noProof/>
          <w:lang w:val="lt-LT" w:eastAsia="lt-LT"/>
        </w:rPr>
        <w:drawing>
          <wp:inline distT="0" distB="0" distL="0" distR="0" wp14:anchorId="53FD3951" wp14:editId="34EA825F">
            <wp:extent cx="6107502" cy="3386666"/>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3017" cy="3389724"/>
                    </a:xfrm>
                    <a:prstGeom prst="rect">
                      <a:avLst/>
                    </a:prstGeom>
                  </pic:spPr>
                </pic:pic>
              </a:graphicData>
            </a:graphic>
          </wp:inline>
        </w:drawing>
      </w:r>
    </w:p>
    <w:p w14:paraId="1FEE8E66" w14:textId="77777777" w:rsidR="007B305E" w:rsidRDefault="007B305E">
      <w:pPr>
        <w:rPr>
          <w:rFonts w:ascii="Georgia" w:eastAsia="PMingLiU" w:hAnsi="Georgia" w:cs="Times New Roman"/>
          <w:bCs/>
          <w:i/>
          <w:color w:val="A32020"/>
          <w:sz w:val="20"/>
          <w:szCs w:val="18"/>
          <w:lang w:val="lt-LT"/>
        </w:rPr>
      </w:pPr>
      <w:r>
        <w:rPr>
          <w:b/>
          <w:i/>
          <w:lang w:val="lt-LT"/>
        </w:rPr>
        <w:br w:type="page"/>
      </w:r>
    </w:p>
    <w:p w14:paraId="56991F2D" w14:textId="3A6993A0" w:rsidR="000556A1" w:rsidRPr="00EB3D2A" w:rsidRDefault="000556A1" w:rsidP="000556A1">
      <w:pPr>
        <w:pStyle w:val="Antrat"/>
        <w:jc w:val="both"/>
        <w:rPr>
          <w:b w:val="0"/>
          <w:i/>
          <w:szCs w:val="20"/>
          <w:lang w:val="lt-LT"/>
        </w:rPr>
      </w:pPr>
      <w:bookmarkStart w:id="203" w:name="_Toc507939190"/>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68</w:t>
      </w:r>
      <w:r w:rsidRPr="00EB3D2A">
        <w:rPr>
          <w:b w:val="0"/>
          <w:i/>
          <w:lang w:val="lt-LT"/>
        </w:rPr>
        <w:fldChar w:fldCharType="end"/>
      </w:r>
      <w:r w:rsidRPr="00EB3D2A">
        <w:rPr>
          <w:b w:val="0"/>
          <w:i/>
          <w:lang w:val="lt-LT"/>
        </w:rPr>
        <w:t xml:space="preserve">. Scenarijaus Nr. </w:t>
      </w:r>
      <w:r w:rsidR="00BC5B4B" w:rsidRPr="00EB3D2A">
        <w:rPr>
          <w:b w:val="0"/>
          <w:i/>
          <w:lang w:val="lt-LT"/>
        </w:rPr>
        <w:t>5</w:t>
      </w:r>
      <w:r w:rsidRPr="00EB3D2A">
        <w:rPr>
          <w:b w:val="0"/>
          <w:i/>
          <w:lang w:val="lt-LT"/>
        </w:rPr>
        <w:t xml:space="preserve"> g</w:t>
      </w:r>
      <w:r w:rsidRPr="00EB3D2A">
        <w:rPr>
          <w:b w:val="0"/>
          <w:i/>
          <w:szCs w:val="20"/>
          <w:lang w:val="lt-LT"/>
        </w:rPr>
        <w:t>arantijų finansinės priemonės įgyvendinimo prognozė</w:t>
      </w:r>
      <w:bookmarkEnd w:id="203"/>
    </w:p>
    <w:p w14:paraId="5C7A76FB" w14:textId="25DC11E8" w:rsidR="0071393C" w:rsidRPr="002142B8" w:rsidRDefault="0071393C" w:rsidP="000556A1">
      <w:pPr>
        <w:rPr>
          <w:color w:val="1F497D"/>
          <w:lang w:val="lt-LT"/>
        </w:rPr>
      </w:pPr>
      <w:r w:rsidRPr="002142B8">
        <w:rPr>
          <w:noProof/>
          <w:lang w:val="lt-LT" w:eastAsia="lt-LT"/>
        </w:rPr>
        <w:drawing>
          <wp:inline distT="0" distB="0" distL="0" distR="0" wp14:anchorId="06A7CA26" wp14:editId="239856CC">
            <wp:extent cx="6083629" cy="29548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7644" cy="2956817"/>
                    </a:xfrm>
                    <a:prstGeom prst="rect">
                      <a:avLst/>
                    </a:prstGeom>
                  </pic:spPr>
                </pic:pic>
              </a:graphicData>
            </a:graphic>
          </wp:inline>
        </w:drawing>
      </w:r>
    </w:p>
    <w:p w14:paraId="183D45D2" w14:textId="77777777" w:rsidR="0071393C" w:rsidRPr="002142B8" w:rsidRDefault="0071393C" w:rsidP="000556A1">
      <w:pPr>
        <w:rPr>
          <w:color w:val="1F497D"/>
          <w:lang w:val="lt-LT"/>
        </w:rPr>
      </w:pPr>
    </w:p>
    <w:p w14:paraId="08AFE624" w14:textId="601E9993" w:rsidR="000556A1" w:rsidRPr="00EB3D2A" w:rsidRDefault="000556A1" w:rsidP="000556A1">
      <w:pPr>
        <w:pStyle w:val="Antrat"/>
        <w:rPr>
          <w:b w:val="0"/>
          <w:i/>
          <w:szCs w:val="20"/>
          <w:lang w:val="lt-LT"/>
        </w:rPr>
      </w:pPr>
      <w:bookmarkStart w:id="204" w:name="_Toc507939191"/>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69</w:t>
      </w:r>
      <w:r w:rsidRPr="00EB3D2A">
        <w:rPr>
          <w:b w:val="0"/>
          <w:i/>
          <w:lang w:val="lt-LT"/>
        </w:rPr>
        <w:fldChar w:fldCharType="end"/>
      </w:r>
      <w:r w:rsidRPr="00EB3D2A">
        <w:rPr>
          <w:b w:val="0"/>
          <w:i/>
          <w:lang w:val="lt-LT"/>
        </w:rPr>
        <w:t xml:space="preserve">. </w:t>
      </w:r>
      <w:r w:rsidRPr="00EB3D2A">
        <w:rPr>
          <w:b w:val="0"/>
          <w:i/>
          <w:szCs w:val="20"/>
          <w:lang w:val="lt-LT"/>
        </w:rPr>
        <w:t xml:space="preserve">Scenarijaus Nr. </w:t>
      </w:r>
      <w:r w:rsidR="00BC5B4B" w:rsidRPr="00EB3D2A">
        <w:rPr>
          <w:b w:val="0"/>
          <w:i/>
          <w:szCs w:val="20"/>
          <w:lang w:val="lt-LT"/>
        </w:rPr>
        <w:t>5</w:t>
      </w:r>
      <w:r w:rsidRPr="00EB3D2A">
        <w:rPr>
          <w:b w:val="0"/>
          <w:i/>
          <w:szCs w:val="20"/>
          <w:lang w:val="lt-LT"/>
        </w:rPr>
        <w:t xml:space="preserve"> rezultatai</w:t>
      </w:r>
      <w:bookmarkEnd w:id="204"/>
    </w:p>
    <w:tbl>
      <w:tblPr>
        <w:tblStyle w:val="viesussraas2parykinimas"/>
        <w:tblW w:w="5000" w:type="pct"/>
        <w:tblLook w:val="04A0" w:firstRow="1" w:lastRow="0" w:firstColumn="1" w:lastColumn="0" w:noHBand="0" w:noVBand="1"/>
      </w:tblPr>
      <w:tblGrid>
        <w:gridCol w:w="7053"/>
        <w:gridCol w:w="2189"/>
      </w:tblGrid>
      <w:tr w:rsidR="000556A1" w:rsidRPr="002142B8" w14:paraId="39B29A58" w14:textId="77777777" w:rsidTr="00A23E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6" w:type="pct"/>
            <w:tcBorders>
              <w:top w:val="single" w:sz="8" w:space="0" w:color="C0504D" w:themeColor="accent2"/>
              <w:left w:val="single" w:sz="8" w:space="0" w:color="C0504D" w:themeColor="accent2"/>
              <w:bottom w:val="nil"/>
              <w:right w:val="nil"/>
            </w:tcBorders>
            <w:hideMark/>
          </w:tcPr>
          <w:p w14:paraId="5F1CB863" w14:textId="77777777" w:rsidR="000556A1" w:rsidRPr="002142B8" w:rsidRDefault="000556A1" w:rsidP="00A23E59">
            <w:pPr>
              <w:keepNext/>
              <w:rPr>
                <w:rFonts w:ascii="Georgia" w:hAnsi="Georgia"/>
                <w:sz w:val="20"/>
                <w:szCs w:val="20"/>
              </w:rPr>
            </w:pPr>
            <w:r w:rsidRPr="002142B8">
              <w:rPr>
                <w:rFonts w:ascii="Georgia" w:hAnsi="Georgia"/>
                <w:sz w:val="20"/>
                <w:szCs w:val="20"/>
              </w:rPr>
              <w:t>Fondas</w:t>
            </w:r>
          </w:p>
        </w:tc>
        <w:tc>
          <w:tcPr>
            <w:tcW w:w="1184" w:type="pct"/>
            <w:tcBorders>
              <w:top w:val="single" w:sz="8" w:space="0" w:color="C0504D" w:themeColor="accent2"/>
              <w:left w:val="nil"/>
              <w:bottom w:val="nil"/>
              <w:right w:val="single" w:sz="8" w:space="0" w:color="C0504D" w:themeColor="accent2"/>
            </w:tcBorders>
            <w:hideMark/>
          </w:tcPr>
          <w:p w14:paraId="6BDA887A" w14:textId="395E1D38" w:rsidR="000556A1" w:rsidRPr="002142B8" w:rsidRDefault="00A23E59" w:rsidP="00A23E59">
            <w:pPr>
              <w:keepNext/>
              <w:jc w:val="right"/>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Reikšmė</w:t>
            </w:r>
          </w:p>
        </w:tc>
      </w:tr>
      <w:tr w:rsidR="000556A1" w:rsidRPr="002142B8" w14:paraId="750F0C16"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hideMark/>
          </w:tcPr>
          <w:p w14:paraId="13D7FCB6" w14:textId="757F9B73" w:rsidR="000556A1" w:rsidRPr="002142B8" w:rsidRDefault="000556A1" w:rsidP="00B042D4">
            <w:pPr>
              <w:rPr>
                <w:rFonts w:ascii="Georgia" w:hAnsi="Georgia"/>
                <w:sz w:val="20"/>
                <w:szCs w:val="20"/>
              </w:rPr>
            </w:pPr>
            <w:r w:rsidRPr="002142B8">
              <w:rPr>
                <w:rFonts w:ascii="Georgia" w:hAnsi="Georgia"/>
                <w:sz w:val="20"/>
                <w:szCs w:val="20"/>
              </w:rPr>
              <w:t>Galutinius naudos gavėjus pasiekusios lėšos</w:t>
            </w:r>
            <w:r w:rsidR="00A23E59" w:rsidRPr="002142B8">
              <w:rPr>
                <w:rFonts w:ascii="Georgia" w:hAnsi="Georgia"/>
                <w:sz w:val="20"/>
                <w:szCs w:val="20"/>
              </w:rPr>
              <w:t>, mln. eurų</w:t>
            </w:r>
          </w:p>
        </w:tc>
        <w:tc>
          <w:tcPr>
            <w:tcW w:w="1184" w:type="pct"/>
            <w:tcBorders>
              <w:left w:val="nil"/>
            </w:tcBorders>
            <w:hideMark/>
          </w:tcPr>
          <w:p w14:paraId="60068451" w14:textId="77777777" w:rsidR="000556A1" w:rsidRPr="002142B8"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502,3+ 161,8 = 664,1</w:t>
            </w:r>
          </w:p>
        </w:tc>
      </w:tr>
      <w:tr w:rsidR="000556A1" w:rsidRPr="002142B8" w14:paraId="73B93A84" w14:textId="77777777" w:rsidTr="00A23E59">
        <w:tc>
          <w:tcPr>
            <w:cnfStyle w:val="001000000000" w:firstRow="0" w:lastRow="0" w:firstColumn="1" w:lastColumn="0" w:oddVBand="0" w:evenVBand="0" w:oddHBand="0" w:evenHBand="0" w:firstRowFirstColumn="0" w:firstRowLastColumn="0" w:lastRowFirstColumn="0" w:lastRowLastColumn="0"/>
            <w:tcW w:w="3816" w:type="pct"/>
            <w:tcBorders>
              <w:top w:val="nil"/>
              <w:left w:val="single" w:sz="8" w:space="0" w:color="C0504D" w:themeColor="accent2"/>
              <w:bottom w:val="nil"/>
              <w:right w:val="nil"/>
            </w:tcBorders>
            <w:hideMark/>
          </w:tcPr>
          <w:p w14:paraId="5D4FA113" w14:textId="0D024A60" w:rsidR="000556A1" w:rsidRPr="002142B8" w:rsidRDefault="000556A1" w:rsidP="00B042D4">
            <w:pPr>
              <w:rPr>
                <w:rFonts w:ascii="Georgia" w:hAnsi="Georgia"/>
                <w:b w:val="0"/>
                <w:sz w:val="20"/>
                <w:szCs w:val="20"/>
              </w:rPr>
            </w:pPr>
            <w:r w:rsidRPr="002142B8">
              <w:rPr>
                <w:rFonts w:ascii="Georgia" w:hAnsi="Georgia"/>
                <w:sz w:val="20"/>
                <w:szCs w:val="20"/>
              </w:rPr>
              <w:t>Į fondą grįžusios paskolos lėšos iki 2019 metų (įskaitant subsidijas bei iš JESSICA KF grįžtančias lėšas)</w:t>
            </w:r>
            <w:r w:rsidR="00A23E59" w:rsidRPr="002142B8">
              <w:rPr>
                <w:rFonts w:ascii="Georgia" w:hAnsi="Georgia"/>
                <w:sz w:val="20"/>
                <w:szCs w:val="20"/>
              </w:rPr>
              <w:t>, mln. eurų</w:t>
            </w:r>
          </w:p>
        </w:tc>
        <w:tc>
          <w:tcPr>
            <w:tcW w:w="1184" w:type="pct"/>
            <w:tcBorders>
              <w:top w:val="nil"/>
              <w:left w:val="nil"/>
              <w:bottom w:val="nil"/>
              <w:right w:val="single" w:sz="8" w:space="0" w:color="C0504D" w:themeColor="accent2"/>
            </w:tcBorders>
            <w:hideMark/>
          </w:tcPr>
          <w:p w14:paraId="52E3441F" w14:textId="77777777" w:rsidR="000556A1" w:rsidRPr="002142B8"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148,6</w:t>
            </w:r>
          </w:p>
        </w:tc>
      </w:tr>
      <w:tr w:rsidR="000556A1" w:rsidRPr="002142B8" w14:paraId="65AB6F0D"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hideMark/>
          </w:tcPr>
          <w:p w14:paraId="2406D151" w14:textId="3265652D" w:rsidR="000556A1" w:rsidRPr="002142B8" w:rsidRDefault="000556A1" w:rsidP="00B042D4">
            <w:pPr>
              <w:rPr>
                <w:rFonts w:ascii="Georgia" w:hAnsi="Georgia"/>
                <w:sz w:val="20"/>
                <w:szCs w:val="20"/>
              </w:rPr>
            </w:pPr>
            <w:r w:rsidRPr="002142B8">
              <w:rPr>
                <w:rFonts w:ascii="Georgia" w:hAnsi="Georgia"/>
                <w:sz w:val="20"/>
                <w:szCs w:val="20"/>
              </w:rPr>
              <w:t>Komercinių bankų išmokėtos lėšos</w:t>
            </w:r>
            <w:r w:rsidR="00A23E59" w:rsidRPr="002142B8">
              <w:rPr>
                <w:rFonts w:ascii="Georgia" w:hAnsi="Georgia"/>
                <w:sz w:val="20"/>
                <w:szCs w:val="20"/>
              </w:rPr>
              <w:t>, mln. eurų</w:t>
            </w:r>
          </w:p>
        </w:tc>
        <w:tc>
          <w:tcPr>
            <w:tcW w:w="1184" w:type="pct"/>
            <w:tcBorders>
              <w:left w:val="nil"/>
            </w:tcBorders>
            <w:hideMark/>
          </w:tcPr>
          <w:p w14:paraId="3498D18A" w14:textId="77777777" w:rsidR="000556A1" w:rsidRPr="002142B8" w:rsidRDefault="000556A1"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137,5</w:t>
            </w:r>
          </w:p>
        </w:tc>
      </w:tr>
      <w:tr w:rsidR="000556A1" w:rsidRPr="002142B8" w14:paraId="56974C98" w14:textId="77777777" w:rsidTr="00A23E59">
        <w:tc>
          <w:tcPr>
            <w:cnfStyle w:val="001000000000" w:firstRow="0" w:lastRow="0" w:firstColumn="1" w:lastColumn="0" w:oddVBand="0" w:evenVBand="0" w:oddHBand="0" w:evenHBand="0" w:firstRowFirstColumn="0" w:firstRowLastColumn="0" w:lastRowFirstColumn="0" w:lastRowLastColumn="0"/>
            <w:tcW w:w="3816" w:type="pct"/>
            <w:tcBorders>
              <w:top w:val="nil"/>
              <w:left w:val="single" w:sz="8" w:space="0" w:color="C0504D" w:themeColor="accent2"/>
              <w:bottom w:val="nil"/>
              <w:right w:val="nil"/>
            </w:tcBorders>
          </w:tcPr>
          <w:p w14:paraId="7CD03058" w14:textId="6D36AAC4" w:rsidR="000556A1" w:rsidRPr="002142B8" w:rsidRDefault="000556A1" w:rsidP="00B042D4">
            <w:pPr>
              <w:rPr>
                <w:rFonts w:ascii="Georgia" w:hAnsi="Georgia"/>
                <w:sz w:val="20"/>
                <w:szCs w:val="20"/>
              </w:rPr>
            </w:pPr>
            <w:r w:rsidRPr="002142B8">
              <w:rPr>
                <w:rFonts w:ascii="Georgia" w:hAnsi="Georgia"/>
                <w:sz w:val="20"/>
                <w:szCs w:val="20"/>
              </w:rPr>
              <w:t>Privataus investicinio fondo nupirktos paskolos iki 2019 metų</w:t>
            </w:r>
            <w:r w:rsidR="00A23E59" w:rsidRPr="002142B8">
              <w:rPr>
                <w:rFonts w:ascii="Georgia" w:hAnsi="Georgia"/>
                <w:sz w:val="20"/>
                <w:szCs w:val="20"/>
              </w:rPr>
              <w:t xml:space="preserve">, </w:t>
            </w:r>
            <w:r w:rsidR="00D9139B" w:rsidRPr="002142B8">
              <w:rPr>
                <w:rFonts w:ascii="Georgia" w:hAnsi="Georgia"/>
                <w:sz w:val="20"/>
                <w:szCs w:val="20"/>
              </w:rPr>
              <w:t>mln. eurų</w:t>
            </w:r>
          </w:p>
        </w:tc>
        <w:tc>
          <w:tcPr>
            <w:tcW w:w="1184" w:type="pct"/>
            <w:tcBorders>
              <w:top w:val="nil"/>
              <w:left w:val="nil"/>
              <w:bottom w:val="nil"/>
              <w:right w:val="single" w:sz="8" w:space="0" w:color="C0504D" w:themeColor="accent2"/>
            </w:tcBorders>
          </w:tcPr>
          <w:p w14:paraId="59DB8C04" w14:textId="77777777" w:rsidR="000556A1" w:rsidRPr="002142B8" w:rsidRDefault="000556A1" w:rsidP="00A23E59">
            <w:pPr>
              <w:jc w:val="right"/>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124,4</w:t>
            </w:r>
          </w:p>
        </w:tc>
      </w:tr>
      <w:tr w:rsidR="000556A1" w:rsidRPr="002142B8" w14:paraId="252A18C4" w14:textId="77777777" w:rsidTr="00A2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right w:val="nil"/>
            </w:tcBorders>
          </w:tcPr>
          <w:p w14:paraId="05624694" w14:textId="77777777" w:rsidR="000556A1" w:rsidRPr="002142B8" w:rsidRDefault="000556A1" w:rsidP="00B042D4">
            <w:pPr>
              <w:rPr>
                <w:rFonts w:ascii="Georgia" w:hAnsi="Georgia"/>
                <w:sz w:val="20"/>
                <w:szCs w:val="20"/>
              </w:rPr>
            </w:pPr>
            <w:r w:rsidRPr="002142B8">
              <w:rPr>
                <w:rFonts w:ascii="Georgia" w:hAnsi="Georgia"/>
                <w:sz w:val="20"/>
                <w:szCs w:val="20"/>
              </w:rPr>
              <w:t>Renovuotų pastatų skaičius</w:t>
            </w:r>
          </w:p>
        </w:tc>
        <w:tc>
          <w:tcPr>
            <w:tcW w:w="1184" w:type="pct"/>
            <w:tcBorders>
              <w:left w:val="nil"/>
            </w:tcBorders>
          </w:tcPr>
          <w:p w14:paraId="263A49B3" w14:textId="18370C08" w:rsidR="000556A1" w:rsidRPr="002142B8" w:rsidRDefault="003028C4" w:rsidP="00A23E59">
            <w:pPr>
              <w:jc w:val="right"/>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w:t>
            </w:r>
            <w:r w:rsidR="00D876D9" w:rsidRPr="002142B8">
              <w:rPr>
                <w:rFonts w:ascii="Georgia" w:hAnsi="Georgia"/>
                <w:sz w:val="20"/>
                <w:szCs w:val="20"/>
              </w:rPr>
              <w:t xml:space="preserve"> </w:t>
            </w:r>
            <w:r w:rsidRPr="002142B8">
              <w:rPr>
                <w:rFonts w:ascii="Georgia" w:hAnsi="Georgia"/>
                <w:sz w:val="20"/>
                <w:szCs w:val="20"/>
              </w:rPr>
              <w:t xml:space="preserve">522+491 </w:t>
            </w:r>
            <w:r w:rsidRPr="002142B8">
              <w:rPr>
                <w:rFonts w:ascii="Georgia" w:hAnsi="Georgia"/>
                <w:sz w:val="20"/>
                <w:szCs w:val="20"/>
                <w:lang w:val="en-US"/>
              </w:rPr>
              <w:t>=</w:t>
            </w:r>
            <w:r w:rsidRPr="002142B8">
              <w:rPr>
                <w:rFonts w:ascii="Georgia" w:hAnsi="Georgia"/>
                <w:sz w:val="20"/>
                <w:szCs w:val="20"/>
              </w:rPr>
              <w:t>2</w:t>
            </w:r>
            <w:r w:rsidR="00D876D9" w:rsidRPr="002142B8">
              <w:rPr>
                <w:rFonts w:ascii="Georgia" w:hAnsi="Georgia"/>
                <w:sz w:val="20"/>
                <w:szCs w:val="20"/>
              </w:rPr>
              <w:t xml:space="preserve"> </w:t>
            </w:r>
            <w:r w:rsidRPr="002142B8">
              <w:rPr>
                <w:rFonts w:ascii="Georgia" w:hAnsi="Georgia"/>
                <w:sz w:val="20"/>
                <w:szCs w:val="20"/>
              </w:rPr>
              <w:t>013</w:t>
            </w:r>
          </w:p>
        </w:tc>
      </w:tr>
    </w:tbl>
    <w:p w14:paraId="5B04EEA5" w14:textId="77777777" w:rsidR="000556A1" w:rsidRPr="002142B8" w:rsidRDefault="000556A1" w:rsidP="000556A1">
      <w:pPr>
        <w:rPr>
          <w:rFonts w:ascii="Georgia" w:hAnsi="Georgia"/>
          <w:sz w:val="20"/>
          <w:szCs w:val="20"/>
          <w:lang w:val="lt-LT"/>
        </w:rPr>
      </w:pPr>
    </w:p>
    <w:p w14:paraId="31ED0887" w14:textId="1CE84B0B" w:rsidR="00280058" w:rsidRPr="002142B8" w:rsidRDefault="002C12CB" w:rsidP="00C03122">
      <w:pPr>
        <w:pStyle w:val="Antrat2"/>
        <w:numPr>
          <w:ilvl w:val="3"/>
          <w:numId w:val="2"/>
        </w:numPr>
        <w:rPr>
          <w:lang w:val="lt-LT"/>
        </w:rPr>
      </w:pPr>
      <w:bookmarkStart w:id="205" w:name="_Toc503766108"/>
      <w:bookmarkStart w:id="206" w:name="_Toc503766784"/>
      <w:bookmarkStart w:id="207" w:name="_Toc503766982"/>
      <w:bookmarkStart w:id="208" w:name="_Toc25589925"/>
      <w:bookmarkEnd w:id="205"/>
      <w:bookmarkEnd w:id="206"/>
      <w:bookmarkEnd w:id="207"/>
      <w:r w:rsidRPr="002142B8">
        <w:rPr>
          <w:lang w:val="lt-LT"/>
        </w:rPr>
        <w:t>Centrinės valdžios viešieji pastatai</w:t>
      </w:r>
      <w:bookmarkEnd w:id="179"/>
      <w:bookmarkEnd w:id="180"/>
      <w:bookmarkEnd w:id="208"/>
    </w:p>
    <w:p w14:paraId="0521998E" w14:textId="77777777" w:rsidR="005A432A" w:rsidRPr="00BC2CB8" w:rsidRDefault="005A432A" w:rsidP="005A432A">
      <w:pPr>
        <w:jc w:val="both"/>
        <w:rPr>
          <w:rFonts w:ascii="Georgia" w:hAnsi="Georgia"/>
          <w:sz w:val="20"/>
          <w:szCs w:val="20"/>
          <w:lang w:val="lt-LT"/>
        </w:rPr>
      </w:pPr>
      <w:r w:rsidRPr="00BC2CB8">
        <w:rPr>
          <w:rFonts w:ascii="Georgia" w:hAnsi="Georgia"/>
          <w:sz w:val="20"/>
          <w:szCs w:val="20"/>
          <w:lang w:val="lt-LT"/>
        </w:rPr>
        <w:t>Centrinės valdžios pastatams renovuoti tiesioginis paskolų teikimas yra apribotas teisinių aplinkybių, kadangi biudžetinės įstaigos negali skolintis savo vardu. Centrinės valdžios vardu paskolas imti gali tik Finansų ministerija, todėl siekiant to išvengti yra siūlomi scenarijai, kai paskolos suteikiamos per ESCO įmones arba, kai nėra teisinių apribojimų (pavyzdžiui, viešosioms įstaigoms) paskolos teikiamos tiesiogiai galutiniams naudos gavėjams.</w:t>
      </w:r>
      <w:r>
        <w:rPr>
          <w:rFonts w:ascii="Georgia" w:hAnsi="Georgia"/>
          <w:sz w:val="20"/>
          <w:szCs w:val="20"/>
          <w:lang w:val="lt-LT"/>
        </w:rPr>
        <w:t xml:space="preserve"> </w:t>
      </w:r>
      <w:r w:rsidRPr="00BC2CB8">
        <w:rPr>
          <w:rFonts w:ascii="Georgia" w:hAnsi="Georgia"/>
          <w:sz w:val="20"/>
          <w:szCs w:val="20"/>
          <w:lang w:val="lt-LT"/>
        </w:rPr>
        <w:t xml:space="preserve"> </w:t>
      </w:r>
    </w:p>
    <w:p w14:paraId="750CA0B1" w14:textId="77777777" w:rsidR="005A432A" w:rsidRPr="00BC2CB8" w:rsidRDefault="005A432A" w:rsidP="005A432A">
      <w:pPr>
        <w:jc w:val="both"/>
        <w:rPr>
          <w:rFonts w:ascii="Georgia" w:hAnsi="Georgia"/>
          <w:sz w:val="20"/>
          <w:szCs w:val="20"/>
          <w:lang w:val="lt-LT"/>
        </w:rPr>
      </w:pPr>
      <w:r>
        <w:rPr>
          <w:rFonts w:ascii="Georgia" w:hAnsi="Georgia"/>
          <w:sz w:val="20"/>
          <w:szCs w:val="20"/>
          <w:lang w:val="lt-LT"/>
        </w:rPr>
        <w:t>Š</w:t>
      </w:r>
      <w:r w:rsidRPr="00BC2CB8">
        <w:rPr>
          <w:rFonts w:ascii="Georgia" w:hAnsi="Georgia"/>
          <w:sz w:val="20"/>
          <w:szCs w:val="20"/>
          <w:lang w:val="lt-LT"/>
        </w:rPr>
        <w:t xml:space="preserve">ioje ex ante dalyje modeliuojami pridėtinės vertės skaičiavimai darant prielaidą, kad ESI fondų lėšos, skiriamos projektų finansavimui, </w:t>
      </w:r>
      <w:r>
        <w:rPr>
          <w:rFonts w:ascii="Georgia" w:hAnsi="Georgia"/>
          <w:sz w:val="20"/>
          <w:szCs w:val="20"/>
          <w:lang w:val="lt-LT"/>
        </w:rPr>
        <w:t xml:space="preserve">sudarys apie </w:t>
      </w:r>
      <w:r>
        <w:rPr>
          <w:rFonts w:ascii="Georgia" w:hAnsi="Georgia"/>
          <w:sz w:val="20"/>
          <w:szCs w:val="20"/>
        </w:rPr>
        <w:t>65</w:t>
      </w:r>
      <w:r w:rsidRPr="00BC2CB8">
        <w:rPr>
          <w:rFonts w:ascii="Georgia" w:hAnsi="Georgia"/>
          <w:sz w:val="20"/>
          <w:szCs w:val="20"/>
          <w:lang w:val="lt-LT"/>
        </w:rPr>
        <w:t xml:space="preserve"> mln. </w:t>
      </w:r>
      <w:r>
        <w:rPr>
          <w:rFonts w:ascii="Georgia" w:hAnsi="Georgia"/>
          <w:sz w:val="20"/>
          <w:szCs w:val="20"/>
          <w:lang w:val="lt-LT"/>
        </w:rPr>
        <w:t>eurų</w:t>
      </w:r>
      <w:r w:rsidRPr="00BC2CB8">
        <w:rPr>
          <w:rFonts w:ascii="Georgia" w:hAnsi="Georgia"/>
          <w:sz w:val="20"/>
          <w:szCs w:val="20"/>
          <w:lang w:val="lt-LT"/>
        </w:rPr>
        <w:t xml:space="preserve">. </w:t>
      </w:r>
      <w:r>
        <w:rPr>
          <w:rFonts w:ascii="Georgia" w:hAnsi="Georgia"/>
          <w:sz w:val="20"/>
          <w:szCs w:val="20"/>
          <w:lang w:val="lt-LT"/>
        </w:rPr>
        <w:t>Pažymėtina, kad skyrus daugiau arba mažiau lėšų, atitinkamai padidės arba sumažės rezultatas.</w:t>
      </w:r>
    </w:p>
    <w:p w14:paraId="007DAAC7" w14:textId="77777777" w:rsidR="005A432A" w:rsidRPr="00BC2CB8" w:rsidRDefault="005A432A" w:rsidP="005A432A">
      <w:pPr>
        <w:jc w:val="both"/>
        <w:rPr>
          <w:rFonts w:ascii="Georgia" w:hAnsi="Georgia"/>
          <w:sz w:val="20"/>
          <w:lang w:val="lt-LT"/>
        </w:rPr>
      </w:pPr>
      <w:r w:rsidRPr="00BC2CB8">
        <w:rPr>
          <w:rFonts w:ascii="Georgia" w:hAnsi="Georgia"/>
          <w:sz w:val="20"/>
          <w:lang w:val="lt-LT"/>
        </w:rPr>
        <w:t>Šiame ex ante vertinime bus nagrinėjami šie viešųjų pastatų modernizavimo finansinės priemonės įgyvendinimo scenarijai:</w:t>
      </w:r>
    </w:p>
    <w:p w14:paraId="700D4D29" w14:textId="77777777" w:rsidR="005A432A" w:rsidRPr="00F17875" w:rsidRDefault="005A432A" w:rsidP="005A432A">
      <w:pPr>
        <w:pStyle w:val="Sraopastraipa"/>
        <w:numPr>
          <w:ilvl w:val="0"/>
          <w:numId w:val="18"/>
        </w:numPr>
        <w:jc w:val="both"/>
        <w:rPr>
          <w:rFonts w:ascii="Georgia" w:hAnsi="Georgia"/>
          <w:i/>
          <w:sz w:val="20"/>
          <w:szCs w:val="20"/>
          <w:lang w:val="lt-LT"/>
        </w:rPr>
      </w:pPr>
      <w:r w:rsidRPr="00F17875">
        <w:rPr>
          <w:rFonts w:ascii="Georgia" w:hAnsi="Georgia"/>
          <w:i/>
          <w:sz w:val="20"/>
          <w:szCs w:val="20"/>
          <w:lang w:val="lt-LT"/>
        </w:rPr>
        <w:t xml:space="preserve">Scenarijus Nr. 1: </w:t>
      </w:r>
      <w:r>
        <w:rPr>
          <w:rFonts w:ascii="Georgia" w:hAnsi="Georgia"/>
          <w:i/>
          <w:sz w:val="20"/>
          <w:szCs w:val="20"/>
          <w:lang w:val="lt-LT"/>
        </w:rPr>
        <w:t>P</w:t>
      </w:r>
      <w:r w:rsidRPr="00F17875">
        <w:rPr>
          <w:rFonts w:ascii="Georgia" w:hAnsi="Georgia"/>
          <w:i/>
          <w:sz w:val="20"/>
          <w:szCs w:val="20"/>
          <w:lang w:val="lt-LT"/>
        </w:rPr>
        <w:t xml:space="preserve">askolų teikimas </w:t>
      </w:r>
    </w:p>
    <w:p w14:paraId="495618ED" w14:textId="77777777" w:rsidR="005A432A" w:rsidRPr="00F17875" w:rsidRDefault="005A432A" w:rsidP="005A432A">
      <w:pPr>
        <w:pStyle w:val="Sraopastraipa"/>
        <w:numPr>
          <w:ilvl w:val="0"/>
          <w:numId w:val="18"/>
        </w:numPr>
        <w:jc w:val="both"/>
        <w:rPr>
          <w:rFonts w:ascii="Georgia" w:hAnsi="Georgia"/>
          <w:i/>
          <w:sz w:val="20"/>
          <w:szCs w:val="20"/>
          <w:lang w:val="lt-LT"/>
        </w:rPr>
      </w:pPr>
      <w:r w:rsidRPr="00F17875">
        <w:rPr>
          <w:rFonts w:ascii="Georgia" w:hAnsi="Georgia"/>
          <w:i/>
          <w:sz w:val="20"/>
          <w:szCs w:val="20"/>
          <w:lang w:val="lt-LT"/>
        </w:rPr>
        <w:t xml:space="preserve">Scenarijus Nr. 2: </w:t>
      </w:r>
      <w:r w:rsidRPr="00492193">
        <w:rPr>
          <w:rFonts w:ascii="Georgia" w:hAnsi="Georgia"/>
          <w:i/>
          <w:sz w:val="20"/>
          <w:szCs w:val="20"/>
          <w:lang w:val="lt-LT"/>
        </w:rPr>
        <w:t>P</w:t>
      </w:r>
      <w:r w:rsidRPr="003E4432">
        <w:rPr>
          <w:rFonts w:ascii="Georgia" w:hAnsi="Georgia"/>
          <w:i/>
          <w:sz w:val="20"/>
          <w:szCs w:val="20"/>
          <w:lang w:val="lt-LT"/>
        </w:rPr>
        <w:t xml:space="preserve">askolų teikimas </w:t>
      </w:r>
      <w:r w:rsidRPr="00492193">
        <w:rPr>
          <w:rFonts w:ascii="Georgia" w:hAnsi="Georgia"/>
          <w:i/>
          <w:sz w:val="20"/>
          <w:szCs w:val="20"/>
          <w:lang w:val="lt-LT"/>
        </w:rPr>
        <w:t xml:space="preserve">taikant paskolų </w:t>
      </w:r>
      <w:r w:rsidRPr="007E32AE">
        <w:rPr>
          <w:rFonts w:ascii="Georgia" w:hAnsi="Georgia"/>
          <w:i/>
          <w:sz w:val="20"/>
          <w:szCs w:val="20"/>
          <w:lang w:val="lt-LT"/>
        </w:rPr>
        <w:t>išp</w:t>
      </w:r>
      <w:r w:rsidRPr="00492193">
        <w:rPr>
          <w:rFonts w:ascii="Georgia" w:hAnsi="Georgia"/>
          <w:i/>
          <w:sz w:val="20"/>
          <w:szCs w:val="20"/>
          <w:lang w:val="lt-LT"/>
        </w:rPr>
        <w:t>i</w:t>
      </w:r>
      <w:r w:rsidRPr="003E4432">
        <w:rPr>
          <w:rFonts w:ascii="Georgia" w:hAnsi="Georgia"/>
          <w:i/>
          <w:sz w:val="20"/>
          <w:szCs w:val="20"/>
          <w:lang w:val="lt-LT"/>
        </w:rPr>
        <w:t>rk</w:t>
      </w:r>
      <w:r w:rsidRPr="00492193">
        <w:rPr>
          <w:rFonts w:ascii="Georgia" w:hAnsi="Georgia"/>
          <w:i/>
          <w:sz w:val="20"/>
          <w:szCs w:val="20"/>
          <w:lang w:val="lt-LT"/>
        </w:rPr>
        <w:t>imo</w:t>
      </w:r>
      <w:r w:rsidRPr="003E4432">
        <w:rPr>
          <w:rFonts w:ascii="Georgia" w:hAnsi="Georgia"/>
          <w:i/>
          <w:sz w:val="20"/>
          <w:szCs w:val="20"/>
          <w:lang w:val="lt-LT"/>
        </w:rPr>
        <w:t xml:space="preserve"> modelį</w:t>
      </w:r>
    </w:p>
    <w:p w14:paraId="07072B38" w14:textId="77777777" w:rsidR="005A432A" w:rsidRPr="00F17875" w:rsidRDefault="005A432A" w:rsidP="005A432A">
      <w:pPr>
        <w:pStyle w:val="Sraopastraipa"/>
        <w:numPr>
          <w:ilvl w:val="0"/>
          <w:numId w:val="18"/>
        </w:numPr>
        <w:jc w:val="both"/>
        <w:rPr>
          <w:rFonts w:ascii="Georgia" w:hAnsi="Georgia"/>
          <w:i/>
          <w:sz w:val="20"/>
          <w:szCs w:val="20"/>
          <w:lang w:val="lt-LT"/>
        </w:rPr>
      </w:pPr>
      <w:r w:rsidRPr="00F17875">
        <w:rPr>
          <w:rFonts w:ascii="Georgia" w:hAnsi="Georgia"/>
          <w:i/>
          <w:sz w:val="20"/>
          <w:szCs w:val="20"/>
          <w:lang w:val="lt-LT"/>
        </w:rPr>
        <w:t xml:space="preserve">Scenarijus Nr. </w:t>
      </w:r>
      <w:r>
        <w:rPr>
          <w:rFonts w:ascii="Georgia" w:hAnsi="Georgia"/>
          <w:i/>
          <w:sz w:val="20"/>
          <w:szCs w:val="20"/>
        </w:rPr>
        <w:t>3</w:t>
      </w:r>
      <w:r w:rsidRPr="00F17875">
        <w:rPr>
          <w:rFonts w:ascii="Georgia" w:hAnsi="Georgia"/>
          <w:i/>
          <w:sz w:val="20"/>
          <w:szCs w:val="20"/>
          <w:lang w:val="lt-LT"/>
        </w:rPr>
        <w:t xml:space="preserve">: </w:t>
      </w:r>
      <w:r>
        <w:rPr>
          <w:rFonts w:ascii="Georgia" w:hAnsi="Georgia"/>
          <w:i/>
          <w:sz w:val="20"/>
          <w:szCs w:val="20"/>
          <w:lang w:val="lt-LT"/>
        </w:rPr>
        <w:t xml:space="preserve">Paskolų teikimas taikant </w:t>
      </w:r>
      <w:r w:rsidRPr="00492193">
        <w:rPr>
          <w:rFonts w:ascii="Georgia" w:hAnsi="Georgia"/>
          <w:i/>
          <w:sz w:val="20"/>
          <w:szCs w:val="20"/>
          <w:lang w:val="lt-LT"/>
        </w:rPr>
        <w:t>a</w:t>
      </w:r>
      <w:r w:rsidRPr="003E4432">
        <w:rPr>
          <w:rFonts w:ascii="Georgia" w:hAnsi="Georgia"/>
          <w:i/>
          <w:sz w:val="20"/>
          <w:szCs w:val="20"/>
          <w:lang w:val="lt-LT"/>
        </w:rPr>
        <w:t>simetrin</w:t>
      </w:r>
      <w:r w:rsidRPr="00492193">
        <w:rPr>
          <w:rFonts w:ascii="Georgia" w:hAnsi="Georgia"/>
          <w:i/>
          <w:sz w:val="20"/>
          <w:szCs w:val="20"/>
          <w:lang w:val="lt-LT"/>
        </w:rPr>
        <w:t>į</w:t>
      </w:r>
      <w:r w:rsidRPr="003E4432">
        <w:rPr>
          <w:rFonts w:ascii="Georgia" w:hAnsi="Georgia"/>
          <w:i/>
          <w:sz w:val="20"/>
          <w:szCs w:val="20"/>
          <w:lang w:val="lt-LT"/>
        </w:rPr>
        <w:t xml:space="preserve"> rizik</w:t>
      </w:r>
      <w:r w:rsidRPr="00492193">
        <w:rPr>
          <w:rFonts w:ascii="Georgia" w:hAnsi="Georgia"/>
          <w:i/>
          <w:sz w:val="20"/>
          <w:szCs w:val="20"/>
          <w:lang w:val="lt-LT"/>
        </w:rPr>
        <w:t>os</w:t>
      </w:r>
      <w:r w:rsidRPr="003E4432">
        <w:rPr>
          <w:rFonts w:ascii="Georgia" w:hAnsi="Georgia"/>
          <w:i/>
          <w:sz w:val="20"/>
          <w:szCs w:val="20"/>
          <w:lang w:val="lt-LT"/>
        </w:rPr>
        <w:t xml:space="preserve"> pasidalijimo model</w:t>
      </w:r>
      <w:r w:rsidRPr="00DE277E">
        <w:rPr>
          <w:rFonts w:ascii="Georgia" w:hAnsi="Georgia"/>
          <w:i/>
          <w:sz w:val="20"/>
          <w:szCs w:val="20"/>
          <w:lang w:val="lt-LT"/>
        </w:rPr>
        <w:t>į</w:t>
      </w:r>
    </w:p>
    <w:p w14:paraId="3911C522" w14:textId="77777777" w:rsidR="005A432A" w:rsidRPr="00F17875" w:rsidRDefault="005A432A" w:rsidP="005A432A">
      <w:pPr>
        <w:pStyle w:val="Sraopastraipa"/>
        <w:numPr>
          <w:ilvl w:val="0"/>
          <w:numId w:val="18"/>
        </w:numPr>
        <w:jc w:val="both"/>
        <w:rPr>
          <w:rFonts w:ascii="Georgia" w:hAnsi="Georgia"/>
          <w:i/>
          <w:sz w:val="20"/>
          <w:szCs w:val="20"/>
          <w:lang w:val="lt-LT"/>
        </w:rPr>
      </w:pPr>
      <w:r w:rsidRPr="00F17875">
        <w:rPr>
          <w:rFonts w:ascii="Georgia" w:hAnsi="Georgia"/>
          <w:i/>
          <w:sz w:val="20"/>
          <w:szCs w:val="20"/>
          <w:lang w:val="lt-LT"/>
        </w:rPr>
        <w:t xml:space="preserve">Scenarijus Nr. </w:t>
      </w:r>
      <w:r>
        <w:rPr>
          <w:rFonts w:ascii="Georgia" w:hAnsi="Georgia"/>
          <w:i/>
          <w:sz w:val="20"/>
          <w:szCs w:val="20"/>
        </w:rPr>
        <w:t>4</w:t>
      </w:r>
      <w:r w:rsidRPr="00F17875">
        <w:rPr>
          <w:rFonts w:ascii="Georgia" w:hAnsi="Georgia"/>
          <w:i/>
          <w:sz w:val="20"/>
          <w:szCs w:val="20"/>
          <w:lang w:val="lt-LT"/>
        </w:rPr>
        <w:t xml:space="preserve">: </w:t>
      </w:r>
      <w:r>
        <w:rPr>
          <w:rFonts w:ascii="Georgia" w:hAnsi="Georgia"/>
          <w:i/>
          <w:sz w:val="20"/>
          <w:szCs w:val="20"/>
          <w:lang w:val="lt-LT"/>
        </w:rPr>
        <w:t>Garantijų teikimas</w:t>
      </w:r>
    </w:p>
    <w:p w14:paraId="79C46F42" w14:textId="77777777" w:rsidR="005A432A" w:rsidRDefault="005A432A" w:rsidP="005A432A">
      <w:pPr>
        <w:jc w:val="both"/>
        <w:rPr>
          <w:rFonts w:ascii="Georgia" w:hAnsi="Georgia"/>
          <w:sz w:val="20"/>
          <w:szCs w:val="20"/>
          <w:lang w:val="lt-LT"/>
        </w:rPr>
      </w:pPr>
      <w:r>
        <w:rPr>
          <w:rFonts w:ascii="Georgia" w:hAnsi="Georgia"/>
          <w:sz w:val="20"/>
          <w:szCs w:val="20"/>
          <w:lang w:val="lt-LT"/>
        </w:rPr>
        <w:lastRenderedPageBreak/>
        <w:t xml:space="preserve">Pasirenkant scenarijus buvo siekiama išlaikyti balansą tarp galimų skirtingų finansinių produktų įvairovės, sukauptos patirties ir kompetencijų įgyvendinant panašias finansines priemones anksčiau, galimybes pritraukti maksimalų kiekį papildomų privačių lėšų bei greitį siekiant užtikrinti atitiktį Energijos efektyvumo direktyvos reikalavimams.  </w:t>
      </w:r>
    </w:p>
    <w:p w14:paraId="7FED22DF" w14:textId="77777777" w:rsidR="005A432A" w:rsidRPr="00492193" w:rsidRDefault="005A432A" w:rsidP="005A432A">
      <w:pPr>
        <w:jc w:val="both"/>
        <w:rPr>
          <w:rFonts w:ascii="Georgia" w:hAnsi="Georgia"/>
          <w:strike/>
          <w:sz w:val="20"/>
          <w:szCs w:val="20"/>
          <w:lang w:val="lt-LT"/>
        </w:rPr>
      </w:pPr>
      <w:r w:rsidRPr="00BC2CB8">
        <w:rPr>
          <w:rFonts w:ascii="Georgia" w:hAnsi="Georgia"/>
          <w:sz w:val="20"/>
          <w:szCs w:val="20"/>
          <w:lang w:val="lt-LT"/>
        </w:rPr>
        <w:t xml:space="preserve">Subsidijos poreikio analizėje (4.1.1.2 punkte) nustatyta, jog viešųjų pastatų modernizavimo projektams reikalinga papildoma </w:t>
      </w:r>
      <w:r>
        <w:rPr>
          <w:rFonts w:ascii="Georgia" w:hAnsi="Georgia"/>
          <w:sz w:val="20"/>
          <w:szCs w:val="20"/>
        </w:rPr>
        <w:t>40</w:t>
      </w:r>
      <w:r w:rsidRPr="00BC2CB8">
        <w:rPr>
          <w:rFonts w:ascii="Georgia" w:hAnsi="Georgia"/>
          <w:sz w:val="20"/>
          <w:szCs w:val="20"/>
          <w:lang w:val="lt-LT"/>
        </w:rPr>
        <w:t xml:space="preserve"> proc. subsidija</w:t>
      </w:r>
      <w:r>
        <w:rPr>
          <w:rFonts w:ascii="Georgia" w:hAnsi="Georgia"/>
          <w:sz w:val="20"/>
          <w:szCs w:val="20"/>
          <w:lang w:val="lt-LT"/>
        </w:rPr>
        <w:t>, kad projektas esamomis rinkos sąlygomis būtų finansiškai gyvybingas</w:t>
      </w:r>
      <w:r w:rsidRPr="00BC2CB8">
        <w:rPr>
          <w:rFonts w:ascii="Georgia" w:hAnsi="Georgia"/>
          <w:sz w:val="20"/>
          <w:szCs w:val="20"/>
          <w:lang w:val="lt-LT"/>
        </w:rPr>
        <w:t xml:space="preserve">. </w:t>
      </w:r>
      <w:r>
        <w:rPr>
          <w:rFonts w:ascii="Georgia" w:hAnsi="Georgia"/>
          <w:sz w:val="20"/>
          <w:szCs w:val="20"/>
          <w:lang w:val="lt-LT"/>
        </w:rPr>
        <w:t>P</w:t>
      </w:r>
      <w:r w:rsidRPr="00BC2CB8">
        <w:rPr>
          <w:rFonts w:ascii="Georgia" w:hAnsi="Georgia"/>
          <w:sz w:val="20"/>
          <w:szCs w:val="20"/>
          <w:lang w:val="lt-LT"/>
        </w:rPr>
        <w:t xml:space="preserve">apildomų </w:t>
      </w:r>
      <w:r>
        <w:rPr>
          <w:rFonts w:ascii="Georgia" w:hAnsi="Georgia"/>
          <w:sz w:val="20"/>
          <w:szCs w:val="20"/>
          <w:lang w:val="lt-LT"/>
        </w:rPr>
        <w:t xml:space="preserve">viešųjų </w:t>
      </w:r>
      <w:r w:rsidRPr="00BC2CB8">
        <w:rPr>
          <w:rFonts w:ascii="Georgia" w:hAnsi="Georgia"/>
          <w:sz w:val="20"/>
          <w:szCs w:val="20"/>
          <w:lang w:val="lt-LT"/>
        </w:rPr>
        <w:t>išteklių</w:t>
      </w:r>
      <w:r>
        <w:rPr>
          <w:rFonts w:ascii="Georgia" w:hAnsi="Georgia"/>
          <w:sz w:val="20"/>
          <w:szCs w:val="20"/>
          <w:lang w:val="lt-LT"/>
        </w:rPr>
        <w:t>,</w:t>
      </w:r>
      <w:r w:rsidRPr="00BC2CB8">
        <w:rPr>
          <w:rFonts w:ascii="Georgia" w:hAnsi="Georgia"/>
          <w:sz w:val="20"/>
          <w:szCs w:val="20"/>
          <w:lang w:val="lt-LT"/>
        </w:rPr>
        <w:t xml:space="preserve"> iš kurių galėtų būti numatyta teikti </w:t>
      </w:r>
      <w:r>
        <w:rPr>
          <w:rFonts w:ascii="Georgia" w:hAnsi="Georgia"/>
          <w:sz w:val="20"/>
          <w:szCs w:val="20"/>
        </w:rPr>
        <w:t>40</w:t>
      </w:r>
      <w:r>
        <w:rPr>
          <w:rFonts w:ascii="Georgia" w:hAnsi="Georgia"/>
          <w:sz w:val="20"/>
          <w:szCs w:val="20"/>
          <w:lang w:val="lt-LT"/>
        </w:rPr>
        <w:t xml:space="preserve"> proc. subsidija,</w:t>
      </w:r>
      <w:r w:rsidRPr="00BC2CB8">
        <w:rPr>
          <w:rFonts w:ascii="Georgia" w:hAnsi="Georgia"/>
          <w:sz w:val="20"/>
          <w:szCs w:val="20"/>
          <w:lang w:val="lt-LT"/>
        </w:rPr>
        <w:t xml:space="preserve"> valstybės biudžete </w:t>
      </w:r>
      <w:r>
        <w:rPr>
          <w:rFonts w:ascii="Georgia" w:hAnsi="Georgia"/>
          <w:sz w:val="20"/>
          <w:szCs w:val="20"/>
          <w:lang w:val="lt-LT"/>
        </w:rPr>
        <w:t xml:space="preserve">šiuo metu </w:t>
      </w:r>
      <w:r w:rsidRPr="00BC2CB8">
        <w:rPr>
          <w:rFonts w:ascii="Georgia" w:hAnsi="Georgia"/>
          <w:sz w:val="20"/>
          <w:szCs w:val="20"/>
          <w:lang w:val="lt-LT"/>
        </w:rPr>
        <w:t>nėra</w:t>
      </w:r>
      <w:r>
        <w:rPr>
          <w:rFonts w:ascii="Georgia" w:hAnsi="Georgia"/>
          <w:sz w:val="20"/>
          <w:szCs w:val="20"/>
          <w:lang w:val="lt-LT"/>
        </w:rPr>
        <w:t>, nors galimybė ją teikti iš kitų paramos priemonių yra svarstoma.</w:t>
      </w:r>
      <w:r w:rsidRPr="00BC2CB8">
        <w:rPr>
          <w:rFonts w:ascii="Georgia" w:hAnsi="Georgia"/>
          <w:sz w:val="20"/>
          <w:szCs w:val="20"/>
          <w:lang w:val="lt-LT"/>
        </w:rPr>
        <w:t xml:space="preserve"> </w:t>
      </w:r>
      <w:r>
        <w:rPr>
          <w:rFonts w:ascii="Georgia" w:hAnsi="Georgia"/>
          <w:sz w:val="20"/>
          <w:szCs w:val="20"/>
          <w:lang w:val="lt-LT"/>
        </w:rPr>
        <w:t>Siekiant sukurti pirminį sėkmingai įgyvendintų projektų srautą, kuris vėliau padėtų pritraukti papildomų privačių lėšų, skatintų ESCO rinkos formavimąsi ir keltų kompetencijas įgyvendinant tokio tipo projektus,</w:t>
      </w:r>
      <w:r w:rsidRPr="00BC2CB8">
        <w:rPr>
          <w:rFonts w:ascii="Georgia" w:hAnsi="Georgia"/>
          <w:sz w:val="20"/>
          <w:szCs w:val="20"/>
          <w:lang w:val="lt-LT"/>
        </w:rPr>
        <w:t xml:space="preserve"> </w:t>
      </w:r>
      <w:r>
        <w:rPr>
          <w:rFonts w:ascii="Georgia" w:hAnsi="Georgia"/>
          <w:sz w:val="20"/>
          <w:szCs w:val="20"/>
          <w:lang w:val="lt-LT"/>
        </w:rPr>
        <w:t>ministerijos galėtų svarstyti galimybę suteikti subsidiją</w:t>
      </w:r>
      <w:r w:rsidRPr="00F80A66">
        <w:rPr>
          <w:rFonts w:ascii="Georgia" w:hAnsi="Georgia"/>
          <w:sz w:val="20"/>
          <w:szCs w:val="20"/>
          <w:lang w:val="lt-LT"/>
        </w:rPr>
        <w:t xml:space="preserve"> iš </w:t>
      </w:r>
      <w:r>
        <w:rPr>
          <w:rFonts w:ascii="Georgia" w:hAnsi="Georgia"/>
          <w:sz w:val="20"/>
          <w:szCs w:val="20"/>
          <w:lang w:val="lt-LT"/>
        </w:rPr>
        <w:t>ESI fondų</w:t>
      </w:r>
      <w:r w:rsidRPr="00F80A66">
        <w:rPr>
          <w:rFonts w:ascii="Georgia" w:hAnsi="Georgia"/>
          <w:sz w:val="20"/>
          <w:szCs w:val="20"/>
          <w:lang w:val="lt-LT"/>
        </w:rPr>
        <w:t>, biudžeto ar kitų prieinamų lėšų, derinant ją su finansine priemone pagal nustatytas ES taisykles.</w:t>
      </w:r>
      <w:r>
        <w:rPr>
          <w:rFonts w:ascii="Georgia" w:hAnsi="Georgia"/>
          <w:sz w:val="20"/>
          <w:szCs w:val="20"/>
          <w:lang w:val="lt-LT"/>
        </w:rPr>
        <w:t xml:space="preserve"> </w:t>
      </w:r>
    </w:p>
    <w:p w14:paraId="475FB46E" w14:textId="77777777" w:rsidR="005A432A" w:rsidRPr="00BC2CB8" w:rsidRDefault="005A432A" w:rsidP="005A432A">
      <w:pPr>
        <w:jc w:val="both"/>
        <w:rPr>
          <w:rFonts w:ascii="Georgia" w:hAnsi="Georgia"/>
          <w:sz w:val="20"/>
          <w:szCs w:val="20"/>
          <w:lang w:val="lt-LT"/>
        </w:rPr>
      </w:pPr>
      <w:r>
        <w:rPr>
          <w:rFonts w:ascii="Georgia" w:hAnsi="Georgia"/>
          <w:sz w:val="20"/>
          <w:szCs w:val="20"/>
          <w:lang w:val="lt-LT"/>
        </w:rPr>
        <w:t xml:space="preserve">Pažymėtina, jog fondų fondo ar finansinės priemonės valdytojas arba finansinis tarpininkas turės įvertinti kiekvieno projekto gyvybingumą teikiant finansinės priemonės lėšas. Prisidėjimas savomis lėšomis bus galimas tais atvejais, kai </w:t>
      </w:r>
      <w:r w:rsidRPr="005B31C6">
        <w:rPr>
          <w:rFonts w:ascii="Georgia" w:hAnsi="Georgia"/>
          <w:sz w:val="20"/>
          <w:szCs w:val="20"/>
          <w:lang w:val="lt-LT"/>
        </w:rPr>
        <w:t>galutiniai naudos gavėjai (centrinės valdžios pastatų valdytojai)</w:t>
      </w:r>
      <w:r>
        <w:rPr>
          <w:rFonts w:ascii="Georgia" w:hAnsi="Georgia"/>
          <w:sz w:val="20"/>
          <w:szCs w:val="20"/>
          <w:lang w:val="lt-LT"/>
        </w:rPr>
        <w:t xml:space="preserve"> </w:t>
      </w:r>
      <w:r w:rsidRPr="005B31C6">
        <w:rPr>
          <w:rFonts w:ascii="Georgia" w:hAnsi="Georgia"/>
          <w:sz w:val="20"/>
          <w:szCs w:val="20"/>
          <w:lang w:val="lt-LT"/>
        </w:rPr>
        <w:t>projektus įgyvendins pasitelkdami ESCO įmones, kadangi jos turėtų papildomai prisidėti savo lėšomis siekiant pastatų modernizavimo projektų įgyvendinimo</w:t>
      </w:r>
      <w:r>
        <w:rPr>
          <w:rFonts w:ascii="Georgia" w:hAnsi="Georgia"/>
          <w:sz w:val="20"/>
          <w:szCs w:val="20"/>
          <w:lang w:val="lt-LT"/>
        </w:rPr>
        <w:t xml:space="preserve">. Nepaisant to, jog pastato valdytojas galimai turės mokėti daugiau negu iki renovacijos, bus realizuotos papildomos ekonominės, socialinės ir finansinės naudos, kurios šioje ataskaitoje nėra vertinamos (pvz. turto vertės didėjimas, eksploatacinių sąnaudų mažėjimas, darbuotojų ir institucijų klientų pasitenkinimo augimas ir kt.). </w:t>
      </w:r>
    </w:p>
    <w:p w14:paraId="3D99BDB2" w14:textId="77777777" w:rsidR="005A432A" w:rsidRDefault="005A432A" w:rsidP="005A432A">
      <w:pPr>
        <w:jc w:val="both"/>
        <w:rPr>
          <w:rFonts w:ascii="Georgia" w:hAnsi="Georgia"/>
          <w:sz w:val="20"/>
          <w:lang w:val="lt-LT"/>
        </w:rPr>
      </w:pPr>
      <w:r>
        <w:rPr>
          <w:rFonts w:ascii="Georgia" w:hAnsi="Georgia"/>
          <w:sz w:val="20"/>
          <w:lang w:val="lt-LT"/>
        </w:rPr>
        <w:t xml:space="preserve">Žemiau pateiktas prielaidų apibendrinimas visiems keturiems toliau nagrinėjamiems finansinės priemonės įgyvendinimo scenarijams. </w:t>
      </w:r>
    </w:p>
    <w:p w14:paraId="4E0F386B" w14:textId="6760CF1F" w:rsidR="005A432A" w:rsidRPr="00F91954" w:rsidRDefault="005A432A" w:rsidP="005A432A">
      <w:pPr>
        <w:pStyle w:val="Antrat"/>
        <w:rPr>
          <w:b w:val="0"/>
          <w:i/>
          <w:szCs w:val="20"/>
          <w:lang w:val="lt-LT"/>
        </w:rPr>
      </w:pPr>
      <w:bookmarkStart w:id="209" w:name="_Toc503193910"/>
      <w:bookmarkStart w:id="210" w:name="_Toc507939192"/>
      <w:r w:rsidRPr="00F91954">
        <w:rPr>
          <w:b w:val="0"/>
          <w:i/>
          <w:lang w:val="lt-LT"/>
        </w:rPr>
        <w:t xml:space="preserve">Lentelė </w:t>
      </w:r>
      <w:r w:rsidRPr="00F91954">
        <w:rPr>
          <w:b w:val="0"/>
          <w:i/>
          <w:lang w:val="lt-LT"/>
        </w:rPr>
        <w:fldChar w:fldCharType="begin"/>
      </w:r>
      <w:r w:rsidRPr="00F91954">
        <w:rPr>
          <w:b w:val="0"/>
          <w:i/>
          <w:lang w:val="lt-LT"/>
        </w:rPr>
        <w:instrText xml:space="preserve"> SEQ Lentelė \* ARABIC </w:instrText>
      </w:r>
      <w:r w:rsidRPr="00F91954">
        <w:rPr>
          <w:b w:val="0"/>
          <w:i/>
          <w:lang w:val="lt-LT"/>
        </w:rPr>
        <w:fldChar w:fldCharType="separate"/>
      </w:r>
      <w:r w:rsidR="009652A6">
        <w:rPr>
          <w:b w:val="0"/>
          <w:i/>
          <w:noProof/>
          <w:lang w:val="lt-LT"/>
        </w:rPr>
        <w:t>70</w:t>
      </w:r>
      <w:r w:rsidRPr="00F91954">
        <w:rPr>
          <w:b w:val="0"/>
          <w:i/>
          <w:lang w:val="lt-LT"/>
        </w:rPr>
        <w:fldChar w:fldCharType="end"/>
      </w:r>
      <w:r w:rsidRPr="00F91954">
        <w:rPr>
          <w:b w:val="0"/>
          <w:i/>
          <w:lang w:val="lt-LT"/>
        </w:rPr>
        <w:t xml:space="preserve">. Centrinės valdžios viešųjų pastatų scenarijų </w:t>
      </w:r>
      <w:r w:rsidRPr="00F91954">
        <w:rPr>
          <w:b w:val="0"/>
          <w:i/>
          <w:szCs w:val="20"/>
          <w:lang w:val="lt-LT"/>
        </w:rPr>
        <w:t>prielaidos</w:t>
      </w:r>
      <w:bookmarkEnd w:id="209"/>
      <w:bookmarkEnd w:id="210"/>
    </w:p>
    <w:tbl>
      <w:tblPr>
        <w:tblW w:w="9072" w:type="dxa"/>
        <w:tblInd w:w="108" w:type="dxa"/>
        <w:tblLayout w:type="fixed"/>
        <w:tblLook w:val="04A0" w:firstRow="1" w:lastRow="0" w:firstColumn="1" w:lastColumn="0" w:noHBand="0" w:noVBand="1"/>
      </w:tblPr>
      <w:tblGrid>
        <w:gridCol w:w="1741"/>
        <w:gridCol w:w="3929"/>
        <w:gridCol w:w="850"/>
        <w:gridCol w:w="851"/>
        <w:gridCol w:w="850"/>
        <w:gridCol w:w="851"/>
      </w:tblGrid>
      <w:tr w:rsidR="005A432A" w:rsidRPr="0092109A" w14:paraId="1B2E17C5" w14:textId="77777777" w:rsidTr="00EB3D2A">
        <w:trPr>
          <w:trHeight w:val="525"/>
        </w:trPr>
        <w:tc>
          <w:tcPr>
            <w:tcW w:w="1741" w:type="dxa"/>
            <w:tcBorders>
              <w:top w:val="single" w:sz="8" w:space="0" w:color="D62E1C"/>
              <w:left w:val="single" w:sz="8" w:space="0" w:color="D62E1C"/>
              <w:bottom w:val="nil"/>
              <w:right w:val="nil"/>
            </w:tcBorders>
            <w:shd w:val="clear" w:color="000000" w:fill="D62E1C"/>
            <w:vAlign w:val="center"/>
            <w:hideMark/>
          </w:tcPr>
          <w:p w14:paraId="38F44A25" w14:textId="77777777" w:rsidR="005A432A" w:rsidRPr="00D45CD8" w:rsidRDefault="005A432A" w:rsidP="005A432A">
            <w:pPr>
              <w:pStyle w:val="Pagrindinistekstas"/>
              <w:rPr>
                <w:b/>
                <w:color w:val="FFFFFF" w:themeColor="background1"/>
              </w:rPr>
            </w:pPr>
            <w:r w:rsidRPr="00D45CD8">
              <w:rPr>
                <w:b/>
                <w:color w:val="FFFFFF" w:themeColor="background1"/>
              </w:rPr>
              <w:t xml:space="preserve">Prielaidos </w:t>
            </w:r>
          </w:p>
        </w:tc>
        <w:tc>
          <w:tcPr>
            <w:tcW w:w="3929" w:type="dxa"/>
            <w:tcBorders>
              <w:top w:val="single" w:sz="8" w:space="0" w:color="D62E1C"/>
              <w:left w:val="nil"/>
              <w:bottom w:val="nil"/>
              <w:right w:val="single" w:sz="8" w:space="0" w:color="D62E1C"/>
            </w:tcBorders>
            <w:shd w:val="clear" w:color="000000" w:fill="D62E1C"/>
            <w:vAlign w:val="center"/>
            <w:hideMark/>
          </w:tcPr>
          <w:p w14:paraId="0ECD4F27" w14:textId="77777777" w:rsidR="005A432A" w:rsidRPr="00D45CD8" w:rsidRDefault="005A432A" w:rsidP="005A432A">
            <w:pPr>
              <w:pStyle w:val="Pagrindinistekstas"/>
              <w:rPr>
                <w:b/>
                <w:color w:val="FFFFFF" w:themeColor="background1"/>
              </w:rPr>
            </w:pPr>
            <w:r w:rsidRPr="00D45CD8">
              <w:rPr>
                <w:b/>
                <w:color w:val="FFFFFF" w:themeColor="background1"/>
              </w:rPr>
              <w:t xml:space="preserve">Komentaras </w:t>
            </w:r>
          </w:p>
        </w:tc>
        <w:tc>
          <w:tcPr>
            <w:tcW w:w="850" w:type="dxa"/>
            <w:tcBorders>
              <w:top w:val="single" w:sz="8" w:space="0" w:color="D62E1C"/>
              <w:left w:val="nil"/>
              <w:bottom w:val="nil"/>
              <w:right w:val="nil"/>
            </w:tcBorders>
            <w:shd w:val="clear" w:color="000000" w:fill="D62E1C"/>
            <w:vAlign w:val="center"/>
            <w:hideMark/>
          </w:tcPr>
          <w:p w14:paraId="7562393F" w14:textId="77777777" w:rsidR="005A432A" w:rsidRPr="00D45CD8" w:rsidRDefault="005A432A" w:rsidP="00EB3D2A">
            <w:pPr>
              <w:pStyle w:val="Pagrindinistekstas"/>
              <w:rPr>
                <w:b/>
                <w:color w:val="FFFFFF" w:themeColor="background1"/>
                <w:sz w:val="18"/>
                <w:szCs w:val="18"/>
              </w:rPr>
            </w:pPr>
            <w:r w:rsidRPr="00D45CD8">
              <w:rPr>
                <w:b/>
                <w:color w:val="FFFFFF" w:themeColor="background1"/>
                <w:sz w:val="18"/>
                <w:szCs w:val="18"/>
              </w:rPr>
              <w:t xml:space="preserve">Nr. 1 </w:t>
            </w:r>
          </w:p>
        </w:tc>
        <w:tc>
          <w:tcPr>
            <w:tcW w:w="851" w:type="dxa"/>
            <w:tcBorders>
              <w:top w:val="single" w:sz="8" w:space="0" w:color="D62E1C"/>
              <w:left w:val="nil"/>
              <w:bottom w:val="nil"/>
              <w:right w:val="nil"/>
            </w:tcBorders>
            <w:shd w:val="clear" w:color="000000" w:fill="D62E1C"/>
            <w:vAlign w:val="center"/>
            <w:hideMark/>
          </w:tcPr>
          <w:p w14:paraId="543B1AEC" w14:textId="77777777" w:rsidR="005A432A" w:rsidRPr="00D45CD8" w:rsidRDefault="005A432A" w:rsidP="00EB3D2A">
            <w:pPr>
              <w:pStyle w:val="Pagrindinistekstas"/>
              <w:rPr>
                <w:b/>
                <w:color w:val="FFFFFF" w:themeColor="background1"/>
                <w:sz w:val="18"/>
                <w:szCs w:val="18"/>
              </w:rPr>
            </w:pPr>
            <w:r w:rsidRPr="00D45CD8">
              <w:rPr>
                <w:b/>
                <w:color w:val="FFFFFF" w:themeColor="background1"/>
                <w:sz w:val="18"/>
                <w:szCs w:val="18"/>
              </w:rPr>
              <w:t xml:space="preserve">Nr. 2 </w:t>
            </w:r>
          </w:p>
        </w:tc>
        <w:tc>
          <w:tcPr>
            <w:tcW w:w="850" w:type="dxa"/>
            <w:tcBorders>
              <w:top w:val="single" w:sz="8" w:space="0" w:color="D62E1C"/>
              <w:left w:val="nil"/>
              <w:bottom w:val="nil"/>
              <w:right w:val="nil"/>
            </w:tcBorders>
            <w:shd w:val="clear" w:color="000000" w:fill="D62E1C"/>
            <w:vAlign w:val="center"/>
            <w:hideMark/>
          </w:tcPr>
          <w:p w14:paraId="7A84C572" w14:textId="77777777" w:rsidR="005A432A" w:rsidRPr="00D45CD8" w:rsidRDefault="005A432A" w:rsidP="00EB3D2A">
            <w:pPr>
              <w:pStyle w:val="Pagrindinistekstas"/>
              <w:rPr>
                <w:b/>
                <w:color w:val="FFFFFF" w:themeColor="background1"/>
                <w:sz w:val="18"/>
                <w:szCs w:val="18"/>
              </w:rPr>
            </w:pPr>
            <w:r w:rsidRPr="00D45CD8">
              <w:rPr>
                <w:b/>
                <w:color w:val="FFFFFF" w:themeColor="background1"/>
                <w:sz w:val="18"/>
                <w:szCs w:val="18"/>
              </w:rPr>
              <w:t xml:space="preserve">Nr. 3 </w:t>
            </w:r>
          </w:p>
        </w:tc>
        <w:tc>
          <w:tcPr>
            <w:tcW w:w="851" w:type="dxa"/>
            <w:tcBorders>
              <w:top w:val="single" w:sz="8" w:space="0" w:color="D62E1C"/>
              <w:left w:val="nil"/>
              <w:bottom w:val="nil"/>
              <w:right w:val="nil"/>
            </w:tcBorders>
            <w:shd w:val="clear" w:color="000000" w:fill="D62E1C"/>
            <w:vAlign w:val="center"/>
            <w:hideMark/>
          </w:tcPr>
          <w:p w14:paraId="52978DF7" w14:textId="77777777" w:rsidR="005A432A" w:rsidRPr="00D45CD8" w:rsidRDefault="005A432A" w:rsidP="00EB3D2A">
            <w:pPr>
              <w:pStyle w:val="Pagrindinistekstas"/>
              <w:rPr>
                <w:b/>
                <w:color w:val="FFFFFF" w:themeColor="background1"/>
                <w:sz w:val="18"/>
                <w:szCs w:val="18"/>
              </w:rPr>
            </w:pPr>
            <w:r w:rsidRPr="00D45CD8">
              <w:rPr>
                <w:b/>
                <w:color w:val="FFFFFF" w:themeColor="background1"/>
                <w:sz w:val="18"/>
                <w:szCs w:val="18"/>
              </w:rPr>
              <w:t xml:space="preserve">Nr.4 </w:t>
            </w:r>
          </w:p>
        </w:tc>
      </w:tr>
      <w:tr w:rsidR="005A432A" w:rsidRPr="0092109A" w14:paraId="29A9E427" w14:textId="77777777" w:rsidTr="00EB3D2A">
        <w:trPr>
          <w:trHeight w:val="1290"/>
          <w:tblHeader/>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5252AEA4" w14:textId="77777777" w:rsidR="005A432A" w:rsidRPr="00D45CD8" w:rsidRDefault="005A432A" w:rsidP="005A432A">
            <w:pPr>
              <w:pStyle w:val="Pagrindinistekstas"/>
              <w:rPr>
                <w:b/>
                <w:color w:val="000000"/>
              </w:rPr>
            </w:pPr>
            <w:r w:rsidRPr="00D45CD8">
              <w:rPr>
                <w:b/>
                <w:color w:val="000000"/>
              </w:rPr>
              <w:t xml:space="preserve">Investuojamų ESI lėšų suma į fondą, mln. eurų </w:t>
            </w:r>
          </w:p>
        </w:tc>
        <w:tc>
          <w:tcPr>
            <w:tcW w:w="3929" w:type="dxa"/>
            <w:tcBorders>
              <w:top w:val="single" w:sz="8" w:space="0" w:color="D62E1C"/>
              <w:left w:val="nil"/>
              <w:bottom w:val="single" w:sz="8" w:space="0" w:color="D62E1C"/>
              <w:right w:val="nil"/>
            </w:tcBorders>
            <w:shd w:val="clear" w:color="auto" w:fill="auto"/>
            <w:vAlign w:val="center"/>
            <w:hideMark/>
          </w:tcPr>
          <w:p w14:paraId="4902ADC2" w14:textId="77777777" w:rsidR="005A432A" w:rsidRPr="0092109A" w:rsidRDefault="005A432A" w:rsidP="005A432A">
            <w:pPr>
              <w:pStyle w:val="Pagrindinistekstas"/>
              <w:rPr>
                <w:color w:val="000000"/>
              </w:rPr>
            </w:pPr>
            <w:r w:rsidRPr="0092109A">
              <w:rPr>
                <w:color w:val="000000"/>
              </w:rPr>
              <w:t xml:space="preserve">Daroma prielaida, jog centrinės valdžios pastatų renovacijai skirtos lėšos – </w:t>
            </w:r>
            <w:r>
              <w:rPr>
                <w:color w:val="000000"/>
              </w:rPr>
              <w:t>65</w:t>
            </w:r>
            <w:r w:rsidRPr="0092109A">
              <w:rPr>
                <w:color w:val="000000"/>
              </w:rPr>
              <w:t xml:space="preserve"> mln. eurų – bus skirtos paskolų finansinei priemonei. </w:t>
            </w:r>
          </w:p>
        </w:tc>
        <w:tc>
          <w:tcPr>
            <w:tcW w:w="850" w:type="dxa"/>
            <w:tcBorders>
              <w:top w:val="nil"/>
              <w:left w:val="nil"/>
              <w:bottom w:val="nil"/>
              <w:right w:val="nil"/>
            </w:tcBorders>
            <w:shd w:val="clear" w:color="auto" w:fill="auto"/>
            <w:noWrap/>
            <w:vAlign w:val="center"/>
            <w:hideMark/>
          </w:tcPr>
          <w:p w14:paraId="06D0BFB3" w14:textId="77777777" w:rsidR="005A432A" w:rsidRPr="00D45CD8" w:rsidRDefault="005A432A" w:rsidP="00EB3D2A">
            <w:pPr>
              <w:pStyle w:val="Pagrindinistekstas"/>
              <w:rPr>
                <w:color w:val="000000"/>
              </w:rPr>
            </w:pPr>
            <w:r w:rsidRPr="00D45CD8">
              <w:rPr>
                <w:color w:val="000000"/>
              </w:rPr>
              <w:t>65</w:t>
            </w:r>
          </w:p>
        </w:tc>
        <w:tc>
          <w:tcPr>
            <w:tcW w:w="851" w:type="dxa"/>
            <w:tcBorders>
              <w:top w:val="nil"/>
              <w:left w:val="nil"/>
              <w:bottom w:val="nil"/>
              <w:right w:val="nil"/>
            </w:tcBorders>
            <w:shd w:val="clear" w:color="auto" w:fill="auto"/>
            <w:noWrap/>
            <w:vAlign w:val="center"/>
            <w:hideMark/>
          </w:tcPr>
          <w:p w14:paraId="1156EFCD" w14:textId="77777777" w:rsidR="005A432A" w:rsidRPr="00D45CD8" w:rsidRDefault="005A432A" w:rsidP="00EB3D2A">
            <w:pPr>
              <w:pStyle w:val="Pagrindinistekstas"/>
              <w:rPr>
                <w:color w:val="000000"/>
              </w:rPr>
            </w:pPr>
            <w:r w:rsidRPr="00D45CD8">
              <w:rPr>
                <w:color w:val="000000"/>
              </w:rPr>
              <w:t>65</w:t>
            </w:r>
          </w:p>
        </w:tc>
        <w:tc>
          <w:tcPr>
            <w:tcW w:w="850" w:type="dxa"/>
            <w:tcBorders>
              <w:top w:val="nil"/>
              <w:left w:val="nil"/>
              <w:bottom w:val="nil"/>
              <w:right w:val="nil"/>
            </w:tcBorders>
            <w:shd w:val="clear" w:color="auto" w:fill="auto"/>
            <w:noWrap/>
            <w:vAlign w:val="center"/>
            <w:hideMark/>
          </w:tcPr>
          <w:p w14:paraId="4F3A40AC" w14:textId="77777777" w:rsidR="005A432A" w:rsidRPr="00D45CD8" w:rsidRDefault="005A432A" w:rsidP="00EB3D2A">
            <w:pPr>
              <w:pStyle w:val="Pagrindinistekstas"/>
              <w:rPr>
                <w:color w:val="000000"/>
              </w:rPr>
            </w:pPr>
            <w:r w:rsidRPr="00D45CD8">
              <w:rPr>
                <w:color w:val="000000"/>
              </w:rPr>
              <w:t>65</w:t>
            </w:r>
          </w:p>
        </w:tc>
        <w:tc>
          <w:tcPr>
            <w:tcW w:w="851" w:type="dxa"/>
            <w:tcBorders>
              <w:top w:val="nil"/>
              <w:left w:val="nil"/>
              <w:bottom w:val="nil"/>
              <w:right w:val="single" w:sz="8" w:space="0" w:color="E0301E"/>
            </w:tcBorders>
            <w:shd w:val="clear" w:color="auto" w:fill="auto"/>
            <w:noWrap/>
            <w:vAlign w:val="center"/>
            <w:hideMark/>
          </w:tcPr>
          <w:p w14:paraId="08CFDEFA" w14:textId="77777777" w:rsidR="005A432A" w:rsidRPr="00D45CD8" w:rsidRDefault="005A432A" w:rsidP="00EB3D2A">
            <w:pPr>
              <w:pStyle w:val="Pagrindinistekstas"/>
              <w:rPr>
                <w:color w:val="000000"/>
              </w:rPr>
            </w:pPr>
            <w:r w:rsidRPr="00D45CD8">
              <w:rPr>
                <w:color w:val="000000"/>
              </w:rPr>
              <w:t>65</w:t>
            </w:r>
          </w:p>
        </w:tc>
      </w:tr>
      <w:tr w:rsidR="005A432A" w:rsidRPr="0092109A" w14:paraId="30342118" w14:textId="77777777" w:rsidTr="00EB3D2A">
        <w:trPr>
          <w:trHeight w:val="2565"/>
          <w:tblHeader/>
        </w:trPr>
        <w:tc>
          <w:tcPr>
            <w:tcW w:w="1741" w:type="dxa"/>
            <w:tcBorders>
              <w:top w:val="nil"/>
              <w:left w:val="single" w:sz="8" w:space="0" w:color="D62E1C"/>
              <w:bottom w:val="nil"/>
              <w:right w:val="nil"/>
            </w:tcBorders>
            <w:shd w:val="clear" w:color="auto" w:fill="auto"/>
            <w:vAlign w:val="center"/>
            <w:hideMark/>
          </w:tcPr>
          <w:p w14:paraId="75A28302" w14:textId="77777777" w:rsidR="005A432A" w:rsidRPr="00D45CD8" w:rsidRDefault="005A432A" w:rsidP="005A432A">
            <w:pPr>
              <w:pStyle w:val="Pagrindinistekstas"/>
              <w:rPr>
                <w:b/>
                <w:color w:val="000000"/>
              </w:rPr>
            </w:pPr>
            <w:r w:rsidRPr="00D45CD8">
              <w:rPr>
                <w:b/>
                <w:color w:val="000000"/>
              </w:rPr>
              <w:t xml:space="preserve">Tipinio viešojo pastato projekto investicijų vertė, mln. eurų </w:t>
            </w:r>
          </w:p>
        </w:tc>
        <w:tc>
          <w:tcPr>
            <w:tcW w:w="3929" w:type="dxa"/>
            <w:tcBorders>
              <w:top w:val="nil"/>
              <w:left w:val="nil"/>
              <w:bottom w:val="single" w:sz="8" w:space="0" w:color="D62E1C"/>
              <w:right w:val="nil"/>
            </w:tcBorders>
            <w:shd w:val="clear" w:color="auto" w:fill="auto"/>
            <w:vAlign w:val="center"/>
            <w:hideMark/>
          </w:tcPr>
          <w:p w14:paraId="7688D192" w14:textId="77777777" w:rsidR="005A432A" w:rsidRPr="0092109A" w:rsidRDefault="005A432A" w:rsidP="005A432A">
            <w:pPr>
              <w:pStyle w:val="Pagrindinistekstas"/>
              <w:rPr>
                <w:color w:val="000000"/>
              </w:rPr>
            </w:pPr>
            <w:r w:rsidRPr="0092109A">
              <w:rPr>
                <w:color w:val="000000"/>
              </w:rPr>
              <w:t>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 remiantis ENEF valdytojui pateiktomis paraiškomis.</w:t>
            </w:r>
          </w:p>
        </w:tc>
        <w:tc>
          <w:tcPr>
            <w:tcW w:w="850" w:type="dxa"/>
            <w:tcBorders>
              <w:top w:val="single" w:sz="8" w:space="0" w:color="E0301E"/>
              <w:left w:val="nil"/>
              <w:bottom w:val="single" w:sz="8" w:space="0" w:color="E0301E"/>
              <w:right w:val="nil"/>
            </w:tcBorders>
            <w:shd w:val="clear" w:color="auto" w:fill="auto"/>
            <w:noWrap/>
            <w:vAlign w:val="center"/>
            <w:hideMark/>
          </w:tcPr>
          <w:p w14:paraId="79DCB2F7" w14:textId="77777777" w:rsidR="005A432A" w:rsidRPr="00D45CD8" w:rsidRDefault="005A432A" w:rsidP="00EB3D2A">
            <w:pPr>
              <w:pStyle w:val="Pagrindinistekstas"/>
              <w:rPr>
                <w:color w:val="000000"/>
              </w:rPr>
            </w:pPr>
            <w:r w:rsidRPr="00D45CD8">
              <w:rPr>
                <w:color w:val="000000"/>
              </w:rPr>
              <w:t>0,308</w:t>
            </w:r>
          </w:p>
        </w:tc>
        <w:tc>
          <w:tcPr>
            <w:tcW w:w="851" w:type="dxa"/>
            <w:tcBorders>
              <w:top w:val="single" w:sz="8" w:space="0" w:color="E0301E"/>
              <w:left w:val="nil"/>
              <w:bottom w:val="single" w:sz="8" w:space="0" w:color="E0301E"/>
              <w:right w:val="nil"/>
            </w:tcBorders>
            <w:shd w:val="clear" w:color="auto" w:fill="auto"/>
            <w:noWrap/>
            <w:vAlign w:val="center"/>
            <w:hideMark/>
          </w:tcPr>
          <w:p w14:paraId="22CAA159" w14:textId="77777777" w:rsidR="005A432A" w:rsidRPr="00D45CD8" w:rsidRDefault="005A432A" w:rsidP="00EB3D2A">
            <w:pPr>
              <w:pStyle w:val="Pagrindinistekstas"/>
              <w:rPr>
                <w:color w:val="000000"/>
              </w:rPr>
            </w:pPr>
            <w:r w:rsidRPr="00D45CD8">
              <w:rPr>
                <w:color w:val="000000"/>
              </w:rPr>
              <w:t>0,308</w:t>
            </w:r>
          </w:p>
        </w:tc>
        <w:tc>
          <w:tcPr>
            <w:tcW w:w="850" w:type="dxa"/>
            <w:tcBorders>
              <w:top w:val="single" w:sz="8" w:space="0" w:color="E0301E"/>
              <w:left w:val="nil"/>
              <w:bottom w:val="single" w:sz="8" w:space="0" w:color="E0301E"/>
              <w:right w:val="nil"/>
            </w:tcBorders>
            <w:shd w:val="clear" w:color="auto" w:fill="auto"/>
            <w:noWrap/>
            <w:vAlign w:val="center"/>
            <w:hideMark/>
          </w:tcPr>
          <w:p w14:paraId="529C914C" w14:textId="77777777" w:rsidR="005A432A" w:rsidRPr="00D45CD8" w:rsidRDefault="005A432A" w:rsidP="00EB3D2A">
            <w:pPr>
              <w:pStyle w:val="Pagrindinistekstas"/>
              <w:rPr>
                <w:color w:val="000000"/>
              </w:rPr>
            </w:pPr>
            <w:r w:rsidRPr="00D45CD8">
              <w:rPr>
                <w:color w:val="000000"/>
              </w:rPr>
              <w:t>0,308</w:t>
            </w:r>
          </w:p>
        </w:tc>
        <w:tc>
          <w:tcPr>
            <w:tcW w:w="851" w:type="dxa"/>
            <w:tcBorders>
              <w:top w:val="single" w:sz="8" w:space="0" w:color="E0301E"/>
              <w:left w:val="nil"/>
              <w:bottom w:val="single" w:sz="8" w:space="0" w:color="E0301E"/>
              <w:right w:val="single" w:sz="8" w:space="0" w:color="E0301E"/>
            </w:tcBorders>
            <w:shd w:val="clear" w:color="auto" w:fill="auto"/>
            <w:noWrap/>
            <w:vAlign w:val="center"/>
            <w:hideMark/>
          </w:tcPr>
          <w:p w14:paraId="5B7EF2C4" w14:textId="77777777" w:rsidR="005A432A" w:rsidRPr="00D45CD8" w:rsidRDefault="005A432A" w:rsidP="00EB3D2A">
            <w:pPr>
              <w:pStyle w:val="Pagrindinistekstas"/>
              <w:rPr>
                <w:color w:val="000000"/>
              </w:rPr>
            </w:pPr>
            <w:r w:rsidRPr="00D45CD8">
              <w:rPr>
                <w:color w:val="000000"/>
              </w:rPr>
              <w:t>0,308</w:t>
            </w:r>
          </w:p>
        </w:tc>
      </w:tr>
      <w:tr w:rsidR="005A432A" w:rsidRPr="0092109A" w14:paraId="0DEFE250" w14:textId="77777777" w:rsidTr="00EB3D2A">
        <w:trPr>
          <w:trHeight w:val="2310"/>
          <w:tblHeader/>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5AE67207" w14:textId="77777777" w:rsidR="005A432A" w:rsidRPr="00D45CD8" w:rsidRDefault="005A432A" w:rsidP="005A432A">
            <w:pPr>
              <w:pStyle w:val="Pagrindinistekstas"/>
              <w:rPr>
                <w:b/>
                <w:color w:val="000000"/>
              </w:rPr>
            </w:pPr>
            <w:r w:rsidRPr="00D45CD8">
              <w:rPr>
                <w:b/>
                <w:color w:val="000000"/>
              </w:rPr>
              <w:lastRenderedPageBreak/>
              <w:t>Siektinas įgyvendinti projektų skaičius iki 2023 m., m</w:t>
            </w:r>
            <w:r w:rsidRPr="00D45CD8">
              <w:rPr>
                <w:b/>
                <w:color w:val="000000"/>
                <w:vertAlign w:val="superscript"/>
              </w:rPr>
              <w:t>2</w:t>
            </w:r>
            <w:r w:rsidRPr="00D45CD8">
              <w:rPr>
                <w:b/>
                <w:color w:val="000000"/>
              </w:rPr>
              <w:t xml:space="preserve">. </w:t>
            </w:r>
          </w:p>
        </w:tc>
        <w:tc>
          <w:tcPr>
            <w:tcW w:w="3929" w:type="dxa"/>
            <w:tcBorders>
              <w:top w:val="nil"/>
              <w:left w:val="nil"/>
              <w:bottom w:val="single" w:sz="8" w:space="0" w:color="D62E1C"/>
              <w:right w:val="nil"/>
            </w:tcBorders>
            <w:shd w:val="clear" w:color="auto" w:fill="auto"/>
            <w:vAlign w:val="center"/>
            <w:hideMark/>
          </w:tcPr>
          <w:p w14:paraId="55B16E5A" w14:textId="77777777" w:rsidR="005A432A" w:rsidRPr="0092109A" w:rsidRDefault="005A432A" w:rsidP="005A432A">
            <w:pPr>
              <w:pStyle w:val="Pagrindinistekstas"/>
              <w:rPr>
                <w:color w:val="000000"/>
              </w:rPr>
            </w:pPr>
            <w:r w:rsidRPr="0092109A">
              <w:rPr>
                <w:color w:val="000000"/>
              </w:rPr>
              <w:t>Daroma prielaida, kad projektų srautą formuos Turto Bankas ir ESCO įmonės. Turto Bankas tikėtina įgavęs patirties 2017 m. renovacijos srityje galės realizuoti apie 40 projektų per metus, tuo tarpu per ESCO rinką tokių projektų skaičius galėtų pasipildyti dar apie 60. Įgyvendinamų projektų skaičius modelyje yra apribotas fonde likusių lėšų dydžiu.</w:t>
            </w:r>
          </w:p>
        </w:tc>
        <w:tc>
          <w:tcPr>
            <w:tcW w:w="850" w:type="dxa"/>
            <w:tcBorders>
              <w:top w:val="nil"/>
              <w:left w:val="nil"/>
              <w:bottom w:val="single" w:sz="8" w:space="0" w:color="E0301E"/>
              <w:right w:val="nil"/>
            </w:tcBorders>
            <w:shd w:val="clear" w:color="auto" w:fill="auto"/>
            <w:noWrap/>
            <w:vAlign w:val="center"/>
            <w:hideMark/>
          </w:tcPr>
          <w:p w14:paraId="12E35D8C" w14:textId="77777777" w:rsidR="005A432A" w:rsidRPr="00D45CD8" w:rsidRDefault="005A432A" w:rsidP="00EB3D2A">
            <w:pPr>
              <w:pStyle w:val="Pagrindinistekstas"/>
              <w:rPr>
                <w:color w:val="000000"/>
              </w:rPr>
            </w:pPr>
            <w:r w:rsidRPr="00D45CD8">
              <w:rPr>
                <w:color w:val="000000"/>
              </w:rPr>
              <w:t>444</w:t>
            </w:r>
          </w:p>
        </w:tc>
        <w:tc>
          <w:tcPr>
            <w:tcW w:w="851" w:type="dxa"/>
            <w:tcBorders>
              <w:top w:val="nil"/>
              <w:left w:val="nil"/>
              <w:bottom w:val="single" w:sz="8" w:space="0" w:color="E0301E"/>
              <w:right w:val="nil"/>
            </w:tcBorders>
            <w:shd w:val="clear" w:color="auto" w:fill="auto"/>
            <w:noWrap/>
            <w:vAlign w:val="center"/>
            <w:hideMark/>
          </w:tcPr>
          <w:p w14:paraId="37887816" w14:textId="77777777" w:rsidR="005A432A" w:rsidRPr="00D45CD8" w:rsidRDefault="005A432A" w:rsidP="00EB3D2A">
            <w:pPr>
              <w:pStyle w:val="Pagrindinistekstas"/>
              <w:rPr>
                <w:color w:val="000000"/>
              </w:rPr>
            </w:pPr>
            <w:r w:rsidRPr="00D45CD8">
              <w:rPr>
                <w:color w:val="000000"/>
              </w:rPr>
              <w:t>564</w:t>
            </w:r>
          </w:p>
        </w:tc>
        <w:tc>
          <w:tcPr>
            <w:tcW w:w="850" w:type="dxa"/>
            <w:tcBorders>
              <w:top w:val="nil"/>
              <w:left w:val="nil"/>
              <w:bottom w:val="single" w:sz="8" w:space="0" w:color="E0301E"/>
              <w:right w:val="nil"/>
            </w:tcBorders>
            <w:shd w:val="clear" w:color="auto" w:fill="auto"/>
            <w:noWrap/>
            <w:vAlign w:val="center"/>
            <w:hideMark/>
          </w:tcPr>
          <w:p w14:paraId="0973AEA0" w14:textId="77777777" w:rsidR="005A432A" w:rsidRPr="00D45CD8" w:rsidRDefault="005A432A" w:rsidP="00EB3D2A">
            <w:pPr>
              <w:pStyle w:val="Pagrindinistekstas"/>
              <w:rPr>
                <w:color w:val="000000"/>
              </w:rPr>
            </w:pPr>
            <w:r w:rsidRPr="00D45CD8">
              <w:rPr>
                <w:color w:val="000000"/>
              </w:rPr>
              <w:t>444</w:t>
            </w:r>
          </w:p>
        </w:tc>
        <w:tc>
          <w:tcPr>
            <w:tcW w:w="851" w:type="dxa"/>
            <w:tcBorders>
              <w:top w:val="nil"/>
              <w:left w:val="nil"/>
              <w:bottom w:val="single" w:sz="8" w:space="0" w:color="E0301E"/>
              <w:right w:val="single" w:sz="8" w:space="0" w:color="E0301E"/>
            </w:tcBorders>
            <w:shd w:val="clear" w:color="auto" w:fill="auto"/>
            <w:noWrap/>
            <w:vAlign w:val="center"/>
            <w:hideMark/>
          </w:tcPr>
          <w:p w14:paraId="35FEE04E" w14:textId="77777777" w:rsidR="005A432A" w:rsidRPr="00D45CD8" w:rsidRDefault="005A432A" w:rsidP="00EB3D2A">
            <w:pPr>
              <w:pStyle w:val="Pagrindinistekstas"/>
              <w:rPr>
                <w:color w:val="000000"/>
              </w:rPr>
            </w:pPr>
            <w:r w:rsidRPr="00D45CD8">
              <w:rPr>
                <w:color w:val="000000"/>
              </w:rPr>
              <w:t>570</w:t>
            </w:r>
          </w:p>
        </w:tc>
      </w:tr>
      <w:tr w:rsidR="005A432A" w:rsidRPr="0092109A" w14:paraId="09F4592D" w14:textId="77777777" w:rsidTr="00EB3D2A">
        <w:trPr>
          <w:trHeight w:val="780"/>
          <w:tblHeader/>
        </w:trPr>
        <w:tc>
          <w:tcPr>
            <w:tcW w:w="1741" w:type="dxa"/>
            <w:tcBorders>
              <w:top w:val="nil"/>
              <w:left w:val="single" w:sz="8" w:space="0" w:color="D62E1C"/>
              <w:bottom w:val="nil"/>
              <w:right w:val="nil"/>
            </w:tcBorders>
            <w:shd w:val="clear" w:color="auto" w:fill="auto"/>
            <w:vAlign w:val="center"/>
            <w:hideMark/>
          </w:tcPr>
          <w:p w14:paraId="46C9BF99" w14:textId="77777777" w:rsidR="005A432A" w:rsidRPr="00D45CD8" w:rsidRDefault="005A432A" w:rsidP="005A432A">
            <w:pPr>
              <w:pStyle w:val="Pagrindinistekstas"/>
              <w:rPr>
                <w:b/>
                <w:color w:val="000000"/>
              </w:rPr>
            </w:pPr>
            <w:r w:rsidRPr="00D45CD8">
              <w:rPr>
                <w:b/>
                <w:color w:val="000000"/>
              </w:rPr>
              <w:t xml:space="preserve">Paskolos laikotarpis, metais </w:t>
            </w:r>
          </w:p>
        </w:tc>
        <w:tc>
          <w:tcPr>
            <w:tcW w:w="3929" w:type="dxa"/>
            <w:tcBorders>
              <w:top w:val="nil"/>
              <w:left w:val="nil"/>
              <w:bottom w:val="nil"/>
              <w:right w:val="nil"/>
            </w:tcBorders>
            <w:shd w:val="clear" w:color="auto" w:fill="auto"/>
            <w:vAlign w:val="center"/>
            <w:hideMark/>
          </w:tcPr>
          <w:p w14:paraId="44C834B0" w14:textId="77777777" w:rsidR="005A432A" w:rsidRPr="0092109A" w:rsidRDefault="005A432A" w:rsidP="005A432A">
            <w:pPr>
              <w:pStyle w:val="Pagrindinistekstas"/>
              <w:rPr>
                <w:color w:val="000000"/>
              </w:rPr>
            </w:pPr>
            <w:r w:rsidRPr="0092109A">
              <w:rPr>
                <w:color w:val="000000"/>
              </w:rPr>
              <w:t xml:space="preserve">Maksimalus paskolos sutarties terminas  </w:t>
            </w:r>
          </w:p>
        </w:tc>
        <w:tc>
          <w:tcPr>
            <w:tcW w:w="850" w:type="dxa"/>
            <w:tcBorders>
              <w:top w:val="nil"/>
              <w:left w:val="nil"/>
              <w:bottom w:val="single" w:sz="8" w:space="0" w:color="E0301E"/>
              <w:right w:val="nil"/>
            </w:tcBorders>
            <w:shd w:val="clear" w:color="auto" w:fill="auto"/>
            <w:noWrap/>
            <w:vAlign w:val="center"/>
            <w:hideMark/>
          </w:tcPr>
          <w:p w14:paraId="4F9A1130" w14:textId="77777777" w:rsidR="005A432A" w:rsidRPr="00D45CD8" w:rsidRDefault="005A432A" w:rsidP="00EB3D2A">
            <w:pPr>
              <w:pStyle w:val="Pagrindinistekstas"/>
              <w:rPr>
                <w:color w:val="000000"/>
              </w:rPr>
            </w:pPr>
            <w:r w:rsidRPr="00D45CD8">
              <w:rPr>
                <w:color w:val="000000"/>
              </w:rPr>
              <w:t>20</w:t>
            </w:r>
          </w:p>
        </w:tc>
        <w:tc>
          <w:tcPr>
            <w:tcW w:w="851" w:type="dxa"/>
            <w:tcBorders>
              <w:top w:val="nil"/>
              <w:left w:val="nil"/>
              <w:bottom w:val="single" w:sz="8" w:space="0" w:color="E0301E"/>
              <w:right w:val="nil"/>
            </w:tcBorders>
            <w:shd w:val="clear" w:color="auto" w:fill="auto"/>
            <w:noWrap/>
            <w:vAlign w:val="center"/>
            <w:hideMark/>
          </w:tcPr>
          <w:p w14:paraId="649242B1" w14:textId="77777777" w:rsidR="005A432A" w:rsidRPr="00D45CD8" w:rsidRDefault="005A432A" w:rsidP="00EB3D2A">
            <w:pPr>
              <w:pStyle w:val="Pagrindinistekstas"/>
              <w:rPr>
                <w:color w:val="000000"/>
              </w:rPr>
            </w:pPr>
            <w:r w:rsidRPr="00D45CD8">
              <w:rPr>
                <w:color w:val="000000"/>
              </w:rPr>
              <w:t>20</w:t>
            </w:r>
          </w:p>
        </w:tc>
        <w:tc>
          <w:tcPr>
            <w:tcW w:w="850" w:type="dxa"/>
            <w:tcBorders>
              <w:top w:val="nil"/>
              <w:left w:val="nil"/>
              <w:bottom w:val="single" w:sz="8" w:space="0" w:color="E0301E"/>
              <w:right w:val="nil"/>
            </w:tcBorders>
            <w:shd w:val="clear" w:color="auto" w:fill="auto"/>
            <w:noWrap/>
            <w:vAlign w:val="center"/>
            <w:hideMark/>
          </w:tcPr>
          <w:p w14:paraId="5A155B7D" w14:textId="77777777" w:rsidR="005A432A" w:rsidRPr="00D45CD8" w:rsidRDefault="005A432A" w:rsidP="00EB3D2A">
            <w:pPr>
              <w:pStyle w:val="Pagrindinistekstas"/>
              <w:rPr>
                <w:color w:val="000000"/>
              </w:rPr>
            </w:pPr>
            <w:r w:rsidRPr="00D45CD8">
              <w:rPr>
                <w:color w:val="000000"/>
              </w:rPr>
              <w:t>20</w:t>
            </w:r>
          </w:p>
        </w:tc>
        <w:tc>
          <w:tcPr>
            <w:tcW w:w="851" w:type="dxa"/>
            <w:tcBorders>
              <w:top w:val="nil"/>
              <w:left w:val="nil"/>
              <w:bottom w:val="single" w:sz="8" w:space="0" w:color="E0301E"/>
              <w:right w:val="single" w:sz="8" w:space="0" w:color="E0301E"/>
            </w:tcBorders>
            <w:shd w:val="clear" w:color="auto" w:fill="auto"/>
            <w:noWrap/>
            <w:vAlign w:val="center"/>
            <w:hideMark/>
          </w:tcPr>
          <w:p w14:paraId="0063A66D" w14:textId="77777777" w:rsidR="005A432A" w:rsidRPr="00D45CD8" w:rsidRDefault="005A432A" w:rsidP="00EB3D2A">
            <w:pPr>
              <w:pStyle w:val="Pagrindinistekstas"/>
              <w:rPr>
                <w:color w:val="000000"/>
              </w:rPr>
            </w:pPr>
            <w:r w:rsidRPr="00D45CD8">
              <w:rPr>
                <w:color w:val="000000"/>
              </w:rPr>
              <w:t>20</w:t>
            </w:r>
          </w:p>
        </w:tc>
      </w:tr>
      <w:tr w:rsidR="005A432A" w:rsidRPr="0092109A" w14:paraId="556DBF2F" w14:textId="77777777" w:rsidTr="00EB3D2A">
        <w:trPr>
          <w:trHeight w:val="780"/>
          <w:tblHeader/>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7E0DC1F3" w14:textId="77777777" w:rsidR="005A432A" w:rsidRPr="00D45CD8" w:rsidRDefault="005A432A" w:rsidP="005A432A">
            <w:pPr>
              <w:pStyle w:val="Pagrindinistekstas"/>
              <w:rPr>
                <w:b/>
                <w:color w:val="000000"/>
              </w:rPr>
            </w:pPr>
            <w:r w:rsidRPr="00D45CD8">
              <w:rPr>
                <w:b/>
                <w:color w:val="000000"/>
              </w:rPr>
              <w:t xml:space="preserve">Nurašytų paskolų dalis, proc. </w:t>
            </w:r>
          </w:p>
        </w:tc>
        <w:tc>
          <w:tcPr>
            <w:tcW w:w="3929" w:type="dxa"/>
            <w:tcBorders>
              <w:top w:val="single" w:sz="8" w:space="0" w:color="D62E1C"/>
              <w:left w:val="nil"/>
              <w:bottom w:val="single" w:sz="8" w:space="0" w:color="D62E1C"/>
              <w:right w:val="nil"/>
            </w:tcBorders>
            <w:shd w:val="clear" w:color="auto" w:fill="auto"/>
            <w:vAlign w:val="center"/>
            <w:hideMark/>
          </w:tcPr>
          <w:p w14:paraId="70D6951B" w14:textId="77777777" w:rsidR="005A432A" w:rsidRPr="0092109A" w:rsidRDefault="005A432A" w:rsidP="005A432A">
            <w:pPr>
              <w:pStyle w:val="Pagrindinistekstas"/>
              <w:rPr>
                <w:color w:val="000000"/>
              </w:rPr>
            </w:pPr>
            <w:r w:rsidRPr="0092109A">
              <w:rPr>
                <w:color w:val="000000"/>
              </w:rPr>
              <w:t xml:space="preserve">Nurašytų paskolų dalis buvo nustatyta remiantis ekspertų ir komercinių bankų vertinimu.  </w:t>
            </w:r>
          </w:p>
        </w:tc>
        <w:tc>
          <w:tcPr>
            <w:tcW w:w="850" w:type="dxa"/>
            <w:tcBorders>
              <w:top w:val="nil"/>
              <w:left w:val="nil"/>
              <w:bottom w:val="single" w:sz="8" w:space="0" w:color="E0301E"/>
              <w:right w:val="nil"/>
            </w:tcBorders>
            <w:shd w:val="clear" w:color="auto" w:fill="auto"/>
            <w:noWrap/>
            <w:vAlign w:val="center"/>
            <w:hideMark/>
          </w:tcPr>
          <w:p w14:paraId="732317E1" w14:textId="77777777" w:rsidR="005A432A" w:rsidRPr="00D45CD8" w:rsidRDefault="005A432A" w:rsidP="00EB3D2A">
            <w:pPr>
              <w:pStyle w:val="Pagrindinistekstas"/>
              <w:rPr>
                <w:color w:val="000000"/>
              </w:rPr>
            </w:pPr>
            <w:r w:rsidRPr="00D45CD8">
              <w:rPr>
                <w:color w:val="000000"/>
              </w:rPr>
              <w:t>5,0%</w:t>
            </w:r>
          </w:p>
        </w:tc>
        <w:tc>
          <w:tcPr>
            <w:tcW w:w="851" w:type="dxa"/>
            <w:tcBorders>
              <w:top w:val="nil"/>
              <w:left w:val="nil"/>
              <w:bottom w:val="single" w:sz="8" w:space="0" w:color="E0301E"/>
              <w:right w:val="nil"/>
            </w:tcBorders>
            <w:shd w:val="clear" w:color="auto" w:fill="auto"/>
            <w:noWrap/>
            <w:vAlign w:val="center"/>
            <w:hideMark/>
          </w:tcPr>
          <w:p w14:paraId="2458024F" w14:textId="77777777" w:rsidR="005A432A" w:rsidRPr="00D45CD8" w:rsidRDefault="005A432A" w:rsidP="00EB3D2A">
            <w:pPr>
              <w:pStyle w:val="Pagrindinistekstas"/>
              <w:rPr>
                <w:color w:val="000000"/>
              </w:rPr>
            </w:pPr>
            <w:r w:rsidRPr="00D45CD8">
              <w:rPr>
                <w:color w:val="000000"/>
              </w:rPr>
              <w:t>5,0%</w:t>
            </w:r>
          </w:p>
        </w:tc>
        <w:tc>
          <w:tcPr>
            <w:tcW w:w="850" w:type="dxa"/>
            <w:tcBorders>
              <w:top w:val="nil"/>
              <w:left w:val="nil"/>
              <w:bottom w:val="single" w:sz="8" w:space="0" w:color="E0301E"/>
              <w:right w:val="nil"/>
            </w:tcBorders>
            <w:shd w:val="clear" w:color="auto" w:fill="auto"/>
            <w:noWrap/>
            <w:vAlign w:val="center"/>
            <w:hideMark/>
          </w:tcPr>
          <w:p w14:paraId="5F5D5602" w14:textId="77777777" w:rsidR="005A432A" w:rsidRPr="00D45CD8" w:rsidRDefault="005A432A" w:rsidP="00EB3D2A">
            <w:pPr>
              <w:pStyle w:val="Pagrindinistekstas"/>
              <w:rPr>
                <w:color w:val="000000"/>
              </w:rPr>
            </w:pPr>
            <w:r w:rsidRPr="00D45CD8">
              <w:rPr>
                <w:color w:val="000000"/>
              </w:rPr>
              <w:t>5,0%</w:t>
            </w:r>
          </w:p>
        </w:tc>
        <w:tc>
          <w:tcPr>
            <w:tcW w:w="851" w:type="dxa"/>
            <w:tcBorders>
              <w:top w:val="nil"/>
              <w:left w:val="nil"/>
              <w:bottom w:val="single" w:sz="8" w:space="0" w:color="E0301E"/>
              <w:right w:val="single" w:sz="8" w:space="0" w:color="E0301E"/>
            </w:tcBorders>
            <w:shd w:val="clear" w:color="auto" w:fill="auto"/>
            <w:noWrap/>
            <w:vAlign w:val="center"/>
            <w:hideMark/>
          </w:tcPr>
          <w:p w14:paraId="1AB9653E" w14:textId="77777777" w:rsidR="005A432A" w:rsidRPr="00D45CD8" w:rsidRDefault="005A432A" w:rsidP="00EB3D2A">
            <w:pPr>
              <w:pStyle w:val="Pagrindinistekstas"/>
              <w:rPr>
                <w:color w:val="000000"/>
              </w:rPr>
            </w:pPr>
            <w:r w:rsidRPr="00D45CD8">
              <w:rPr>
                <w:color w:val="000000"/>
              </w:rPr>
              <w:t>5,0%</w:t>
            </w:r>
          </w:p>
        </w:tc>
      </w:tr>
      <w:tr w:rsidR="005A432A" w:rsidRPr="0092109A" w14:paraId="14179772" w14:textId="77777777" w:rsidTr="00EB3D2A">
        <w:trPr>
          <w:trHeight w:val="1545"/>
          <w:tblHeader/>
        </w:trPr>
        <w:tc>
          <w:tcPr>
            <w:tcW w:w="1741" w:type="dxa"/>
            <w:tcBorders>
              <w:top w:val="nil"/>
              <w:left w:val="single" w:sz="8" w:space="0" w:color="D62E1C"/>
              <w:bottom w:val="nil"/>
              <w:right w:val="nil"/>
            </w:tcBorders>
            <w:shd w:val="clear" w:color="auto" w:fill="auto"/>
            <w:vAlign w:val="center"/>
            <w:hideMark/>
          </w:tcPr>
          <w:p w14:paraId="6E4C48BC" w14:textId="77777777" w:rsidR="005A432A" w:rsidRPr="00D45CD8" w:rsidRDefault="005A432A" w:rsidP="005A432A">
            <w:pPr>
              <w:pStyle w:val="Pagrindinistekstas"/>
              <w:rPr>
                <w:b/>
                <w:color w:val="000000"/>
              </w:rPr>
            </w:pPr>
            <w:r w:rsidRPr="00D45CD8">
              <w:rPr>
                <w:b/>
                <w:color w:val="000000"/>
              </w:rPr>
              <w:t xml:space="preserve">Paskolų palūkanų norma, proc. palūkanų maržos </w:t>
            </w:r>
          </w:p>
        </w:tc>
        <w:tc>
          <w:tcPr>
            <w:tcW w:w="3929" w:type="dxa"/>
            <w:tcBorders>
              <w:top w:val="nil"/>
              <w:left w:val="nil"/>
              <w:bottom w:val="nil"/>
              <w:right w:val="nil"/>
            </w:tcBorders>
            <w:shd w:val="clear" w:color="auto" w:fill="auto"/>
            <w:vAlign w:val="center"/>
            <w:hideMark/>
          </w:tcPr>
          <w:p w14:paraId="7F8F4C41" w14:textId="77777777" w:rsidR="005A432A" w:rsidRPr="0092109A" w:rsidRDefault="005A432A" w:rsidP="005A432A">
            <w:pPr>
              <w:pStyle w:val="Pagrindinistekstas"/>
              <w:rPr>
                <w:color w:val="000000"/>
              </w:rPr>
            </w:pPr>
            <w:r w:rsidRPr="0092109A">
              <w:rPr>
                <w:color w:val="000000"/>
              </w:rPr>
              <w:t xml:space="preserve">Analizės tikslais nustatomos 2 % metinės palūkanos. Pradinėje FP stadijoje gali būti nustatomos ir mažesnės palūkanos. Išnaudojus ESI fondų lėšas palūkanos turėtų atitikti FP administravimo ir lėšų pritraukimo kainą. </w:t>
            </w:r>
          </w:p>
        </w:tc>
        <w:tc>
          <w:tcPr>
            <w:tcW w:w="850" w:type="dxa"/>
            <w:tcBorders>
              <w:top w:val="nil"/>
              <w:left w:val="nil"/>
              <w:bottom w:val="single" w:sz="8" w:space="0" w:color="E0301E"/>
              <w:right w:val="nil"/>
            </w:tcBorders>
            <w:shd w:val="clear" w:color="auto" w:fill="auto"/>
            <w:noWrap/>
            <w:vAlign w:val="center"/>
            <w:hideMark/>
          </w:tcPr>
          <w:p w14:paraId="376D5279" w14:textId="77777777" w:rsidR="005A432A" w:rsidRPr="00D45CD8" w:rsidRDefault="005A432A" w:rsidP="00EB3D2A">
            <w:pPr>
              <w:pStyle w:val="Pagrindinistekstas"/>
              <w:rPr>
                <w:color w:val="000000"/>
              </w:rPr>
            </w:pPr>
            <w:r w:rsidRPr="00D45CD8">
              <w:rPr>
                <w:color w:val="000000"/>
              </w:rPr>
              <w:t>2,0%</w:t>
            </w:r>
          </w:p>
        </w:tc>
        <w:tc>
          <w:tcPr>
            <w:tcW w:w="851" w:type="dxa"/>
            <w:tcBorders>
              <w:top w:val="nil"/>
              <w:left w:val="nil"/>
              <w:bottom w:val="single" w:sz="8" w:space="0" w:color="E0301E"/>
              <w:right w:val="nil"/>
            </w:tcBorders>
            <w:shd w:val="clear" w:color="auto" w:fill="auto"/>
            <w:noWrap/>
            <w:vAlign w:val="center"/>
            <w:hideMark/>
          </w:tcPr>
          <w:p w14:paraId="7801C558" w14:textId="77777777" w:rsidR="005A432A" w:rsidRPr="00D45CD8" w:rsidRDefault="005A432A" w:rsidP="00EB3D2A">
            <w:pPr>
              <w:pStyle w:val="Pagrindinistekstas"/>
              <w:rPr>
                <w:color w:val="000000"/>
              </w:rPr>
            </w:pPr>
            <w:r w:rsidRPr="00D45CD8">
              <w:rPr>
                <w:color w:val="000000"/>
              </w:rPr>
              <w:t>2,0%</w:t>
            </w:r>
          </w:p>
        </w:tc>
        <w:tc>
          <w:tcPr>
            <w:tcW w:w="850" w:type="dxa"/>
            <w:tcBorders>
              <w:top w:val="nil"/>
              <w:left w:val="nil"/>
              <w:bottom w:val="single" w:sz="8" w:space="0" w:color="E0301E"/>
              <w:right w:val="nil"/>
            </w:tcBorders>
            <w:shd w:val="clear" w:color="auto" w:fill="auto"/>
            <w:noWrap/>
            <w:vAlign w:val="center"/>
            <w:hideMark/>
          </w:tcPr>
          <w:p w14:paraId="76FCB58E" w14:textId="77777777" w:rsidR="005A432A" w:rsidRPr="00D45CD8" w:rsidRDefault="005A432A" w:rsidP="00EB3D2A">
            <w:pPr>
              <w:pStyle w:val="Pagrindinistekstas"/>
              <w:rPr>
                <w:color w:val="000000"/>
              </w:rPr>
            </w:pPr>
            <w:r w:rsidRPr="00D45CD8">
              <w:rPr>
                <w:color w:val="000000"/>
              </w:rPr>
              <w:t>2,0%</w:t>
            </w:r>
          </w:p>
        </w:tc>
        <w:tc>
          <w:tcPr>
            <w:tcW w:w="851" w:type="dxa"/>
            <w:tcBorders>
              <w:top w:val="nil"/>
              <w:left w:val="nil"/>
              <w:bottom w:val="single" w:sz="8" w:space="0" w:color="E0301E"/>
              <w:right w:val="single" w:sz="8" w:space="0" w:color="E0301E"/>
            </w:tcBorders>
            <w:shd w:val="clear" w:color="auto" w:fill="auto"/>
            <w:noWrap/>
            <w:vAlign w:val="center"/>
            <w:hideMark/>
          </w:tcPr>
          <w:p w14:paraId="57CDFAB3" w14:textId="77777777" w:rsidR="005A432A" w:rsidRPr="00D45CD8" w:rsidRDefault="005A432A" w:rsidP="00EB3D2A">
            <w:pPr>
              <w:pStyle w:val="Pagrindinistekstas"/>
              <w:rPr>
                <w:color w:val="000000"/>
              </w:rPr>
            </w:pPr>
            <w:r w:rsidRPr="00D45CD8">
              <w:rPr>
                <w:color w:val="000000"/>
              </w:rPr>
              <w:t>2,0%</w:t>
            </w:r>
          </w:p>
        </w:tc>
      </w:tr>
      <w:tr w:rsidR="005A432A" w:rsidRPr="0092109A" w14:paraId="6919A664" w14:textId="77777777" w:rsidTr="00EB3D2A">
        <w:trPr>
          <w:trHeight w:val="2310"/>
          <w:tblHeader/>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6819B1E6" w14:textId="77777777" w:rsidR="005A432A" w:rsidRPr="00D45CD8" w:rsidRDefault="005A432A" w:rsidP="005A432A">
            <w:pPr>
              <w:pStyle w:val="Pagrindinistekstas"/>
              <w:rPr>
                <w:b/>
                <w:color w:val="000000"/>
              </w:rPr>
            </w:pPr>
            <w:r w:rsidRPr="00D45CD8">
              <w:rPr>
                <w:b/>
                <w:color w:val="000000"/>
              </w:rPr>
              <w:t xml:space="preserve">Valdymo mokestis vadovaujantis Deleguoto reglamento nuostatomis, proc. </w:t>
            </w:r>
          </w:p>
        </w:tc>
        <w:tc>
          <w:tcPr>
            <w:tcW w:w="3929" w:type="dxa"/>
            <w:tcBorders>
              <w:top w:val="single" w:sz="8" w:space="0" w:color="D62E1C"/>
              <w:left w:val="nil"/>
              <w:bottom w:val="single" w:sz="8" w:space="0" w:color="D62E1C"/>
              <w:right w:val="nil"/>
            </w:tcBorders>
            <w:shd w:val="clear" w:color="auto" w:fill="auto"/>
            <w:vAlign w:val="center"/>
            <w:hideMark/>
          </w:tcPr>
          <w:p w14:paraId="3CCABB51" w14:textId="77777777" w:rsidR="005A432A" w:rsidRPr="0092109A" w:rsidRDefault="005A432A" w:rsidP="005A432A">
            <w:pPr>
              <w:pStyle w:val="Pagrindinistekstas"/>
              <w:rPr>
                <w:color w:val="000000"/>
              </w:rPr>
            </w:pPr>
            <w:r w:rsidRPr="0092109A">
              <w:rPr>
                <w:color w:val="000000"/>
              </w:rPr>
              <w:t xml:space="preserve">Vadovaujantis Deleguoto reglamento nuostatomis, valdymo mokestis susideda iš dviejų dalių: 0,5 proc. bazinis mokestis nuo finansinei priemonei skirtų ir įmokėtų lėšų, 1 proc. mokestis nuo paskolų sumos. </w:t>
            </w:r>
          </w:p>
        </w:tc>
        <w:tc>
          <w:tcPr>
            <w:tcW w:w="850" w:type="dxa"/>
            <w:tcBorders>
              <w:top w:val="nil"/>
              <w:left w:val="nil"/>
              <w:bottom w:val="single" w:sz="8" w:space="0" w:color="E0301E"/>
              <w:right w:val="nil"/>
            </w:tcBorders>
            <w:shd w:val="clear" w:color="auto" w:fill="auto"/>
            <w:vAlign w:val="center"/>
            <w:hideMark/>
          </w:tcPr>
          <w:p w14:paraId="4880E871" w14:textId="77777777" w:rsidR="005A432A" w:rsidRPr="00D45CD8" w:rsidRDefault="005A432A" w:rsidP="00EB3D2A">
            <w:pPr>
              <w:pStyle w:val="Pagrindinistekstas"/>
              <w:rPr>
                <w:color w:val="000000"/>
              </w:rPr>
            </w:pPr>
            <w:r w:rsidRPr="00D45CD8">
              <w:rPr>
                <w:color w:val="000000"/>
              </w:rPr>
              <w:t>0,5% ir 1%</w:t>
            </w:r>
          </w:p>
        </w:tc>
        <w:tc>
          <w:tcPr>
            <w:tcW w:w="851" w:type="dxa"/>
            <w:tcBorders>
              <w:top w:val="nil"/>
              <w:left w:val="nil"/>
              <w:bottom w:val="single" w:sz="8" w:space="0" w:color="E0301E"/>
              <w:right w:val="nil"/>
            </w:tcBorders>
            <w:shd w:val="clear" w:color="auto" w:fill="auto"/>
            <w:vAlign w:val="center"/>
            <w:hideMark/>
          </w:tcPr>
          <w:p w14:paraId="146224F9" w14:textId="77777777" w:rsidR="005A432A" w:rsidRPr="00D45CD8" w:rsidRDefault="005A432A" w:rsidP="00EB3D2A">
            <w:pPr>
              <w:pStyle w:val="Pagrindinistekstas"/>
              <w:rPr>
                <w:color w:val="000000"/>
              </w:rPr>
            </w:pPr>
            <w:r w:rsidRPr="00D45CD8">
              <w:rPr>
                <w:color w:val="000000"/>
              </w:rPr>
              <w:t>0,5% ir 1%</w:t>
            </w:r>
          </w:p>
        </w:tc>
        <w:tc>
          <w:tcPr>
            <w:tcW w:w="850" w:type="dxa"/>
            <w:tcBorders>
              <w:top w:val="nil"/>
              <w:left w:val="nil"/>
              <w:bottom w:val="single" w:sz="8" w:space="0" w:color="E0301E"/>
              <w:right w:val="nil"/>
            </w:tcBorders>
            <w:shd w:val="clear" w:color="auto" w:fill="auto"/>
            <w:vAlign w:val="center"/>
            <w:hideMark/>
          </w:tcPr>
          <w:p w14:paraId="143129D8" w14:textId="77777777" w:rsidR="005A432A" w:rsidRPr="00D45CD8" w:rsidRDefault="005A432A" w:rsidP="00EB3D2A">
            <w:pPr>
              <w:pStyle w:val="Pagrindinistekstas"/>
              <w:rPr>
                <w:color w:val="000000"/>
              </w:rPr>
            </w:pPr>
            <w:r w:rsidRPr="00D45CD8">
              <w:rPr>
                <w:color w:val="000000"/>
              </w:rPr>
              <w:t>0,5% ir 1%</w:t>
            </w:r>
          </w:p>
        </w:tc>
        <w:tc>
          <w:tcPr>
            <w:tcW w:w="851" w:type="dxa"/>
            <w:tcBorders>
              <w:top w:val="nil"/>
              <w:left w:val="nil"/>
              <w:bottom w:val="single" w:sz="8" w:space="0" w:color="E0301E"/>
              <w:right w:val="single" w:sz="8" w:space="0" w:color="E0301E"/>
            </w:tcBorders>
            <w:shd w:val="clear" w:color="auto" w:fill="auto"/>
            <w:vAlign w:val="center"/>
            <w:hideMark/>
          </w:tcPr>
          <w:p w14:paraId="3D1EFE96" w14:textId="77777777" w:rsidR="005A432A" w:rsidRPr="00D45CD8" w:rsidRDefault="005A432A" w:rsidP="00EB3D2A">
            <w:pPr>
              <w:pStyle w:val="Pagrindinistekstas"/>
              <w:rPr>
                <w:color w:val="000000"/>
              </w:rPr>
            </w:pPr>
            <w:r w:rsidRPr="00D45CD8">
              <w:rPr>
                <w:color w:val="000000"/>
              </w:rPr>
              <w:t>0,5% ir 1,5%</w:t>
            </w:r>
          </w:p>
        </w:tc>
      </w:tr>
      <w:tr w:rsidR="005A432A" w:rsidRPr="0092109A" w14:paraId="5C05D226" w14:textId="77777777" w:rsidTr="00EB3D2A">
        <w:trPr>
          <w:trHeight w:val="1290"/>
          <w:tblHeader/>
        </w:trPr>
        <w:tc>
          <w:tcPr>
            <w:tcW w:w="1741" w:type="dxa"/>
            <w:tcBorders>
              <w:top w:val="nil"/>
              <w:left w:val="single" w:sz="8" w:space="0" w:color="D62E1C"/>
              <w:bottom w:val="nil"/>
              <w:right w:val="nil"/>
            </w:tcBorders>
            <w:shd w:val="clear" w:color="auto" w:fill="auto"/>
            <w:vAlign w:val="center"/>
            <w:hideMark/>
          </w:tcPr>
          <w:p w14:paraId="18114BBB" w14:textId="77777777" w:rsidR="005A432A" w:rsidRPr="00D45CD8" w:rsidRDefault="005A432A" w:rsidP="005A432A">
            <w:pPr>
              <w:pStyle w:val="Pagrindinistekstas"/>
              <w:rPr>
                <w:b/>
                <w:color w:val="000000"/>
              </w:rPr>
            </w:pPr>
            <w:r w:rsidRPr="00D45CD8">
              <w:rPr>
                <w:b/>
                <w:color w:val="000000"/>
              </w:rPr>
              <w:t xml:space="preserve">Projekto įgyvendinimo laikotarpis, metai  </w:t>
            </w:r>
          </w:p>
        </w:tc>
        <w:tc>
          <w:tcPr>
            <w:tcW w:w="3929" w:type="dxa"/>
            <w:tcBorders>
              <w:top w:val="nil"/>
              <w:left w:val="nil"/>
              <w:bottom w:val="nil"/>
              <w:right w:val="nil"/>
            </w:tcBorders>
            <w:shd w:val="clear" w:color="auto" w:fill="auto"/>
            <w:vAlign w:val="center"/>
            <w:hideMark/>
          </w:tcPr>
          <w:p w14:paraId="6A931302" w14:textId="77777777" w:rsidR="005A432A" w:rsidRPr="0092109A" w:rsidRDefault="005A432A" w:rsidP="005A432A">
            <w:pPr>
              <w:pStyle w:val="Pagrindinistekstas"/>
              <w:rPr>
                <w:color w:val="000000"/>
              </w:rPr>
            </w:pPr>
            <w:r w:rsidRPr="0092109A">
              <w:rPr>
                <w:color w:val="000000"/>
              </w:rPr>
              <w:t xml:space="preserve">Daroma prielaida, jog tipinio viešojo pastato renovacijos laikas yra 1 metai nuo paskolos sutarties pasirašymo momento. </w:t>
            </w:r>
          </w:p>
        </w:tc>
        <w:tc>
          <w:tcPr>
            <w:tcW w:w="850" w:type="dxa"/>
            <w:tcBorders>
              <w:top w:val="nil"/>
              <w:left w:val="nil"/>
              <w:bottom w:val="single" w:sz="8" w:space="0" w:color="E0301E"/>
              <w:right w:val="nil"/>
            </w:tcBorders>
            <w:shd w:val="clear" w:color="auto" w:fill="auto"/>
            <w:noWrap/>
            <w:vAlign w:val="center"/>
            <w:hideMark/>
          </w:tcPr>
          <w:p w14:paraId="274D17E8" w14:textId="77777777" w:rsidR="005A432A" w:rsidRPr="00D45CD8" w:rsidRDefault="005A432A" w:rsidP="00EB3D2A">
            <w:pPr>
              <w:pStyle w:val="Pagrindinistekstas"/>
              <w:rPr>
                <w:color w:val="000000"/>
              </w:rPr>
            </w:pPr>
            <w:r w:rsidRPr="00D45CD8">
              <w:rPr>
                <w:color w:val="000000"/>
              </w:rPr>
              <w:t>1</w:t>
            </w:r>
          </w:p>
        </w:tc>
        <w:tc>
          <w:tcPr>
            <w:tcW w:w="851" w:type="dxa"/>
            <w:tcBorders>
              <w:top w:val="nil"/>
              <w:left w:val="nil"/>
              <w:bottom w:val="single" w:sz="8" w:space="0" w:color="E0301E"/>
              <w:right w:val="nil"/>
            </w:tcBorders>
            <w:shd w:val="clear" w:color="auto" w:fill="auto"/>
            <w:noWrap/>
            <w:vAlign w:val="center"/>
            <w:hideMark/>
          </w:tcPr>
          <w:p w14:paraId="539AF380" w14:textId="77777777" w:rsidR="005A432A" w:rsidRPr="00D45CD8" w:rsidRDefault="005A432A" w:rsidP="00EB3D2A">
            <w:pPr>
              <w:pStyle w:val="Pagrindinistekstas"/>
              <w:rPr>
                <w:color w:val="000000"/>
              </w:rPr>
            </w:pPr>
            <w:r w:rsidRPr="00D45CD8">
              <w:rPr>
                <w:color w:val="000000"/>
              </w:rPr>
              <w:t>1</w:t>
            </w:r>
          </w:p>
        </w:tc>
        <w:tc>
          <w:tcPr>
            <w:tcW w:w="850" w:type="dxa"/>
            <w:tcBorders>
              <w:top w:val="nil"/>
              <w:left w:val="nil"/>
              <w:bottom w:val="single" w:sz="8" w:space="0" w:color="E0301E"/>
              <w:right w:val="nil"/>
            </w:tcBorders>
            <w:shd w:val="clear" w:color="auto" w:fill="auto"/>
            <w:noWrap/>
            <w:vAlign w:val="center"/>
            <w:hideMark/>
          </w:tcPr>
          <w:p w14:paraId="7A7C55A1" w14:textId="77777777" w:rsidR="005A432A" w:rsidRPr="00D45CD8" w:rsidRDefault="005A432A" w:rsidP="00EB3D2A">
            <w:pPr>
              <w:pStyle w:val="Pagrindinistekstas"/>
              <w:rPr>
                <w:color w:val="000000"/>
              </w:rPr>
            </w:pPr>
            <w:r w:rsidRPr="00D45CD8">
              <w:rPr>
                <w:color w:val="000000"/>
              </w:rPr>
              <w:t>1</w:t>
            </w:r>
          </w:p>
        </w:tc>
        <w:tc>
          <w:tcPr>
            <w:tcW w:w="851" w:type="dxa"/>
            <w:tcBorders>
              <w:top w:val="nil"/>
              <w:left w:val="nil"/>
              <w:bottom w:val="single" w:sz="8" w:space="0" w:color="E0301E"/>
              <w:right w:val="single" w:sz="8" w:space="0" w:color="E0301E"/>
            </w:tcBorders>
            <w:shd w:val="clear" w:color="auto" w:fill="auto"/>
            <w:noWrap/>
            <w:vAlign w:val="center"/>
            <w:hideMark/>
          </w:tcPr>
          <w:p w14:paraId="0EEE036B" w14:textId="77777777" w:rsidR="005A432A" w:rsidRPr="00D45CD8" w:rsidRDefault="005A432A" w:rsidP="00EB3D2A">
            <w:pPr>
              <w:pStyle w:val="Pagrindinistekstas"/>
              <w:rPr>
                <w:color w:val="000000"/>
              </w:rPr>
            </w:pPr>
            <w:r w:rsidRPr="00D45CD8">
              <w:rPr>
                <w:color w:val="000000"/>
              </w:rPr>
              <w:t>1</w:t>
            </w:r>
          </w:p>
        </w:tc>
      </w:tr>
      <w:tr w:rsidR="005A432A" w:rsidRPr="0092109A" w14:paraId="6F282BEF" w14:textId="77777777" w:rsidTr="00EB3D2A">
        <w:trPr>
          <w:trHeight w:val="1800"/>
          <w:tblHeader/>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665BD112" w14:textId="77777777" w:rsidR="005A432A" w:rsidRPr="00D45CD8" w:rsidRDefault="005A432A" w:rsidP="005A432A">
            <w:pPr>
              <w:pStyle w:val="Pagrindinistekstas"/>
              <w:rPr>
                <w:b/>
                <w:color w:val="000000"/>
              </w:rPr>
            </w:pPr>
            <w:r w:rsidRPr="00D45CD8">
              <w:rPr>
                <w:b/>
                <w:color w:val="000000"/>
              </w:rPr>
              <w:t xml:space="preserve">Pakartotinai panaudojamos grįžusios lėšos, metai </w:t>
            </w:r>
          </w:p>
        </w:tc>
        <w:tc>
          <w:tcPr>
            <w:tcW w:w="3929" w:type="dxa"/>
            <w:tcBorders>
              <w:top w:val="single" w:sz="8" w:space="0" w:color="D62E1C"/>
              <w:left w:val="nil"/>
              <w:bottom w:val="single" w:sz="8" w:space="0" w:color="D62E1C"/>
              <w:right w:val="nil"/>
            </w:tcBorders>
            <w:shd w:val="clear" w:color="auto" w:fill="auto"/>
            <w:vAlign w:val="center"/>
            <w:hideMark/>
          </w:tcPr>
          <w:p w14:paraId="6B709480" w14:textId="77777777" w:rsidR="005A432A" w:rsidRPr="0092109A" w:rsidRDefault="005A432A" w:rsidP="005A432A">
            <w:pPr>
              <w:pStyle w:val="Pagrindinistekstas"/>
              <w:rPr>
                <w:color w:val="000000"/>
              </w:rPr>
            </w:pPr>
            <w:r w:rsidRPr="0092109A">
              <w:rPr>
                <w:color w:val="000000"/>
              </w:rPr>
              <w:t xml:space="preserve">Daroma prielaida, jog grįžtančios lėšos pakartotinai panaudojamos projektų finansavimui tomis pačiomis sąlygomis po 2 metų. </w:t>
            </w:r>
          </w:p>
        </w:tc>
        <w:tc>
          <w:tcPr>
            <w:tcW w:w="850" w:type="dxa"/>
            <w:tcBorders>
              <w:top w:val="nil"/>
              <w:left w:val="nil"/>
              <w:bottom w:val="single" w:sz="8" w:space="0" w:color="E0301E"/>
              <w:right w:val="nil"/>
            </w:tcBorders>
            <w:shd w:val="clear" w:color="auto" w:fill="auto"/>
            <w:noWrap/>
            <w:vAlign w:val="center"/>
            <w:hideMark/>
          </w:tcPr>
          <w:p w14:paraId="58FDE118" w14:textId="77777777" w:rsidR="005A432A" w:rsidRPr="00D45CD8" w:rsidRDefault="005A432A" w:rsidP="00EB3D2A">
            <w:pPr>
              <w:pStyle w:val="Pagrindinistekstas"/>
              <w:rPr>
                <w:color w:val="000000"/>
              </w:rPr>
            </w:pPr>
            <w:r w:rsidRPr="00D45CD8">
              <w:rPr>
                <w:color w:val="000000"/>
              </w:rPr>
              <w:t>2</w:t>
            </w:r>
          </w:p>
        </w:tc>
        <w:tc>
          <w:tcPr>
            <w:tcW w:w="851" w:type="dxa"/>
            <w:tcBorders>
              <w:top w:val="nil"/>
              <w:left w:val="nil"/>
              <w:bottom w:val="single" w:sz="8" w:space="0" w:color="E0301E"/>
              <w:right w:val="nil"/>
            </w:tcBorders>
            <w:shd w:val="clear" w:color="auto" w:fill="auto"/>
            <w:noWrap/>
            <w:vAlign w:val="center"/>
            <w:hideMark/>
          </w:tcPr>
          <w:p w14:paraId="1EB13375" w14:textId="77777777" w:rsidR="005A432A" w:rsidRPr="00D45CD8" w:rsidRDefault="005A432A" w:rsidP="00EB3D2A">
            <w:pPr>
              <w:pStyle w:val="Pagrindinistekstas"/>
              <w:rPr>
                <w:color w:val="000000"/>
              </w:rPr>
            </w:pPr>
            <w:r w:rsidRPr="00D45CD8">
              <w:rPr>
                <w:color w:val="000000"/>
              </w:rPr>
              <w:t>2</w:t>
            </w:r>
          </w:p>
        </w:tc>
        <w:tc>
          <w:tcPr>
            <w:tcW w:w="850" w:type="dxa"/>
            <w:tcBorders>
              <w:top w:val="nil"/>
              <w:left w:val="nil"/>
              <w:bottom w:val="single" w:sz="8" w:space="0" w:color="E0301E"/>
              <w:right w:val="nil"/>
            </w:tcBorders>
            <w:shd w:val="clear" w:color="auto" w:fill="auto"/>
            <w:noWrap/>
            <w:vAlign w:val="center"/>
            <w:hideMark/>
          </w:tcPr>
          <w:p w14:paraId="0F0FCBE6" w14:textId="77777777" w:rsidR="005A432A" w:rsidRPr="00D45CD8" w:rsidRDefault="005A432A" w:rsidP="00EB3D2A">
            <w:pPr>
              <w:pStyle w:val="Pagrindinistekstas"/>
              <w:rPr>
                <w:color w:val="000000"/>
              </w:rPr>
            </w:pPr>
            <w:r w:rsidRPr="00D45CD8">
              <w:rPr>
                <w:color w:val="000000"/>
              </w:rPr>
              <w:t>2</w:t>
            </w:r>
          </w:p>
        </w:tc>
        <w:tc>
          <w:tcPr>
            <w:tcW w:w="851" w:type="dxa"/>
            <w:tcBorders>
              <w:top w:val="nil"/>
              <w:left w:val="nil"/>
              <w:bottom w:val="single" w:sz="8" w:space="0" w:color="E0301E"/>
              <w:right w:val="single" w:sz="8" w:space="0" w:color="E0301E"/>
            </w:tcBorders>
            <w:shd w:val="clear" w:color="auto" w:fill="auto"/>
            <w:noWrap/>
            <w:vAlign w:val="center"/>
            <w:hideMark/>
          </w:tcPr>
          <w:p w14:paraId="6C0DF977" w14:textId="77777777" w:rsidR="005A432A" w:rsidRPr="00D45CD8" w:rsidRDefault="005A432A" w:rsidP="00EB3D2A">
            <w:pPr>
              <w:pStyle w:val="Pagrindinistekstas"/>
              <w:rPr>
                <w:color w:val="000000"/>
              </w:rPr>
            </w:pPr>
            <w:r w:rsidRPr="00D45CD8">
              <w:rPr>
                <w:color w:val="000000"/>
              </w:rPr>
              <w:t>2</w:t>
            </w:r>
          </w:p>
        </w:tc>
      </w:tr>
      <w:tr w:rsidR="005A432A" w:rsidRPr="0092109A" w14:paraId="5ED1B815" w14:textId="77777777" w:rsidTr="00EB3D2A">
        <w:trPr>
          <w:trHeight w:val="1800"/>
          <w:tblHeader/>
        </w:trPr>
        <w:tc>
          <w:tcPr>
            <w:tcW w:w="1741" w:type="dxa"/>
            <w:tcBorders>
              <w:top w:val="nil"/>
              <w:left w:val="single" w:sz="8" w:space="0" w:color="D62E1C"/>
              <w:bottom w:val="single" w:sz="8" w:space="0" w:color="D62E1C"/>
              <w:right w:val="nil"/>
            </w:tcBorders>
            <w:shd w:val="clear" w:color="auto" w:fill="auto"/>
            <w:vAlign w:val="center"/>
          </w:tcPr>
          <w:p w14:paraId="732A6AA1" w14:textId="77777777" w:rsidR="005A432A" w:rsidRPr="00D45CD8" w:rsidRDefault="005A432A" w:rsidP="005A432A">
            <w:pPr>
              <w:pStyle w:val="Pagrindinistekstas"/>
              <w:rPr>
                <w:b/>
                <w:color w:val="000000"/>
              </w:rPr>
            </w:pPr>
            <w:r w:rsidRPr="00D45CD8">
              <w:rPr>
                <w:b/>
                <w:color w:val="000000"/>
              </w:rPr>
              <w:t>Privataus investicinio fondo išperkamų paskolų dalis, proc</w:t>
            </w:r>
          </w:p>
        </w:tc>
        <w:tc>
          <w:tcPr>
            <w:tcW w:w="3929" w:type="dxa"/>
            <w:tcBorders>
              <w:top w:val="nil"/>
              <w:left w:val="nil"/>
              <w:bottom w:val="single" w:sz="8" w:space="0" w:color="D62E1C"/>
              <w:right w:val="nil"/>
            </w:tcBorders>
            <w:shd w:val="clear" w:color="auto" w:fill="auto"/>
            <w:vAlign w:val="center"/>
          </w:tcPr>
          <w:p w14:paraId="3D49979A" w14:textId="77777777" w:rsidR="005A432A" w:rsidRPr="0097022D" w:rsidRDefault="005A432A" w:rsidP="005A432A">
            <w:pPr>
              <w:pStyle w:val="Pagrindinistekstas"/>
              <w:rPr>
                <w:color w:val="000000"/>
              </w:rPr>
            </w:pPr>
            <w:r w:rsidRPr="0097022D">
              <w:rPr>
                <w:color w:val="000000"/>
              </w:rPr>
              <w:t>Daroma prielaidą, kad privatus investicinis fondas nuo 2019 m. galėtų išpirkti apie 70 % visų paskolų portfelio.</w:t>
            </w:r>
          </w:p>
        </w:tc>
        <w:tc>
          <w:tcPr>
            <w:tcW w:w="850" w:type="dxa"/>
            <w:tcBorders>
              <w:top w:val="nil"/>
              <w:left w:val="nil"/>
              <w:bottom w:val="single" w:sz="8" w:space="0" w:color="E0301E"/>
              <w:right w:val="nil"/>
            </w:tcBorders>
            <w:shd w:val="clear" w:color="auto" w:fill="auto"/>
            <w:noWrap/>
            <w:vAlign w:val="center"/>
          </w:tcPr>
          <w:p w14:paraId="4B49C530" w14:textId="77777777" w:rsidR="005A432A" w:rsidRPr="00D45CD8" w:rsidRDefault="005A432A" w:rsidP="00EB3D2A">
            <w:pPr>
              <w:pStyle w:val="Pagrindinistekstas"/>
              <w:rPr>
                <w:color w:val="000000"/>
              </w:rPr>
            </w:pPr>
            <w:r w:rsidRPr="00D45CD8">
              <w:rPr>
                <w:color w:val="000000"/>
              </w:rPr>
              <w:t>n/a</w:t>
            </w:r>
          </w:p>
        </w:tc>
        <w:tc>
          <w:tcPr>
            <w:tcW w:w="851" w:type="dxa"/>
            <w:tcBorders>
              <w:top w:val="nil"/>
              <w:left w:val="nil"/>
              <w:bottom w:val="single" w:sz="8" w:space="0" w:color="E0301E"/>
              <w:right w:val="nil"/>
            </w:tcBorders>
            <w:shd w:val="clear" w:color="auto" w:fill="auto"/>
            <w:noWrap/>
            <w:vAlign w:val="center"/>
          </w:tcPr>
          <w:p w14:paraId="681E9EE6" w14:textId="77777777" w:rsidR="005A432A" w:rsidRPr="00D45CD8" w:rsidRDefault="005A432A" w:rsidP="00EB3D2A">
            <w:pPr>
              <w:pStyle w:val="Pagrindinistekstas"/>
              <w:rPr>
                <w:color w:val="000000"/>
              </w:rPr>
            </w:pPr>
            <w:r w:rsidRPr="00D45CD8">
              <w:rPr>
                <w:color w:val="000000"/>
              </w:rPr>
              <w:t>70%</w:t>
            </w:r>
          </w:p>
        </w:tc>
        <w:tc>
          <w:tcPr>
            <w:tcW w:w="850" w:type="dxa"/>
            <w:tcBorders>
              <w:top w:val="nil"/>
              <w:left w:val="nil"/>
              <w:bottom w:val="single" w:sz="8" w:space="0" w:color="E0301E"/>
              <w:right w:val="nil"/>
            </w:tcBorders>
            <w:shd w:val="clear" w:color="auto" w:fill="auto"/>
            <w:noWrap/>
            <w:vAlign w:val="center"/>
          </w:tcPr>
          <w:p w14:paraId="79C2BCEF" w14:textId="77777777" w:rsidR="005A432A" w:rsidRPr="00D45CD8" w:rsidRDefault="005A432A" w:rsidP="00EB3D2A">
            <w:pPr>
              <w:pStyle w:val="Pagrindinistekstas"/>
              <w:rPr>
                <w:color w:val="000000"/>
              </w:rPr>
            </w:pPr>
            <w:r w:rsidRPr="00D45CD8">
              <w:rPr>
                <w:color w:val="000000"/>
              </w:rPr>
              <w:t>n/a</w:t>
            </w:r>
          </w:p>
        </w:tc>
        <w:tc>
          <w:tcPr>
            <w:tcW w:w="851" w:type="dxa"/>
            <w:tcBorders>
              <w:top w:val="nil"/>
              <w:left w:val="nil"/>
              <w:bottom w:val="single" w:sz="8" w:space="0" w:color="E0301E"/>
              <w:right w:val="single" w:sz="8" w:space="0" w:color="E0301E"/>
            </w:tcBorders>
            <w:shd w:val="clear" w:color="auto" w:fill="auto"/>
            <w:noWrap/>
            <w:vAlign w:val="center"/>
          </w:tcPr>
          <w:p w14:paraId="3ED725CB" w14:textId="77777777" w:rsidR="005A432A" w:rsidRPr="00D45CD8" w:rsidRDefault="005A432A" w:rsidP="00EB3D2A">
            <w:pPr>
              <w:pStyle w:val="Pagrindinistekstas"/>
              <w:rPr>
                <w:color w:val="000000"/>
              </w:rPr>
            </w:pPr>
            <w:r w:rsidRPr="00D45CD8">
              <w:rPr>
                <w:color w:val="000000"/>
              </w:rPr>
              <w:t>n/a</w:t>
            </w:r>
          </w:p>
        </w:tc>
      </w:tr>
      <w:tr w:rsidR="005A432A" w:rsidRPr="0092109A" w14:paraId="06B5F440" w14:textId="77777777" w:rsidTr="00EB3D2A">
        <w:trPr>
          <w:trHeight w:val="1800"/>
          <w:tblHeader/>
        </w:trPr>
        <w:tc>
          <w:tcPr>
            <w:tcW w:w="1741" w:type="dxa"/>
            <w:tcBorders>
              <w:top w:val="nil"/>
              <w:left w:val="single" w:sz="8" w:space="0" w:color="D62E1C"/>
              <w:bottom w:val="single" w:sz="8" w:space="0" w:color="D62E1C"/>
              <w:right w:val="nil"/>
            </w:tcBorders>
            <w:shd w:val="clear" w:color="auto" w:fill="auto"/>
            <w:vAlign w:val="center"/>
            <w:hideMark/>
          </w:tcPr>
          <w:p w14:paraId="2E8FE794" w14:textId="77777777" w:rsidR="005A432A" w:rsidRPr="00D45CD8" w:rsidRDefault="005A432A" w:rsidP="005A432A">
            <w:pPr>
              <w:pStyle w:val="Pagrindinistekstas"/>
              <w:rPr>
                <w:b/>
                <w:color w:val="000000"/>
              </w:rPr>
            </w:pPr>
            <w:r w:rsidRPr="00D45CD8">
              <w:rPr>
                <w:b/>
                <w:color w:val="000000"/>
              </w:rPr>
              <w:lastRenderedPageBreak/>
              <w:t xml:space="preserve">Investicinio fondo pritraukiamų privačių investicijų dalis, proc </w:t>
            </w:r>
          </w:p>
        </w:tc>
        <w:tc>
          <w:tcPr>
            <w:tcW w:w="3929" w:type="dxa"/>
            <w:tcBorders>
              <w:top w:val="nil"/>
              <w:left w:val="nil"/>
              <w:bottom w:val="single" w:sz="8" w:space="0" w:color="D62E1C"/>
              <w:right w:val="nil"/>
            </w:tcBorders>
            <w:shd w:val="clear" w:color="auto" w:fill="auto"/>
            <w:vAlign w:val="center"/>
            <w:hideMark/>
          </w:tcPr>
          <w:p w14:paraId="61B3EC75" w14:textId="77777777" w:rsidR="005A432A" w:rsidRPr="0092109A" w:rsidRDefault="005A432A" w:rsidP="005A432A">
            <w:pPr>
              <w:pStyle w:val="Pagrindinistekstas"/>
              <w:rPr>
                <w:color w:val="000000"/>
              </w:rPr>
            </w:pPr>
            <w:r w:rsidRPr="0092109A">
              <w:rPr>
                <w:color w:val="000000"/>
              </w:rPr>
              <w:t xml:space="preserve">Daroma prielaida, kad investicinis fondas pritrauks tiek pat investicijų kiek bus įnešta iš ESI lėšų minus subsidijos suma. </w:t>
            </w:r>
          </w:p>
        </w:tc>
        <w:tc>
          <w:tcPr>
            <w:tcW w:w="850" w:type="dxa"/>
            <w:tcBorders>
              <w:top w:val="nil"/>
              <w:left w:val="nil"/>
              <w:bottom w:val="single" w:sz="8" w:space="0" w:color="E0301E"/>
              <w:right w:val="nil"/>
            </w:tcBorders>
            <w:shd w:val="clear" w:color="auto" w:fill="auto"/>
            <w:noWrap/>
            <w:vAlign w:val="center"/>
            <w:hideMark/>
          </w:tcPr>
          <w:p w14:paraId="4E834096" w14:textId="77777777" w:rsidR="005A432A" w:rsidRPr="00D45CD8" w:rsidRDefault="005A432A" w:rsidP="00EB3D2A">
            <w:pPr>
              <w:pStyle w:val="Pagrindinistekstas"/>
              <w:rPr>
                <w:color w:val="000000"/>
              </w:rPr>
            </w:pPr>
            <w:r w:rsidRPr="00D45CD8">
              <w:rPr>
                <w:color w:val="000000"/>
              </w:rPr>
              <w:t xml:space="preserve">n/a </w:t>
            </w:r>
          </w:p>
        </w:tc>
        <w:tc>
          <w:tcPr>
            <w:tcW w:w="851" w:type="dxa"/>
            <w:tcBorders>
              <w:top w:val="nil"/>
              <w:left w:val="nil"/>
              <w:bottom w:val="single" w:sz="8" w:space="0" w:color="E0301E"/>
              <w:right w:val="nil"/>
            </w:tcBorders>
            <w:shd w:val="clear" w:color="auto" w:fill="auto"/>
            <w:noWrap/>
            <w:vAlign w:val="center"/>
            <w:hideMark/>
          </w:tcPr>
          <w:p w14:paraId="1C518C8B" w14:textId="77777777" w:rsidR="005A432A" w:rsidRPr="00D45CD8" w:rsidRDefault="005A432A" w:rsidP="00EB3D2A">
            <w:pPr>
              <w:pStyle w:val="Pagrindinistekstas"/>
              <w:rPr>
                <w:color w:val="000000"/>
              </w:rPr>
            </w:pPr>
            <w:r w:rsidRPr="00D45CD8">
              <w:rPr>
                <w:color w:val="000000"/>
              </w:rPr>
              <w:t xml:space="preserve">n/a </w:t>
            </w:r>
          </w:p>
        </w:tc>
        <w:tc>
          <w:tcPr>
            <w:tcW w:w="850" w:type="dxa"/>
            <w:tcBorders>
              <w:top w:val="nil"/>
              <w:left w:val="nil"/>
              <w:bottom w:val="single" w:sz="8" w:space="0" w:color="E0301E"/>
              <w:right w:val="nil"/>
            </w:tcBorders>
            <w:shd w:val="clear" w:color="auto" w:fill="auto"/>
            <w:noWrap/>
            <w:vAlign w:val="center"/>
            <w:hideMark/>
          </w:tcPr>
          <w:p w14:paraId="7F895FFF" w14:textId="77777777" w:rsidR="005A432A" w:rsidRPr="00D45CD8" w:rsidRDefault="005A432A" w:rsidP="00EB3D2A">
            <w:pPr>
              <w:pStyle w:val="Pagrindinistekstas"/>
              <w:rPr>
                <w:color w:val="000000"/>
              </w:rPr>
            </w:pPr>
            <w:r w:rsidRPr="00D45CD8">
              <w:rPr>
                <w:color w:val="000000"/>
              </w:rPr>
              <w:t>50,0%</w:t>
            </w:r>
          </w:p>
        </w:tc>
        <w:tc>
          <w:tcPr>
            <w:tcW w:w="851" w:type="dxa"/>
            <w:tcBorders>
              <w:top w:val="nil"/>
              <w:left w:val="nil"/>
              <w:bottom w:val="single" w:sz="8" w:space="0" w:color="E0301E"/>
              <w:right w:val="single" w:sz="8" w:space="0" w:color="E0301E"/>
            </w:tcBorders>
            <w:shd w:val="clear" w:color="auto" w:fill="auto"/>
            <w:noWrap/>
            <w:vAlign w:val="center"/>
            <w:hideMark/>
          </w:tcPr>
          <w:p w14:paraId="5434BFFB" w14:textId="77777777" w:rsidR="005A432A" w:rsidRPr="00D45CD8" w:rsidRDefault="005A432A" w:rsidP="00EB3D2A">
            <w:pPr>
              <w:pStyle w:val="Pagrindinistekstas"/>
              <w:rPr>
                <w:color w:val="000000"/>
              </w:rPr>
            </w:pPr>
            <w:r w:rsidRPr="00D45CD8">
              <w:rPr>
                <w:color w:val="000000"/>
              </w:rPr>
              <w:t xml:space="preserve">n/a </w:t>
            </w:r>
          </w:p>
        </w:tc>
      </w:tr>
      <w:tr w:rsidR="00EB3D2A" w:rsidRPr="0092109A" w14:paraId="57A25053" w14:textId="77777777" w:rsidTr="00EB3D2A">
        <w:trPr>
          <w:trHeight w:val="1800"/>
          <w:tblHeader/>
        </w:trPr>
        <w:tc>
          <w:tcPr>
            <w:tcW w:w="1741" w:type="dxa"/>
            <w:tcBorders>
              <w:top w:val="nil"/>
              <w:left w:val="single" w:sz="8" w:space="0" w:color="D62E1C"/>
              <w:bottom w:val="single" w:sz="8" w:space="0" w:color="D62E1C"/>
              <w:right w:val="nil"/>
            </w:tcBorders>
            <w:shd w:val="clear" w:color="auto" w:fill="auto"/>
            <w:vAlign w:val="center"/>
          </w:tcPr>
          <w:p w14:paraId="73376903" w14:textId="47F2A7D0" w:rsidR="00EB3D2A" w:rsidRPr="00D45CD8" w:rsidRDefault="00EB3D2A" w:rsidP="005A432A">
            <w:pPr>
              <w:pStyle w:val="Pagrindinistekstas"/>
              <w:rPr>
                <w:b/>
                <w:color w:val="000000"/>
              </w:rPr>
            </w:pPr>
            <w:r w:rsidRPr="00D45CD8">
              <w:rPr>
                <w:b/>
                <w:color w:val="000000"/>
              </w:rPr>
              <w:t>Bankų palūkanų norma garantijų priemonės atveju, proc.</w:t>
            </w:r>
          </w:p>
        </w:tc>
        <w:tc>
          <w:tcPr>
            <w:tcW w:w="3929" w:type="dxa"/>
            <w:tcBorders>
              <w:top w:val="nil"/>
              <w:left w:val="nil"/>
              <w:bottom w:val="single" w:sz="8" w:space="0" w:color="D62E1C"/>
              <w:right w:val="nil"/>
            </w:tcBorders>
            <w:shd w:val="clear" w:color="auto" w:fill="auto"/>
            <w:vAlign w:val="center"/>
          </w:tcPr>
          <w:p w14:paraId="2FC47CF2" w14:textId="22BF56EA" w:rsidR="00EB3D2A" w:rsidRPr="0092109A" w:rsidRDefault="00EB3D2A" w:rsidP="005A432A">
            <w:pPr>
              <w:pStyle w:val="Pagrindinistekstas"/>
              <w:rPr>
                <w:color w:val="000000"/>
              </w:rPr>
            </w:pPr>
            <w:r w:rsidRPr="0092109A">
              <w:rPr>
                <w:color w:val="000000"/>
              </w:rPr>
              <w:t>Daroma prielaida, jog, garantijų priemonės atveju, komercinių bankų fiksuota paskolų palūkanų norma (20-ies metų laikotarpiui) sudarys 5,8 proc. Ši palūkanų norma įvertinta remiantis šiais duomenimis:</w:t>
            </w:r>
            <w:r w:rsidRPr="0092109A">
              <w:rPr>
                <w:color w:val="000000"/>
              </w:rPr>
              <w:br/>
              <w:t>1) Prognozuojamas suderintas vartotojų kainų indekso (SVKI) vidurkis Lietuvoje 2017-2019 (2,9%);</w:t>
            </w:r>
            <w:r w:rsidRPr="0092109A">
              <w:rPr>
                <w:color w:val="000000"/>
              </w:rPr>
              <w:br/>
              <w:t xml:space="preserve">2) vidutinės Lietuvos Respublikos Vyriausybės obligacijų emisijos (2536 dienų trukmės) palūkanos 2014 rugsėjo mėnesį (0,8%); </w:t>
            </w:r>
            <w:r w:rsidRPr="0092109A">
              <w:rPr>
                <w:color w:val="000000"/>
              </w:rPr>
              <w:br/>
              <w:t>3) Galima komercinių bankų marža (2,1%).</w:t>
            </w:r>
          </w:p>
        </w:tc>
        <w:tc>
          <w:tcPr>
            <w:tcW w:w="850" w:type="dxa"/>
            <w:tcBorders>
              <w:top w:val="nil"/>
              <w:left w:val="nil"/>
              <w:bottom w:val="single" w:sz="8" w:space="0" w:color="E0301E"/>
              <w:right w:val="nil"/>
            </w:tcBorders>
            <w:shd w:val="clear" w:color="auto" w:fill="auto"/>
            <w:noWrap/>
            <w:vAlign w:val="center"/>
          </w:tcPr>
          <w:p w14:paraId="1FFA1646" w14:textId="593DE3A9" w:rsidR="00EB3D2A" w:rsidRPr="00D45CD8" w:rsidRDefault="00EB3D2A" w:rsidP="00EB3D2A">
            <w:pPr>
              <w:pStyle w:val="Pagrindinistekstas"/>
              <w:rPr>
                <w:color w:val="000000"/>
              </w:rPr>
            </w:pPr>
            <w:r>
              <w:rPr>
                <w:color w:val="000000"/>
              </w:rPr>
              <w:t>-</w:t>
            </w:r>
          </w:p>
        </w:tc>
        <w:tc>
          <w:tcPr>
            <w:tcW w:w="851" w:type="dxa"/>
            <w:tcBorders>
              <w:top w:val="nil"/>
              <w:left w:val="nil"/>
              <w:bottom w:val="single" w:sz="8" w:space="0" w:color="E0301E"/>
              <w:right w:val="nil"/>
            </w:tcBorders>
            <w:shd w:val="clear" w:color="auto" w:fill="auto"/>
            <w:noWrap/>
            <w:vAlign w:val="center"/>
          </w:tcPr>
          <w:p w14:paraId="58354469" w14:textId="340FAA4F" w:rsidR="00EB3D2A" w:rsidRPr="00D45CD8" w:rsidRDefault="00EB3D2A" w:rsidP="00EB3D2A">
            <w:pPr>
              <w:pStyle w:val="Pagrindinistekstas"/>
              <w:rPr>
                <w:color w:val="000000"/>
              </w:rPr>
            </w:pPr>
            <w:r>
              <w:rPr>
                <w:color w:val="000000"/>
              </w:rPr>
              <w:t>-</w:t>
            </w:r>
          </w:p>
        </w:tc>
        <w:tc>
          <w:tcPr>
            <w:tcW w:w="850" w:type="dxa"/>
            <w:tcBorders>
              <w:top w:val="nil"/>
              <w:left w:val="nil"/>
              <w:bottom w:val="single" w:sz="8" w:space="0" w:color="E0301E"/>
              <w:right w:val="nil"/>
            </w:tcBorders>
            <w:shd w:val="clear" w:color="auto" w:fill="auto"/>
            <w:noWrap/>
            <w:vAlign w:val="center"/>
          </w:tcPr>
          <w:p w14:paraId="0E8E46D7" w14:textId="08733E5D" w:rsidR="00EB3D2A" w:rsidRPr="00D45CD8" w:rsidRDefault="00EB3D2A" w:rsidP="00EB3D2A">
            <w:pPr>
              <w:pStyle w:val="Pagrindinistekstas"/>
              <w:rPr>
                <w:color w:val="000000"/>
              </w:rPr>
            </w:pPr>
            <w:r>
              <w:rPr>
                <w:color w:val="000000"/>
              </w:rPr>
              <w:t>-</w:t>
            </w:r>
          </w:p>
        </w:tc>
        <w:tc>
          <w:tcPr>
            <w:tcW w:w="851" w:type="dxa"/>
            <w:tcBorders>
              <w:top w:val="nil"/>
              <w:left w:val="nil"/>
              <w:bottom w:val="single" w:sz="8" w:space="0" w:color="E0301E"/>
              <w:right w:val="single" w:sz="8" w:space="0" w:color="E0301E"/>
            </w:tcBorders>
            <w:shd w:val="clear" w:color="auto" w:fill="auto"/>
            <w:noWrap/>
            <w:vAlign w:val="center"/>
          </w:tcPr>
          <w:p w14:paraId="03405FA8" w14:textId="6E82BAB5" w:rsidR="00EB3D2A" w:rsidRPr="00D45CD8" w:rsidRDefault="00EB3D2A" w:rsidP="00EB3D2A">
            <w:pPr>
              <w:pStyle w:val="Pagrindinistekstas"/>
              <w:rPr>
                <w:color w:val="000000"/>
              </w:rPr>
            </w:pPr>
            <w:r>
              <w:rPr>
                <w:color w:val="000000"/>
              </w:rPr>
              <w:t>5,80%</w:t>
            </w:r>
          </w:p>
        </w:tc>
      </w:tr>
    </w:tbl>
    <w:p w14:paraId="6B761F6F" w14:textId="77777777" w:rsidR="005A432A" w:rsidRPr="00D45CD8" w:rsidRDefault="005A432A" w:rsidP="005A432A">
      <w:pPr>
        <w:spacing w:after="160" w:line="240" w:lineRule="auto"/>
        <w:jc w:val="both"/>
        <w:rPr>
          <w:rFonts w:ascii="Georgia" w:eastAsia="Georgia" w:hAnsi="Georgia" w:cs="Arial Unicode MS"/>
          <w:i/>
          <w:iCs/>
          <w:color w:val="821A1A"/>
          <w:sz w:val="20"/>
          <w:szCs w:val="18"/>
          <w:lang w:val="lt-LT"/>
        </w:rPr>
      </w:pPr>
      <w:r w:rsidRPr="00D45CD8">
        <w:rPr>
          <w:rFonts w:ascii="Georgia" w:eastAsia="Georgia" w:hAnsi="Georgia" w:cs="Arial Unicode MS"/>
          <w:i/>
          <w:iCs/>
          <w:color w:val="821A1A"/>
          <w:sz w:val="20"/>
          <w:szCs w:val="18"/>
          <w:lang w:val="lt-LT"/>
        </w:rPr>
        <w:t>Šaltinis: sudaryta autorių</w:t>
      </w:r>
    </w:p>
    <w:p w14:paraId="2DA0E800" w14:textId="77777777" w:rsidR="005A432A" w:rsidRPr="001F1785" w:rsidRDefault="005A432A" w:rsidP="005A432A">
      <w:pPr>
        <w:jc w:val="both"/>
        <w:rPr>
          <w:rFonts w:ascii="Georgia" w:hAnsi="Georgia"/>
          <w:sz w:val="20"/>
          <w:szCs w:val="20"/>
          <w:lang w:val="lt-LT"/>
        </w:rPr>
      </w:pPr>
      <w:r>
        <w:rPr>
          <w:rFonts w:ascii="Georgia" w:hAnsi="Georgia"/>
          <w:sz w:val="20"/>
          <w:szCs w:val="20"/>
          <w:lang w:val="lt-LT"/>
        </w:rPr>
        <w:t xml:space="preserve">Toliau pateikiami visų scenarijų trumpi aprašymai, schemos bei modeliavimo rezultatai, o </w:t>
      </w:r>
      <w:r>
        <w:rPr>
          <w:rFonts w:ascii="Georgia" w:hAnsi="Georgia"/>
          <w:sz w:val="20"/>
          <w:szCs w:val="20"/>
        </w:rPr>
        <w:t>4.4 skyriuje apibendrinami vis</w:t>
      </w:r>
      <w:r>
        <w:rPr>
          <w:rFonts w:ascii="Georgia" w:hAnsi="Georgia"/>
          <w:sz w:val="20"/>
          <w:szCs w:val="20"/>
          <w:lang w:val="lt-LT"/>
        </w:rPr>
        <w:t>ų scenarijų rezultatai.</w:t>
      </w:r>
    </w:p>
    <w:p w14:paraId="10F11973" w14:textId="77777777" w:rsidR="005A432A" w:rsidRPr="00562EF0" w:rsidRDefault="005A432A" w:rsidP="005A432A">
      <w:pPr>
        <w:keepNext/>
        <w:rPr>
          <w:rFonts w:ascii="Georgia" w:hAnsi="Georgia"/>
          <w:b/>
          <w:i/>
          <w:sz w:val="28"/>
          <w:szCs w:val="28"/>
          <w:lang w:val="lt-LT"/>
        </w:rPr>
      </w:pPr>
      <w:r w:rsidRPr="00562EF0">
        <w:rPr>
          <w:rFonts w:ascii="Georgia" w:hAnsi="Georgia"/>
          <w:b/>
          <w:i/>
          <w:sz w:val="28"/>
          <w:szCs w:val="28"/>
          <w:lang w:val="lt-LT"/>
        </w:rPr>
        <w:t xml:space="preserve">Scenarijus Nr. 1: </w:t>
      </w:r>
      <w:r>
        <w:rPr>
          <w:rFonts w:ascii="Georgia" w:hAnsi="Georgia"/>
          <w:b/>
          <w:i/>
          <w:sz w:val="28"/>
          <w:szCs w:val="28"/>
          <w:lang w:val="lt-LT"/>
        </w:rPr>
        <w:t>P</w:t>
      </w:r>
      <w:r w:rsidRPr="00562EF0">
        <w:rPr>
          <w:rFonts w:ascii="Georgia" w:hAnsi="Georgia"/>
          <w:b/>
          <w:i/>
          <w:sz w:val="28"/>
          <w:szCs w:val="28"/>
          <w:lang w:val="lt-LT"/>
        </w:rPr>
        <w:t>askolų teikimas</w:t>
      </w:r>
    </w:p>
    <w:p w14:paraId="0C6A1544" w14:textId="77777777" w:rsidR="005A432A" w:rsidRPr="00BC2CB8" w:rsidRDefault="005A432A" w:rsidP="005A432A">
      <w:pPr>
        <w:jc w:val="both"/>
        <w:rPr>
          <w:rFonts w:ascii="Georgia" w:hAnsi="Georgia"/>
          <w:sz w:val="20"/>
          <w:szCs w:val="20"/>
          <w:lang w:val="lt-LT"/>
        </w:rPr>
      </w:pPr>
      <w:r w:rsidRPr="00BC2CB8">
        <w:rPr>
          <w:rFonts w:ascii="Georgia" w:hAnsi="Georgia"/>
          <w:sz w:val="20"/>
          <w:szCs w:val="20"/>
          <w:lang w:val="lt-LT"/>
        </w:rPr>
        <w:t xml:space="preserve">Energetikos ministerijos pateiktais duomenimis </w:t>
      </w:r>
      <w:r>
        <w:rPr>
          <w:rFonts w:ascii="Georgia" w:hAnsi="Georgia"/>
          <w:sz w:val="20"/>
          <w:szCs w:val="20"/>
          <w:lang w:val="lt-LT"/>
        </w:rPr>
        <w:t xml:space="preserve">centrinės valdžios </w:t>
      </w:r>
      <w:r w:rsidRPr="00BC2CB8">
        <w:rPr>
          <w:rFonts w:ascii="Georgia" w:hAnsi="Georgia"/>
          <w:sz w:val="20"/>
          <w:szCs w:val="20"/>
          <w:lang w:val="lt-LT"/>
        </w:rPr>
        <w:t xml:space="preserve">viešųjų pastatų renovacijai planuojama skirti </w:t>
      </w:r>
      <w:r>
        <w:rPr>
          <w:rFonts w:ascii="Georgia" w:hAnsi="Georgia"/>
          <w:sz w:val="20"/>
          <w:szCs w:val="20"/>
        </w:rPr>
        <w:t xml:space="preserve">65 </w:t>
      </w:r>
      <w:r w:rsidRPr="00BC2CB8">
        <w:rPr>
          <w:rFonts w:ascii="Georgia" w:hAnsi="Georgia"/>
          <w:sz w:val="20"/>
          <w:szCs w:val="20"/>
          <w:lang w:val="lt-LT"/>
        </w:rPr>
        <w:t>mln. eurų 2014-2020 m. ES lėšų. Šiame scenarijuje nagrinėjama paskolų finansinė priemonė su</w:t>
      </w:r>
      <w:r>
        <w:rPr>
          <w:rFonts w:ascii="Georgia" w:hAnsi="Georgia"/>
          <w:sz w:val="20"/>
          <w:szCs w:val="20"/>
          <w:lang w:val="lt-LT"/>
        </w:rPr>
        <w:t xml:space="preserve"> iki</w:t>
      </w:r>
      <w:r w:rsidRPr="00BC2CB8">
        <w:rPr>
          <w:rFonts w:ascii="Georgia" w:hAnsi="Georgia"/>
          <w:sz w:val="20"/>
          <w:szCs w:val="20"/>
          <w:lang w:val="lt-LT"/>
        </w:rPr>
        <w:t xml:space="preserve"> </w:t>
      </w:r>
      <w:r>
        <w:rPr>
          <w:rFonts w:ascii="Georgia" w:hAnsi="Georgia"/>
          <w:sz w:val="20"/>
          <w:szCs w:val="20"/>
          <w:lang w:val="lt-LT"/>
        </w:rPr>
        <w:t>2</w:t>
      </w:r>
      <w:r w:rsidRPr="00BC2CB8">
        <w:rPr>
          <w:rFonts w:ascii="Georgia" w:hAnsi="Georgia"/>
          <w:sz w:val="20"/>
          <w:szCs w:val="20"/>
          <w:lang w:val="lt-LT"/>
        </w:rPr>
        <w:t xml:space="preserve"> % palūkanomis. </w:t>
      </w:r>
    </w:p>
    <w:p w14:paraId="5CBE85ED" w14:textId="77777777" w:rsidR="005A432A" w:rsidRPr="00BC2CB8" w:rsidRDefault="005A432A" w:rsidP="005A432A">
      <w:pPr>
        <w:ind w:right="282"/>
        <w:jc w:val="center"/>
        <w:rPr>
          <w:rFonts w:ascii="Georgia" w:hAnsi="Georgia"/>
          <w:sz w:val="20"/>
          <w:szCs w:val="20"/>
          <w:lang w:val="lt-LT"/>
        </w:rPr>
      </w:pPr>
      <w:r>
        <w:rPr>
          <w:rFonts w:ascii="Georgia" w:hAnsi="Georgia"/>
          <w:noProof/>
          <w:sz w:val="20"/>
          <w:szCs w:val="20"/>
          <w:lang w:val="lt-LT" w:eastAsia="lt-LT"/>
        </w:rPr>
        <w:drawing>
          <wp:inline distT="0" distB="0" distL="0" distR="0" wp14:anchorId="20D95374" wp14:editId="2646933F">
            <wp:extent cx="5413248" cy="1889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SCO Nr. 1.jpg"/>
                    <pic:cNvPicPr/>
                  </pic:nvPicPr>
                  <pic:blipFill>
                    <a:blip r:embed="rId45" cstate="screen">
                      <a:extLst>
                        <a:ext uri="{28A0092B-C50C-407E-A947-70E740481C1C}">
                          <a14:useLocalDpi xmlns:a14="http://schemas.microsoft.com/office/drawing/2010/main"/>
                        </a:ext>
                      </a:extLst>
                    </a:blip>
                    <a:stretch>
                      <a:fillRect/>
                    </a:stretch>
                  </pic:blipFill>
                  <pic:spPr>
                    <a:xfrm>
                      <a:off x="0" y="0"/>
                      <a:ext cx="5413248" cy="1889760"/>
                    </a:xfrm>
                    <a:prstGeom prst="rect">
                      <a:avLst/>
                    </a:prstGeom>
                  </pic:spPr>
                </pic:pic>
              </a:graphicData>
            </a:graphic>
          </wp:inline>
        </w:drawing>
      </w:r>
    </w:p>
    <w:p w14:paraId="1424C618" w14:textId="7F7148A6" w:rsidR="005A432A" w:rsidRPr="00BC2CB8" w:rsidRDefault="005A432A" w:rsidP="005A432A">
      <w:pPr>
        <w:pStyle w:val="Antrat"/>
        <w:rPr>
          <w:szCs w:val="20"/>
          <w:lang w:val="lt-LT"/>
        </w:rPr>
      </w:pPr>
      <w:bookmarkStart w:id="211" w:name="_Toc503196630"/>
      <w:bookmarkStart w:id="212" w:name="_Toc507939274"/>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15</w:t>
      </w:r>
      <w:r w:rsidRPr="00BC2CB8">
        <w:rPr>
          <w:lang w:val="lt-LT"/>
        </w:rPr>
        <w:fldChar w:fldCharType="end"/>
      </w:r>
      <w:r w:rsidRPr="00BC2CB8">
        <w:rPr>
          <w:lang w:val="lt-LT"/>
        </w:rPr>
        <w:t>. Viešųjų pastatų scenarijaus Nr. 1 schema.</w:t>
      </w:r>
      <w:bookmarkEnd w:id="211"/>
      <w:bookmarkEnd w:id="212"/>
    </w:p>
    <w:p w14:paraId="61D036E5" w14:textId="77777777" w:rsidR="005A432A" w:rsidRPr="00144C44" w:rsidRDefault="005A432A" w:rsidP="005A432A">
      <w:pPr>
        <w:jc w:val="both"/>
        <w:rPr>
          <w:rFonts w:ascii="Georgia" w:hAnsi="Georgia"/>
          <w:sz w:val="20"/>
          <w:szCs w:val="20"/>
          <w:lang w:val="lt-LT"/>
        </w:rPr>
      </w:pPr>
      <w:r w:rsidRPr="00BC2CB8">
        <w:rPr>
          <w:rFonts w:ascii="Georgia" w:hAnsi="Georgia"/>
          <w:sz w:val="20"/>
          <w:szCs w:val="20"/>
          <w:lang w:val="lt-LT"/>
        </w:rPr>
        <w:t xml:space="preserve">Tolimesniuose skaičiavimuose daroma prielaida, kad </w:t>
      </w:r>
      <w:r>
        <w:rPr>
          <w:rFonts w:ascii="Georgia" w:hAnsi="Georgia"/>
          <w:sz w:val="20"/>
          <w:szCs w:val="20"/>
          <w:lang w:val="lt-LT"/>
        </w:rPr>
        <w:t>2017 metais</w:t>
      </w:r>
      <w:r w:rsidRPr="00BC2CB8">
        <w:rPr>
          <w:rFonts w:ascii="Georgia" w:hAnsi="Georgia"/>
          <w:sz w:val="20"/>
          <w:szCs w:val="20"/>
          <w:lang w:val="lt-LT"/>
        </w:rPr>
        <w:t xml:space="preserve"> bus renovuoti </w:t>
      </w:r>
      <w:r>
        <w:rPr>
          <w:rFonts w:ascii="Georgia" w:hAnsi="Georgia"/>
          <w:sz w:val="20"/>
          <w:szCs w:val="20"/>
          <w:lang w:val="lt-LT"/>
        </w:rPr>
        <w:t>4</w:t>
      </w:r>
      <w:r w:rsidRPr="00BC2CB8">
        <w:rPr>
          <w:rFonts w:ascii="Georgia" w:hAnsi="Georgia"/>
          <w:sz w:val="20"/>
          <w:szCs w:val="20"/>
          <w:lang w:val="lt-LT"/>
        </w:rPr>
        <w:t xml:space="preserve"> vieš</w:t>
      </w:r>
      <w:r>
        <w:rPr>
          <w:rFonts w:ascii="Georgia" w:hAnsi="Georgia"/>
          <w:sz w:val="20"/>
          <w:szCs w:val="20"/>
          <w:lang w:val="lt-LT"/>
        </w:rPr>
        <w:t>ieji</w:t>
      </w:r>
      <w:r w:rsidRPr="00BC2CB8">
        <w:rPr>
          <w:rFonts w:ascii="Georgia" w:hAnsi="Georgia"/>
          <w:sz w:val="20"/>
          <w:szCs w:val="20"/>
          <w:lang w:val="lt-LT"/>
        </w:rPr>
        <w:t xml:space="preserve"> pastat</w:t>
      </w:r>
      <w:r>
        <w:rPr>
          <w:rFonts w:ascii="Georgia" w:hAnsi="Georgia"/>
          <w:sz w:val="20"/>
          <w:szCs w:val="20"/>
          <w:lang w:val="lt-LT"/>
        </w:rPr>
        <w:t>ai (Turto Bankas)</w:t>
      </w:r>
      <w:r w:rsidRPr="00BC2CB8">
        <w:rPr>
          <w:rFonts w:ascii="Georgia" w:hAnsi="Georgia"/>
          <w:sz w:val="20"/>
          <w:szCs w:val="20"/>
          <w:lang w:val="lt-LT"/>
        </w:rPr>
        <w:t xml:space="preserve">, </w:t>
      </w:r>
      <w:r>
        <w:rPr>
          <w:rFonts w:ascii="Georgia" w:hAnsi="Georgia"/>
          <w:sz w:val="20"/>
          <w:szCs w:val="20"/>
        </w:rPr>
        <w:t xml:space="preserve">2018 metais – 40, </w:t>
      </w:r>
      <w:r w:rsidRPr="00BC2CB8">
        <w:rPr>
          <w:rFonts w:ascii="Georgia" w:hAnsi="Georgia"/>
          <w:sz w:val="20"/>
          <w:szCs w:val="20"/>
          <w:lang w:val="lt-LT"/>
        </w:rPr>
        <w:t xml:space="preserve">o </w:t>
      </w:r>
      <w:r>
        <w:rPr>
          <w:rFonts w:ascii="Georgia" w:hAnsi="Georgia"/>
          <w:sz w:val="20"/>
          <w:szCs w:val="20"/>
        </w:rPr>
        <w:t>nuo 2019 met</w:t>
      </w:r>
      <w:r>
        <w:rPr>
          <w:rFonts w:ascii="Georgia" w:hAnsi="Georgia"/>
          <w:sz w:val="20"/>
          <w:szCs w:val="20"/>
          <w:lang w:val="lt-LT"/>
        </w:rPr>
        <w:t xml:space="preserve">ų įsibėgėjus centrinės valdžios pastatų modernizavimo procesui, </w:t>
      </w:r>
      <w:r w:rsidRPr="00BC2CB8">
        <w:rPr>
          <w:rFonts w:ascii="Georgia" w:hAnsi="Georgia"/>
          <w:sz w:val="20"/>
          <w:szCs w:val="20"/>
          <w:lang w:val="lt-LT"/>
        </w:rPr>
        <w:t xml:space="preserve">susiformavus </w:t>
      </w:r>
      <w:r>
        <w:rPr>
          <w:rFonts w:ascii="Georgia" w:hAnsi="Georgia"/>
          <w:sz w:val="20"/>
          <w:szCs w:val="20"/>
          <w:lang w:val="lt-LT"/>
        </w:rPr>
        <w:t>ESCO rinkai ir įgijus kompetencijų bei patirties įgyvendinant tokio tipo projektus</w:t>
      </w:r>
      <w:r w:rsidRPr="00BC2CB8">
        <w:rPr>
          <w:rFonts w:ascii="Georgia" w:hAnsi="Georgia"/>
          <w:sz w:val="20"/>
          <w:szCs w:val="20"/>
          <w:lang w:val="lt-LT"/>
        </w:rPr>
        <w:t xml:space="preserve">, šis skaičius galėtų siekti apie </w:t>
      </w:r>
      <w:r>
        <w:rPr>
          <w:rFonts w:ascii="Georgia" w:hAnsi="Georgia"/>
          <w:sz w:val="20"/>
          <w:szCs w:val="20"/>
        </w:rPr>
        <w:t>8</w:t>
      </w:r>
      <w:r>
        <w:rPr>
          <w:rFonts w:ascii="Georgia" w:hAnsi="Georgia"/>
          <w:sz w:val="20"/>
          <w:szCs w:val="20"/>
          <w:lang w:val="lt-LT"/>
        </w:rPr>
        <w:t xml:space="preserve">0 </w:t>
      </w:r>
      <w:r w:rsidRPr="00BC2CB8">
        <w:rPr>
          <w:rFonts w:ascii="Georgia" w:hAnsi="Georgia"/>
          <w:sz w:val="20"/>
          <w:szCs w:val="20"/>
          <w:lang w:val="lt-LT"/>
        </w:rPr>
        <w:t>centrinės valdžios viešųjų pastatų renovacijos projektų per metus.</w:t>
      </w:r>
      <w:r>
        <w:rPr>
          <w:rFonts w:ascii="Georgia" w:hAnsi="Georgia"/>
          <w:sz w:val="20"/>
          <w:szCs w:val="20"/>
          <w:lang w:val="lt-LT"/>
        </w:rPr>
        <w:t xml:space="preserve"> Tikimąsi, jog nuo </w:t>
      </w:r>
      <w:r>
        <w:rPr>
          <w:rFonts w:ascii="Georgia" w:hAnsi="Georgia"/>
          <w:sz w:val="20"/>
          <w:szCs w:val="20"/>
        </w:rPr>
        <w:t>2018 met</w:t>
      </w:r>
      <w:r>
        <w:rPr>
          <w:rFonts w:ascii="Georgia" w:hAnsi="Georgia"/>
          <w:sz w:val="20"/>
          <w:szCs w:val="20"/>
          <w:lang w:val="lt-LT"/>
        </w:rPr>
        <w:t>ų Turto Bankas renovuos pusę visų pastatų, o likusius – ESCO bendrovės.</w:t>
      </w:r>
    </w:p>
    <w:p w14:paraId="0BD6E788" w14:textId="4DC42277" w:rsidR="005A432A" w:rsidRPr="00EB3D2A" w:rsidRDefault="005A432A" w:rsidP="005A432A">
      <w:pPr>
        <w:pStyle w:val="Antrat"/>
        <w:jc w:val="both"/>
        <w:rPr>
          <w:b w:val="0"/>
          <w:i/>
          <w:lang w:val="lt-LT"/>
        </w:rPr>
      </w:pPr>
      <w:bookmarkStart w:id="213" w:name="_Toc503193911"/>
      <w:bookmarkStart w:id="214" w:name="_Toc507939193"/>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71</w:t>
      </w:r>
      <w:r w:rsidRPr="00EB3D2A">
        <w:rPr>
          <w:b w:val="0"/>
          <w:i/>
          <w:lang w:val="lt-LT"/>
        </w:rPr>
        <w:fldChar w:fldCharType="end"/>
      </w:r>
      <w:r w:rsidRPr="00EB3D2A">
        <w:rPr>
          <w:b w:val="0"/>
          <w:i/>
          <w:lang w:val="lt-LT"/>
        </w:rPr>
        <w:t>. Scenarijaus Nr. 1 įgyvendinimo prognozė</w:t>
      </w:r>
      <w:bookmarkEnd w:id="213"/>
      <w:bookmarkEnd w:id="214"/>
    </w:p>
    <w:p w14:paraId="4E7CF4F1" w14:textId="77777777" w:rsidR="005A432A" w:rsidRDefault="005A432A" w:rsidP="005A432A">
      <w:pPr>
        <w:keepNext/>
        <w:rPr>
          <w:rFonts w:ascii="Georgia" w:hAnsi="Georgia"/>
          <w:b/>
          <w:i/>
          <w:sz w:val="28"/>
          <w:szCs w:val="28"/>
          <w:lang w:val="lt-LT"/>
        </w:rPr>
      </w:pPr>
      <w:r w:rsidRPr="00A00BFA">
        <w:rPr>
          <w:noProof/>
          <w:lang w:val="lt-LT" w:eastAsia="lt-LT"/>
        </w:rPr>
        <w:drawing>
          <wp:inline distT="0" distB="0" distL="0" distR="0" wp14:anchorId="1A5D99EE" wp14:editId="7C8BA822">
            <wp:extent cx="5731510" cy="2335609"/>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335609"/>
                    </a:xfrm>
                    <a:prstGeom prst="rect">
                      <a:avLst/>
                    </a:prstGeom>
                    <a:noFill/>
                    <a:ln>
                      <a:noFill/>
                    </a:ln>
                  </pic:spPr>
                </pic:pic>
              </a:graphicData>
            </a:graphic>
          </wp:inline>
        </w:drawing>
      </w:r>
    </w:p>
    <w:p w14:paraId="2ACDA5A8" w14:textId="77777777" w:rsidR="005A432A" w:rsidRDefault="005A432A" w:rsidP="005A432A">
      <w:pPr>
        <w:keepNext/>
        <w:rPr>
          <w:rFonts w:ascii="Georgia" w:hAnsi="Georgia"/>
          <w:b/>
          <w:i/>
          <w:sz w:val="28"/>
          <w:szCs w:val="28"/>
          <w:lang w:val="lt-LT"/>
        </w:rPr>
      </w:pPr>
      <w:r w:rsidRPr="00562EF0">
        <w:rPr>
          <w:rFonts w:ascii="Georgia" w:hAnsi="Georgia"/>
          <w:b/>
          <w:i/>
          <w:sz w:val="28"/>
          <w:szCs w:val="28"/>
          <w:lang w:val="lt-LT"/>
        </w:rPr>
        <w:t xml:space="preserve">Scenarijus Nr. 2: </w:t>
      </w:r>
      <w:r>
        <w:rPr>
          <w:rFonts w:ascii="Georgia" w:hAnsi="Georgia"/>
          <w:b/>
          <w:i/>
          <w:sz w:val="28"/>
          <w:szCs w:val="28"/>
          <w:lang w:val="lt-LT"/>
        </w:rPr>
        <w:t>P</w:t>
      </w:r>
      <w:r w:rsidRPr="00F80E1D">
        <w:rPr>
          <w:rFonts w:ascii="Georgia" w:hAnsi="Georgia"/>
          <w:b/>
          <w:i/>
          <w:sz w:val="28"/>
          <w:szCs w:val="28"/>
          <w:lang w:val="lt-LT"/>
        </w:rPr>
        <w:t xml:space="preserve">askolų teikimas </w:t>
      </w:r>
      <w:r>
        <w:rPr>
          <w:rFonts w:ascii="Georgia" w:hAnsi="Georgia"/>
          <w:b/>
          <w:i/>
          <w:sz w:val="28"/>
          <w:szCs w:val="28"/>
          <w:lang w:val="lt-LT"/>
        </w:rPr>
        <w:t>taikant paskolų išpirkimo modelį</w:t>
      </w:r>
    </w:p>
    <w:p w14:paraId="2E58EB49" w14:textId="77777777" w:rsidR="005A432A" w:rsidRPr="00BC2CB8" w:rsidRDefault="005A432A" w:rsidP="005A432A">
      <w:pPr>
        <w:keepNext/>
        <w:jc w:val="center"/>
        <w:rPr>
          <w:rFonts w:ascii="Georgia" w:hAnsi="Georgia"/>
          <w:sz w:val="20"/>
          <w:szCs w:val="20"/>
          <w:lang w:val="lt-LT"/>
        </w:rPr>
      </w:pPr>
      <w:r>
        <w:rPr>
          <w:rFonts w:ascii="Georgia" w:hAnsi="Georgia"/>
          <w:noProof/>
          <w:sz w:val="20"/>
          <w:szCs w:val="20"/>
          <w:lang w:val="lt-LT" w:eastAsia="lt-LT"/>
        </w:rPr>
        <w:drawing>
          <wp:inline distT="0" distB="0" distL="0" distR="0" wp14:anchorId="1EF9E7BD" wp14:editId="14BE0ECD">
            <wp:extent cx="5731510" cy="1401445"/>
            <wp:effectExtent l="0" t="0" r="254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SCO Nr. 2.jpg"/>
                    <pic:cNvPicPr/>
                  </pic:nvPicPr>
                  <pic:blipFill>
                    <a:blip r:embed="rId47" cstate="screen">
                      <a:extLst>
                        <a:ext uri="{28A0092B-C50C-407E-A947-70E740481C1C}">
                          <a14:useLocalDpi xmlns:a14="http://schemas.microsoft.com/office/drawing/2010/main"/>
                        </a:ext>
                      </a:extLst>
                    </a:blip>
                    <a:stretch>
                      <a:fillRect/>
                    </a:stretch>
                  </pic:blipFill>
                  <pic:spPr>
                    <a:xfrm>
                      <a:off x="0" y="0"/>
                      <a:ext cx="5731510" cy="1401445"/>
                    </a:xfrm>
                    <a:prstGeom prst="rect">
                      <a:avLst/>
                    </a:prstGeom>
                  </pic:spPr>
                </pic:pic>
              </a:graphicData>
            </a:graphic>
          </wp:inline>
        </w:drawing>
      </w:r>
    </w:p>
    <w:p w14:paraId="24470D6A" w14:textId="1D477B3A" w:rsidR="005A432A" w:rsidRPr="00BC2CB8" w:rsidRDefault="005A432A" w:rsidP="005A432A">
      <w:pPr>
        <w:pStyle w:val="Antrat"/>
        <w:rPr>
          <w:szCs w:val="20"/>
          <w:lang w:val="lt-LT"/>
        </w:rPr>
      </w:pPr>
      <w:bookmarkStart w:id="215" w:name="_Toc503196631"/>
      <w:bookmarkStart w:id="216" w:name="_Toc507939275"/>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16</w:t>
      </w:r>
      <w:r w:rsidRPr="00BC2CB8">
        <w:rPr>
          <w:lang w:val="lt-LT"/>
        </w:rPr>
        <w:fldChar w:fldCharType="end"/>
      </w:r>
      <w:r w:rsidRPr="00BC2CB8">
        <w:rPr>
          <w:lang w:val="lt-LT"/>
        </w:rPr>
        <w:t>. Viešųjų pastatų scenarijaus Nr. 2 schema.</w:t>
      </w:r>
      <w:bookmarkEnd w:id="215"/>
      <w:bookmarkEnd w:id="216"/>
      <w:r w:rsidRPr="00BC2CB8">
        <w:rPr>
          <w:lang w:val="lt-LT"/>
        </w:rPr>
        <w:t xml:space="preserve"> </w:t>
      </w:r>
    </w:p>
    <w:p w14:paraId="54DA5055" w14:textId="77777777" w:rsidR="005A432A" w:rsidRDefault="005A432A" w:rsidP="005A432A">
      <w:pPr>
        <w:jc w:val="both"/>
        <w:rPr>
          <w:rFonts w:ascii="Georgia" w:hAnsi="Georgia"/>
          <w:sz w:val="20"/>
          <w:szCs w:val="20"/>
          <w:lang w:val="lt-LT"/>
        </w:rPr>
      </w:pPr>
      <w:r w:rsidRPr="00BC2CB8">
        <w:rPr>
          <w:rFonts w:ascii="Georgia" w:hAnsi="Georgia"/>
          <w:sz w:val="20"/>
          <w:szCs w:val="20"/>
          <w:lang w:val="lt-LT"/>
        </w:rPr>
        <w:t xml:space="preserve">Antrame scenarijuje skaičiuojama paskolų finansinė priemonė, kaip ir scenarijuje Nr. 1, tačiau numatoma, jog </w:t>
      </w:r>
      <w:r>
        <w:rPr>
          <w:rFonts w:ascii="Georgia" w:hAnsi="Georgia"/>
          <w:sz w:val="20"/>
          <w:szCs w:val="20"/>
          <w:lang w:val="lt-LT"/>
        </w:rPr>
        <w:t>bus taikomas ateities pinigų srautų išpirkimo modelis siekiant pritraukti papildomą finansavimą. Vienas iš tokio modelio pavyzdžių</w:t>
      </w:r>
      <w:r>
        <w:rPr>
          <w:rStyle w:val="Puslapioinaosnuoroda"/>
          <w:rFonts w:ascii="Georgia" w:hAnsi="Georgia"/>
          <w:sz w:val="20"/>
          <w:szCs w:val="20"/>
          <w:lang w:val="lt-LT"/>
        </w:rPr>
        <w:footnoteReference w:id="131"/>
      </w:r>
      <w:r>
        <w:rPr>
          <w:rFonts w:ascii="Georgia" w:hAnsi="Georgia"/>
          <w:sz w:val="20"/>
          <w:szCs w:val="20"/>
          <w:lang w:val="lt-LT"/>
        </w:rPr>
        <w:t xml:space="preserve"> galėtų būti </w:t>
      </w:r>
      <w:r w:rsidRPr="00BC2CB8">
        <w:rPr>
          <w:rFonts w:ascii="Georgia" w:hAnsi="Georgia"/>
          <w:sz w:val="20"/>
          <w:szCs w:val="20"/>
          <w:lang w:val="lt-LT"/>
        </w:rPr>
        <w:t>privatus investicinis fondas, kuris išpirktų apie 70 proc. finansinės priemonės paskolų (investiciniam fondui būtų parduodamos gerosios paskolos)</w:t>
      </w:r>
      <w:r>
        <w:rPr>
          <w:rFonts w:ascii="Georgia" w:hAnsi="Georgia"/>
          <w:sz w:val="20"/>
          <w:szCs w:val="20"/>
          <w:lang w:val="lt-LT"/>
        </w:rPr>
        <w:t>, taip daug greičiau grąžinant išmokėtas lėšas ir jas investuojant į papildomus renovacijos projektus</w:t>
      </w:r>
      <w:r w:rsidRPr="00BC2CB8">
        <w:rPr>
          <w:rFonts w:ascii="Georgia" w:hAnsi="Georgia"/>
          <w:sz w:val="20"/>
          <w:szCs w:val="20"/>
          <w:lang w:val="lt-LT"/>
        </w:rPr>
        <w:t xml:space="preserve">. </w:t>
      </w:r>
    </w:p>
    <w:p w14:paraId="5648A8E4" w14:textId="77777777" w:rsidR="005A432A" w:rsidRPr="00BC2CB8" w:rsidRDefault="005A432A" w:rsidP="005A432A">
      <w:pPr>
        <w:jc w:val="both"/>
        <w:rPr>
          <w:rFonts w:ascii="Georgia" w:hAnsi="Georgia"/>
          <w:sz w:val="20"/>
          <w:szCs w:val="20"/>
          <w:lang w:val="lt-LT"/>
        </w:rPr>
      </w:pPr>
      <w:r>
        <w:rPr>
          <w:rFonts w:ascii="Georgia" w:hAnsi="Georgia"/>
          <w:sz w:val="20"/>
          <w:szCs w:val="20"/>
          <w:lang w:val="lt-LT"/>
        </w:rPr>
        <w:t xml:space="preserve">Pabrėžtina, jog šiame modelyje įsibėgėjus paskolų išpirkimo procesui projektų skaičių riboja ne fondo lėšų likutis metų gale, o projektų paklausos duomenys. Daroma prielaida, jog per metus maksimaliai galima būtų įgyvendinti </w:t>
      </w:r>
      <w:r>
        <w:rPr>
          <w:rFonts w:ascii="Georgia" w:hAnsi="Georgia"/>
          <w:sz w:val="20"/>
          <w:szCs w:val="20"/>
        </w:rPr>
        <w:t xml:space="preserve">100 pastatų </w:t>
      </w:r>
      <w:r>
        <w:rPr>
          <w:rFonts w:ascii="Georgia" w:hAnsi="Georgia"/>
          <w:sz w:val="20"/>
          <w:szCs w:val="20"/>
          <w:lang w:val="lt-LT"/>
        </w:rPr>
        <w:t>renovaciją</w:t>
      </w:r>
      <w:r>
        <w:rPr>
          <w:rFonts w:ascii="Georgia" w:hAnsi="Georgia"/>
          <w:sz w:val="20"/>
          <w:szCs w:val="20"/>
        </w:rPr>
        <w:t>.</w:t>
      </w:r>
    </w:p>
    <w:p w14:paraId="3C840EC4" w14:textId="5B491262" w:rsidR="005A432A" w:rsidRPr="00EB3D2A" w:rsidRDefault="005A432A" w:rsidP="005A432A">
      <w:pPr>
        <w:pStyle w:val="Antrat"/>
        <w:jc w:val="both"/>
        <w:rPr>
          <w:b w:val="0"/>
          <w:i/>
          <w:szCs w:val="20"/>
          <w:lang w:val="lt-LT"/>
        </w:rPr>
      </w:pPr>
      <w:bookmarkStart w:id="217" w:name="_Toc503193912"/>
      <w:bookmarkStart w:id="218" w:name="_Toc507939194"/>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72</w:t>
      </w:r>
      <w:r w:rsidRPr="00EB3D2A">
        <w:rPr>
          <w:b w:val="0"/>
          <w:i/>
          <w:lang w:val="lt-LT"/>
        </w:rPr>
        <w:fldChar w:fldCharType="end"/>
      </w:r>
      <w:r w:rsidRPr="00EB3D2A">
        <w:rPr>
          <w:b w:val="0"/>
          <w:i/>
          <w:lang w:val="lt-LT"/>
        </w:rPr>
        <w:t>. Scenarijaus Nr. 2 įgyvendinimo prognozė</w:t>
      </w:r>
      <w:bookmarkEnd w:id="217"/>
      <w:bookmarkEnd w:id="218"/>
    </w:p>
    <w:p w14:paraId="31374A2C" w14:textId="77777777" w:rsidR="005A432A" w:rsidRDefault="005A432A" w:rsidP="005A432A">
      <w:pPr>
        <w:rPr>
          <w:lang w:val="lt-LT"/>
        </w:rPr>
      </w:pPr>
      <w:r w:rsidRPr="008C15C6">
        <w:rPr>
          <w:noProof/>
          <w:lang w:val="lt-LT" w:eastAsia="lt-LT"/>
        </w:rPr>
        <w:drawing>
          <wp:inline distT="0" distB="0" distL="0" distR="0" wp14:anchorId="3EEE6BBA" wp14:editId="5A4A780E">
            <wp:extent cx="5731510" cy="27062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706280"/>
                    </a:xfrm>
                    <a:prstGeom prst="rect">
                      <a:avLst/>
                    </a:prstGeom>
                    <a:noFill/>
                    <a:ln>
                      <a:noFill/>
                    </a:ln>
                  </pic:spPr>
                </pic:pic>
              </a:graphicData>
            </a:graphic>
          </wp:inline>
        </w:drawing>
      </w:r>
    </w:p>
    <w:p w14:paraId="31255313" w14:textId="77777777" w:rsidR="005A432A" w:rsidRPr="00BC2CB8" w:rsidRDefault="005A432A" w:rsidP="005A432A">
      <w:pPr>
        <w:rPr>
          <w:rFonts w:ascii="Georgia" w:hAnsi="Georgia"/>
          <w:sz w:val="20"/>
          <w:szCs w:val="20"/>
          <w:lang w:val="lt-LT"/>
        </w:rPr>
      </w:pPr>
    </w:p>
    <w:p w14:paraId="7FF0D89D" w14:textId="77777777" w:rsidR="005A432A" w:rsidRPr="00562EF0" w:rsidRDefault="005A432A" w:rsidP="005A432A">
      <w:pPr>
        <w:keepNext/>
        <w:rPr>
          <w:rFonts w:ascii="Georgia" w:hAnsi="Georgia"/>
          <w:b/>
          <w:i/>
          <w:sz w:val="28"/>
          <w:szCs w:val="28"/>
          <w:lang w:val="lt-LT"/>
        </w:rPr>
      </w:pPr>
      <w:r w:rsidRPr="00562EF0">
        <w:rPr>
          <w:rFonts w:ascii="Georgia" w:hAnsi="Georgia"/>
          <w:b/>
          <w:i/>
          <w:sz w:val="28"/>
          <w:szCs w:val="28"/>
          <w:lang w:val="lt-LT"/>
        </w:rPr>
        <w:t xml:space="preserve">Scenarijus Nr. </w:t>
      </w:r>
      <w:r>
        <w:rPr>
          <w:rFonts w:ascii="Georgia" w:hAnsi="Georgia"/>
          <w:b/>
          <w:i/>
          <w:sz w:val="28"/>
          <w:szCs w:val="28"/>
          <w:lang w:val="lt-LT"/>
        </w:rPr>
        <w:t>3</w:t>
      </w:r>
      <w:r w:rsidRPr="00562EF0">
        <w:rPr>
          <w:rFonts w:ascii="Georgia" w:hAnsi="Georgia"/>
          <w:b/>
          <w:i/>
          <w:sz w:val="28"/>
          <w:szCs w:val="28"/>
          <w:lang w:val="lt-LT"/>
        </w:rPr>
        <w:t xml:space="preserve">: </w:t>
      </w:r>
      <w:r>
        <w:rPr>
          <w:rFonts w:ascii="Georgia" w:hAnsi="Georgia"/>
          <w:b/>
          <w:i/>
          <w:sz w:val="28"/>
          <w:szCs w:val="28"/>
          <w:lang w:val="lt-LT"/>
        </w:rPr>
        <w:t>Paskolų teikimas taikant asimetrinį rizikos pasidalijimo modelį</w:t>
      </w:r>
    </w:p>
    <w:p w14:paraId="55B301A2" w14:textId="77777777" w:rsidR="005A432A" w:rsidRPr="00BC2CB8" w:rsidRDefault="005A432A" w:rsidP="005A432A">
      <w:pPr>
        <w:keepNext/>
        <w:jc w:val="both"/>
        <w:rPr>
          <w:szCs w:val="20"/>
          <w:lang w:val="lt-LT"/>
        </w:rPr>
      </w:pPr>
      <w:r w:rsidRPr="00BC2CB8">
        <w:rPr>
          <w:rFonts w:ascii="Georgia" w:hAnsi="Georgia"/>
          <w:sz w:val="20"/>
          <w:szCs w:val="20"/>
          <w:lang w:val="lt-LT"/>
        </w:rPr>
        <w:t xml:space="preserve">Šio scenarijaus atveju </w:t>
      </w:r>
      <w:r>
        <w:rPr>
          <w:rFonts w:ascii="Georgia" w:hAnsi="Georgia"/>
          <w:sz w:val="20"/>
          <w:szCs w:val="20"/>
          <w:lang w:val="lt-LT"/>
        </w:rPr>
        <w:t xml:space="preserve">numatoma, </w:t>
      </w:r>
      <w:r w:rsidRPr="00BC2CB8">
        <w:rPr>
          <w:rFonts w:ascii="Georgia" w:hAnsi="Georgia"/>
          <w:sz w:val="20"/>
          <w:szCs w:val="20"/>
          <w:lang w:val="lt-LT"/>
        </w:rPr>
        <w:t xml:space="preserve">jog </w:t>
      </w:r>
      <w:r>
        <w:rPr>
          <w:rFonts w:ascii="Georgia" w:hAnsi="Georgia"/>
          <w:sz w:val="20"/>
          <w:szCs w:val="20"/>
          <w:lang w:val="lt-LT"/>
        </w:rPr>
        <w:t>bus taikomas asimetrinis rizikų pasidalijimo modelis siekiant pritraukti papildomą finansavimą. Finansinės priemonės valdytojas ir (ar) ministerijos gali taikyti įvairius asimetrinio rizikos pasidalijimo modelio variantus. Šiame scenarijuje modeliuojamas vienas pavyzdys iš galimų taikyti variantų</w:t>
      </w:r>
      <w:r>
        <w:rPr>
          <w:rStyle w:val="Puslapioinaosnuoroda"/>
          <w:rFonts w:ascii="Georgia" w:hAnsi="Georgia"/>
          <w:sz w:val="20"/>
          <w:szCs w:val="20"/>
          <w:lang w:val="lt-LT"/>
        </w:rPr>
        <w:footnoteReference w:id="132"/>
      </w:r>
      <w:r>
        <w:rPr>
          <w:rFonts w:ascii="Georgia" w:hAnsi="Georgia"/>
          <w:sz w:val="20"/>
          <w:szCs w:val="20"/>
          <w:lang w:val="lt-LT"/>
        </w:rPr>
        <w:t xml:space="preserve">, t.y. kai </w:t>
      </w:r>
      <w:r w:rsidRPr="00BC2CB8">
        <w:rPr>
          <w:rFonts w:ascii="Georgia" w:hAnsi="Georgia"/>
          <w:sz w:val="20"/>
          <w:szCs w:val="20"/>
          <w:lang w:val="lt-LT"/>
        </w:rPr>
        <w:t>ESI fondų lėšos būtų nukreipiamos į naujai sukurtą juridinio asmens statusą turintį subjektą – investicinį fondą, ir tomis lėšomis būtų užtikrinama privačių investuotojų ir/ar paskolos davėjų investicijų saugumas</w:t>
      </w:r>
      <w:r>
        <w:rPr>
          <w:rFonts w:ascii="Georgia" w:hAnsi="Georgia"/>
          <w:sz w:val="20"/>
          <w:szCs w:val="20"/>
          <w:lang w:val="lt-LT"/>
        </w:rPr>
        <w:t>, o toks subjektas tiesiogiai teikia paskolas projektams</w:t>
      </w:r>
      <w:r w:rsidRPr="00BC2CB8">
        <w:rPr>
          <w:rFonts w:ascii="Georgia" w:hAnsi="Georgia"/>
          <w:sz w:val="20"/>
          <w:szCs w:val="20"/>
          <w:lang w:val="lt-LT"/>
        </w:rPr>
        <w:t>.</w:t>
      </w:r>
    </w:p>
    <w:p w14:paraId="4F5294C5" w14:textId="77777777" w:rsidR="005A432A" w:rsidRDefault="005A432A" w:rsidP="005A432A">
      <w:pPr>
        <w:pStyle w:val="Antrat"/>
        <w:jc w:val="center"/>
        <w:rPr>
          <w:lang w:val="lt-LT"/>
        </w:rPr>
      </w:pPr>
      <w:r>
        <w:rPr>
          <w:noProof/>
          <w:lang w:val="lt-LT" w:eastAsia="lt-LT"/>
        </w:rPr>
        <w:drawing>
          <wp:inline distT="0" distB="0" distL="0" distR="0" wp14:anchorId="461356E3" wp14:editId="75ECAA04">
            <wp:extent cx="5685155" cy="1908175"/>
            <wp:effectExtent l="0" t="0" r="0" b="0"/>
            <wp:docPr id="175" name="Picture 175" descr="C:\Users\justinas.bucys\AppData\Local\Microsoft\Windows\INetCacheContent.Word\ESCO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descr="C:\Users\justinas.bucys\AppData\Local\Microsoft\Windows\INetCacheContent.Word\ESCO Nr. 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5155" cy="1908175"/>
                    </a:xfrm>
                    <a:prstGeom prst="rect">
                      <a:avLst/>
                    </a:prstGeom>
                    <a:noFill/>
                    <a:ln>
                      <a:noFill/>
                    </a:ln>
                  </pic:spPr>
                </pic:pic>
              </a:graphicData>
            </a:graphic>
          </wp:inline>
        </w:drawing>
      </w:r>
    </w:p>
    <w:p w14:paraId="2E221924" w14:textId="0626820C" w:rsidR="005A432A" w:rsidRPr="00BC2CB8" w:rsidRDefault="005A432A" w:rsidP="005A432A">
      <w:pPr>
        <w:pStyle w:val="Antrat"/>
        <w:rPr>
          <w:szCs w:val="20"/>
          <w:lang w:val="lt-LT"/>
        </w:rPr>
      </w:pPr>
      <w:bookmarkStart w:id="219" w:name="_Toc503196632"/>
      <w:bookmarkStart w:id="220" w:name="_Toc507939276"/>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17</w:t>
      </w:r>
      <w:r w:rsidRPr="00BC2CB8">
        <w:rPr>
          <w:lang w:val="lt-LT"/>
        </w:rPr>
        <w:fldChar w:fldCharType="end"/>
      </w:r>
      <w:r w:rsidRPr="00BC2CB8">
        <w:rPr>
          <w:lang w:val="lt-LT"/>
        </w:rPr>
        <w:t xml:space="preserve">. Viešųjų pastatų scenarijaus Nr. </w:t>
      </w:r>
      <w:r>
        <w:rPr>
          <w:lang w:val="lt-LT"/>
        </w:rPr>
        <w:t>3</w:t>
      </w:r>
      <w:r w:rsidRPr="00BC2CB8">
        <w:rPr>
          <w:lang w:val="lt-LT"/>
        </w:rPr>
        <w:t xml:space="preserve"> schema.</w:t>
      </w:r>
      <w:bookmarkEnd w:id="219"/>
      <w:bookmarkEnd w:id="220"/>
      <w:r w:rsidRPr="00BC2CB8">
        <w:rPr>
          <w:lang w:val="lt-LT"/>
        </w:rPr>
        <w:t xml:space="preserve"> </w:t>
      </w:r>
    </w:p>
    <w:p w14:paraId="6D2B502B" w14:textId="77777777" w:rsidR="005A432A" w:rsidRPr="00FD35A8" w:rsidRDefault="005A432A" w:rsidP="005A432A">
      <w:pPr>
        <w:jc w:val="both"/>
        <w:rPr>
          <w:rFonts w:ascii="Georgia" w:hAnsi="Georgia"/>
          <w:sz w:val="20"/>
          <w:szCs w:val="20"/>
          <w:lang w:val="lt-LT"/>
        </w:rPr>
      </w:pPr>
      <w:r w:rsidRPr="00BC2CB8">
        <w:rPr>
          <w:rFonts w:ascii="Georgia" w:hAnsi="Georgia"/>
          <w:sz w:val="20"/>
          <w:szCs w:val="20"/>
          <w:lang w:val="lt-LT"/>
        </w:rPr>
        <w:t>Su galimais investuotojais</w:t>
      </w:r>
      <w:r>
        <w:rPr>
          <w:rFonts w:ascii="Georgia" w:hAnsi="Georgia"/>
          <w:sz w:val="20"/>
          <w:szCs w:val="20"/>
          <w:lang w:val="lt-LT"/>
        </w:rPr>
        <w:t xml:space="preserve"> (tarptautinėmis finansų institucijomis, komerciniais bankais, pensijų fondais)</w:t>
      </w:r>
      <w:r w:rsidRPr="00BC2CB8">
        <w:rPr>
          <w:rFonts w:ascii="Georgia" w:hAnsi="Georgia"/>
          <w:sz w:val="20"/>
          <w:szCs w:val="20"/>
          <w:lang w:val="lt-LT"/>
        </w:rPr>
        <w:t xml:space="preserve"> aptarus finansinės priemonės ar fondų fondo, kaip juridinio asmens įsteigimo galimyb</w:t>
      </w:r>
      <w:r>
        <w:rPr>
          <w:rFonts w:ascii="Georgia" w:hAnsi="Georgia"/>
          <w:sz w:val="20"/>
          <w:szCs w:val="20"/>
          <w:lang w:val="lt-LT"/>
        </w:rPr>
        <w:t>es, buvo nustatyta, kad apie 50</w:t>
      </w:r>
      <w:r w:rsidRPr="00BC2CB8">
        <w:rPr>
          <w:rFonts w:ascii="Georgia" w:hAnsi="Georgia"/>
          <w:sz w:val="20"/>
          <w:szCs w:val="20"/>
          <w:lang w:val="lt-LT"/>
        </w:rPr>
        <w:t xml:space="preserve">% (ši dalis yra mažesnė negu daugiabučių renovacijos atveju, nes ESCO </w:t>
      </w:r>
      <w:r w:rsidRPr="00BC2CB8">
        <w:rPr>
          <w:rFonts w:ascii="Georgia" w:hAnsi="Georgia"/>
          <w:sz w:val="20"/>
          <w:szCs w:val="20"/>
          <w:lang w:val="lt-LT"/>
        </w:rPr>
        <w:lastRenderedPageBreak/>
        <w:t>rinkos Lietuvoje nėra ir pritraukti investuotojus būtų sunkiau) fondo lėšų galėtų sudaryti 2014-2020 m. ES lėšos numatytos centrinės valdžios viešųjų pastatų renovacijai, ir apie 50 % sudarytų privačių investuotojų paskolo</w:t>
      </w:r>
      <w:r>
        <w:rPr>
          <w:rFonts w:ascii="Georgia" w:hAnsi="Georgia"/>
          <w:sz w:val="20"/>
          <w:szCs w:val="20"/>
          <w:lang w:val="lt-LT"/>
        </w:rPr>
        <w:t xml:space="preserve">s ir investicijos į tokį fondą. Tuo atveju, jei būtų teikiama subsidija, bankai prisidėtų tik finansinės priemonės daliai (jau po subsidijos), o </w:t>
      </w:r>
      <w:r>
        <w:rPr>
          <w:rFonts w:ascii="Georgia" w:hAnsi="Georgia"/>
          <w:sz w:val="20"/>
          <w:szCs w:val="20"/>
        </w:rPr>
        <w:t>30 proc. l</w:t>
      </w:r>
      <w:r>
        <w:rPr>
          <w:rFonts w:ascii="Georgia" w:hAnsi="Georgia"/>
          <w:sz w:val="20"/>
          <w:szCs w:val="20"/>
          <w:lang w:val="lt-LT"/>
        </w:rPr>
        <w:t xml:space="preserve">ėšos būtų skaičiuojamos nuo bendros finansinės priemonės ir papildomai pritrauktų privačių lėšų sumos. Pirmo nuostolio padengimo lėšos turėtų visą laiką būti saugojamos ir nenaudojamos kitoms reikmėms (pvz. finansuojant papildomas pastatų renovacijas). </w:t>
      </w:r>
    </w:p>
    <w:p w14:paraId="31AF7683" w14:textId="77777777" w:rsidR="005A432A" w:rsidRPr="008E6FE5" w:rsidRDefault="005A432A" w:rsidP="005A432A">
      <w:pPr>
        <w:jc w:val="both"/>
        <w:rPr>
          <w:rFonts w:ascii="Georgia" w:hAnsi="Georgia"/>
          <w:sz w:val="20"/>
          <w:szCs w:val="20"/>
          <w:lang w:val="lt-LT"/>
        </w:rPr>
      </w:pPr>
      <w:r w:rsidRPr="00BC2CB8">
        <w:rPr>
          <w:rFonts w:ascii="Georgia" w:hAnsi="Georgia"/>
          <w:sz w:val="20"/>
          <w:szCs w:val="20"/>
          <w:lang w:val="lt-LT"/>
        </w:rPr>
        <w:t xml:space="preserve">Tačiau tokį finansinio sverto efektą galima būtų pasiekti, jeigu </w:t>
      </w:r>
      <w:r>
        <w:rPr>
          <w:rFonts w:ascii="Georgia" w:hAnsi="Georgia"/>
          <w:sz w:val="20"/>
          <w:szCs w:val="20"/>
        </w:rPr>
        <w:t>60</w:t>
      </w:r>
      <w:r w:rsidRPr="00BC2CB8">
        <w:rPr>
          <w:rFonts w:ascii="Georgia" w:hAnsi="Georgia"/>
          <w:sz w:val="20"/>
          <w:szCs w:val="20"/>
          <w:lang w:val="lt-LT"/>
        </w:rPr>
        <w:t xml:space="preserve"> proc. vadovaujančiosios institucijos įnašo į fondą, būtų laiko</w:t>
      </w:r>
      <w:r>
        <w:rPr>
          <w:rFonts w:ascii="Georgia" w:hAnsi="Georgia"/>
          <w:sz w:val="20"/>
          <w:szCs w:val="20"/>
          <w:lang w:val="lt-LT"/>
        </w:rPr>
        <w:t>mas pirmojo praradimo kapitalu</w:t>
      </w:r>
      <w:r w:rsidRPr="00BC2CB8">
        <w:rPr>
          <w:rFonts w:ascii="Georgia" w:hAnsi="Georgia"/>
          <w:sz w:val="20"/>
          <w:szCs w:val="20"/>
          <w:lang w:val="lt-LT"/>
        </w:rPr>
        <w:t xml:space="preserve"> </w:t>
      </w:r>
      <w:r>
        <w:rPr>
          <w:rFonts w:ascii="Georgia" w:hAnsi="Georgia"/>
          <w:sz w:val="20"/>
          <w:szCs w:val="20"/>
          <w:lang w:val="lt-LT"/>
        </w:rPr>
        <w:t>(atsižvelgiant, kad dalis vadovaujančios institucijos lėšų būtų skirtos subsidijos priemonei). T</w:t>
      </w:r>
      <w:r w:rsidRPr="00BC2CB8">
        <w:rPr>
          <w:rFonts w:ascii="Georgia" w:hAnsi="Georgia"/>
          <w:sz w:val="20"/>
          <w:szCs w:val="20"/>
          <w:lang w:val="lt-LT"/>
        </w:rPr>
        <w:t>okiu atveju bendroje fondo apimtyje pirmo prara</w:t>
      </w:r>
      <w:r>
        <w:rPr>
          <w:rFonts w:ascii="Georgia" w:hAnsi="Georgia"/>
          <w:sz w:val="20"/>
          <w:szCs w:val="20"/>
          <w:lang w:val="lt-LT"/>
        </w:rPr>
        <w:t xml:space="preserve">dimo kapitalas sudarytų 30 proc. </w:t>
      </w:r>
    </w:p>
    <w:p w14:paraId="336240DA" w14:textId="495743DC" w:rsidR="005A432A" w:rsidRPr="00EB3D2A" w:rsidRDefault="005A432A" w:rsidP="005A432A">
      <w:pPr>
        <w:pStyle w:val="Antrat"/>
        <w:rPr>
          <w:b w:val="0"/>
          <w:i/>
          <w:szCs w:val="20"/>
          <w:lang w:val="lt-LT"/>
        </w:rPr>
      </w:pPr>
      <w:bookmarkStart w:id="221" w:name="_Toc503193913"/>
      <w:bookmarkStart w:id="222" w:name="_Toc507939195"/>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73</w:t>
      </w:r>
      <w:r w:rsidRPr="00EB3D2A">
        <w:rPr>
          <w:b w:val="0"/>
          <w:i/>
          <w:lang w:val="lt-LT"/>
        </w:rPr>
        <w:fldChar w:fldCharType="end"/>
      </w:r>
      <w:r w:rsidRPr="00EB3D2A">
        <w:rPr>
          <w:b w:val="0"/>
          <w:i/>
          <w:lang w:val="lt-LT"/>
        </w:rPr>
        <w:t>. Scenarijaus Nr. 3 įgyvendinimo prognozė.</w:t>
      </w:r>
      <w:bookmarkEnd w:id="221"/>
      <w:bookmarkEnd w:id="222"/>
      <w:r w:rsidRPr="00EB3D2A">
        <w:rPr>
          <w:b w:val="0"/>
          <w:i/>
          <w:lang w:val="lt-LT"/>
        </w:rPr>
        <w:t xml:space="preserve"> </w:t>
      </w:r>
    </w:p>
    <w:p w14:paraId="5B5ECD0D" w14:textId="77777777" w:rsidR="005A432A" w:rsidRDefault="005A432A" w:rsidP="005A432A">
      <w:r w:rsidRPr="00A9548E">
        <w:rPr>
          <w:noProof/>
          <w:lang w:val="lt-LT" w:eastAsia="lt-LT"/>
        </w:rPr>
        <w:drawing>
          <wp:inline distT="0" distB="0" distL="0" distR="0" wp14:anchorId="66B6E2E2" wp14:editId="1343621A">
            <wp:extent cx="5692714" cy="231188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9010" cy="2322559"/>
                    </a:xfrm>
                    <a:prstGeom prst="rect">
                      <a:avLst/>
                    </a:prstGeom>
                    <a:noFill/>
                    <a:ln>
                      <a:noFill/>
                    </a:ln>
                  </pic:spPr>
                </pic:pic>
              </a:graphicData>
            </a:graphic>
          </wp:inline>
        </w:drawing>
      </w:r>
      <w:r w:rsidRPr="00A9548E" w:rsidDel="00A9548E">
        <w:t xml:space="preserve"> </w:t>
      </w:r>
    </w:p>
    <w:p w14:paraId="5EED4E1A" w14:textId="77777777" w:rsidR="005A432A" w:rsidRPr="00BC2CB8" w:rsidRDefault="005A432A" w:rsidP="005A432A">
      <w:pPr>
        <w:rPr>
          <w:rFonts w:ascii="Georgia" w:hAnsi="Georgia"/>
          <w:sz w:val="20"/>
          <w:szCs w:val="20"/>
          <w:lang w:val="lt-LT"/>
        </w:rPr>
      </w:pPr>
    </w:p>
    <w:p w14:paraId="50DA283E" w14:textId="77777777" w:rsidR="005A432A" w:rsidRPr="008E6FE5" w:rsidRDefault="005A432A" w:rsidP="005A432A">
      <w:pPr>
        <w:keepNext/>
        <w:rPr>
          <w:rFonts w:ascii="Georgia" w:hAnsi="Georgia"/>
          <w:b/>
          <w:i/>
          <w:sz w:val="28"/>
          <w:szCs w:val="28"/>
          <w:lang w:val="lt-LT"/>
        </w:rPr>
      </w:pPr>
      <w:r>
        <w:rPr>
          <w:rFonts w:ascii="Georgia" w:hAnsi="Georgia"/>
          <w:b/>
          <w:i/>
          <w:sz w:val="28"/>
          <w:szCs w:val="28"/>
          <w:lang w:val="lt-LT"/>
        </w:rPr>
        <w:t>Scenarijus Nr. 4</w:t>
      </w:r>
      <w:r w:rsidRPr="008E6FE5">
        <w:rPr>
          <w:rFonts w:ascii="Georgia" w:hAnsi="Georgia"/>
          <w:b/>
          <w:i/>
          <w:sz w:val="28"/>
          <w:szCs w:val="28"/>
          <w:lang w:val="lt-LT"/>
        </w:rPr>
        <w:t xml:space="preserve">: </w:t>
      </w:r>
      <w:r>
        <w:rPr>
          <w:rFonts w:ascii="Georgia" w:hAnsi="Georgia"/>
          <w:b/>
          <w:i/>
          <w:sz w:val="28"/>
          <w:szCs w:val="28"/>
          <w:lang w:val="lt-LT"/>
        </w:rPr>
        <w:t>Garantijų teikimas</w:t>
      </w:r>
    </w:p>
    <w:p w14:paraId="5C46A278" w14:textId="77777777" w:rsidR="005A432A" w:rsidRDefault="005A432A" w:rsidP="005A432A">
      <w:pPr>
        <w:pStyle w:val="Antrat"/>
        <w:jc w:val="center"/>
        <w:rPr>
          <w:lang w:val="lt-LT"/>
        </w:rPr>
      </w:pPr>
      <w:r>
        <w:rPr>
          <w:noProof/>
          <w:lang w:val="lt-LT" w:eastAsia="lt-LT"/>
        </w:rPr>
        <w:drawing>
          <wp:inline distT="0" distB="0" distL="0" distR="0" wp14:anchorId="3714AA90" wp14:editId="1B1742A9">
            <wp:extent cx="5650992" cy="2051304"/>
            <wp:effectExtent l="0" t="0" r="6985"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SCO Nr. 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50992" cy="2051304"/>
                    </a:xfrm>
                    <a:prstGeom prst="rect">
                      <a:avLst/>
                    </a:prstGeom>
                  </pic:spPr>
                </pic:pic>
              </a:graphicData>
            </a:graphic>
          </wp:inline>
        </w:drawing>
      </w:r>
    </w:p>
    <w:p w14:paraId="1CD3CE88" w14:textId="63C9BD58" w:rsidR="005A432A" w:rsidRPr="00BC2CB8" w:rsidRDefault="005A432A" w:rsidP="005A432A">
      <w:pPr>
        <w:pStyle w:val="Antrat"/>
        <w:rPr>
          <w:szCs w:val="20"/>
          <w:lang w:val="lt-LT"/>
        </w:rPr>
      </w:pPr>
      <w:bookmarkStart w:id="223" w:name="_Toc503196633"/>
      <w:bookmarkStart w:id="224" w:name="_Toc507939277"/>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18</w:t>
      </w:r>
      <w:r w:rsidRPr="00BC2CB8">
        <w:rPr>
          <w:lang w:val="lt-LT"/>
        </w:rPr>
        <w:fldChar w:fldCharType="end"/>
      </w:r>
      <w:r w:rsidRPr="00BC2CB8">
        <w:rPr>
          <w:lang w:val="lt-LT"/>
        </w:rPr>
        <w:t xml:space="preserve">. Viešųjų pastatų scenarijaus Nr. </w:t>
      </w:r>
      <w:r>
        <w:rPr>
          <w:lang w:val="lt-LT"/>
        </w:rPr>
        <w:t>4</w:t>
      </w:r>
      <w:r w:rsidRPr="00BC2CB8">
        <w:rPr>
          <w:lang w:val="lt-LT"/>
        </w:rPr>
        <w:t xml:space="preserve"> schema.</w:t>
      </w:r>
      <w:bookmarkEnd w:id="223"/>
      <w:bookmarkEnd w:id="224"/>
      <w:r w:rsidRPr="00BC2CB8">
        <w:rPr>
          <w:lang w:val="lt-LT"/>
        </w:rPr>
        <w:t xml:space="preserve"> </w:t>
      </w:r>
    </w:p>
    <w:p w14:paraId="04A6F154" w14:textId="77777777" w:rsidR="005A432A" w:rsidRPr="00BC2CB8" w:rsidRDefault="005A432A" w:rsidP="005A432A">
      <w:pPr>
        <w:jc w:val="both"/>
        <w:rPr>
          <w:rFonts w:ascii="Georgia" w:hAnsi="Georgia"/>
          <w:sz w:val="20"/>
          <w:szCs w:val="20"/>
          <w:lang w:val="lt-LT"/>
        </w:rPr>
      </w:pPr>
      <w:r w:rsidRPr="00BC2CB8">
        <w:rPr>
          <w:rFonts w:ascii="Georgia" w:hAnsi="Georgia"/>
          <w:sz w:val="20"/>
          <w:szCs w:val="20"/>
          <w:lang w:val="lt-LT"/>
        </w:rPr>
        <w:t>Šiame scenarijuje modeliuojama situacija,</w:t>
      </w:r>
      <w:r>
        <w:rPr>
          <w:rFonts w:ascii="Georgia" w:hAnsi="Georgia"/>
          <w:sz w:val="20"/>
          <w:szCs w:val="20"/>
          <w:lang w:val="lt-LT"/>
        </w:rPr>
        <w:t xml:space="preserve"> kai papildomos </w:t>
      </w:r>
      <w:r>
        <w:rPr>
          <w:rFonts w:ascii="Georgia" w:hAnsi="Georgia"/>
          <w:sz w:val="20"/>
          <w:szCs w:val="20"/>
        </w:rPr>
        <w:t>ES (ar biudžeto) l</w:t>
      </w:r>
      <w:r>
        <w:rPr>
          <w:rFonts w:ascii="Georgia" w:hAnsi="Georgia"/>
          <w:sz w:val="20"/>
          <w:szCs w:val="20"/>
          <w:lang w:val="lt-LT"/>
        </w:rPr>
        <w:t xml:space="preserve">ėšos skiriamos garantijų finansinei priemonei finansuoti. Tokiu būdu teikiama subsidijagalėtų būtų naudojama išduodamų bankų paskolų sumai ir atitinkamai jų rizikai mažinti, taip skatinant bankų prisidėjimą savo lėšomis dalyvaujant valdžios pastatų renovacijos procese. Šiuo atveju daroma prielaida, jog visa subsidinė parama bus finansuojama papildomomis lėšomis. Tuo tarpu modelyje visos lėšos skirtos finansiniai </w:t>
      </w:r>
      <w:r>
        <w:rPr>
          <w:rFonts w:ascii="Georgia" w:hAnsi="Georgia"/>
          <w:sz w:val="20"/>
          <w:szCs w:val="20"/>
          <w:lang w:val="lt-LT"/>
        </w:rPr>
        <w:lastRenderedPageBreak/>
        <w:t>priemonei remti</w:t>
      </w:r>
      <w:r w:rsidRPr="00BC2CB8">
        <w:rPr>
          <w:rFonts w:ascii="Georgia" w:hAnsi="Georgia"/>
          <w:sz w:val="20"/>
          <w:szCs w:val="20"/>
          <w:lang w:val="lt-LT"/>
        </w:rPr>
        <w:t xml:space="preserve"> bus panaudotos teikiant garantijas komerciniams bankams</w:t>
      </w:r>
      <w:r>
        <w:rPr>
          <w:rFonts w:ascii="Georgia" w:hAnsi="Georgia"/>
          <w:sz w:val="20"/>
          <w:szCs w:val="20"/>
          <w:lang w:val="lt-LT"/>
        </w:rPr>
        <w:t>,</w:t>
      </w:r>
      <w:r w:rsidRPr="00BC2CB8">
        <w:rPr>
          <w:rFonts w:ascii="Georgia" w:hAnsi="Georgia"/>
          <w:sz w:val="20"/>
          <w:szCs w:val="20"/>
          <w:lang w:val="lt-LT"/>
        </w:rPr>
        <w:t xml:space="preserve"> pagal kurias pastarieji išduos paskolas.</w:t>
      </w:r>
      <w:r>
        <w:rPr>
          <w:rFonts w:ascii="Georgia" w:hAnsi="Georgia"/>
          <w:sz w:val="20"/>
          <w:szCs w:val="20"/>
          <w:lang w:val="lt-LT"/>
        </w:rPr>
        <w:t xml:space="preserve"> </w:t>
      </w:r>
    </w:p>
    <w:p w14:paraId="1384E6A8" w14:textId="1E0D3753" w:rsidR="005A432A" w:rsidRPr="00EB3D2A" w:rsidRDefault="005A432A" w:rsidP="005A432A">
      <w:pPr>
        <w:pStyle w:val="Antrat"/>
        <w:jc w:val="both"/>
        <w:rPr>
          <w:b w:val="0"/>
          <w:i/>
          <w:szCs w:val="20"/>
          <w:lang w:val="lt-LT"/>
        </w:rPr>
      </w:pPr>
      <w:bookmarkStart w:id="225" w:name="_Toc503193914"/>
      <w:bookmarkStart w:id="226" w:name="_Toc507939196"/>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74</w:t>
      </w:r>
      <w:r w:rsidRPr="00EB3D2A">
        <w:rPr>
          <w:b w:val="0"/>
          <w:i/>
          <w:lang w:val="lt-LT"/>
        </w:rPr>
        <w:fldChar w:fldCharType="end"/>
      </w:r>
      <w:r w:rsidRPr="00EB3D2A">
        <w:rPr>
          <w:b w:val="0"/>
          <w:i/>
          <w:lang w:val="lt-LT"/>
        </w:rPr>
        <w:t>. Scenarijaus Nr. 4 įgyvendinimo prognozė</w:t>
      </w:r>
      <w:bookmarkEnd w:id="225"/>
      <w:bookmarkEnd w:id="226"/>
    </w:p>
    <w:p w14:paraId="20D07129" w14:textId="6C9164EA" w:rsidR="001A6D55" w:rsidRDefault="005A432A" w:rsidP="005A432A">
      <w:pPr>
        <w:rPr>
          <w:rFonts w:ascii="Georgia" w:hAnsi="Georgia"/>
          <w:sz w:val="20"/>
          <w:szCs w:val="20"/>
          <w:lang w:val="lt-LT"/>
        </w:rPr>
      </w:pPr>
      <w:r w:rsidRPr="00D36C02">
        <w:t xml:space="preserve"> </w:t>
      </w:r>
      <w:r w:rsidRPr="008A7985">
        <w:rPr>
          <w:noProof/>
          <w:lang w:val="lt-LT" w:eastAsia="lt-LT"/>
        </w:rPr>
        <w:drawing>
          <wp:inline distT="0" distB="0" distL="0" distR="0" wp14:anchorId="6822EB2B" wp14:editId="6664FE3F">
            <wp:extent cx="5500611" cy="2216989"/>
            <wp:effectExtent l="0" t="0" r="5080" b="0"/>
            <wp:docPr id="50176" name="Picture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3268" cy="2230151"/>
                    </a:xfrm>
                    <a:prstGeom prst="rect">
                      <a:avLst/>
                    </a:prstGeom>
                    <a:noFill/>
                    <a:ln>
                      <a:noFill/>
                    </a:ln>
                  </pic:spPr>
                </pic:pic>
              </a:graphicData>
            </a:graphic>
          </wp:inline>
        </w:drawing>
      </w:r>
    </w:p>
    <w:p w14:paraId="44F25A7D" w14:textId="77777777" w:rsidR="005A432A" w:rsidRPr="002142B8" w:rsidRDefault="005A432A">
      <w:pPr>
        <w:rPr>
          <w:rFonts w:ascii="Georgia" w:hAnsi="Georgia"/>
          <w:sz w:val="20"/>
          <w:szCs w:val="20"/>
          <w:lang w:val="lt-LT"/>
        </w:rPr>
      </w:pPr>
    </w:p>
    <w:p w14:paraId="02B5A40C" w14:textId="2BB41F09" w:rsidR="00571034" w:rsidRPr="002142B8" w:rsidRDefault="00571034" w:rsidP="00A41801">
      <w:pPr>
        <w:pStyle w:val="Antrat2"/>
        <w:numPr>
          <w:ilvl w:val="3"/>
          <w:numId w:val="2"/>
        </w:numPr>
        <w:ind w:left="1134"/>
        <w:rPr>
          <w:lang w:val="lt-LT"/>
        </w:rPr>
      </w:pPr>
      <w:bookmarkStart w:id="227" w:name="_Toc399924056"/>
      <w:bookmarkStart w:id="228" w:name="_Toc402352630"/>
      <w:bookmarkStart w:id="229" w:name="_Toc25589926"/>
      <w:r w:rsidRPr="002142B8">
        <w:rPr>
          <w:lang w:val="lt-LT"/>
        </w:rPr>
        <w:t>Savivaldybių viešieji pastatai</w:t>
      </w:r>
      <w:bookmarkEnd w:id="229"/>
    </w:p>
    <w:p w14:paraId="5C644850" w14:textId="0B7F91CB" w:rsidR="00571034" w:rsidRDefault="00571034" w:rsidP="00571034">
      <w:pPr>
        <w:jc w:val="both"/>
        <w:rPr>
          <w:rFonts w:ascii="Georgia" w:hAnsi="Georgia"/>
          <w:sz w:val="20"/>
          <w:szCs w:val="20"/>
          <w:lang w:val="lt-LT"/>
        </w:rPr>
      </w:pPr>
    </w:p>
    <w:p w14:paraId="6599E84F" w14:textId="77777777" w:rsidR="0006117A" w:rsidRDefault="0006117A" w:rsidP="0006117A">
      <w:pPr>
        <w:jc w:val="both"/>
        <w:rPr>
          <w:rFonts w:ascii="Georgia" w:hAnsi="Georgia"/>
          <w:sz w:val="20"/>
          <w:szCs w:val="20"/>
          <w:lang w:val="lt-LT"/>
        </w:rPr>
      </w:pPr>
      <w:r>
        <w:rPr>
          <w:rFonts w:ascii="Georgia" w:hAnsi="Georgia"/>
          <w:sz w:val="20"/>
          <w:szCs w:val="20"/>
          <w:lang w:val="lt-LT"/>
        </w:rPr>
        <w:t>Skirtingai nei centrinės valdžios pastatų savininkų skolinimasis, savivaldybių skolinimasis nėra</w:t>
      </w:r>
      <w:r w:rsidRPr="00BC2CB8">
        <w:rPr>
          <w:rFonts w:ascii="Georgia" w:hAnsi="Georgia"/>
          <w:sz w:val="20"/>
          <w:szCs w:val="20"/>
          <w:lang w:val="lt-LT"/>
        </w:rPr>
        <w:t xml:space="preserve"> apribotas teisin</w:t>
      </w:r>
      <w:r>
        <w:rPr>
          <w:rFonts w:ascii="Georgia" w:hAnsi="Georgia"/>
          <w:sz w:val="20"/>
          <w:szCs w:val="20"/>
          <w:lang w:val="lt-LT"/>
        </w:rPr>
        <w:t>ės bazės</w:t>
      </w:r>
      <w:r w:rsidRPr="00BC2CB8">
        <w:rPr>
          <w:rFonts w:ascii="Georgia" w:hAnsi="Georgia"/>
          <w:sz w:val="20"/>
          <w:szCs w:val="20"/>
          <w:lang w:val="lt-LT"/>
        </w:rPr>
        <w:t xml:space="preserve">, </w:t>
      </w:r>
      <w:r>
        <w:rPr>
          <w:rFonts w:ascii="Georgia" w:hAnsi="Georgia"/>
          <w:sz w:val="20"/>
          <w:szCs w:val="20"/>
          <w:lang w:val="lt-LT"/>
        </w:rPr>
        <w:t>tačiau savivaldybių skola yra kontroliuojama, todėl per didelis įsiskolinimas dažnu atveju gali tapti kiūtimi pasiskolinti tam tikrų projektų įgyvendinimui</w:t>
      </w:r>
      <w:r w:rsidRPr="00BC2CB8">
        <w:rPr>
          <w:rFonts w:ascii="Georgia" w:hAnsi="Georgia"/>
          <w:sz w:val="20"/>
          <w:szCs w:val="20"/>
          <w:lang w:val="lt-LT"/>
        </w:rPr>
        <w:t>.</w:t>
      </w:r>
      <w:r>
        <w:rPr>
          <w:rFonts w:ascii="Georgia" w:hAnsi="Georgia"/>
          <w:sz w:val="20"/>
          <w:szCs w:val="20"/>
          <w:lang w:val="lt-LT"/>
        </w:rPr>
        <w:t xml:space="preserve"> Atsižvelgiant į tai, siūlomi</w:t>
      </w:r>
      <w:r w:rsidRPr="00BC2CB8">
        <w:rPr>
          <w:rFonts w:ascii="Georgia" w:hAnsi="Georgia"/>
          <w:sz w:val="20"/>
          <w:szCs w:val="20"/>
          <w:lang w:val="lt-LT"/>
        </w:rPr>
        <w:t xml:space="preserve"> </w:t>
      </w:r>
      <w:r>
        <w:rPr>
          <w:rFonts w:ascii="Georgia" w:hAnsi="Georgia"/>
          <w:sz w:val="20"/>
          <w:szCs w:val="20"/>
          <w:lang w:val="lt-LT"/>
        </w:rPr>
        <w:t xml:space="preserve">keli </w:t>
      </w:r>
      <w:r w:rsidRPr="00BC2CB8">
        <w:rPr>
          <w:rFonts w:ascii="Georgia" w:hAnsi="Georgia"/>
          <w:sz w:val="20"/>
          <w:szCs w:val="20"/>
          <w:lang w:val="lt-LT"/>
        </w:rPr>
        <w:t>scenarijai</w:t>
      </w:r>
      <w:r>
        <w:rPr>
          <w:rFonts w:ascii="Georgia" w:hAnsi="Georgia"/>
          <w:sz w:val="20"/>
          <w:szCs w:val="20"/>
          <w:lang w:val="lt-LT"/>
        </w:rPr>
        <w:t>:</w:t>
      </w:r>
    </w:p>
    <w:p w14:paraId="5C72190E" w14:textId="50F5443E" w:rsidR="0006117A" w:rsidRDefault="0006117A" w:rsidP="0006117A">
      <w:pPr>
        <w:pStyle w:val="Sraopastraipa"/>
        <w:numPr>
          <w:ilvl w:val="0"/>
          <w:numId w:val="96"/>
        </w:numPr>
        <w:jc w:val="both"/>
        <w:rPr>
          <w:rFonts w:ascii="Georgia" w:hAnsi="Georgia"/>
          <w:sz w:val="20"/>
          <w:szCs w:val="20"/>
          <w:lang w:val="lt-LT"/>
        </w:rPr>
      </w:pPr>
      <w:r>
        <w:rPr>
          <w:rFonts w:ascii="Georgia" w:hAnsi="Georgia"/>
          <w:sz w:val="20"/>
          <w:szCs w:val="20"/>
          <w:lang w:val="lt-LT"/>
        </w:rPr>
        <w:t>projektą įgyve</w:t>
      </w:r>
      <w:r w:rsidR="00305A6F">
        <w:rPr>
          <w:rFonts w:ascii="Georgia" w:hAnsi="Georgia"/>
          <w:sz w:val="20"/>
          <w:szCs w:val="20"/>
          <w:lang w:val="lt-LT"/>
        </w:rPr>
        <w:t>ndina ir paskolą ima ESCO įmonė;</w:t>
      </w:r>
    </w:p>
    <w:p w14:paraId="20381FAE" w14:textId="77777777" w:rsidR="0006117A" w:rsidRDefault="0006117A" w:rsidP="0006117A">
      <w:pPr>
        <w:pStyle w:val="Sraopastraipa"/>
        <w:numPr>
          <w:ilvl w:val="0"/>
          <w:numId w:val="96"/>
        </w:numPr>
        <w:jc w:val="both"/>
        <w:rPr>
          <w:rFonts w:ascii="Georgia" w:hAnsi="Georgia"/>
          <w:sz w:val="20"/>
          <w:szCs w:val="20"/>
          <w:lang w:val="lt-LT"/>
        </w:rPr>
      </w:pPr>
      <w:r>
        <w:rPr>
          <w:rFonts w:ascii="Georgia" w:hAnsi="Georgia"/>
          <w:sz w:val="20"/>
          <w:szCs w:val="20"/>
          <w:lang w:val="lt-LT"/>
        </w:rPr>
        <w:t>savivaldybės skolinasi pačios (esant galimybėms);</w:t>
      </w:r>
      <w:r w:rsidRPr="0062724A">
        <w:rPr>
          <w:rFonts w:ascii="Georgia" w:hAnsi="Georgia"/>
          <w:sz w:val="20"/>
          <w:szCs w:val="20"/>
          <w:lang w:val="lt-LT"/>
        </w:rPr>
        <w:t xml:space="preserve"> </w:t>
      </w:r>
    </w:p>
    <w:p w14:paraId="242417C6" w14:textId="77777777" w:rsidR="0006117A" w:rsidRDefault="0006117A" w:rsidP="0006117A">
      <w:pPr>
        <w:pStyle w:val="Sraopastraipa"/>
        <w:numPr>
          <w:ilvl w:val="0"/>
          <w:numId w:val="96"/>
        </w:numPr>
        <w:jc w:val="both"/>
        <w:rPr>
          <w:rFonts w:ascii="Georgia" w:hAnsi="Georgia"/>
          <w:sz w:val="20"/>
          <w:szCs w:val="20"/>
          <w:lang w:val="lt-LT"/>
        </w:rPr>
      </w:pPr>
      <w:r w:rsidRPr="0062724A">
        <w:rPr>
          <w:rFonts w:ascii="Georgia" w:hAnsi="Georgia"/>
          <w:sz w:val="20"/>
          <w:szCs w:val="20"/>
          <w:lang w:val="lt-LT"/>
        </w:rPr>
        <w:t>paskolos teikiamos</w:t>
      </w:r>
      <w:r>
        <w:rPr>
          <w:rFonts w:ascii="Georgia" w:hAnsi="Georgia"/>
          <w:sz w:val="20"/>
          <w:szCs w:val="20"/>
          <w:lang w:val="lt-LT"/>
        </w:rPr>
        <w:t xml:space="preserve"> savivaldybių paskirtiesiems subjektams</w:t>
      </w:r>
      <w:r w:rsidRPr="0062724A">
        <w:rPr>
          <w:rFonts w:ascii="Georgia" w:hAnsi="Georgia"/>
          <w:sz w:val="20"/>
          <w:szCs w:val="20"/>
          <w:lang w:val="lt-LT"/>
        </w:rPr>
        <w:t xml:space="preserve"> savivaldybių naudai</w:t>
      </w:r>
      <w:r>
        <w:rPr>
          <w:rFonts w:ascii="Georgia" w:hAnsi="Georgia"/>
          <w:sz w:val="20"/>
          <w:szCs w:val="20"/>
          <w:lang w:val="lt-LT"/>
        </w:rPr>
        <w:t>.</w:t>
      </w:r>
      <w:r w:rsidRPr="0062724A">
        <w:rPr>
          <w:rFonts w:ascii="Georgia" w:hAnsi="Georgia"/>
          <w:sz w:val="20"/>
          <w:szCs w:val="20"/>
          <w:lang w:val="lt-LT"/>
        </w:rPr>
        <w:t xml:space="preserve"> </w:t>
      </w:r>
    </w:p>
    <w:p w14:paraId="17B0DE4D" w14:textId="77777777" w:rsidR="0006117A" w:rsidRPr="0062724A" w:rsidRDefault="0006117A" w:rsidP="0006117A">
      <w:pPr>
        <w:jc w:val="both"/>
        <w:rPr>
          <w:rFonts w:ascii="Georgia" w:hAnsi="Georgia"/>
          <w:sz w:val="20"/>
          <w:szCs w:val="20"/>
          <w:lang w:val="lt-LT"/>
        </w:rPr>
      </w:pPr>
      <w:r>
        <w:rPr>
          <w:rFonts w:ascii="Georgia" w:hAnsi="Georgia"/>
          <w:sz w:val="20"/>
          <w:szCs w:val="20"/>
          <w:lang w:val="lt-LT"/>
        </w:rPr>
        <w:t>Pažymėtina, kad kiekviena savivaldybė yra atsakinga už tinkamiausio skolinimosi būdo pasirinkimą.</w:t>
      </w:r>
    </w:p>
    <w:p w14:paraId="774CDB81" w14:textId="402E5CB4" w:rsidR="0006117A" w:rsidRPr="00BC2CB8" w:rsidRDefault="0006117A" w:rsidP="0006117A">
      <w:pPr>
        <w:jc w:val="both"/>
        <w:rPr>
          <w:rFonts w:ascii="Georgia" w:hAnsi="Georgia"/>
          <w:sz w:val="20"/>
          <w:szCs w:val="20"/>
          <w:lang w:val="lt-LT"/>
        </w:rPr>
      </w:pPr>
      <w:r>
        <w:rPr>
          <w:rFonts w:ascii="Georgia" w:hAnsi="Georgia"/>
          <w:sz w:val="20"/>
          <w:szCs w:val="20"/>
          <w:lang w:val="lt-LT"/>
        </w:rPr>
        <w:t>Aplinkos</w:t>
      </w:r>
      <w:r w:rsidRPr="00BC2CB8">
        <w:rPr>
          <w:rFonts w:ascii="Georgia" w:hAnsi="Georgia"/>
          <w:sz w:val="20"/>
          <w:szCs w:val="20"/>
          <w:lang w:val="lt-LT"/>
        </w:rPr>
        <w:t xml:space="preserve"> ministerijos asignavimai, numatyti </w:t>
      </w:r>
      <w:r>
        <w:rPr>
          <w:rFonts w:ascii="Georgia" w:hAnsi="Georgia"/>
          <w:sz w:val="20"/>
          <w:szCs w:val="20"/>
          <w:lang w:val="lt-LT"/>
        </w:rPr>
        <w:t xml:space="preserve">savivaldybių </w:t>
      </w:r>
      <w:r w:rsidRPr="00BC2CB8">
        <w:rPr>
          <w:rFonts w:ascii="Georgia" w:hAnsi="Georgia"/>
          <w:sz w:val="20"/>
          <w:szCs w:val="20"/>
          <w:lang w:val="lt-LT"/>
        </w:rPr>
        <w:t xml:space="preserve">viešųjų pastatų modernizavimui 2014-2020 m. periodu, siekia </w:t>
      </w:r>
      <w:r>
        <w:rPr>
          <w:rFonts w:ascii="Georgia" w:hAnsi="Georgia"/>
          <w:sz w:val="20"/>
          <w:szCs w:val="20"/>
          <w:lang w:val="lt-LT"/>
        </w:rPr>
        <w:t>50</w:t>
      </w:r>
      <w:r w:rsidR="00DB7098">
        <w:rPr>
          <w:rFonts w:ascii="Georgia" w:hAnsi="Georgia"/>
          <w:sz w:val="20"/>
          <w:szCs w:val="20"/>
          <w:lang w:val="lt-LT"/>
        </w:rPr>
        <w:t>,7</w:t>
      </w:r>
      <w:r w:rsidRPr="00BC2CB8">
        <w:rPr>
          <w:rFonts w:ascii="Georgia" w:hAnsi="Georgia"/>
          <w:sz w:val="20"/>
          <w:szCs w:val="20"/>
          <w:lang w:val="lt-LT"/>
        </w:rPr>
        <w:t xml:space="preserve"> mln. </w:t>
      </w:r>
      <w:r>
        <w:rPr>
          <w:rFonts w:ascii="Georgia" w:hAnsi="Georgia"/>
          <w:sz w:val="20"/>
          <w:szCs w:val="20"/>
          <w:lang w:val="lt-LT"/>
        </w:rPr>
        <w:t>eurų</w:t>
      </w:r>
      <w:r w:rsidRPr="00BC2CB8">
        <w:rPr>
          <w:rFonts w:ascii="Georgia" w:hAnsi="Georgia"/>
          <w:sz w:val="20"/>
          <w:szCs w:val="20"/>
          <w:lang w:val="lt-LT"/>
        </w:rPr>
        <w:t xml:space="preserve">. Daroma prielaida, jog </w:t>
      </w:r>
      <w:r>
        <w:rPr>
          <w:rFonts w:ascii="Georgia" w:hAnsi="Georgia"/>
          <w:sz w:val="20"/>
          <w:szCs w:val="20"/>
          <w:lang w:val="lt-LT"/>
        </w:rPr>
        <w:t>visi 50</w:t>
      </w:r>
      <w:r w:rsidR="00DB7098">
        <w:rPr>
          <w:rFonts w:ascii="Georgia" w:hAnsi="Georgia"/>
          <w:sz w:val="20"/>
          <w:szCs w:val="20"/>
          <w:lang w:val="lt-LT"/>
        </w:rPr>
        <w:t>,7</w:t>
      </w:r>
      <w:r>
        <w:rPr>
          <w:rFonts w:ascii="Georgia" w:hAnsi="Georgia"/>
          <w:sz w:val="20"/>
          <w:szCs w:val="20"/>
          <w:lang w:val="lt-LT"/>
        </w:rPr>
        <w:t xml:space="preserve"> mln. eurų bus skirti projektams įgyvendinti naudojantis finansinių priemonių pagalba</w:t>
      </w:r>
      <w:r w:rsidRPr="00BC2CB8">
        <w:rPr>
          <w:rFonts w:ascii="Georgia" w:hAnsi="Georgia"/>
          <w:sz w:val="20"/>
          <w:szCs w:val="20"/>
          <w:lang w:val="lt-LT"/>
        </w:rPr>
        <w:t xml:space="preserve">. </w:t>
      </w:r>
      <w:r>
        <w:rPr>
          <w:rFonts w:ascii="Georgia" w:hAnsi="Georgia"/>
          <w:sz w:val="20"/>
          <w:szCs w:val="20"/>
          <w:lang w:val="lt-LT"/>
        </w:rPr>
        <w:t>L</w:t>
      </w:r>
      <w:r w:rsidRPr="00743993">
        <w:rPr>
          <w:rFonts w:ascii="Georgia" w:hAnsi="Georgia"/>
          <w:sz w:val="20"/>
          <w:szCs w:val="20"/>
          <w:lang w:val="lt-LT"/>
        </w:rPr>
        <w:t>ėšų skyrus daugiau arba mažiau proporcingai pasikeis ir modeliuose paskaičiuoti rezultatai</w:t>
      </w:r>
      <w:r>
        <w:rPr>
          <w:rFonts w:ascii="Georgia" w:hAnsi="Georgia"/>
          <w:sz w:val="20"/>
          <w:szCs w:val="20"/>
          <w:lang w:val="lt-LT"/>
        </w:rPr>
        <w:t>.</w:t>
      </w:r>
    </w:p>
    <w:p w14:paraId="5A8DD228" w14:textId="77777777" w:rsidR="0006117A" w:rsidRPr="00BC2CB8" w:rsidRDefault="0006117A" w:rsidP="0006117A">
      <w:pPr>
        <w:jc w:val="both"/>
        <w:rPr>
          <w:rFonts w:ascii="Georgia" w:hAnsi="Georgia"/>
          <w:sz w:val="20"/>
          <w:lang w:val="lt-LT"/>
        </w:rPr>
      </w:pPr>
      <w:r w:rsidRPr="00BC2CB8">
        <w:rPr>
          <w:rFonts w:ascii="Georgia" w:hAnsi="Georgia"/>
          <w:sz w:val="20"/>
          <w:lang w:val="lt-LT"/>
        </w:rPr>
        <w:t>Šiame ex</w:t>
      </w:r>
      <w:r>
        <w:rPr>
          <w:rFonts w:ascii="Georgia" w:hAnsi="Georgia"/>
          <w:sz w:val="20"/>
          <w:lang w:val="lt-LT"/>
        </w:rPr>
        <w:t>-</w:t>
      </w:r>
      <w:r w:rsidRPr="00BC2CB8">
        <w:rPr>
          <w:rFonts w:ascii="Georgia" w:hAnsi="Georgia"/>
          <w:sz w:val="20"/>
          <w:lang w:val="lt-LT"/>
        </w:rPr>
        <w:t xml:space="preserve">ante vertinime bus nagrinėjami šie </w:t>
      </w:r>
      <w:r>
        <w:rPr>
          <w:rFonts w:ascii="Georgia" w:hAnsi="Georgia"/>
          <w:sz w:val="20"/>
          <w:lang w:val="lt-LT"/>
        </w:rPr>
        <w:t xml:space="preserve">savivaldybių </w:t>
      </w:r>
      <w:r w:rsidRPr="00BC2CB8">
        <w:rPr>
          <w:rFonts w:ascii="Georgia" w:hAnsi="Georgia"/>
          <w:sz w:val="20"/>
          <w:lang w:val="lt-LT"/>
        </w:rPr>
        <w:t>viešųjų pastatų modernizavimo finansinės priemonės įgyvendinimo scenarijai:</w:t>
      </w:r>
    </w:p>
    <w:p w14:paraId="0DC430C3" w14:textId="77777777" w:rsidR="0006117A" w:rsidRPr="00BC2CB8" w:rsidRDefault="0006117A" w:rsidP="0006117A">
      <w:pPr>
        <w:pStyle w:val="Sraopastraipa"/>
        <w:numPr>
          <w:ilvl w:val="0"/>
          <w:numId w:val="18"/>
        </w:numPr>
        <w:jc w:val="both"/>
        <w:rPr>
          <w:rFonts w:ascii="Georgia" w:hAnsi="Georgia"/>
          <w:i/>
          <w:sz w:val="20"/>
          <w:szCs w:val="20"/>
          <w:lang w:val="lt-LT"/>
        </w:rPr>
      </w:pPr>
      <w:r w:rsidRPr="00BC2CB8">
        <w:rPr>
          <w:rFonts w:ascii="Georgia" w:hAnsi="Georgia"/>
          <w:i/>
          <w:sz w:val="20"/>
          <w:szCs w:val="20"/>
          <w:lang w:val="lt-LT"/>
        </w:rPr>
        <w:t xml:space="preserve">Scenarijus Nr. 1: </w:t>
      </w:r>
      <w:r>
        <w:rPr>
          <w:rFonts w:ascii="Georgia" w:hAnsi="Georgia"/>
          <w:i/>
          <w:sz w:val="20"/>
          <w:szCs w:val="20"/>
          <w:lang w:val="lt-LT"/>
        </w:rPr>
        <w:t>P</w:t>
      </w:r>
      <w:r w:rsidRPr="00BC2CB8">
        <w:rPr>
          <w:rFonts w:ascii="Georgia" w:hAnsi="Georgia"/>
          <w:i/>
          <w:sz w:val="20"/>
          <w:szCs w:val="20"/>
          <w:lang w:val="lt-LT"/>
        </w:rPr>
        <w:t xml:space="preserve">askolų teikimas </w:t>
      </w:r>
    </w:p>
    <w:p w14:paraId="3A8F4F5B" w14:textId="77777777" w:rsidR="0006117A" w:rsidRDefault="0006117A" w:rsidP="0006117A">
      <w:pPr>
        <w:pStyle w:val="Sraopastraipa"/>
        <w:numPr>
          <w:ilvl w:val="0"/>
          <w:numId w:val="18"/>
        </w:numPr>
        <w:jc w:val="both"/>
        <w:rPr>
          <w:rFonts w:ascii="Georgia" w:hAnsi="Georgia"/>
          <w:i/>
          <w:sz w:val="20"/>
          <w:szCs w:val="20"/>
          <w:lang w:val="lt-LT"/>
        </w:rPr>
      </w:pPr>
      <w:r w:rsidRPr="00BC2CB8">
        <w:rPr>
          <w:rFonts w:ascii="Georgia" w:hAnsi="Georgia"/>
          <w:i/>
          <w:sz w:val="20"/>
          <w:szCs w:val="20"/>
          <w:lang w:val="lt-LT"/>
        </w:rPr>
        <w:t xml:space="preserve">Scenarijus Nr. 2: </w:t>
      </w:r>
      <w:r>
        <w:rPr>
          <w:rFonts w:ascii="Georgia" w:hAnsi="Georgia"/>
          <w:i/>
          <w:sz w:val="20"/>
          <w:szCs w:val="20"/>
          <w:lang w:val="lt-LT"/>
        </w:rPr>
        <w:t>P</w:t>
      </w:r>
      <w:r w:rsidRPr="00BC2CB8">
        <w:rPr>
          <w:rFonts w:ascii="Georgia" w:hAnsi="Georgia"/>
          <w:i/>
          <w:sz w:val="20"/>
          <w:szCs w:val="20"/>
          <w:lang w:val="lt-LT"/>
        </w:rPr>
        <w:t xml:space="preserve">askolų teikimas </w:t>
      </w:r>
      <w:r>
        <w:rPr>
          <w:rFonts w:ascii="Georgia" w:hAnsi="Georgia"/>
          <w:i/>
          <w:sz w:val="20"/>
          <w:szCs w:val="20"/>
          <w:lang w:val="lt-LT"/>
        </w:rPr>
        <w:t>taikant paskolų</w:t>
      </w:r>
      <w:r w:rsidRPr="00BC2CB8">
        <w:rPr>
          <w:rFonts w:ascii="Georgia" w:hAnsi="Georgia"/>
          <w:i/>
          <w:sz w:val="20"/>
          <w:szCs w:val="20"/>
          <w:lang w:val="lt-LT"/>
        </w:rPr>
        <w:t xml:space="preserve"> išpirk</w:t>
      </w:r>
      <w:r>
        <w:rPr>
          <w:rFonts w:ascii="Georgia" w:hAnsi="Georgia"/>
          <w:i/>
          <w:sz w:val="20"/>
          <w:szCs w:val="20"/>
          <w:lang w:val="lt-LT"/>
        </w:rPr>
        <w:t>imą</w:t>
      </w:r>
    </w:p>
    <w:p w14:paraId="26E41779" w14:textId="77777777" w:rsidR="0006117A" w:rsidRPr="002A2E90" w:rsidRDefault="0006117A" w:rsidP="0006117A">
      <w:pPr>
        <w:pStyle w:val="Sraopastraipa"/>
        <w:numPr>
          <w:ilvl w:val="0"/>
          <w:numId w:val="18"/>
        </w:numPr>
        <w:jc w:val="both"/>
        <w:rPr>
          <w:rFonts w:ascii="Georgia" w:hAnsi="Georgia"/>
          <w:i/>
          <w:sz w:val="20"/>
          <w:szCs w:val="20"/>
          <w:lang w:val="lt-LT"/>
        </w:rPr>
      </w:pPr>
      <w:r>
        <w:rPr>
          <w:rFonts w:ascii="Georgia" w:hAnsi="Georgia"/>
          <w:i/>
          <w:sz w:val="20"/>
          <w:szCs w:val="20"/>
          <w:lang w:val="lt-LT"/>
        </w:rPr>
        <w:t xml:space="preserve">Scenarijus Nr. </w:t>
      </w:r>
      <w:r>
        <w:rPr>
          <w:rFonts w:ascii="Georgia" w:hAnsi="Georgia"/>
          <w:i/>
          <w:sz w:val="20"/>
          <w:szCs w:val="20"/>
        </w:rPr>
        <w:t>3</w:t>
      </w:r>
      <w:r>
        <w:rPr>
          <w:rFonts w:ascii="Georgia" w:hAnsi="Georgia"/>
          <w:i/>
          <w:sz w:val="20"/>
          <w:szCs w:val="20"/>
          <w:lang w:val="lt-LT"/>
        </w:rPr>
        <w:t>: Paskolų teikimas taikant asimetrinio rizikos pasidalijimo modelį</w:t>
      </w:r>
    </w:p>
    <w:p w14:paraId="17654664" w14:textId="77777777" w:rsidR="0006117A" w:rsidRDefault="0006117A" w:rsidP="0006117A">
      <w:pPr>
        <w:pStyle w:val="Sraopastraipa"/>
        <w:numPr>
          <w:ilvl w:val="0"/>
          <w:numId w:val="18"/>
        </w:numPr>
        <w:jc w:val="both"/>
        <w:rPr>
          <w:rFonts w:ascii="Georgia" w:hAnsi="Georgia"/>
          <w:i/>
          <w:sz w:val="20"/>
          <w:szCs w:val="20"/>
          <w:lang w:val="lt-LT"/>
        </w:rPr>
      </w:pPr>
      <w:r w:rsidRPr="00BC2CB8">
        <w:rPr>
          <w:rFonts w:ascii="Georgia" w:hAnsi="Georgia"/>
          <w:i/>
          <w:sz w:val="20"/>
          <w:szCs w:val="20"/>
          <w:lang w:val="lt-LT"/>
        </w:rPr>
        <w:t xml:space="preserve">Scenarijus Nr. </w:t>
      </w:r>
      <w:r>
        <w:rPr>
          <w:rFonts w:ascii="Georgia" w:hAnsi="Georgia"/>
          <w:i/>
          <w:sz w:val="20"/>
          <w:szCs w:val="20"/>
          <w:lang w:val="lt-LT"/>
        </w:rPr>
        <w:t>4</w:t>
      </w:r>
      <w:r w:rsidRPr="00BC2CB8">
        <w:rPr>
          <w:rFonts w:ascii="Georgia" w:hAnsi="Georgia"/>
          <w:i/>
          <w:sz w:val="20"/>
          <w:szCs w:val="20"/>
          <w:lang w:val="lt-LT"/>
        </w:rPr>
        <w:t xml:space="preserve">: </w:t>
      </w:r>
      <w:r>
        <w:rPr>
          <w:rFonts w:ascii="Georgia" w:hAnsi="Georgia"/>
          <w:i/>
          <w:sz w:val="20"/>
          <w:szCs w:val="20"/>
          <w:lang w:val="lt-LT"/>
        </w:rPr>
        <w:t>G</w:t>
      </w:r>
      <w:r w:rsidRPr="001C13B5">
        <w:rPr>
          <w:rFonts w:ascii="Georgia" w:hAnsi="Georgia"/>
          <w:i/>
          <w:sz w:val="20"/>
          <w:szCs w:val="20"/>
          <w:lang w:val="lt-LT"/>
        </w:rPr>
        <w:t xml:space="preserve">arantijų </w:t>
      </w:r>
      <w:r>
        <w:rPr>
          <w:rFonts w:ascii="Georgia" w:hAnsi="Georgia"/>
          <w:i/>
          <w:sz w:val="20"/>
          <w:szCs w:val="20"/>
          <w:lang w:val="lt-LT"/>
        </w:rPr>
        <w:t>teikimas</w:t>
      </w:r>
    </w:p>
    <w:p w14:paraId="234A1E1B" w14:textId="71978908" w:rsidR="0006117A" w:rsidRPr="002A2E90" w:rsidRDefault="0006117A" w:rsidP="0006117A">
      <w:pPr>
        <w:jc w:val="both"/>
        <w:rPr>
          <w:rFonts w:ascii="Georgia" w:hAnsi="Georgia"/>
          <w:sz w:val="20"/>
          <w:szCs w:val="20"/>
          <w:lang w:val="lt-LT"/>
        </w:rPr>
      </w:pPr>
      <w:r w:rsidRPr="002A2E90">
        <w:rPr>
          <w:rFonts w:ascii="Georgia" w:hAnsi="Georgia"/>
          <w:sz w:val="20"/>
          <w:szCs w:val="20"/>
          <w:lang w:val="lt-LT"/>
        </w:rPr>
        <w:t>Pasirenkant scenarijus buvo siekiama išlaikyti balansą tarp galimų skirtingų finansinių produktų įvairovės, sukauptos patirties ir kompetencijų įgyvendinant panašias finansines priemones anksčiau, galimybes pritraukti maksimalų kiekį papildomų privačių lėšų bei greitį siekiant</w:t>
      </w:r>
      <w:r w:rsidR="005B69FE">
        <w:rPr>
          <w:rFonts w:ascii="Georgia" w:hAnsi="Georgia"/>
          <w:sz w:val="20"/>
          <w:szCs w:val="20"/>
          <w:lang w:val="lt-LT"/>
        </w:rPr>
        <w:t xml:space="preserve"> užtikrinti atitiktį Energijos e</w:t>
      </w:r>
      <w:r w:rsidRPr="002A2E90">
        <w:rPr>
          <w:rFonts w:ascii="Georgia" w:hAnsi="Georgia"/>
          <w:sz w:val="20"/>
          <w:szCs w:val="20"/>
          <w:lang w:val="lt-LT"/>
        </w:rPr>
        <w:t>fektyvumo direktyvos reikalavimams.</w:t>
      </w:r>
    </w:p>
    <w:p w14:paraId="6D71B8FD" w14:textId="13D9CD98" w:rsidR="0006117A" w:rsidRDefault="0006117A" w:rsidP="0006117A">
      <w:pPr>
        <w:jc w:val="both"/>
        <w:rPr>
          <w:rFonts w:ascii="Georgia" w:hAnsi="Georgia"/>
          <w:sz w:val="20"/>
          <w:szCs w:val="20"/>
          <w:lang w:val="lt-LT"/>
        </w:rPr>
      </w:pPr>
      <w:r w:rsidRPr="00BC2CB8">
        <w:rPr>
          <w:rFonts w:ascii="Georgia" w:hAnsi="Georgia"/>
          <w:sz w:val="20"/>
          <w:szCs w:val="20"/>
          <w:lang w:val="lt-LT"/>
        </w:rPr>
        <w:t xml:space="preserve">Subsidijos poreikio analizėje </w:t>
      </w:r>
      <w:r w:rsidR="00305A6F">
        <w:rPr>
          <w:rFonts w:ascii="Georgia" w:hAnsi="Georgia"/>
          <w:sz w:val="20"/>
          <w:szCs w:val="20"/>
          <w:lang w:val="lt-LT"/>
        </w:rPr>
        <w:t>(4.1.3</w:t>
      </w:r>
      <w:r w:rsidRPr="002A0E6E">
        <w:rPr>
          <w:rFonts w:ascii="Georgia" w:hAnsi="Georgia"/>
          <w:sz w:val="20"/>
          <w:szCs w:val="20"/>
          <w:lang w:val="lt-LT"/>
        </w:rPr>
        <w:t xml:space="preserve"> </w:t>
      </w:r>
      <w:r w:rsidRPr="002A2E90">
        <w:rPr>
          <w:rFonts w:ascii="Georgia" w:hAnsi="Georgia"/>
          <w:sz w:val="20"/>
          <w:szCs w:val="20"/>
          <w:lang w:val="lt-LT"/>
        </w:rPr>
        <w:t>skyriuje</w:t>
      </w:r>
      <w:r w:rsidRPr="002A0E6E">
        <w:rPr>
          <w:rFonts w:ascii="Georgia" w:hAnsi="Georgia"/>
          <w:sz w:val="20"/>
          <w:szCs w:val="20"/>
          <w:lang w:val="lt-LT"/>
        </w:rPr>
        <w:t>)</w:t>
      </w:r>
      <w:r w:rsidRPr="002A2E90">
        <w:rPr>
          <w:rFonts w:ascii="Georgia" w:hAnsi="Georgia"/>
          <w:color w:val="FF0000"/>
          <w:sz w:val="20"/>
          <w:szCs w:val="20"/>
          <w:lang w:val="lt-LT"/>
        </w:rPr>
        <w:t xml:space="preserve"> </w:t>
      </w:r>
      <w:r w:rsidRPr="00BC2CB8">
        <w:rPr>
          <w:rFonts w:ascii="Georgia" w:hAnsi="Georgia"/>
          <w:sz w:val="20"/>
          <w:szCs w:val="20"/>
          <w:lang w:val="lt-LT"/>
        </w:rPr>
        <w:t xml:space="preserve">nustatyta, jog viešųjų pastatų modernizavimo projektams reikalinga </w:t>
      </w:r>
      <w:r>
        <w:rPr>
          <w:rFonts w:ascii="Georgia" w:hAnsi="Georgia"/>
          <w:sz w:val="20"/>
          <w:szCs w:val="20"/>
        </w:rPr>
        <w:t>4</w:t>
      </w:r>
      <w:r w:rsidRPr="00BC2CB8">
        <w:rPr>
          <w:rFonts w:ascii="Georgia" w:hAnsi="Georgia"/>
          <w:sz w:val="20"/>
          <w:szCs w:val="20"/>
          <w:lang w:val="lt-LT"/>
        </w:rPr>
        <w:t>0 proc. subsidija</w:t>
      </w:r>
      <w:r>
        <w:rPr>
          <w:rFonts w:ascii="Georgia" w:hAnsi="Georgia"/>
          <w:sz w:val="20"/>
          <w:szCs w:val="20"/>
          <w:lang w:val="lt-LT"/>
        </w:rPr>
        <w:t xml:space="preserve"> (siekiant, kad projektų atsiperkamumas būtų apie 2</w:t>
      </w:r>
      <w:r>
        <w:rPr>
          <w:rFonts w:ascii="Georgia" w:hAnsi="Georgia"/>
          <w:sz w:val="20"/>
          <w:szCs w:val="20"/>
        </w:rPr>
        <w:t>5</w:t>
      </w:r>
      <w:r>
        <w:rPr>
          <w:rFonts w:ascii="Georgia" w:hAnsi="Georgia"/>
          <w:sz w:val="20"/>
          <w:szCs w:val="20"/>
          <w:lang w:val="lt-LT"/>
        </w:rPr>
        <w:t xml:space="preserve"> metus)</w:t>
      </w:r>
      <w:r w:rsidRPr="00BC2CB8">
        <w:rPr>
          <w:rFonts w:ascii="Georgia" w:hAnsi="Georgia"/>
          <w:sz w:val="20"/>
          <w:szCs w:val="20"/>
          <w:lang w:val="lt-LT"/>
        </w:rPr>
        <w:t>.</w:t>
      </w:r>
      <w:r>
        <w:rPr>
          <w:rFonts w:ascii="Georgia" w:hAnsi="Georgia"/>
          <w:sz w:val="20"/>
          <w:szCs w:val="20"/>
          <w:lang w:val="lt-LT"/>
        </w:rPr>
        <w:t xml:space="preserve"> </w:t>
      </w:r>
      <w:r>
        <w:rPr>
          <w:rFonts w:ascii="Georgia" w:hAnsi="Georgia"/>
          <w:sz w:val="20"/>
          <w:szCs w:val="20"/>
          <w:lang w:val="lt-LT"/>
        </w:rPr>
        <w:lastRenderedPageBreak/>
        <w:t>Vadovaujantis Bendrųjų nuostatų reglamento nuostatomis, subsidija projektui derinant su finansine priemone gali būti teikiama arba kaip subsidija projekto daliai, arba teikiama finansinės priemonės apimtyje techninės pagalbos arba palūkanų kompensavimo forma.</w:t>
      </w:r>
      <w:r w:rsidRPr="00BC2CB8">
        <w:rPr>
          <w:rFonts w:ascii="Georgia" w:hAnsi="Georgia"/>
          <w:sz w:val="20"/>
          <w:szCs w:val="20"/>
          <w:lang w:val="lt-LT"/>
        </w:rPr>
        <w:t xml:space="preserve"> </w:t>
      </w:r>
      <w:r>
        <w:rPr>
          <w:rFonts w:ascii="Georgia" w:hAnsi="Georgia"/>
          <w:sz w:val="20"/>
          <w:lang w:val="lt-LT"/>
        </w:rPr>
        <w:t xml:space="preserve">Tačiau remiantis EK gairėmis dėl finansinių priemonių įgyvendinimo, nėra galimybės galutinių naudos gavėjų lygmenyje teikti palūkanų kompensaciją arba kompensuoti techninės pagalbos išlaidas, todėl šiame išankstiniame vertinime subsidijos teikimo elementas nėra vertinamas. Ateityje atsiradus galimybei teikti subsidiją iš kitų šaltinių rekomenduojama teikti subsidiją iki 40 proc. </w:t>
      </w:r>
    </w:p>
    <w:p w14:paraId="3ED2B12E" w14:textId="77777777" w:rsidR="0006117A" w:rsidRDefault="0006117A" w:rsidP="0006117A">
      <w:pPr>
        <w:pStyle w:val="Antrat"/>
        <w:rPr>
          <w:rFonts w:eastAsiaTheme="minorHAnsi" w:cstheme="minorBidi"/>
          <w:b w:val="0"/>
          <w:bCs w:val="0"/>
          <w:color w:val="auto"/>
          <w:szCs w:val="22"/>
          <w:lang w:val="lt-LT"/>
        </w:rPr>
      </w:pPr>
      <w:r w:rsidRPr="00325DBB">
        <w:rPr>
          <w:rFonts w:eastAsiaTheme="minorHAnsi" w:cstheme="minorBidi"/>
          <w:b w:val="0"/>
          <w:bCs w:val="0"/>
          <w:color w:val="auto"/>
          <w:szCs w:val="22"/>
          <w:lang w:val="lt-LT"/>
        </w:rPr>
        <w:t xml:space="preserve">Žemiau pateiktas prielaidų apibendrinimas visiems keturiems toliau nagrinėjamiems finansinės priemonės, naudojamos </w:t>
      </w:r>
      <w:r>
        <w:rPr>
          <w:rFonts w:eastAsiaTheme="minorHAnsi" w:cstheme="minorBidi"/>
          <w:b w:val="0"/>
          <w:bCs w:val="0"/>
          <w:color w:val="auto"/>
          <w:szCs w:val="22"/>
          <w:lang w:val="lt-LT"/>
        </w:rPr>
        <w:t>savivaldybių</w:t>
      </w:r>
      <w:r w:rsidRPr="00325DBB">
        <w:rPr>
          <w:rFonts w:eastAsiaTheme="minorHAnsi" w:cstheme="minorBidi"/>
          <w:b w:val="0"/>
          <w:bCs w:val="0"/>
          <w:color w:val="auto"/>
          <w:szCs w:val="22"/>
          <w:lang w:val="lt-LT"/>
        </w:rPr>
        <w:t xml:space="preserve"> viešųjų pastatų sektoriuje, scenarijams. </w:t>
      </w:r>
    </w:p>
    <w:p w14:paraId="33E40183" w14:textId="0EAE62FA" w:rsidR="0006117A" w:rsidRPr="00EB3D2A" w:rsidRDefault="0006117A" w:rsidP="0006117A">
      <w:pPr>
        <w:pStyle w:val="Antrat"/>
        <w:rPr>
          <w:b w:val="0"/>
          <w:i/>
          <w:szCs w:val="20"/>
          <w:lang w:val="lt-LT"/>
        </w:rPr>
      </w:pPr>
      <w:bookmarkStart w:id="230" w:name="_Toc507939197"/>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75</w:t>
      </w:r>
      <w:r w:rsidRPr="00EB3D2A">
        <w:rPr>
          <w:b w:val="0"/>
          <w:i/>
          <w:lang w:val="lt-LT"/>
        </w:rPr>
        <w:fldChar w:fldCharType="end"/>
      </w:r>
      <w:r w:rsidRPr="00EB3D2A">
        <w:rPr>
          <w:b w:val="0"/>
          <w:i/>
          <w:lang w:val="lt-LT"/>
        </w:rPr>
        <w:t xml:space="preserve">. Savivaldybės viešųjų pastatų scenarijų </w:t>
      </w:r>
      <w:r w:rsidRPr="00EB3D2A">
        <w:rPr>
          <w:b w:val="0"/>
          <w:i/>
          <w:szCs w:val="20"/>
          <w:lang w:val="lt-LT"/>
        </w:rPr>
        <w:t>prielaidos</w:t>
      </w:r>
      <w:bookmarkEnd w:id="230"/>
    </w:p>
    <w:tbl>
      <w:tblPr>
        <w:tblStyle w:val="ListTable3-Accent21"/>
        <w:tblW w:w="9180" w:type="dxa"/>
        <w:tblLayout w:type="fixed"/>
        <w:tblLook w:val="04A0" w:firstRow="1" w:lastRow="0" w:firstColumn="1" w:lastColumn="0" w:noHBand="0" w:noVBand="1"/>
      </w:tblPr>
      <w:tblGrid>
        <w:gridCol w:w="1949"/>
        <w:gridCol w:w="3653"/>
        <w:gridCol w:w="313"/>
        <w:gridCol w:w="581"/>
        <w:gridCol w:w="235"/>
        <w:gridCol w:w="660"/>
        <w:gridCol w:w="156"/>
        <w:gridCol w:w="738"/>
        <w:gridCol w:w="78"/>
        <w:gridCol w:w="817"/>
      </w:tblGrid>
      <w:tr w:rsidR="0006117A" w:rsidRPr="00236FA1" w14:paraId="0C811F48" w14:textId="77777777" w:rsidTr="00236FA1">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1949" w:type="dxa"/>
            <w:hideMark/>
          </w:tcPr>
          <w:p w14:paraId="4D1AC339" w14:textId="77777777" w:rsidR="0006117A" w:rsidRPr="00236FA1" w:rsidRDefault="0006117A" w:rsidP="00236FA1">
            <w:pPr>
              <w:rPr>
                <w:rFonts w:ascii="Georgia" w:hAnsi="Georgia"/>
                <w:sz w:val="20"/>
                <w:szCs w:val="20"/>
              </w:rPr>
            </w:pPr>
            <w:r w:rsidRPr="00236FA1">
              <w:rPr>
                <w:rFonts w:ascii="Georgia" w:hAnsi="Georgia"/>
                <w:sz w:val="20"/>
                <w:szCs w:val="20"/>
              </w:rPr>
              <w:t xml:space="preserve">Prielaidos </w:t>
            </w:r>
          </w:p>
        </w:tc>
        <w:tc>
          <w:tcPr>
            <w:tcW w:w="3966" w:type="dxa"/>
            <w:gridSpan w:val="2"/>
            <w:hideMark/>
          </w:tcPr>
          <w:p w14:paraId="16C04A3C" w14:textId="77777777" w:rsidR="0006117A" w:rsidRPr="00236FA1" w:rsidRDefault="0006117A" w:rsidP="00236FA1">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Komentaras </w:t>
            </w:r>
          </w:p>
        </w:tc>
        <w:tc>
          <w:tcPr>
            <w:tcW w:w="816" w:type="dxa"/>
            <w:gridSpan w:val="2"/>
            <w:hideMark/>
          </w:tcPr>
          <w:p w14:paraId="69ECA22E" w14:textId="77777777" w:rsidR="0006117A" w:rsidRPr="00236FA1" w:rsidRDefault="0006117A" w:rsidP="00236FA1">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Nr. 1</w:t>
            </w:r>
          </w:p>
        </w:tc>
        <w:tc>
          <w:tcPr>
            <w:tcW w:w="816" w:type="dxa"/>
            <w:gridSpan w:val="2"/>
            <w:hideMark/>
          </w:tcPr>
          <w:p w14:paraId="3616BC5E" w14:textId="77777777" w:rsidR="0006117A" w:rsidRPr="00236FA1" w:rsidRDefault="0006117A" w:rsidP="00236FA1">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Nr. 2</w:t>
            </w:r>
          </w:p>
        </w:tc>
        <w:tc>
          <w:tcPr>
            <w:tcW w:w="816" w:type="dxa"/>
            <w:gridSpan w:val="2"/>
            <w:hideMark/>
          </w:tcPr>
          <w:p w14:paraId="21452D14" w14:textId="77777777" w:rsidR="0006117A" w:rsidRPr="00236FA1" w:rsidRDefault="0006117A" w:rsidP="00236FA1">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Nr. 3</w:t>
            </w:r>
          </w:p>
        </w:tc>
        <w:tc>
          <w:tcPr>
            <w:tcW w:w="817" w:type="dxa"/>
            <w:hideMark/>
          </w:tcPr>
          <w:p w14:paraId="75DF2451" w14:textId="77777777" w:rsidR="0006117A" w:rsidRPr="00236FA1" w:rsidRDefault="0006117A" w:rsidP="00236FA1">
            <w:pP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Nr.4</w:t>
            </w:r>
          </w:p>
        </w:tc>
      </w:tr>
      <w:tr w:rsidR="0006117A" w:rsidRPr="00236FA1" w14:paraId="057764EB" w14:textId="77777777" w:rsidTr="00236FA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949" w:type="dxa"/>
            <w:hideMark/>
          </w:tcPr>
          <w:p w14:paraId="5099B757" w14:textId="10BAA997" w:rsidR="0006117A" w:rsidRPr="00236FA1" w:rsidRDefault="0006117A" w:rsidP="00236FA1">
            <w:pPr>
              <w:rPr>
                <w:rFonts w:ascii="Georgia" w:hAnsi="Georgia"/>
                <w:sz w:val="20"/>
                <w:szCs w:val="20"/>
              </w:rPr>
            </w:pPr>
            <w:r w:rsidRPr="00236FA1">
              <w:rPr>
                <w:rFonts w:ascii="Georgia" w:hAnsi="Georgia"/>
                <w:sz w:val="20"/>
                <w:szCs w:val="20"/>
              </w:rPr>
              <w:t xml:space="preserve">Investuojamų ESI lėšų suma į fondą, mln. Eurų </w:t>
            </w:r>
          </w:p>
        </w:tc>
        <w:tc>
          <w:tcPr>
            <w:tcW w:w="3966" w:type="dxa"/>
            <w:gridSpan w:val="2"/>
            <w:hideMark/>
          </w:tcPr>
          <w:p w14:paraId="341B6890"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Daroma prielaida, jog savivaldybių pastatų renovacijai skirtos lėšos – 50,7 mln. eurų – bus skirtos paskolų/garantinei finansinei priemonei. </w:t>
            </w:r>
          </w:p>
        </w:tc>
        <w:tc>
          <w:tcPr>
            <w:tcW w:w="816" w:type="dxa"/>
            <w:gridSpan w:val="2"/>
            <w:noWrap/>
            <w:hideMark/>
          </w:tcPr>
          <w:p w14:paraId="1A871BA1"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50,7</w:t>
            </w:r>
          </w:p>
        </w:tc>
        <w:tc>
          <w:tcPr>
            <w:tcW w:w="816" w:type="dxa"/>
            <w:gridSpan w:val="2"/>
            <w:noWrap/>
            <w:hideMark/>
          </w:tcPr>
          <w:p w14:paraId="4C3BB59F"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50,7</w:t>
            </w:r>
          </w:p>
        </w:tc>
        <w:tc>
          <w:tcPr>
            <w:tcW w:w="816" w:type="dxa"/>
            <w:gridSpan w:val="2"/>
            <w:noWrap/>
            <w:hideMark/>
          </w:tcPr>
          <w:p w14:paraId="29B36F34"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50,7</w:t>
            </w:r>
          </w:p>
        </w:tc>
        <w:tc>
          <w:tcPr>
            <w:tcW w:w="817" w:type="dxa"/>
            <w:noWrap/>
            <w:hideMark/>
          </w:tcPr>
          <w:p w14:paraId="63BDDA95"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50,7</w:t>
            </w:r>
          </w:p>
        </w:tc>
      </w:tr>
      <w:tr w:rsidR="0006117A" w:rsidRPr="00236FA1" w14:paraId="316329C0" w14:textId="77777777" w:rsidTr="00236FA1">
        <w:trPr>
          <w:trHeight w:val="2565"/>
        </w:trPr>
        <w:tc>
          <w:tcPr>
            <w:cnfStyle w:val="001000000000" w:firstRow="0" w:lastRow="0" w:firstColumn="1" w:lastColumn="0" w:oddVBand="0" w:evenVBand="0" w:oddHBand="0" w:evenHBand="0" w:firstRowFirstColumn="0" w:firstRowLastColumn="0" w:lastRowFirstColumn="0" w:lastRowLastColumn="0"/>
            <w:tcW w:w="1949" w:type="dxa"/>
            <w:hideMark/>
          </w:tcPr>
          <w:p w14:paraId="5067363B" w14:textId="77777777" w:rsidR="0006117A" w:rsidRPr="00236FA1" w:rsidRDefault="0006117A" w:rsidP="00236FA1">
            <w:pPr>
              <w:rPr>
                <w:rFonts w:ascii="Georgia" w:hAnsi="Georgia"/>
                <w:sz w:val="20"/>
                <w:szCs w:val="20"/>
              </w:rPr>
            </w:pPr>
            <w:r w:rsidRPr="00236FA1">
              <w:rPr>
                <w:rFonts w:ascii="Georgia" w:hAnsi="Georgia"/>
                <w:sz w:val="20"/>
                <w:szCs w:val="20"/>
              </w:rPr>
              <w:t xml:space="preserve">Tipinio viešojo pastato projekto investicijų vertė, mln. eurų </w:t>
            </w:r>
          </w:p>
        </w:tc>
        <w:tc>
          <w:tcPr>
            <w:tcW w:w="3966" w:type="dxa"/>
            <w:gridSpan w:val="2"/>
            <w:hideMark/>
          </w:tcPr>
          <w:p w14:paraId="22984B61"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 remiantis ENEF valdytojui pateiktomis paraiškomis.</w:t>
            </w:r>
          </w:p>
        </w:tc>
        <w:tc>
          <w:tcPr>
            <w:tcW w:w="816" w:type="dxa"/>
            <w:gridSpan w:val="2"/>
            <w:noWrap/>
            <w:hideMark/>
          </w:tcPr>
          <w:p w14:paraId="479088D4"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0,308</w:t>
            </w:r>
          </w:p>
        </w:tc>
        <w:tc>
          <w:tcPr>
            <w:tcW w:w="816" w:type="dxa"/>
            <w:gridSpan w:val="2"/>
            <w:noWrap/>
            <w:hideMark/>
          </w:tcPr>
          <w:p w14:paraId="0EDDF686"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0,308</w:t>
            </w:r>
          </w:p>
        </w:tc>
        <w:tc>
          <w:tcPr>
            <w:tcW w:w="816" w:type="dxa"/>
            <w:gridSpan w:val="2"/>
            <w:noWrap/>
            <w:hideMark/>
          </w:tcPr>
          <w:p w14:paraId="74472D6C"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0,308</w:t>
            </w:r>
          </w:p>
        </w:tc>
        <w:tc>
          <w:tcPr>
            <w:tcW w:w="817" w:type="dxa"/>
            <w:noWrap/>
            <w:hideMark/>
          </w:tcPr>
          <w:p w14:paraId="69A671A8"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0,308</w:t>
            </w:r>
          </w:p>
        </w:tc>
      </w:tr>
      <w:tr w:rsidR="0006117A" w:rsidRPr="00236FA1" w14:paraId="3E93DD3F" w14:textId="77777777" w:rsidTr="00236FA1">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1949" w:type="dxa"/>
            <w:hideMark/>
          </w:tcPr>
          <w:p w14:paraId="44457DEC" w14:textId="51EEB8A7" w:rsidR="0006117A" w:rsidRPr="00236FA1" w:rsidRDefault="0006117A" w:rsidP="00236FA1">
            <w:pPr>
              <w:rPr>
                <w:rFonts w:ascii="Georgia" w:hAnsi="Georgia"/>
                <w:sz w:val="20"/>
                <w:szCs w:val="20"/>
              </w:rPr>
            </w:pPr>
            <w:r w:rsidRPr="00236FA1">
              <w:rPr>
                <w:rFonts w:ascii="Georgia" w:hAnsi="Georgia"/>
                <w:sz w:val="20"/>
                <w:szCs w:val="20"/>
              </w:rPr>
              <w:t xml:space="preserve">Siektinas įgyvendinti projektų skaičius iki 2023 m., kv.m. </w:t>
            </w:r>
          </w:p>
        </w:tc>
        <w:tc>
          <w:tcPr>
            <w:tcW w:w="3966" w:type="dxa"/>
            <w:gridSpan w:val="2"/>
            <w:hideMark/>
          </w:tcPr>
          <w:p w14:paraId="38FC920A"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Daroma prielaida, kad 2018 metais bus įgyvendinta 25 projektai (konservatyvi prielaida įvertinant laiką reikalingą procesui įsibėgėti)  o nuo 2019 metų įsibėgėjus procesui - po 100 savivaldybėms priklausančių pastatų. Įgyvendinamų projektų skaičius modelyje yra apribotas fonde likusių lėšų dydžiu.</w:t>
            </w:r>
          </w:p>
        </w:tc>
        <w:tc>
          <w:tcPr>
            <w:tcW w:w="816" w:type="dxa"/>
            <w:gridSpan w:val="2"/>
            <w:noWrap/>
          </w:tcPr>
          <w:p w14:paraId="4C7B522A" w14:textId="12B2934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w:t>
            </w:r>
            <w:r w:rsidR="00527059">
              <w:rPr>
                <w:rFonts w:ascii="Georgia" w:hAnsi="Georgia"/>
                <w:sz w:val="20"/>
                <w:szCs w:val="20"/>
              </w:rPr>
              <w:t>25</w:t>
            </w:r>
          </w:p>
        </w:tc>
        <w:tc>
          <w:tcPr>
            <w:tcW w:w="816" w:type="dxa"/>
            <w:gridSpan w:val="2"/>
            <w:noWrap/>
          </w:tcPr>
          <w:p w14:paraId="320BE881" w14:textId="67C8BC18" w:rsidR="0006117A" w:rsidRPr="00236FA1" w:rsidRDefault="0006117A" w:rsidP="00527059">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w:t>
            </w:r>
            <w:r w:rsidR="00527059">
              <w:rPr>
                <w:rFonts w:ascii="Georgia" w:hAnsi="Georgia"/>
                <w:sz w:val="20"/>
                <w:szCs w:val="20"/>
              </w:rPr>
              <w:t>25</w:t>
            </w:r>
          </w:p>
        </w:tc>
        <w:tc>
          <w:tcPr>
            <w:tcW w:w="816" w:type="dxa"/>
            <w:gridSpan w:val="2"/>
            <w:noWrap/>
          </w:tcPr>
          <w:p w14:paraId="0DE36F23" w14:textId="1AE4D27E" w:rsidR="0006117A" w:rsidRPr="00236FA1" w:rsidRDefault="00527059" w:rsidP="00527059">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w:t>
            </w:r>
            <w:r>
              <w:rPr>
                <w:rFonts w:ascii="Georgia" w:hAnsi="Georgia"/>
                <w:sz w:val="20"/>
                <w:szCs w:val="20"/>
              </w:rPr>
              <w:t>25</w:t>
            </w:r>
          </w:p>
        </w:tc>
        <w:tc>
          <w:tcPr>
            <w:tcW w:w="817" w:type="dxa"/>
            <w:noWrap/>
          </w:tcPr>
          <w:p w14:paraId="692B561F" w14:textId="576BE338" w:rsidR="0006117A" w:rsidRPr="00236FA1" w:rsidRDefault="00527059" w:rsidP="00527059">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w:t>
            </w:r>
            <w:r>
              <w:rPr>
                <w:rFonts w:ascii="Georgia" w:hAnsi="Georgia"/>
                <w:sz w:val="20"/>
                <w:szCs w:val="20"/>
              </w:rPr>
              <w:t>25</w:t>
            </w:r>
          </w:p>
        </w:tc>
      </w:tr>
      <w:tr w:rsidR="0006117A" w:rsidRPr="00236FA1" w14:paraId="16FACEC1" w14:textId="77777777" w:rsidTr="00236FA1">
        <w:trPr>
          <w:trHeight w:val="780"/>
        </w:trPr>
        <w:tc>
          <w:tcPr>
            <w:cnfStyle w:val="001000000000" w:firstRow="0" w:lastRow="0" w:firstColumn="1" w:lastColumn="0" w:oddVBand="0" w:evenVBand="0" w:oddHBand="0" w:evenHBand="0" w:firstRowFirstColumn="0" w:firstRowLastColumn="0" w:lastRowFirstColumn="0" w:lastRowLastColumn="0"/>
            <w:tcW w:w="1949" w:type="dxa"/>
            <w:hideMark/>
          </w:tcPr>
          <w:p w14:paraId="499B88A3" w14:textId="3C85B485" w:rsidR="0006117A" w:rsidRPr="00236FA1" w:rsidRDefault="0006117A" w:rsidP="00236FA1">
            <w:pPr>
              <w:rPr>
                <w:rFonts w:ascii="Georgia" w:hAnsi="Georgia"/>
                <w:sz w:val="20"/>
                <w:szCs w:val="20"/>
              </w:rPr>
            </w:pPr>
            <w:r w:rsidRPr="00236FA1">
              <w:rPr>
                <w:rFonts w:ascii="Georgia" w:hAnsi="Georgia"/>
                <w:sz w:val="20"/>
                <w:szCs w:val="20"/>
              </w:rPr>
              <w:t xml:space="preserve">Paskolos laikotarpis, metais </w:t>
            </w:r>
          </w:p>
        </w:tc>
        <w:tc>
          <w:tcPr>
            <w:tcW w:w="3966" w:type="dxa"/>
            <w:gridSpan w:val="2"/>
            <w:hideMark/>
          </w:tcPr>
          <w:p w14:paraId="6ED5AB61"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Maksimalus paskolos sutarties terminas  </w:t>
            </w:r>
          </w:p>
        </w:tc>
        <w:tc>
          <w:tcPr>
            <w:tcW w:w="816" w:type="dxa"/>
            <w:gridSpan w:val="2"/>
            <w:noWrap/>
            <w:hideMark/>
          </w:tcPr>
          <w:p w14:paraId="161CA419"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6" w:type="dxa"/>
            <w:gridSpan w:val="2"/>
            <w:noWrap/>
            <w:hideMark/>
          </w:tcPr>
          <w:p w14:paraId="63D0104C"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6" w:type="dxa"/>
            <w:gridSpan w:val="2"/>
            <w:noWrap/>
            <w:hideMark/>
          </w:tcPr>
          <w:p w14:paraId="400E1CCF"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7" w:type="dxa"/>
            <w:noWrap/>
            <w:hideMark/>
          </w:tcPr>
          <w:p w14:paraId="78740BEF"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r>
      <w:tr w:rsidR="0006117A" w:rsidRPr="00236FA1" w14:paraId="3F546B99" w14:textId="77777777" w:rsidTr="00236FA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49" w:type="dxa"/>
            <w:hideMark/>
          </w:tcPr>
          <w:p w14:paraId="2EDA9091" w14:textId="246E8F6F" w:rsidR="0006117A" w:rsidRPr="00236FA1" w:rsidRDefault="0006117A" w:rsidP="00236FA1">
            <w:pPr>
              <w:rPr>
                <w:rFonts w:ascii="Georgia" w:hAnsi="Georgia"/>
                <w:sz w:val="20"/>
                <w:szCs w:val="20"/>
              </w:rPr>
            </w:pPr>
            <w:r w:rsidRPr="00236FA1">
              <w:rPr>
                <w:rFonts w:ascii="Georgia" w:hAnsi="Georgia"/>
                <w:sz w:val="20"/>
                <w:szCs w:val="20"/>
              </w:rPr>
              <w:t xml:space="preserve">Nurašytų paskolų dalis, pr0c. </w:t>
            </w:r>
          </w:p>
        </w:tc>
        <w:tc>
          <w:tcPr>
            <w:tcW w:w="3966" w:type="dxa"/>
            <w:gridSpan w:val="2"/>
            <w:hideMark/>
          </w:tcPr>
          <w:p w14:paraId="11E8C4F9"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Nurašytų paskolų dalis buvo nustatyta remiantis ekspertų ir komercinių bankų vertinimu.  </w:t>
            </w:r>
          </w:p>
        </w:tc>
        <w:tc>
          <w:tcPr>
            <w:tcW w:w="816" w:type="dxa"/>
            <w:gridSpan w:val="2"/>
            <w:noWrap/>
            <w:hideMark/>
          </w:tcPr>
          <w:p w14:paraId="29D94413"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w:t>
            </w:r>
          </w:p>
        </w:tc>
        <w:tc>
          <w:tcPr>
            <w:tcW w:w="816" w:type="dxa"/>
            <w:gridSpan w:val="2"/>
            <w:noWrap/>
            <w:hideMark/>
          </w:tcPr>
          <w:p w14:paraId="0F15488C"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w:t>
            </w:r>
          </w:p>
        </w:tc>
        <w:tc>
          <w:tcPr>
            <w:tcW w:w="816" w:type="dxa"/>
            <w:gridSpan w:val="2"/>
            <w:noWrap/>
            <w:hideMark/>
          </w:tcPr>
          <w:p w14:paraId="3E8CECD0"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w:t>
            </w:r>
          </w:p>
        </w:tc>
        <w:tc>
          <w:tcPr>
            <w:tcW w:w="817" w:type="dxa"/>
            <w:noWrap/>
            <w:hideMark/>
          </w:tcPr>
          <w:p w14:paraId="3F65CC1E"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w:t>
            </w:r>
          </w:p>
        </w:tc>
      </w:tr>
      <w:tr w:rsidR="0006117A" w:rsidRPr="00236FA1" w14:paraId="79EBAB4A" w14:textId="77777777" w:rsidTr="00236FA1">
        <w:trPr>
          <w:trHeight w:val="557"/>
        </w:trPr>
        <w:tc>
          <w:tcPr>
            <w:cnfStyle w:val="001000000000" w:firstRow="0" w:lastRow="0" w:firstColumn="1" w:lastColumn="0" w:oddVBand="0" w:evenVBand="0" w:oddHBand="0" w:evenHBand="0" w:firstRowFirstColumn="0" w:firstRowLastColumn="0" w:lastRowFirstColumn="0" w:lastRowLastColumn="0"/>
            <w:tcW w:w="1949" w:type="dxa"/>
            <w:hideMark/>
          </w:tcPr>
          <w:p w14:paraId="24B0981D" w14:textId="750D775D" w:rsidR="0006117A" w:rsidRPr="00236FA1" w:rsidRDefault="0006117A" w:rsidP="00236FA1">
            <w:pPr>
              <w:rPr>
                <w:rFonts w:ascii="Georgia" w:hAnsi="Georgia"/>
                <w:sz w:val="20"/>
                <w:szCs w:val="20"/>
              </w:rPr>
            </w:pPr>
            <w:r w:rsidRPr="00236FA1">
              <w:rPr>
                <w:rFonts w:ascii="Georgia" w:hAnsi="Georgia"/>
                <w:sz w:val="20"/>
                <w:szCs w:val="20"/>
              </w:rPr>
              <w:t xml:space="preserve">Paskolų palūkanų norma, proc. palūkanų maržos </w:t>
            </w:r>
          </w:p>
        </w:tc>
        <w:tc>
          <w:tcPr>
            <w:tcW w:w="3966" w:type="dxa"/>
            <w:gridSpan w:val="2"/>
            <w:hideMark/>
          </w:tcPr>
          <w:p w14:paraId="25C8479C"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Analizės tikslais nustatomos 2 % metinės palūkanos. Pradinėje FP stadijoje gali būti nustatomos ir mažesnės palūkanos. Išnaudojus ESI fondų lėšas palūkanos turėtų atitikti FP administravimo ir lėšų pritraukimo kainą. </w:t>
            </w:r>
          </w:p>
        </w:tc>
        <w:tc>
          <w:tcPr>
            <w:tcW w:w="816" w:type="dxa"/>
            <w:gridSpan w:val="2"/>
            <w:noWrap/>
            <w:hideMark/>
          </w:tcPr>
          <w:p w14:paraId="0F6FF28F"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6" w:type="dxa"/>
            <w:gridSpan w:val="2"/>
            <w:noWrap/>
            <w:hideMark/>
          </w:tcPr>
          <w:p w14:paraId="54B904FB"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6" w:type="dxa"/>
            <w:gridSpan w:val="2"/>
            <w:noWrap/>
            <w:hideMark/>
          </w:tcPr>
          <w:p w14:paraId="5900F164"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c>
          <w:tcPr>
            <w:tcW w:w="817" w:type="dxa"/>
            <w:noWrap/>
            <w:hideMark/>
          </w:tcPr>
          <w:p w14:paraId="14396BDD"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2,0%</w:t>
            </w:r>
          </w:p>
        </w:tc>
      </w:tr>
      <w:tr w:rsidR="0006117A" w:rsidRPr="00236FA1" w14:paraId="133FCDED" w14:textId="77777777" w:rsidTr="00236FA1">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1949" w:type="dxa"/>
            <w:hideMark/>
          </w:tcPr>
          <w:p w14:paraId="611723F3" w14:textId="268A7912" w:rsidR="0006117A" w:rsidRPr="00236FA1" w:rsidRDefault="0006117A" w:rsidP="00236FA1">
            <w:pPr>
              <w:rPr>
                <w:rFonts w:ascii="Georgia" w:hAnsi="Georgia"/>
                <w:sz w:val="20"/>
                <w:szCs w:val="20"/>
              </w:rPr>
            </w:pPr>
            <w:r w:rsidRPr="00236FA1">
              <w:rPr>
                <w:rFonts w:ascii="Georgia" w:hAnsi="Georgia"/>
                <w:sz w:val="20"/>
                <w:szCs w:val="20"/>
              </w:rPr>
              <w:lastRenderedPageBreak/>
              <w:t xml:space="preserve">Valdymo mokestis vadovaujantis Deleguoto reglamento nuostatomis, proc. </w:t>
            </w:r>
          </w:p>
        </w:tc>
        <w:tc>
          <w:tcPr>
            <w:tcW w:w="3966" w:type="dxa"/>
            <w:gridSpan w:val="2"/>
            <w:hideMark/>
          </w:tcPr>
          <w:p w14:paraId="4FCB1B09"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Vadovaujantis Deleguoto reglamento nuostatomis, valdymo mokestis susideda iš dviejų dalių: 0,5 proc. bazinis mokestis nuo finansinei priemonei skirtų ir įmokėtų lėšų, 1 proc. mokestis nuo paskolų sumos. </w:t>
            </w:r>
          </w:p>
        </w:tc>
        <w:tc>
          <w:tcPr>
            <w:tcW w:w="816" w:type="dxa"/>
            <w:gridSpan w:val="2"/>
            <w:hideMark/>
          </w:tcPr>
          <w:p w14:paraId="3DD9087A"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0,5% ir 1%</w:t>
            </w:r>
          </w:p>
        </w:tc>
        <w:tc>
          <w:tcPr>
            <w:tcW w:w="816" w:type="dxa"/>
            <w:gridSpan w:val="2"/>
            <w:hideMark/>
          </w:tcPr>
          <w:p w14:paraId="4A2712DA"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0,5% ir 1%</w:t>
            </w:r>
          </w:p>
        </w:tc>
        <w:tc>
          <w:tcPr>
            <w:tcW w:w="816" w:type="dxa"/>
            <w:gridSpan w:val="2"/>
            <w:hideMark/>
          </w:tcPr>
          <w:p w14:paraId="580B0990"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0,5% ir 1%</w:t>
            </w:r>
          </w:p>
        </w:tc>
        <w:tc>
          <w:tcPr>
            <w:tcW w:w="817" w:type="dxa"/>
            <w:hideMark/>
          </w:tcPr>
          <w:p w14:paraId="3A7AC762"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0,5% ir 1,5%</w:t>
            </w:r>
          </w:p>
        </w:tc>
      </w:tr>
      <w:tr w:rsidR="0006117A" w:rsidRPr="00236FA1" w14:paraId="6FE7B55D" w14:textId="77777777" w:rsidTr="00236FA1">
        <w:trPr>
          <w:trHeight w:val="1290"/>
        </w:trPr>
        <w:tc>
          <w:tcPr>
            <w:cnfStyle w:val="001000000000" w:firstRow="0" w:lastRow="0" w:firstColumn="1" w:lastColumn="0" w:oddVBand="0" w:evenVBand="0" w:oddHBand="0" w:evenHBand="0" w:firstRowFirstColumn="0" w:firstRowLastColumn="0" w:lastRowFirstColumn="0" w:lastRowLastColumn="0"/>
            <w:tcW w:w="1949" w:type="dxa"/>
            <w:hideMark/>
          </w:tcPr>
          <w:p w14:paraId="11CBAFFA" w14:textId="4558D897" w:rsidR="0006117A" w:rsidRPr="00236FA1" w:rsidRDefault="0006117A" w:rsidP="00236FA1">
            <w:pPr>
              <w:rPr>
                <w:rFonts w:ascii="Georgia" w:hAnsi="Georgia"/>
                <w:sz w:val="20"/>
                <w:szCs w:val="20"/>
              </w:rPr>
            </w:pPr>
            <w:r w:rsidRPr="00236FA1">
              <w:rPr>
                <w:rFonts w:ascii="Georgia" w:hAnsi="Georgia"/>
                <w:sz w:val="20"/>
                <w:szCs w:val="20"/>
              </w:rPr>
              <w:t xml:space="preserve">Projekto įgyvendinimo laikotarpis, metai  </w:t>
            </w:r>
          </w:p>
        </w:tc>
        <w:tc>
          <w:tcPr>
            <w:tcW w:w="3966" w:type="dxa"/>
            <w:gridSpan w:val="2"/>
            <w:hideMark/>
          </w:tcPr>
          <w:p w14:paraId="4E2ACA1C"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Daroma prielaida, jog tipinio viešojo pastato renovacijos laikas yra 1 metai nuo paskolos sutarties pasirašymo momento. </w:t>
            </w:r>
          </w:p>
        </w:tc>
        <w:tc>
          <w:tcPr>
            <w:tcW w:w="816" w:type="dxa"/>
            <w:gridSpan w:val="2"/>
            <w:noWrap/>
            <w:hideMark/>
          </w:tcPr>
          <w:p w14:paraId="5A98682A"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1</w:t>
            </w:r>
          </w:p>
        </w:tc>
        <w:tc>
          <w:tcPr>
            <w:tcW w:w="816" w:type="dxa"/>
            <w:gridSpan w:val="2"/>
            <w:noWrap/>
            <w:hideMark/>
          </w:tcPr>
          <w:p w14:paraId="23E104DA"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1</w:t>
            </w:r>
          </w:p>
        </w:tc>
        <w:tc>
          <w:tcPr>
            <w:tcW w:w="816" w:type="dxa"/>
            <w:gridSpan w:val="2"/>
            <w:noWrap/>
            <w:hideMark/>
          </w:tcPr>
          <w:p w14:paraId="0A83E0C3"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1</w:t>
            </w:r>
          </w:p>
        </w:tc>
        <w:tc>
          <w:tcPr>
            <w:tcW w:w="817" w:type="dxa"/>
            <w:noWrap/>
            <w:hideMark/>
          </w:tcPr>
          <w:p w14:paraId="005249D9"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1</w:t>
            </w:r>
          </w:p>
        </w:tc>
      </w:tr>
      <w:tr w:rsidR="0006117A" w:rsidRPr="00236FA1" w14:paraId="005913F8" w14:textId="77777777" w:rsidTr="00236FA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949" w:type="dxa"/>
            <w:hideMark/>
          </w:tcPr>
          <w:p w14:paraId="27259F15" w14:textId="0AA09F14" w:rsidR="0006117A" w:rsidRPr="00236FA1" w:rsidRDefault="0006117A" w:rsidP="00236FA1">
            <w:pPr>
              <w:rPr>
                <w:rFonts w:ascii="Georgia" w:hAnsi="Georgia"/>
                <w:sz w:val="20"/>
                <w:szCs w:val="20"/>
              </w:rPr>
            </w:pPr>
            <w:r w:rsidRPr="00236FA1">
              <w:rPr>
                <w:rFonts w:ascii="Georgia" w:hAnsi="Georgia"/>
                <w:sz w:val="20"/>
                <w:szCs w:val="20"/>
              </w:rPr>
              <w:t xml:space="preserve">Pakartotinai panaudojamos grįžusios lėšos, metai </w:t>
            </w:r>
          </w:p>
        </w:tc>
        <w:tc>
          <w:tcPr>
            <w:tcW w:w="3966" w:type="dxa"/>
            <w:gridSpan w:val="2"/>
            <w:hideMark/>
          </w:tcPr>
          <w:p w14:paraId="6954B8E0"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Daroma prielaida, jog grįžtančios lėšos pakartotinai panaudojamos projektų finansavimui tomis pačiomis sąlygomis po 2 metų. </w:t>
            </w:r>
          </w:p>
        </w:tc>
        <w:tc>
          <w:tcPr>
            <w:tcW w:w="816" w:type="dxa"/>
            <w:gridSpan w:val="2"/>
            <w:noWrap/>
            <w:hideMark/>
          </w:tcPr>
          <w:p w14:paraId="724557D1"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2</w:t>
            </w:r>
          </w:p>
        </w:tc>
        <w:tc>
          <w:tcPr>
            <w:tcW w:w="816" w:type="dxa"/>
            <w:gridSpan w:val="2"/>
            <w:noWrap/>
            <w:hideMark/>
          </w:tcPr>
          <w:p w14:paraId="6946E316"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2</w:t>
            </w:r>
          </w:p>
        </w:tc>
        <w:tc>
          <w:tcPr>
            <w:tcW w:w="816" w:type="dxa"/>
            <w:gridSpan w:val="2"/>
            <w:noWrap/>
            <w:hideMark/>
          </w:tcPr>
          <w:p w14:paraId="5F82AE10"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2</w:t>
            </w:r>
          </w:p>
        </w:tc>
        <w:tc>
          <w:tcPr>
            <w:tcW w:w="817" w:type="dxa"/>
            <w:noWrap/>
            <w:hideMark/>
          </w:tcPr>
          <w:p w14:paraId="335C8B4F"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2</w:t>
            </w:r>
          </w:p>
        </w:tc>
      </w:tr>
      <w:tr w:rsidR="0006117A" w:rsidRPr="00236FA1" w14:paraId="5EA9541C" w14:textId="77777777" w:rsidTr="00236FA1">
        <w:trPr>
          <w:trHeight w:val="1800"/>
        </w:trPr>
        <w:tc>
          <w:tcPr>
            <w:cnfStyle w:val="001000000000" w:firstRow="0" w:lastRow="0" w:firstColumn="1" w:lastColumn="0" w:oddVBand="0" w:evenVBand="0" w:oddHBand="0" w:evenHBand="0" w:firstRowFirstColumn="0" w:firstRowLastColumn="0" w:lastRowFirstColumn="0" w:lastRowLastColumn="0"/>
            <w:tcW w:w="1949" w:type="dxa"/>
          </w:tcPr>
          <w:p w14:paraId="745FC265" w14:textId="77777777" w:rsidR="0006117A" w:rsidRPr="00236FA1" w:rsidRDefault="0006117A" w:rsidP="00236FA1">
            <w:pPr>
              <w:rPr>
                <w:rFonts w:ascii="Georgia" w:hAnsi="Georgia"/>
                <w:sz w:val="20"/>
                <w:szCs w:val="20"/>
              </w:rPr>
            </w:pPr>
            <w:r w:rsidRPr="00236FA1">
              <w:rPr>
                <w:rFonts w:ascii="Georgia" w:hAnsi="Georgia"/>
                <w:sz w:val="20"/>
                <w:szCs w:val="20"/>
              </w:rPr>
              <w:t>Privataus investicinio fondo išperkamų paskolų dalis, proc</w:t>
            </w:r>
          </w:p>
        </w:tc>
        <w:tc>
          <w:tcPr>
            <w:tcW w:w="3966" w:type="dxa"/>
            <w:gridSpan w:val="2"/>
          </w:tcPr>
          <w:p w14:paraId="18B18A77"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Daroma prielaidą, kad privatus investicinis fondas nuo 2019 m. galėtų išpirkti apie 70 % visų paskolų portfelio.</w:t>
            </w:r>
          </w:p>
        </w:tc>
        <w:tc>
          <w:tcPr>
            <w:tcW w:w="816" w:type="dxa"/>
            <w:gridSpan w:val="2"/>
            <w:noWrap/>
          </w:tcPr>
          <w:p w14:paraId="6E19BD23"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6" w:type="dxa"/>
            <w:gridSpan w:val="2"/>
            <w:noWrap/>
          </w:tcPr>
          <w:p w14:paraId="6C79D39C"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50%</w:t>
            </w:r>
          </w:p>
        </w:tc>
        <w:tc>
          <w:tcPr>
            <w:tcW w:w="816" w:type="dxa"/>
            <w:gridSpan w:val="2"/>
            <w:noWrap/>
          </w:tcPr>
          <w:p w14:paraId="18B7F718"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7" w:type="dxa"/>
            <w:noWrap/>
          </w:tcPr>
          <w:p w14:paraId="648F0B17"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r>
      <w:tr w:rsidR="0006117A" w:rsidRPr="00236FA1" w14:paraId="5E9D788F" w14:textId="77777777" w:rsidTr="00236FA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949" w:type="dxa"/>
            <w:hideMark/>
          </w:tcPr>
          <w:p w14:paraId="210C9F73" w14:textId="77777777" w:rsidR="0006117A" w:rsidRPr="00236FA1" w:rsidRDefault="0006117A" w:rsidP="00236FA1">
            <w:pPr>
              <w:rPr>
                <w:rFonts w:ascii="Georgia" w:hAnsi="Georgia"/>
                <w:sz w:val="20"/>
                <w:szCs w:val="20"/>
              </w:rPr>
            </w:pPr>
            <w:r w:rsidRPr="00236FA1">
              <w:rPr>
                <w:rFonts w:ascii="Georgia" w:hAnsi="Georgia"/>
                <w:sz w:val="20"/>
                <w:szCs w:val="20"/>
              </w:rPr>
              <w:t xml:space="preserve">Investicinio fondo pritraukiamų privačių investicijų dalis, proc </w:t>
            </w:r>
          </w:p>
        </w:tc>
        <w:tc>
          <w:tcPr>
            <w:tcW w:w="3966" w:type="dxa"/>
            <w:gridSpan w:val="2"/>
            <w:hideMark/>
          </w:tcPr>
          <w:p w14:paraId="7C4DBA1E" w14:textId="4FF93CC9" w:rsidR="0006117A" w:rsidRPr="00236FA1" w:rsidRDefault="0006117A" w:rsidP="005B69FE">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 xml:space="preserve">Daroma prielaida, kad investicinis fondas pritrauks tiek pat investicijų kiek bus įnešta iš ESI lėšų minus </w:t>
            </w:r>
            <w:r w:rsidR="005B69FE">
              <w:rPr>
                <w:rFonts w:ascii="Georgia" w:hAnsi="Georgia"/>
                <w:sz w:val="20"/>
                <w:szCs w:val="20"/>
              </w:rPr>
              <w:t>pirmojo praradimo kapitalo suma</w:t>
            </w:r>
            <w:r w:rsidRPr="00236FA1">
              <w:rPr>
                <w:rFonts w:ascii="Georgia" w:hAnsi="Georgia"/>
                <w:sz w:val="20"/>
                <w:szCs w:val="20"/>
              </w:rPr>
              <w:t xml:space="preserve">. </w:t>
            </w:r>
          </w:p>
        </w:tc>
        <w:tc>
          <w:tcPr>
            <w:tcW w:w="816" w:type="dxa"/>
            <w:gridSpan w:val="2"/>
            <w:noWrap/>
            <w:hideMark/>
          </w:tcPr>
          <w:p w14:paraId="4CEA0BB5"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6" w:type="dxa"/>
            <w:gridSpan w:val="2"/>
            <w:noWrap/>
            <w:hideMark/>
          </w:tcPr>
          <w:p w14:paraId="49CFED81"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6" w:type="dxa"/>
            <w:gridSpan w:val="2"/>
            <w:noWrap/>
            <w:hideMark/>
          </w:tcPr>
          <w:p w14:paraId="48D74408"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50,0%</w:t>
            </w:r>
          </w:p>
        </w:tc>
        <w:tc>
          <w:tcPr>
            <w:tcW w:w="817" w:type="dxa"/>
            <w:noWrap/>
            <w:hideMark/>
          </w:tcPr>
          <w:p w14:paraId="0559BC67"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r>
      <w:tr w:rsidR="0006117A" w:rsidRPr="00236FA1" w14:paraId="540B8670" w14:textId="77777777" w:rsidTr="00236FA1">
        <w:trPr>
          <w:trHeight w:val="3840"/>
        </w:trPr>
        <w:tc>
          <w:tcPr>
            <w:cnfStyle w:val="001000000000" w:firstRow="0" w:lastRow="0" w:firstColumn="1" w:lastColumn="0" w:oddVBand="0" w:evenVBand="0" w:oddHBand="0" w:evenHBand="0" w:firstRowFirstColumn="0" w:firstRowLastColumn="0" w:lastRowFirstColumn="0" w:lastRowLastColumn="0"/>
            <w:tcW w:w="1949" w:type="dxa"/>
            <w:hideMark/>
          </w:tcPr>
          <w:p w14:paraId="5A26E82E" w14:textId="77777777" w:rsidR="0006117A" w:rsidRPr="00236FA1" w:rsidRDefault="0006117A" w:rsidP="00236FA1">
            <w:pPr>
              <w:rPr>
                <w:rFonts w:ascii="Georgia" w:hAnsi="Georgia"/>
                <w:sz w:val="20"/>
                <w:szCs w:val="20"/>
              </w:rPr>
            </w:pPr>
            <w:r w:rsidRPr="00236FA1">
              <w:rPr>
                <w:rFonts w:ascii="Georgia" w:hAnsi="Georgia"/>
                <w:sz w:val="20"/>
                <w:szCs w:val="20"/>
              </w:rPr>
              <w:t xml:space="preserve">Bankų palūkanų norma garantijų priemonės atveju, proc </w:t>
            </w:r>
          </w:p>
        </w:tc>
        <w:tc>
          <w:tcPr>
            <w:tcW w:w="3966" w:type="dxa"/>
            <w:gridSpan w:val="2"/>
            <w:hideMark/>
          </w:tcPr>
          <w:p w14:paraId="21A60B93" w14:textId="56CC9E2D"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236FA1">
              <w:rPr>
                <w:rFonts w:ascii="Georgia" w:hAnsi="Georgia"/>
                <w:sz w:val="20"/>
                <w:szCs w:val="20"/>
              </w:rPr>
              <w:br/>
              <w:t>1) Prognozuojamas suderintas vartotojų kainų indekso (SVKI) vidurk</w:t>
            </w:r>
            <w:r w:rsidR="005B69FE">
              <w:rPr>
                <w:rFonts w:ascii="Georgia" w:hAnsi="Georgia"/>
                <w:sz w:val="20"/>
                <w:szCs w:val="20"/>
              </w:rPr>
              <w:t>is Lietuvoje 2017-2019 (2,9%)</w:t>
            </w:r>
            <w:r w:rsidRPr="00236FA1">
              <w:rPr>
                <w:rFonts w:ascii="Georgia" w:hAnsi="Georgia"/>
                <w:sz w:val="20"/>
                <w:szCs w:val="20"/>
              </w:rPr>
              <w:t>;</w:t>
            </w:r>
            <w:r w:rsidRPr="00236FA1">
              <w:rPr>
                <w:rFonts w:ascii="Georgia" w:hAnsi="Georgia"/>
                <w:sz w:val="20"/>
                <w:szCs w:val="20"/>
              </w:rPr>
              <w:br/>
              <w:t>2) vidutinės Lietuvos Respublikos Vyriausybės obligacijų emisijos (2536 dienų trukmės) palūkan</w:t>
            </w:r>
            <w:r w:rsidR="005B69FE">
              <w:rPr>
                <w:rFonts w:ascii="Georgia" w:hAnsi="Georgia"/>
                <w:sz w:val="20"/>
                <w:szCs w:val="20"/>
              </w:rPr>
              <w:t>os 2014 rugsėjo mėnesį (0,8%)</w:t>
            </w:r>
            <w:r w:rsidRPr="00236FA1">
              <w:rPr>
                <w:rFonts w:ascii="Georgia" w:hAnsi="Georgia"/>
                <w:sz w:val="20"/>
                <w:szCs w:val="20"/>
              </w:rPr>
              <w:t xml:space="preserve">; </w:t>
            </w:r>
            <w:r w:rsidRPr="00236FA1">
              <w:rPr>
                <w:rFonts w:ascii="Georgia" w:hAnsi="Georgia"/>
                <w:sz w:val="20"/>
                <w:szCs w:val="20"/>
              </w:rPr>
              <w:br/>
              <w:t>3) Galima komercinių bankų marža (2,1%).</w:t>
            </w:r>
          </w:p>
          <w:p w14:paraId="7A16B83A"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816" w:type="dxa"/>
            <w:gridSpan w:val="2"/>
            <w:noWrap/>
            <w:hideMark/>
          </w:tcPr>
          <w:p w14:paraId="54A68141"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6" w:type="dxa"/>
            <w:gridSpan w:val="2"/>
            <w:noWrap/>
            <w:hideMark/>
          </w:tcPr>
          <w:p w14:paraId="12B981F1"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6" w:type="dxa"/>
            <w:gridSpan w:val="2"/>
            <w:noWrap/>
            <w:hideMark/>
          </w:tcPr>
          <w:p w14:paraId="71BAC088"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n/a</w:t>
            </w:r>
          </w:p>
        </w:tc>
        <w:tc>
          <w:tcPr>
            <w:tcW w:w="817" w:type="dxa"/>
            <w:noWrap/>
            <w:hideMark/>
          </w:tcPr>
          <w:p w14:paraId="24791446" w14:textId="77777777" w:rsidR="0006117A" w:rsidRPr="00236FA1" w:rsidRDefault="0006117A" w:rsidP="00236FA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36FA1">
              <w:rPr>
                <w:rFonts w:ascii="Georgia" w:hAnsi="Georgia"/>
                <w:sz w:val="20"/>
                <w:szCs w:val="20"/>
              </w:rPr>
              <w:t>5,80%</w:t>
            </w:r>
          </w:p>
        </w:tc>
      </w:tr>
      <w:tr w:rsidR="0006117A" w:rsidRPr="00CF226A" w14:paraId="75751705" w14:textId="77777777" w:rsidTr="00236FA1">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1949" w:type="dxa"/>
          </w:tcPr>
          <w:p w14:paraId="59315BB1" w14:textId="77777777" w:rsidR="0006117A" w:rsidRPr="00236FA1" w:rsidRDefault="0006117A" w:rsidP="00236FA1">
            <w:pPr>
              <w:rPr>
                <w:rFonts w:ascii="Georgia" w:hAnsi="Georgia"/>
                <w:sz w:val="20"/>
                <w:szCs w:val="20"/>
              </w:rPr>
            </w:pPr>
            <w:r w:rsidRPr="00236FA1">
              <w:rPr>
                <w:rFonts w:ascii="Georgia" w:hAnsi="Georgia"/>
                <w:sz w:val="20"/>
                <w:szCs w:val="20"/>
              </w:rPr>
              <w:lastRenderedPageBreak/>
              <w:t xml:space="preserve">Fonde rezervuojamos lėšos garantijų įsipareigojimų vykdymui: </w:t>
            </w:r>
          </w:p>
          <w:p w14:paraId="55976972" w14:textId="77777777" w:rsidR="0006117A" w:rsidRPr="00236FA1" w:rsidRDefault="0006117A" w:rsidP="00236FA1">
            <w:pPr>
              <w:rPr>
                <w:rFonts w:ascii="Georgia" w:hAnsi="Georgia"/>
                <w:sz w:val="20"/>
                <w:szCs w:val="20"/>
              </w:rPr>
            </w:pPr>
          </w:p>
        </w:tc>
        <w:tc>
          <w:tcPr>
            <w:tcW w:w="3653" w:type="dxa"/>
          </w:tcPr>
          <w:p w14:paraId="2CB51395"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Fondo garantiniams įsipareigojimams vykdyti rezervuojama 30 % lėšų (susitikimų su bankais metu nustatyta, jog pastarieji savivaldybių mokėjimus laiko rizikingesniais, todėl šis procentas didesnis negu centrinės valdžios pastatų modernizacijos atveju), tačiau modeliuojant scenarijų, skaičiuojama jog tikėtina praradimų dalis 5 %, kuri paremta ekspertiniu ir komercinių bankų vertinimu, bei atitinka PwC studijos prielaidas.</w:t>
            </w:r>
          </w:p>
        </w:tc>
        <w:tc>
          <w:tcPr>
            <w:tcW w:w="894" w:type="dxa"/>
            <w:gridSpan w:val="2"/>
            <w:noWrap/>
          </w:tcPr>
          <w:p w14:paraId="39BCF473"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w:t>
            </w:r>
          </w:p>
        </w:tc>
        <w:tc>
          <w:tcPr>
            <w:tcW w:w="895" w:type="dxa"/>
            <w:gridSpan w:val="2"/>
            <w:noWrap/>
          </w:tcPr>
          <w:p w14:paraId="20FAB7E5"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w:t>
            </w:r>
          </w:p>
        </w:tc>
        <w:tc>
          <w:tcPr>
            <w:tcW w:w="894" w:type="dxa"/>
            <w:gridSpan w:val="2"/>
            <w:noWrap/>
          </w:tcPr>
          <w:p w14:paraId="4D6D970B"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w:t>
            </w:r>
          </w:p>
        </w:tc>
        <w:tc>
          <w:tcPr>
            <w:tcW w:w="895" w:type="dxa"/>
            <w:gridSpan w:val="2"/>
            <w:noWrap/>
          </w:tcPr>
          <w:p w14:paraId="00486C73" w14:textId="77777777" w:rsidR="0006117A" w:rsidRPr="00236FA1" w:rsidRDefault="0006117A" w:rsidP="00236FA1">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36FA1">
              <w:rPr>
                <w:rFonts w:ascii="Georgia" w:hAnsi="Georgia"/>
                <w:sz w:val="20"/>
                <w:szCs w:val="20"/>
              </w:rPr>
              <w:t>30%</w:t>
            </w:r>
          </w:p>
        </w:tc>
      </w:tr>
    </w:tbl>
    <w:p w14:paraId="28011135" w14:textId="77777777" w:rsidR="0006117A" w:rsidRPr="00EE34B0" w:rsidRDefault="0006117A" w:rsidP="00EE34B0">
      <w:pPr>
        <w:spacing w:after="160" w:line="240" w:lineRule="auto"/>
        <w:jc w:val="both"/>
        <w:rPr>
          <w:rFonts w:ascii="Georgia" w:eastAsia="Georgia" w:hAnsi="Georgia" w:cs="Arial Unicode MS"/>
          <w:i/>
          <w:iCs/>
          <w:color w:val="821A1A"/>
          <w:sz w:val="20"/>
          <w:szCs w:val="20"/>
        </w:rPr>
      </w:pPr>
      <w:r w:rsidRPr="00EE34B0">
        <w:rPr>
          <w:rFonts w:ascii="Georgia" w:eastAsia="Georgia" w:hAnsi="Georgia" w:cs="Arial Unicode MS"/>
          <w:i/>
          <w:iCs/>
          <w:color w:val="821A1A"/>
          <w:sz w:val="20"/>
          <w:szCs w:val="20"/>
        </w:rPr>
        <w:t>Šaltinis: sudaryta autorių</w:t>
      </w:r>
    </w:p>
    <w:p w14:paraId="4BFDDFD1" w14:textId="77777777" w:rsidR="0006117A" w:rsidRPr="001F1785" w:rsidRDefault="0006117A" w:rsidP="0006117A">
      <w:pPr>
        <w:jc w:val="both"/>
        <w:rPr>
          <w:rFonts w:ascii="Georgia" w:hAnsi="Georgia"/>
          <w:sz w:val="20"/>
          <w:szCs w:val="20"/>
          <w:lang w:val="lt-LT"/>
        </w:rPr>
      </w:pPr>
      <w:r>
        <w:rPr>
          <w:rFonts w:ascii="Georgia" w:hAnsi="Georgia"/>
          <w:sz w:val="20"/>
          <w:szCs w:val="20"/>
          <w:lang w:val="lt-LT"/>
        </w:rPr>
        <w:t xml:space="preserve">Toliau pateikiami visų scenarijų trumpi aprašymai, schemos bei modeliavimo rezultatai, o </w:t>
      </w:r>
      <w:r>
        <w:rPr>
          <w:rFonts w:ascii="Georgia" w:hAnsi="Georgia"/>
          <w:sz w:val="20"/>
          <w:szCs w:val="20"/>
        </w:rPr>
        <w:t>4.4 skyriuje apibendrinami vis</w:t>
      </w:r>
      <w:r>
        <w:rPr>
          <w:rFonts w:ascii="Georgia" w:hAnsi="Georgia"/>
          <w:sz w:val="20"/>
          <w:szCs w:val="20"/>
          <w:lang w:val="lt-LT"/>
        </w:rPr>
        <w:t>ų scenarijų rezultatai.</w:t>
      </w:r>
    </w:p>
    <w:p w14:paraId="11B4A4E9" w14:textId="77777777" w:rsidR="005B69FE" w:rsidRDefault="005B69FE" w:rsidP="0006117A">
      <w:pPr>
        <w:rPr>
          <w:rFonts w:ascii="Georgia" w:hAnsi="Georgia"/>
          <w:b/>
          <w:sz w:val="24"/>
          <w:szCs w:val="24"/>
          <w:lang w:val="lt-LT"/>
        </w:rPr>
      </w:pPr>
    </w:p>
    <w:p w14:paraId="01300B26" w14:textId="0E529898" w:rsidR="0006117A" w:rsidRPr="002A2E90" w:rsidRDefault="0006117A" w:rsidP="0006117A">
      <w:pPr>
        <w:rPr>
          <w:rFonts w:ascii="Georgia" w:hAnsi="Georgia"/>
          <w:b/>
          <w:sz w:val="24"/>
          <w:szCs w:val="24"/>
          <w:lang w:val="lt-LT"/>
        </w:rPr>
      </w:pPr>
      <w:r w:rsidRPr="002A2E90">
        <w:rPr>
          <w:rFonts w:ascii="Georgia" w:hAnsi="Georgia"/>
          <w:b/>
          <w:sz w:val="24"/>
          <w:szCs w:val="24"/>
          <w:lang w:val="lt-LT"/>
        </w:rPr>
        <w:t xml:space="preserve">Scenarijus Nr. 1: </w:t>
      </w:r>
      <w:r>
        <w:rPr>
          <w:rFonts w:ascii="Georgia" w:hAnsi="Georgia"/>
          <w:b/>
          <w:sz w:val="24"/>
          <w:szCs w:val="24"/>
          <w:lang w:val="lt-LT"/>
        </w:rPr>
        <w:t>P</w:t>
      </w:r>
      <w:r w:rsidRPr="002A2E90">
        <w:rPr>
          <w:rFonts w:ascii="Georgia" w:hAnsi="Georgia"/>
          <w:b/>
          <w:sz w:val="24"/>
          <w:szCs w:val="24"/>
          <w:lang w:val="lt-LT"/>
        </w:rPr>
        <w:t>askolų teikimas</w:t>
      </w:r>
    </w:p>
    <w:p w14:paraId="2B285260" w14:textId="7DBE6428" w:rsidR="0006117A" w:rsidRPr="00BC2CB8" w:rsidRDefault="0006117A" w:rsidP="0006117A">
      <w:pPr>
        <w:jc w:val="both"/>
        <w:rPr>
          <w:rFonts w:ascii="Georgia" w:hAnsi="Georgia"/>
          <w:sz w:val="20"/>
          <w:szCs w:val="20"/>
          <w:lang w:val="lt-LT"/>
        </w:rPr>
      </w:pPr>
      <w:r>
        <w:rPr>
          <w:rFonts w:ascii="Georgia" w:hAnsi="Georgia"/>
          <w:sz w:val="20"/>
          <w:szCs w:val="20"/>
          <w:lang w:val="lt-LT"/>
        </w:rPr>
        <w:t xml:space="preserve">Analizės tikslais daroma prielaida, kad savivaldybių </w:t>
      </w:r>
      <w:r w:rsidRPr="00BC2CB8">
        <w:rPr>
          <w:rFonts w:ascii="Georgia" w:hAnsi="Georgia"/>
          <w:sz w:val="20"/>
          <w:szCs w:val="20"/>
          <w:lang w:val="lt-LT"/>
        </w:rPr>
        <w:t xml:space="preserve">viešųjų pastatų </w:t>
      </w:r>
      <w:r>
        <w:rPr>
          <w:rFonts w:ascii="Georgia" w:hAnsi="Georgia"/>
          <w:sz w:val="20"/>
          <w:szCs w:val="20"/>
          <w:lang w:val="lt-LT"/>
        </w:rPr>
        <w:t>modernizavimui numatoma</w:t>
      </w:r>
      <w:r w:rsidRPr="00BC2CB8">
        <w:rPr>
          <w:rFonts w:ascii="Georgia" w:hAnsi="Georgia"/>
          <w:sz w:val="20"/>
          <w:szCs w:val="20"/>
          <w:lang w:val="lt-LT"/>
        </w:rPr>
        <w:t xml:space="preserve"> skirti </w:t>
      </w:r>
      <w:r>
        <w:rPr>
          <w:rFonts w:ascii="Georgia" w:hAnsi="Georgia"/>
          <w:sz w:val="20"/>
          <w:szCs w:val="20"/>
          <w:lang w:val="lt-LT"/>
        </w:rPr>
        <w:t>50</w:t>
      </w:r>
      <w:r w:rsidR="004B3D22">
        <w:rPr>
          <w:rFonts w:ascii="Georgia" w:hAnsi="Georgia"/>
          <w:sz w:val="20"/>
          <w:szCs w:val="20"/>
          <w:lang w:val="lt-LT"/>
        </w:rPr>
        <w:t>,7</w:t>
      </w:r>
      <w:r>
        <w:rPr>
          <w:rFonts w:ascii="Georgia" w:hAnsi="Georgia"/>
          <w:sz w:val="20"/>
          <w:szCs w:val="20"/>
          <w:lang w:val="lt-LT"/>
        </w:rPr>
        <w:t xml:space="preserve"> </w:t>
      </w:r>
      <w:r w:rsidRPr="00BC2CB8">
        <w:rPr>
          <w:rFonts w:ascii="Georgia" w:hAnsi="Georgia"/>
          <w:sz w:val="20"/>
          <w:szCs w:val="20"/>
          <w:lang w:val="lt-LT"/>
        </w:rPr>
        <w:t>mln. eurų 2014-2020 m. ES</w:t>
      </w:r>
      <w:r>
        <w:rPr>
          <w:rFonts w:ascii="Georgia" w:hAnsi="Georgia"/>
          <w:sz w:val="20"/>
          <w:szCs w:val="20"/>
          <w:lang w:val="lt-LT"/>
        </w:rPr>
        <w:t>I fondų</w:t>
      </w:r>
      <w:r w:rsidRPr="00BC2CB8">
        <w:rPr>
          <w:rFonts w:ascii="Georgia" w:hAnsi="Georgia"/>
          <w:sz w:val="20"/>
          <w:szCs w:val="20"/>
          <w:lang w:val="lt-LT"/>
        </w:rPr>
        <w:t xml:space="preserve"> lėšų</w:t>
      </w:r>
      <w:r>
        <w:rPr>
          <w:rFonts w:ascii="Georgia" w:hAnsi="Georgia"/>
          <w:sz w:val="20"/>
          <w:szCs w:val="20"/>
          <w:lang w:val="lt-LT"/>
        </w:rPr>
        <w:t xml:space="preserve"> (lėšų skyrus daugiau arba mažiau proporcingai pasikeis ir modeliuose paskaičiuoti rezultatai)</w:t>
      </w:r>
      <w:r w:rsidRPr="00BC2CB8">
        <w:rPr>
          <w:rFonts w:ascii="Georgia" w:hAnsi="Georgia"/>
          <w:sz w:val="20"/>
          <w:szCs w:val="20"/>
          <w:lang w:val="lt-LT"/>
        </w:rPr>
        <w:t xml:space="preserve">. Šiame scenarijuje nagrinėjama paskolų finansinė priemonė su </w:t>
      </w:r>
      <w:r>
        <w:rPr>
          <w:rFonts w:ascii="Georgia" w:hAnsi="Georgia"/>
          <w:sz w:val="20"/>
          <w:szCs w:val="20"/>
          <w:lang w:val="lt-LT"/>
        </w:rPr>
        <w:t>2</w:t>
      </w:r>
      <w:r w:rsidRPr="00BC2CB8">
        <w:rPr>
          <w:rFonts w:ascii="Georgia" w:hAnsi="Georgia"/>
          <w:sz w:val="20"/>
          <w:szCs w:val="20"/>
          <w:lang w:val="lt-LT"/>
        </w:rPr>
        <w:t xml:space="preserve"> % </w:t>
      </w:r>
      <w:r>
        <w:rPr>
          <w:rFonts w:ascii="Georgia" w:hAnsi="Georgia"/>
          <w:sz w:val="20"/>
          <w:szCs w:val="20"/>
          <w:lang w:val="lt-LT"/>
        </w:rPr>
        <w:t xml:space="preserve">metinėmis </w:t>
      </w:r>
      <w:r w:rsidRPr="00BC2CB8">
        <w:rPr>
          <w:rFonts w:ascii="Georgia" w:hAnsi="Georgia"/>
          <w:sz w:val="20"/>
          <w:szCs w:val="20"/>
          <w:lang w:val="lt-LT"/>
        </w:rPr>
        <w:t xml:space="preserve">palūkanomis. </w:t>
      </w:r>
    </w:p>
    <w:p w14:paraId="44ECEEBD" w14:textId="46B11BC2" w:rsidR="0006117A" w:rsidRPr="00BC2CB8" w:rsidRDefault="0006117A" w:rsidP="0006117A">
      <w:pPr>
        <w:jc w:val="both"/>
        <w:rPr>
          <w:rFonts w:ascii="Georgia" w:hAnsi="Georgia"/>
          <w:sz w:val="20"/>
          <w:szCs w:val="20"/>
          <w:lang w:val="lt-LT"/>
        </w:rPr>
      </w:pPr>
      <w:r>
        <w:rPr>
          <w:rFonts w:ascii="Georgia" w:hAnsi="Georgia"/>
          <w:sz w:val="20"/>
          <w:szCs w:val="20"/>
          <w:lang w:val="lt-LT"/>
        </w:rPr>
        <w:t>Daroma prielaida, kad visi numatyti asignavimai (</w:t>
      </w:r>
      <w:r w:rsidR="00DB7098">
        <w:rPr>
          <w:rFonts w:ascii="Georgia" w:hAnsi="Georgia"/>
          <w:sz w:val="20"/>
          <w:szCs w:val="20"/>
          <w:lang w:val="lt-LT"/>
        </w:rPr>
        <w:t xml:space="preserve">suapvalinta suma - </w:t>
      </w:r>
      <w:r>
        <w:rPr>
          <w:rFonts w:ascii="Georgia" w:hAnsi="Georgia"/>
          <w:sz w:val="20"/>
          <w:szCs w:val="20"/>
          <w:lang w:val="lt-LT"/>
        </w:rPr>
        <w:t>50 mln. eurų) skiriami paskolos finansinei priemonei</w:t>
      </w:r>
      <w:r w:rsidRPr="00BC2CB8">
        <w:rPr>
          <w:rFonts w:ascii="Georgia" w:hAnsi="Georgia"/>
          <w:sz w:val="20"/>
          <w:szCs w:val="20"/>
          <w:lang w:val="lt-LT"/>
        </w:rPr>
        <w:t>.</w:t>
      </w:r>
    </w:p>
    <w:p w14:paraId="508FA10A" w14:textId="77777777" w:rsidR="0006117A" w:rsidRPr="00D9394C" w:rsidRDefault="0006117A" w:rsidP="0006117A">
      <w:pPr>
        <w:jc w:val="both"/>
        <w:rPr>
          <w:rFonts w:ascii="Georgia" w:hAnsi="Georgia"/>
          <w:sz w:val="20"/>
          <w:szCs w:val="20"/>
          <w:lang w:val="lt-LT"/>
        </w:rPr>
      </w:pPr>
      <w:r>
        <w:rPr>
          <w:rFonts w:ascii="Georgia" w:hAnsi="Georgia"/>
          <w:noProof/>
          <w:sz w:val="20"/>
          <w:szCs w:val="20"/>
          <w:lang w:val="lt-LT" w:eastAsia="lt-LT"/>
        </w:rPr>
        <w:drawing>
          <wp:inline distT="0" distB="0" distL="0" distR="0" wp14:anchorId="3A09B8D6" wp14:editId="4B7AA136">
            <wp:extent cx="5685183" cy="134767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avivaldybe Nr. 1.jpg"/>
                    <pic:cNvPicPr/>
                  </pic:nvPicPr>
                  <pic:blipFill>
                    <a:blip r:embed="rId53" cstate="screen">
                      <a:extLst>
                        <a:ext uri="{28A0092B-C50C-407E-A947-70E740481C1C}">
                          <a14:useLocalDpi xmlns:a14="http://schemas.microsoft.com/office/drawing/2010/main"/>
                        </a:ext>
                      </a:extLst>
                    </a:blip>
                    <a:stretch>
                      <a:fillRect/>
                    </a:stretch>
                  </pic:blipFill>
                  <pic:spPr>
                    <a:xfrm>
                      <a:off x="0" y="0"/>
                      <a:ext cx="5714506" cy="1354621"/>
                    </a:xfrm>
                    <a:prstGeom prst="rect">
                      <a:avLst/>
                    </a:prstGeom>
                  </pic:spPr>
                </pic:pic>
              </a:graphicData>
            </a:graphic>
          </wp:inline>
        </w:drawing>
      </w:r>
    </w:p>
    <w:p w14:paraId="3121CCA8" w14:textId="13912360" w:rsidR="0006117A" w:rsidRPr="00D9394C" w:rsidRDefault="0006117A" w:rsidP="0006117A">
      <w:pPr>
        <w:pStyle w:val="Antrat"/>
        <w:rPr>
          <w:lang w:val="lt-LT"/>
        </w:rPr>
      </w:pPr>
      <w:bookmarkStart w:id="231" w:name="_Toc417378306"/>
      <w:bookmarkStart w:id="232" w:name="_Toc507939278"/>
      <w:r w:rsidRPr="00D9394C">
        <w:rPr>
          <w:lang w:val="lt-LT"/>
        </w:rPr>
        <w:t xml:space="preserve">Paveikslas </w:t>
      </w:r>
      <w:r w:rsidRPr="00D9394C">
        <w:rPr>
          <w:lang w:val="lt-LT"/>
        </w:rPr>
        <w:fldChar w:fldCharType="begin"/>
      </w:r>
      <w:r w:rsidRPr="00D9394C">
        <w:rPr>
          <w:lang w:val="lt-LT"/>
        </w:rPr>
        <w:instrText xml:space="preserve"> SEQ Paveikslas \* ARABIC </w:instrText>
      </w:r>
      <w:r w:rsidRPr="00D9394C">
        <w:rPr>
          <w:lang w:val="lt-LT"/>
        </w:rPr>
        <w:fldChar w:fldCharType="separate"/>
      </w:r>
      <w:r w:rsidR="009652A6">
        <w:rPr>
          <w:noProof/>
          <w:lang w:val="lt-LT"/>
        </w:rPr>
        <w:t>19</w:t>
      </w:r>
      <w:r w:rsidRPr="00D9394C">
        <w:rPr>
          <w:lang w:val="lt-LT"/>
        </w:rPr>
        <w:fldChar w:fldCharType="end"/>
      </w:r>
      <w:r w:rsidRPr="00D9394C">
        <w:rPr>
          <w:lang w:val="lt-LT"/>
        </w:rPr>
        <w:t>. Savivaldybių viešųjų pastatų scenarijaus Nr. 1 schema.</w:t>
      </w:r>
      <w:bookmarkEnd w:id="231"/>
      <w:bookmarkEnd w:id="232"/>
    </w:p>
    <w:p w14:paraId="78B52291" w14:textId="60F8C511" w:rsidR="0006117A" w:rsidRPr="00BC2CB8" w:rsidRDefault="0006117A" w:rsidP="0006117A">
      <w:pPr>
        <w:jc w:val="both"/>
        <w:rPr>
          <w:rFonts w:ascii="Georgia" w:hAnsi="Georgia"/>
          <w:sz w:val="20"/>
          <w:szCs w:val="20"/>
          <w:lang w:val="lt-LT"/>
        </w:rPr>
      </w:pPr>
      <w:r w:rsidRPr="00BC2CB8">
        <w:rPr>
          <w:rFonts w:ascii="Georgia" w:hAnsi="Georgia"/>
          <w:sz w:val="20"/>
          <w:szCs w:val="20"/>
          <w:lang w:val="lt-LT"/>
        </w:rPr>
        <w:t xml:space="preserve">Tolimesniuose skaičiavimuose daroma prielaida, kad </w:t>
      </w:r>
      <w:r>
        <w:rPr>
          <w:rFonts w:ascii="Georgia" w:hAnsi="Georgia"/>
          <w:sz w:val="20"/>
          <w:szCs w:val="20"/>
        </w:rPr>
        <w:t>2018 m.</w:t>
      </w:r>
      <w:r w:rsidRPr="00BC2CB8">
        <w:rPr>
          <w:rFonts w:ascii="Georgia" w:hAnsi="Georgia"/>
          <w:sz w:val="20"/>
          <w:szCs w:val="20"/>
          <w:lang w:val="lt-LT"/>
        </w:rPr>
        <w:t xml:space="preserve"> bus renovuot</w:t>
      </w:r>
      <w:r>
        <w:rPr>
          <w:rFonts w:ascii="Georgia" w:hAnsi="Georgia"/>
          <w:sz w:val="20"/>
          <w:szCs w:val="20"/>
          <w:lang w:val="lt-LT"/>
        </w:rPr>
        <w:t>a</w:t>
      </w:r>
      <w:r w:rsidRPr="00BC2CB8">
        <w:rPr>
          <w:rFonts w:ascii="Georgia" w:hAnsi="Georgia"/>
          <w:sz w:val="20"/>
          <w:szCs w:val="20"/>
          <w:lang w:val="lt-LT"/>
        </w:rPr>
        <w:t xml:space="preserve"> </w:t>
      </w:r>
      <w:r>
        <w:rPr>
          <w:rFonts w:ascii="Georgia" w:hAnsi="Georgia"/>
          <w:sz w:val="20"/>
          <w:szCs w:val="20"/>
          <w:lang w:val="lt-LT"/>
        </w:rPr>
        <w:t>25</w:t>
      </w:r>
      <w:r w:rsidRPr="00BC2CB8">
        <w:rPr>
          <w:rFonts w:ascii="Georgia" w:hAnsi="Georgia"/>
          <w:sz w:val="20"/>
          <w:szCs w:val="20"/>
          <w:lang w:val="lt-LT"/>
        </w:rPr>
        <w:t xml:space="preserve"> tipinių </w:t>
      </w:r>
      <w:r>
        <w:rPr>
          <w:rFonts w:ascii="Georgia" w:hAnsi="Georgia"/>
          <w:sz w:val="20"/>
          <w:szCs w:val="20"/>
          <w:lang w:val="lt-LT"/>
        </w:rPr>
        <w:t xml:space="preserve">savivaldybių </w:t>
      </w:r>
      <w:r w:rsidRPr="00BC2CB8">
        <w:rPr>
          <w:rFonts w:ascii="Georgia" w:hAnsi="Georgia"/>
          <w:sz w:val="20"/>
          <w:szCs w:val="20"/>
          <w:lang w:val="lt-LT"/>
        </w:rPr>
        <w:t xml:space="preserve">viešųjų pastatų, </w:t>
      </w:r>
      <w:r>
        <w:rPr>
          <w:rFonts w:ascii="Georgia" w:hAnsi="Georgia"/>
          <w:sz w:val="20"/>
          <w:szCs w:val="20"/>
          <w:lang w:val="lt-LT"/>
        </w:rPr>
        <w:t xml:space="preserve">o </w:t>
      </w:r>
      <w:r w:rsidRPr="00BC2CB8">
        <w:rPr>
          <w:rFonts w:ascii="Georgia" w:hAnsi="Georgia"/>
          <w:sz w:val="20"/>
          <w:szCs w:val="20"/>
          <w:lang w:val="lt-LT"/>
        </w:rPr>
        <w:t xml:space="preserve">kiekvienais </w:t>
      </w:r>
      <w:r>
        <w:rPr>
          <w:rFonts w:ascii="Georgia" w:hAnsi="Georgia"/>
          <w:sz w:val="20"/>
          <w:szCs w:val="20"/>
          <w:lang w:val="lt-LT"/>
        </w:rPr>
        <w:t xml:space="preserve">kitais </w:t>
      </w:r>
      <w:r w:rsidRPr="00BC2CB8">
        <w:rPr>
          <w:rFonts w:ascii="Georgia" w:hAnsi="Georgia"/>
          <w:sz w:val="20"/>
          <w:szCs w:val="20"/>
          <w:lang w:val="lt-LT"/>
        </w:rPr>
        <w:t xml:space="preserve">metais šis skaičius </w:t>
      </w:r>
      <w:r>
        <w:rPr>
          <w:rFonts w:ascii="Georgia" w:hAnsi="Georgia"/>
          <w:sz w:val="20"/>
          <w:szCs w:val="20"/>
          <w:lang w:val="lt-LT"/>
        </w:rPr>
        <w:t xml:space="preserve">padidės iki </w:t>
      </w:r>
      <w:r>
        <w:rPr>
          <w:rFonts w:ascii="Georgia" w:hAnsi="Georgia"/>
          <w:sz w:val="20"/>
          <w:szCs w:val="20"/>
        </w:rPr>
        <w:t xml:space="preserve">100 ir bus </w:t>
      </w:r>
      <w:r>
        <w:rPr>
          <w:rFonts w:ascii="Georgia" w:hAnsi="Georgia"/>
          <w:sz w:val="20"/>
          <w:szCs w:val="20"/>
          <w:lang w:val="lt-LT"/>
        </w:rPr>
        <w:t>išdėstomas numatant tolygų modernizuotų pastatų kiekį kiekvienais metais</w:t>
      </w:r>
      <w:r w:rsidRPr="00BC2CB8">
        <w:rPr>
          <w:rFonts w:ascii="Georgia" w:hAnsi="Georgia"/>
          <w:sz w:val="20"/>
          <w:szCs w:val="20"/>
          <w:lang w:val="lt-LT"/>
        </w:rPr>
        <w:t>.</w:t>
      </w:r>
      <w:r w:rsidR="001D0C6A">
        <w:rPr>
          <w:rFonts w:ascii="Georgia" w:hAnsi="Georgia"/>
          <w:sz w:val="20"/>
          <w:szCs w:val="20"/>
          <w:lang w:val="lt-LT"/>
        </w:rPr>
        <w:t xml:space="preserve"> Šios prielaidos naudojamos</w:t>
      </w:r>
      <w:r w:rsidR="00592775">
        <w:rPr>
          <w:rFonts w:ascii="Georgia" w:hAnsi="Georgia"/>
          <w:sz w:val="20"/>
          <w:szCs w:val="20"/>
          <w:lang w:val="lt-LT"/>
        </w:rPr>
        <w:t xml:space="preserve"> tik</w:t>
      </w:r>
      <w:r w:rsidR="001D0C6A">
        <w:rPr>
          <w:rFonts w:ascii="Georgia" w:hAnsi="Georgia"/>
          <w:sz w:val="20"/>
          <w:szCs w:val="20"/>
          <w:lang w:val="lt-LT"/>
        </w:rPr>
        <w:t xml:space="preserve"> </w:t>
      </w:r>
      <w:r w:rsidR="005C562D">
        <w:rPr>
          <w:rFonts w:ascii="Georgia" w:hAnsi="Georgia"/>
          <w:sz w:val="20"/>
          <w:szCs w:val="20"/>
          <w:lang w:val="lt-LT"/>
        </w:rPr>
        <w:t xml:space="preserve">priemonės laukiamų finansinių rezultatų </w:t>
      </w:r>
      <w:r w:rsidR="001D0C6A">
        <w:rPr>
          <w:rFonts w:ascii="Georgia" w:hAnsi="Georgia"/>
          <w:sz w:val="20"/>
          <w:szCs w:val="20"/>
          <w:lang w:val="lt-LT"/>
        </w:rPr>
        <w:t>modeliavimo tikslais, tai yra</w:t>
      </w:r>
      <w:r w:rsidR="005C562D">
        <w:rPr>
          <w:rFonts w:ascii="Georgia" w:hAnsi="Georgia"/>
          <w:sz w:val="20"/>
          <w:szCs w:val="20"/>
          <w:lang w:val="lt-LT"/>
        </w:rPr>
        <w:t xml:space="preserve"> priemonei</w:t>
      </w:r>
      <w:r w:rsidR="001D0C6A">
        <w:rPr>
          <w:rFonts w:ascii="Georgia" w:hAnsi="Georgia"/>
          <w:sz w:val="20"/>
          <w:szCs w:val="20"/>
          <w:lang w:val="lt-LT"/>
        </w:rPr>
        <w:t xml:space="preserve"> skyrus </w:t>
      </w:r>
      <w:r w:rsidR="00592775">
        <w:rPr>
          <w:rFonts w:ascii="Georgia" w:hAnsi="Georgia"/>
          <w:sz w:val="20"/>
          <w:szCs w:val="20"/>
          <w:lang w:val="lt-LT"/>
        </w:rPr>
        <w:t xml:space="preserve">daugiau ar </w:t>
      </w:r>
      <w:r w:rsidR="001D0C6A">
        <w:rPr>
          <w:rFonts w:ascii="Georgia" w:hAnsi="Georgia"/>
          <w:sz w:val="20"/>
          <w:szCs w:val="20"/>
          <w:lang w:val="lt-LT"/>
        </w:rPr>
        <w:t xml:space="preserve">mažiau finansavimo, tai pat turėtų būti </w:t>
      </w:r>
      <w:r w:rsidR="00592775">
        <w:rPr>
          <w:rFonts w:ascii="Georgia" w:hAnsi="Georgia"/>
          <w:sz w:val="20"/>
          <w:szCs w:val="20"/>
          <w:lang w:val="lt-LT"/>
        </w:rPr>
        <w:t xml:space="preserve">atitinkamai </w:t>
      </w:r>
      <w:r w:rsidR="001D0C6A">
        <w:rPr>
          <w:rFonts w:ascii="Georgia" w:hAnsi="Georgia"/>
          <w:sz w:val="20"/>
          <w:szCs w:val="20"/>
          <w:lang w:val="lt-LT"/>
        </w:rPr>
        <w:t>peržiūrėtas ir renovuotinų pastatų skaičius.</w:t>
      </w:r>
    </w:p>
    <w:p w14:paraId="57FC1733" w14:textId="09A64093" w:rsidR="0006117A" w:rsidRPr="00EB3D2A" w:rsidRDefault="0006117A" w:rsidP="0006117A">
      <w:pPr>
        <w:pStyle w:val="Antrat"/>
        <w:jc w:val="both"/>
        <w:rPr>
          <w:b w:val="0"/>
          <w:i/>
          <w:lang w:val="lt-LT"/>
        </w:rPr>
      </w:pPr>
      <w:bookmarkStart w:id="233" w:name="_Toc459646434"/>
      <w:bookmarkStart w:id="234" w:name="_Toc507939198"/>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76</w:t>
      </w:r>
      <w:r w:rsidRPr="00EB3D2A">
        <w:rPr>
          <w:b w:val="0"/>
          <w:i/>
          <w:lang w:val="lt-LT"/>
        </w:rPr>
        <w:fldChar w:fldCharType="end"/>
      </w:r>
      <w:r w:rsidRPr="00EB3D2A">
        <w:rPr>
          <w:b w:val="0"/>
          <w:i/>
          <w:lang w:val="lt-LT"/>
        </w:rPr>
        <w:t>. Scenarijaus Nr. 1 įgyvendinimo prognozė</w:t>
      </w:r>
      <w:bookmarkEnd w:id="233"/>
      <w:bookmarkEnd w:id="234"/>
    </w:p>
    <w:p w14:paraId="5996A0E2" w14:textId="77777777" w:rsidR="0006117A" w:rsidRPr="00BC2CB8" w:rsidRDefault="0006117A" w:rsidP="0006117A">
      <w:pPr>
        <w:jc w:val="both"/>
        <w:rPr>
          <w:rFonts w:ascii="Georgia" w:hAnsi="Georgia"/>
          <w:sz w:val="20"/>
          <w:szCs w:val="20"/>
          <w:lang w:val="lt-LT"/>
        </w:rPr>
      </w:pPr>
      <w:r w:rsidRPr="00E6082A">
        <w:rPr>
          <w:noProof/>
          <w:lang w:val="lt-LT" w:eastAsia="lt-LT"/>
        </w:rPr>
        <w:drawing>
          <wp:inline distT="0" distB="0" distL="0" distR="0" wp14:anchorId="2AEFC6E4" wp14:editId="3A8764CB">
            <wp:extent cx="5943600" cy="2475865"/>
            <wp:effectExtent l="0" t="0" r="0" b="635"/>
            <wp:docPr id="50182" name="Picture 5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75865"/>
                    </a:xfrm>
                    <a:prstGeom prst="rect">
                      <a:avLst/>
                    </a:prstGeom>
                  </pic:spPr>
                </pic:pic>
              </a:graphicData>
            </a:graphic>
          </wp:inline>
        </w:drawing>
      </w:r>
    </w:p>
    <w:p w14:paraId="02A6F637" w14:textId="77777777" w:rsidR="0006117A" w:rsidRPr="00DB7098" w:rsidRDefault="0006117A" w:rsidP="00DB7098">
      <w:pPr>
        <w:rPr>
          <w:rFonts w:ascii="Georgia" w:hAnsi="Georgia"/>
          <w:b/>
          <w:sz w:val="24"/>
          <w:szCs w:val="24"/>
          <w:lang w:val="lt-LT"/>
        </w:rPr>
      </w:pPr>
      <w:r w:rsidRPr="00DB7098">
        <w:rPr>
          <w:rFonts w:ascii="Georgia" w:hAnsi="Georgia"/>
          <w:b/>
          <w:sz w:val="24"/>
          <w:szCs w:val="24"/>
          <w:lang w:val="lt-LT"/>
        </w:rPr>
        <w:t>Scenarijus Nr. 2. Paskolų teikimas taikant paskolų išpirkimo modelį</w:t>
      </w:r>
    </w:p>
    <w:p w14:paraId="5A4055F9" w14:textId="77777777" w:rsidR="0006117A" w:rsidRPr="001D26F2" w:rsidRDefault="0006117A" w:rsidP="0006117A">
      <w:pPr>
        <w:keepNext/>
        <w:jc w:val="both"/>
        <w:rPr>
          <w:rFonts w:ascii="Georgia" w:hAnsi="Georgia"/>
          <w:sz w:val="20"/>
          <w:szCs w:val="20"/>
        </w:rPr>
      </w:pPr>
      <w:r>
        <w:rPr>
          <w:rFonts w:ascii="Georgia" w:hAnsi="Georgia"/>
          <w:noProof/>
          <w:sz w:val="20"/>
          <w:szCs w:val="20"/>
          <w:lang w:val="lt-LT" w:eastAsia="lt-LT"/>
        </w:rPr>
        <w:drawing>
          <wp:inline distT="0" distB="0" distL="0" distR="0" wp14:anchorId="67A005B1" wp14:editId="773280DB">
            <wp:extent cx="5731510" cy="1410970"/>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vivaldybe Nr. 2.jpg"/>
                    <pic:cNvPicPr/>
                  </pic:nvPicPr>
                  <pic:blipFill>
                    <a:blip r:embed="rId55" cstate="screen">
                      <a:extLst>
                        <a:ext uri="{28A0092B-C50C-407E-A947-70E740481C1C}">
                          <a14:useLocalDpi xmlns:a14="http://schemas.microsoft.com/office/drawing/2010/main"/>
                        </a:ext>
                      </a:extLst>
                    </a:blip>
                    <a:stretch>
                      <a:fillRect/>
                    </a:stretch>
                  </pic:blipFill>
                  <pic:spPr>
                    <a:xfrm>
                      <a:off x="0" y="0"/>
                      <a:ext cx="5731510" cy="1410970"/>
                    </a:xfrm>
                    <a:prstGeom prst="rect">
                      <a:avLst/>
                    </a:prstGeom>
                  </pic:spPr>
                </pic:pic>
              </a:graphicData>
            </a:graphic>
          </wp:inline>
        </w:drawing>
      </w:r>
    </w:p>
    <w:p w14:paraId="712F21ED" w14:textId="04B3DD06" w:rsidR="0006117A" w:rsidRPr="00BC2CB8" w:rsidRDefault="0006117A" w:rsidP="0006117A">
      <w:pPr>
        <w:pStyle w:val="Antrat"/>
        <w:rPr>
          <w:szCs w:val="20"/>
          <w:lang w:val="lt-LT"/>
        </w:rPr>
      </w:pPr>
      <w:bookmarkStart w:id="235" w:name="_Toc417378307"/>
      <w:bookmarkStart w:id="236" w:name="_Toc507939279"/>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20</w:t>
      </w:r>
      <w:r w:rsidRPr="00BC2CB8">
        <w:rPr>
          <w:lang w:val="lt-LT"/>
        </w:rPr>
        <w:fldChar w:fldCharType="end"/>
      </w:r>
      <w:r w:rsidRPr="00BC2CB8">
        <w:rPr>
          <w:lang w:val="lt-LT"/>
        </w:rPr>
        <w:t xml:space="preserve">. </w:t>
      </w:r>
      <w:r>
        <w:rPr>
          <w:lang w:val="lt-LT"/>
        </w:rPr>
        <w:t>Savivaldybių v</w:t>
      </w:r>
      <w:r w:rsidRPr="00BC2CB8">
        <w:rPr>
          <w:lang w:val="lt-LT"/>
        </w:rPr>
        <w:t>iešųjų pastatų scenarijaus Nr. 2 schema.</w:t>
      </w:r>
      <w:bookmarkEnd w:id="235"/>
      <w:bookmarkEnd w:id="236"/>
      <w:r w:rsidRPr="00BC2CB8">
        <w:rPr>
          <w:lang w:val="lt-LT"/>
        </w:rPr>
        <w:t xml:space="preserve"> </w:t>
      </w:r>
    </w:p>
    <w:p w14:paraId="3835643B" w14:textId="77777777" w:rsidR="0006117A" w:rsidRDefault="0006117A" w:rsidP="0006117A">
      <w:pPr>
        <w:jc w:val="both"/>
        <w:rPr>
          <w:rFonts w:ascii="Georgia" w:hAnsi="Georgia"/>
          <w:sz w:val="20"/>
          <w:szCs w:val="20"/>
          <w:lang w:val="lt-LT"/>
        </w:rPr>
      </w:pPr>
      <w:r w:rsidRPr="00BC2CB8">
        <w:rPr>
          <w:rFonts w:ascii="Georgia" w:hAnsi="Georgia"/>
          <w:sz w:val="20"/>
          <w:szCs w:val="20"/>
          <w:lang w:val="lt-LT"/>
        </w:rPr>
        <w:t xml:space="preserve">Antrame scenarijuje </w:t>
      </w:r>
      <w:r>
        <w:rPr>
          <w:rFonts w:ascii="Georgia" w:hAnsi="Georgia"/>
          <w:sz w:val="20"/>
          <w:szCs w:val="20"/>
          <w:lang w:val="lt-LT"/>
        </w:rPr>
        <w:t>modeliuojama</w:t>
      </w:r>
      <w:r w:rsidRPr="00BC2CB8">
        <w:rPr>
          <w:rFonts w:ascii="Georgia" w:hAnsi="Georgia"/>
          <w:sz w:val="20"/>
          <w:szCs w:val="20"/>
          <w:lang w:val="lt-LT"/>
        </w:rPr>
        <w:t xml:space="preserve"> paskolų finansinė priemonė, kaip ir scenarijuje Nr. 1, </w:t>
      </w:r>
      <w:r w:rsidRPr="0068261C">
        <w:rPr>
          <w:rFonts w:ascii="Georgia" w:hAnsi="Georgia"/>
          <w:sz w:val="20"/>
          <w:szCs w:val="20"/>
          <w:lang w:val="lt-LT"/>
        </w:rPr>
        <w:t xml:space="preserve">tačiau numatoma, jog bus taikomas ateities pinigų srautų išpirkimo modelis siekiant pritraukti papildomą finansavimą. Vienas iš tokio modelio pavyzdžių  galėtų būti privatus investicinis fondas, kuris išpirktų apie </w:t>
      </w:r>
      <w:r>
        <w:rPr>
          <w:rFonts w:ascii="Georgia" w:hAnsi="Georgia"/>
          <w:sz w:val="20"/>
          <w:szCs w:val="20"/>
          <w:lang w:val="lt-LT"/>
        </w:rPr>
        <w:t>5</w:t>
      </w:r>
      <w:r w:rsidRPr="0068261C">
        <w:rPr>
          <w:rFonts w:ascii="Georgia" w:hAnsi="Georgia"/>
          <w:sz w:val="20"/>
          <w:szCs w:val="20"/>
          <w:lang w:val="lt-LT"/>
        </w:rPr>
        <w:t>0 proc. finansinės priemonės paskolų (investiciniam fondui būtų parduodamos gerosios paskolos), taip daug greičiau grąžinant išmokėtas lėšas ir jas investuojant į papildomus renovacijos projektus</w:t>
      </w:r>
      <w:r w:rsidRPr="00BC2CB8">
        <w:rPr>
          <w:rFonts w:ascii="Georgia" w:hAnsi="Georgia"/>
          <w:sz w:val="20"/>
          <w:szCs w:val="20"/>
          <w:lang w:val="lt-LT"/>
        </w:rPr>
        <w:t>.</w:t>
      </w:r>
    </w:p>
    <w:p w14:paraId="7352EAE5" w14:textId="77777777" w:rsidR="0006117A" w:rsidRDefault="0006117A" w:rsidP="0006117A">
      <w:pPr>
        <w:jc w:val="both"/>
        <w:rPr>
          <w:rFonts w:ascii="Georgia" w:hAnsi="Georgia"/>
          <w:sz w:val="20"/>
          <w:szCs w:val="20"/>
          <w:lang w:val="lt-LT"/>
        </w:rPr>
      </w:pPr>
      <w:r>
        <w:rPr>
          <w:rFonts w:ascii="Georgia" w:hAnsi="Georgia"/>
          <w:sz w:val="20"/>
          <w:szCs w:val="20"/>
          <w:lang w:val="lt-LT"/>
        </w:rPr>
        <w:t xml:space="preserve">Pabrėžtina, jog šiame modelyje įsibėgėjus paskolų išpirkimo procesui projektų skaičių riboja ne fondo lėšų likutis metų gale, o projektų paklausos duomenys. Daroma prielaida, jog per metus maksimaliai galima būtų įgyvendinti </w:t>
      </w:r>
      <w:r>
        <w:rPr>
          <w:rFonts w:ascii="Georgia" w:hAnsi="Georgia"/>
          <w:sz w:val="20"/>
          <w:szCs w:val="20"/>
        </w:rPr>
        <w:t xml:space="preserve">100 pastatų </w:t>
      </w:r>
      <w:r>
        <w:rPr>
          <w:rFonts w:ascii="Georgia" w:hAnsi="Georgia"/>
          <w:sz w:val="20"/>
          <w:szCs w:val="20"/>
          <w:lang w:val="lt-LT"/>
        </w:rPr>
        <w:t>renovaciją</w:t>
      </w:r>
      <w:r>
        <w:rPr>
          <w:rFonts w:ascii="Georgia" w:hAnsi="Georgia"/>
          <w:sz w:val="20"/>
          <w:szCs w:val="20"/>
        </w:rPr>
        <w:t>.</w:t>
      </w:r>
    </w:p>
    <w:p w14:paraId="4F0A4DA0" w14:textId="77777777" w:rsidR="0006117A" w:rsidRDefault="0006117A" w:rsidP="0006117A">
      <w:pPr>
        <w:spacing w:after="160" w:line="259" w:lineRule="auto"/>
        <w:rPr>
          <w:rFonts w:ascii="Georgia" w:eastAsia="PMingLiU" w:hAnsi="Georgia" w:cs="Times New Roman"/>
          <w:b/>
          <w:bCs/>
          <w:color w:val="A32020"/>
          <w:sz w:val="20"/>
          <w:szCs w:val="18"/>
          <w:lang w:val="lt-LT"/>
        </w:rPr>
      </w:pPr>
      <w:r>
        <w:rPr>
          <w:lang w:val="lt-LT"/>
        </w:rPr>
        <w:br w:type="page"/>
      </w:r>
    </w:p>
    <w:p w14:paraId="5950C578" w14:textId="18980CCA" w:rsidR="0006117A" w:rsidRPr="00EB3D2A" w:rsidRDefault="0006117A" w:rsidP="0006117A">
      <w:pPr>
        <w:pStyle w:val="Antrat"/>
        <w:jc w:val="both"/>
        <w:rPr>
          <w:b w:val="0"/>
          <w:i/>
          <w:szCs w:val="20"/>
          <w:lang w:val="lt-LT"/>
        </w:rPr>
      </w:pPr>
      <w:bookmarkStart w:id="237" w:name="_Toc507939199"/>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77</w:t>
      </w:r>
      <w:r w:rsidRPr="00EB3D2A">
        <w:rPr>
          <w:b w:val="0"/>
          <w:i/>
          <w:lang w:val="lt-LT"/>
        </w:rPr>
        <w:fldChar w:fldCharType="end"/>
      </w:r>
      <w:r w:rsidRPr="00EB3D2A">
        <w:rPr>
          <w:b w:val="0"/>
          <w:i/>
          <w:lang w:val="lt-LT"/>
        </w:rPr>
        <w:t>. Scenarijaus Nr. 2 įgyvendinimo prognozė</w:t>
      </w:r>
      <w:bookmarkEnd w:id="237"/>
    </w:p>
    <w:p w14:paraId="0AB47E57" w14:textId="77777777" w:rsidR="0006117A" w:rsidRPr="00BC2CB8" w:rsidRDefault="0006117A" w:rsidP="0006117A">
      <w:pPr>
        <w:jc w:val="both"/>
        <w:rPr>
          <w:rFonts w:ascii="Georgia" w:hAnsi="Georgia"/>
          <w:sz w:val="20"/>
          <w:szCs w:val="20"/>
          <w:lang w:val="lt-LT"/>
        </w:rPr>
      </w:pPr>
      <w:r w:rsidRPr="00612301">
        <w:rPr>
          <w:noProof/>
          <w:lang w:val="lt-LT" w:eastAsia="lt-LT"/>
        </w:rPr>
        <w:drawing>
          <wp:inline distT="0" distB="0" distL="0" distR="0" wp14:anchorId="10840F3F" wp14:editId="67864BD7">
            <wp:extent cx="5943600" cy="2977515"/>
            <wp:effectExtent l="0" t="0" r="0" b="0"/>
            <wp:docPr id="50183" name="Picture 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977515"/>
                    </a:xfrm>
                    <a:prstGeom prst="rect">
                      <a:avLst/>
                    </a:prstGeom>
                  </pic:spPr>
                </pic:pic>
              </a:graphicData>
            </a:graphic>
          </wp:inline>
        </w:drawing>
      </w:r>
      <w:r w:rsidRPr="00BC2CB8">
        <w:rPr>
          <w:rFonts w:ascii="Georgia" w:hAnsi="Georgia"/>
          <w:sz w:val="20"/>
          <w:szCs w:val="20"/>
          <w:lang w:val="lt-LT"/>
        </w:rPr>
        <w:t xml:space="preserve"> </w:t>
      </w:r>
    </w:p>
    <w:p w14:paraId="495F78BE" w14:textId="77777777" w:rsidR="0006117A" w:rsidRDefault="0006117A" w:rsidP="0006117A">
      <w:pPr>
        <w:rPr>
          <w:rFonts w:ascii="Georgia" w:hAnsi="Georgia"/>
          <w:sz w:val="20"/>
          <w:szCs w:val="20"/>
          <w:lang w:val="lt-LT"/>
        </w:rPr>
      </w:pPr>
    </w:p>
    <w:p w14:paraId="6EA7E025" w14:textId="77777777" w:rsidR="0006117A" w:rsidRPr="00DB7098" w:rsidRDefault="0006117A" w:rsidP="0006117A">
      <w:pPr>
        <w:rPr>
          <w:rFonts w:ascii="Georgia" w:hAnsi="Georgia"/>
          <w:b/>
          <w:sz w:val="24"/>
          <w:szCs w:val="24"/>
          <w:lang w:val="lt-LT"/>
        </w:rPr>
      </w:pPr>
      <w:r w:rsidRPr="00DB7098">
        <w:rPr>
          <w:rFonts w:ascii="Georgia" w:hAnsi="Georgia"/>
          <w:b/>
          <w:sz w:val="24"/>
          <w:szCs w:val="24"/>
          <w:lang w:val="lt-LT"/>
        </w:rPr>
        <w:t>Scenarijus Nr. 3. Paskolų teikimas taikant asimetrinį rizikos pasidalijimą</w:t>
      </w:r>
    </w:p>
    <w:p w14:paraId="394EE474" w14:textId="77777777" w:rsidR="0006117A" w:rsidRPr="00BC2CB8" w:rsidRDefault="0006117A" w:rsidP="0006117A">
      <w:pPr>
        <w:jc w:val="both"/>
        <w:rPr>
          <w:szCs w:val="20"/>
          <w:lang w:val="lt-LT"/>
        </w:rPr>
      </w:pPr>
      <w:r w:rsidRPr="00776D82">
        <w:rPr>
          <w:rFonts w:ascii="Georgia" w:hAnsi="Georgia"/>
          <w:sz w:val="20"/>
          <w:szCs w:val="20"/>
          <w:lang w:val="lt-LT"/>
        </w:rPr>
        <w:t>Šio scenarijaus atveju numatoma, jog bus taikomas asimetrinis rizikų pasidalijimo modelis siekiant pritraukti papildomą finansavimą. Finansinės priemonės valdytojas ir (ar) ministerijos gali taikyti įvairius asimetrinio rizikos pasidalijimo modelio variantus. Šiame scenarijuje modeliuojamas vienas pavyzdys iš galimų taikyti variantų</w:t>
      </w:r>
      <w:r w:rsidRPr="00B23A70">
        <w:rPr>
          <w:rStyle w:val="Puslapioinaosnuoroda"/>
          <w:rFonts w:ascii="Georgia" w:hAnsi="Georgia"/>
          <w:sz w:val="20"/>
          <w:szCs w:val="20"/>
          <w:lang w:val="lt-LT"/>
        </w:rPr>
        <w:footnoteReference w:id="133"/>
      </w:r>
      <w:r w:rsidRPr="00B23A70">
        <w:rPr>
          <w:rFonts w:ascii="Georgia" w:hAnsi="Georgia"/>
          <w:sz w:val="20"/>
          <w:szCs w:val="20"/>
          <w:lang w:val="lt-LT"/>
        </w:rPr>
        <w:t xml:space="preserve">, t.y. kai </w:t>
      </w:r>
      <w:r w:rsidRPr="009671B7">
        <w:rPr>
          <w:rFonts w:ascii="Georgia" w:hAnsi="Georgia"/>
          <w:sz w:val="20"/>
          <w:szCs w:val="20"/>
          <w:lang w:val="lt-LT"/>
        </w:rPr>
        <w:t>ESI fondų lėšos būtų nukreipiamos į naujai sukurtą juridinio asmens statusą t</w:t>
      </w:r>
      <w:r w:rsidRPr="00776D82">
        <w:rPr>
          <w:rFonts w:ascii="Georgia" w:hAnsi="Georgia"/>
          <w:sz w:val="20"/>
          <w:szCs w:val="20"/>
          <w:lang w:val="lt-LT"/>
        </w:rPr>
        <w:t>urintį subjektą – investicinį fondą, ir tomis lėšomis būtų užtikrinama privačių investuotojų ir/ar paskolos davėjų investicijų saugumas, o toks subjektas tiesiogiai teikia paskolas projektams.</w:t>
      </w:r>
    </w:p>
    <w:p w14:paraId="229EF71B" w14:textId="77777777" w:rsidR="0006117A" w:rsidRDefault="0006117A" w:rsidP="0006117A">
      <w:pPr>
        <w:keepNext/>
        <w:jc w:val="both"/>
        <w:rPr>
          <w:lang w:val="lt-LT"/>
        </w:rPr>
      </w:pPr>
      <w:r>
        <w:rPr>
          <w:noProof/>
          <w:lang w:val="lt-LT" w:eastAsia="lt-LT"/>
        </w:rPr>
        <w:drawing>
          <wp:inline distT="0" distB="0" distL="0" distR="0" wp14:anchorId="65688F20" wp14:editId="261861BB">
            <wp:extent cx="5780707" cy="1701579"/>
            <wp:effectExtent l="0" t="0" r="0" b="0"/>
            <wp:docPr id="50184" name="Pictur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avivaldybe Nr. 5.jpg"/>
                    <pic:cNvPicPr/>
                  </pic:nvPicPr>
                  <pic:blipFill>
                    <a:blip r:embed="rId57" cstate="screen">
                      <a:extLst>
                        <a:ext uri="{28A0092B-C50C-407E-A947-70E740481C1C}">
                          <a14:useLocalDpi xmlns:a14="http://schemas.microsoft.com/office/drawing/2010/main"/>
                        </a:ext>
                      </a:extLst>
                    </a:blip>
                    <a:stretch>
                      <a:fillRect/>
                    </a:stretch>
                  </pic:blipFill>
                  <pic:spPr>
                    <a:xfrm>
                      <a:off x="0" y="0"/>
                      <a:ext cx="5809475" cy="1710047"/>
                    </a:xfrm>
                    <a:prstGeom prst="rect">
                      <a:avLst/>
                    </a:prstGeom>
                  </pic:spPr>
                </pic:pic>
              </a:graphicData>
            </a:graphic>
          </wp:inline>
        </w:drawing>
      </w:r>
    </w:p>
    <w:p w14:paraId="477A8CCB" w14:textId="1C82AAD9" w:rsidR="0006117A" w:rsidRPr="00BC2CB8" w:rsidRDefault="0006117A" w:rsidP="0006117A">
      <w:pPr>
        <w:pStyle w:val="Antrat"/>
        <w:rPr>
          <w:szCs w:val="20"/>
          <w:lang w:val="lt-LT"/>
        </w:rPr>
      </w:pPr>
      <w:bookmarkStart w:id="238" w:name="_Toc507939280"/>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21</w:t>
      </w:r>
      <w:r w:rsidRPr="00BC2CB8">
        <w:rPr>
          <w:lang w:val="lt-LT"/>
        </w:rPr>
        <w:fldChar w:fldCharType="end"/>
      </w:r>
      <w:r w:rsidRPr="00BC2CB8">
        <w:rPr>
          <w:lang w:val="lt-LT"/>
        </w:rPr>
        <w:t xml:space="preserve">. </w:t>
      </w:r>
      <w:r>
        <w:rPr>
          <w:lang w:val="lt-LT"/>
        </w:rPr>
        <w:t>Savivaldybių v</w:t>
      </w:r>
      <w:r w:rsidRPr="00BC2CB8">
        <w:rPr>
          <w:lang w:val="lt-LT"/>
        </w:rPr>
        <w:t xml:space="preserve">iešųjų pastatų scenarijaus Nr. </w:t>
      </w:r>
      <w:r>
        <w:rPr>
          <w:lang w:val="lt-LT"/>
        </w:rPr>
        <w:t>3</w:t>
      </w:r>
      <w:r w:rsidRPr="00BC2CB8">
        <w:rPr>
          <w:lang w:val="lt-LT"/>
        </w:rPr>
        <w:t xml:space="preserve"> schema</w:t>
      </w:r>
      <w:bookmarkEnd w:id="238"/>
      <w:r w:rsidRPr="00BC2CB8">
        <w:rPr>
          <w:lang w:val="lt-LT"/>
        </w:rPr>
        <w:t xml:space="preserve"> </w:t>
      </w:r>
    </w:p>
    <w:p w14:paraId="09780A9D" w14:textId="7B54B0FB" w:rsidR="00EB2995" w:rsidRDefault="0006117A" w:rsidP="0006117A">
      <w:pPr>
        <w:jc w:val="both"/>
        <w:rPr>
          <w:rFonts w:ascii="Georgia" w:hAnsi="Georgia"/>
          <w:sz w:val="20"/>
          <w:szCs w:val="20"/>
          <w:lang w:val="lt-LT"/>
        </w:rPr>
      </w:pPr>
      <w:r w:rsidRPr="00BC2CB8">
        <w:rPr>
          <w:rFonts w:ascii="Georgia" w:hAnsi="Georgia"/>
          <w:sz w:val="20"/>
          <w:szCs w:val="20"/>
          <w:lang w:val="lt-LT"/>
        </w:rPr>
        <w:t xml:space="preserve">Su galimais investuotojais (tarptautinėmis finansų institucijomis, komerciniais bankais, pensijų fondais) aptarus finansinės priemonės ar fondų fondo </w:t>
      </w:r>
      <w:r>
        <w:rPr>
          <w:rFonts w:ascii="Georgia" w:hAnsi="Georgia"/>
          <w:sz w:val="20"/>
          <w:szCs w:val="20"/>
          <w:lang w:val="lt-LT"/>
        </w:rPr>
        <w:t>(</w:t>
      </w:r>
      <w:r w:rsidRPr="00BC2CB8">
        <w:rPr>
          <w:rFonts w:ascii="Georgia" w:hAnsi="Georgia"/>
          <w:sz w:val="20"/>
          <w:szCs w:val="20"/>
          <w:lang w:val="lt-LT"/>
        </w:rPr>
        <w:t>kaip juridinio asmens</w:t>
      </w:r>
      <w:r>
        <w:rPr>
          <w:rFonts w:ascii="Georgia" w:hAnsi="Georgia"/>
          <w:sz w:val="20"/>
          <w:szCs w:val="20"/>
          <w:lang w:val="lt-LT"/>
        </w:rPr>
        <w:t>)</w:t>
      </w:r>
      <w:r w:rsidRPr="00BC2CB8">
        <w:rPr>
          <w:rFonts w:ascii="Georgia" w:hAnsi="Georgia"/>
          <w:sz w:val="20"/>
          <w:szCs w:val="20"/>
          <w:lang w:val="lt-LT"/>
        </w:rPr>
        <w:t xml:space="preserve"> steigimo galimyb</w:t>
      </w:r>
      <w:r>
        <w:rPr>
          <w:rFonts w:ascii="Georgia" w:hAnsi="Georgia"/>
          <w:sz w:val="20"/>
          <w:szCs w:val="20"/>
          <w:lang w:val="lt-LT"/>
        </w:rPr>
        <w:t xml:space="preserve">es, </w:t>
      </w:r>
      <w:r>
        <w:rPr>
          <w:rFonts w:ascii="Georgia" w:hAnsi="Georgia"/>
          <w:sz w:val="20"/>
          <w:szCs w:val="20"/>
          <w:lang w:val="lt-LT"/>
        </w:rPr>
        <w:lastRenderedPageBreak/>
        <w:t>buvo nustatyta, kad</w:t>
      </w:r>
      <w:r w:rsidR="00EB2995">
        <w:rPr>
          <w:rFonts w:ascii="Georgia" w:hAnsi="Georgia"/>
          <w:sz w:val="20"/>
          <w:szCs w:val="20"/>
          <w:lang w:val="lt-LT"/>
        </w:rPr>
        <w:t xml:space="preserve"> į fondą galimą pritraukti apie 20 mln. eurų privačių lėšų konkretiems projektams</w:t>
      </w:r>
      <w:r w:rsidR="005B69FE">
        <w:rPr>
          <w:rFonts w:ascii="Georgia" w:hAnsi="Georgia"/>
          <w:sz w:val="20"/>
          <w:szCs w:val="20"/>
          <w:lang w:val="lt-LT"/>
        </w:rPr>
        <w:t xml:space="preserve"> finansuoti</w:t>
      </w:r>
      <w:r w:rsidR="00EB2995">
        <w:rPr>
          <w:rFonts w:ascii="Georgia" w:hAnsi="Georgia"/>
          <w:sz w:val="20"/>
          <w:szCs w:val="20"/>
          <w:lang w:val="lt-LT"/>
        </w:rPr>
        <w:t xml:space="preserve">. </w:t>
      </w:r>
    </w:p>
    <w:p w14:paraId="046D1730" w14:textId="7ED87D4B" w:rsidR="00EB2995" w:rsidRDefault="00EB2995" w:rsidP="0006117A">
      <w:pPr>
        <w:jc w:val="both"/>
        <w:rPr>
          <w:rFonts w:ascii="Georgia" w:hAnsi="Georgia"/>
          <w:sz w:val="20"/>
          <w:szCs w:val="20"/>
          <w:lang w:val="lt-LT"/>
        </w:rPr>
      </w:pPr>
      <w:r>
        <w:rPr>
          <w:rFonts w:ascii="Georgia" w:hAnsi="Georgia"/>
          <w:sz w:val="20"/>
          <w:szCs w:val="20"/>
          <w:lang w:val="lt-LT"/>
        </w:rPr>
        <w:t>Skaičiuojama, kad pirmojo praradimo kapitalas, suformuotas iš ESI fondų l</w:t>
      </w:r>
      <w:r w:rsidR="004B3D22">
        <w:rPr>
          <w:rFonts w:ascii="Georgia" w:hAnsi="Georgia"/>
          <w:sz w:val="20"/>
          <w:szCs w:val="20"/>
          <w:lang w:val="lt-LT"/>
        </w:rPr>
        <w:t>ė</w:t>
      </w:r>
      <w:r>
        <w:rPr>
          <w:rFonts w:ascii="Georgia" w:hAnsi="Georgia"/>
          <w:sz w:val="20"/>
          <w:szCs w:val="20"/>
          <w:lang w:val="lt-LT"/>
        </w:rPr>
        <w:t>šų, sudarytų apie 30 mln. eurų, į fondą tai</w:t>
      </w:r>
      <w:r w:rsidR="004B3D22">
        <w:rPr>
          <w:rFonts w:ascii="Georgia" w:hAnsi="Georgia"/>
          <w:sz w:val="20"/>
          <w:szCs w:val="20"/>
          <w:lang w:val="lt-LT"/>
        </w:rPr>
        <w:t>p</w:t>
      </w:r>
      <w:r>
        <w:rPr>
          <w:rFonts w:ascii="Georgia" w:hAnsi="Georgia"/>
          <w:sz w:val="20"/>
          <w:szCs w:val="20"/>
          <w:lang w:val="lt-LT"/>
        </w:rPr>
        <w:t xml:space="preserve"> pat būtų įnešta 20 mln. eurų privačių lėšų ir likę 20 mln. ESI fondų lėšų.</w:t>
      </w:r>
      <w:r w:rsidR="0006117A">
        <w:rPr>
          <w:rFonts w:ascii="Georgia" w:hAnsi="Georgia"/>
          <w:sz w:val="20"/>
          <w:szCs w:val="20"/>
          <w:lang w:val="lt-LT"/>
        </w:rPr>
        <w:t xml:space="preserve"> </w:t>
      </w:r>
    </w:p>
    <w:p w14:paraId="4FE7091C" w14:textId="649A159D" w:rsidR="0006117A" w:rsidRPr="00EB3D2A" w:rsidRDefault="0006117A" w:rsidP="0006117A">
      <w:pPr>
        <w:pStyle w:val="Antrat"/>
        <w:rPr>
          <w:b w:val="0"/>
          <w:i/>
          <w:szCs w:val="20"/>
          <w:lang w:val="lt-LT"/>
        </w:rPr>
      </w:pPr>
      <w:bookmarkStart w:id="239" w:name="_Toc507939200"/>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78</w:t>
      </w:r>
      <w:r w:rsidRPr="00EB3D2A">
        <w:rPr>
          <w:b w:val="0"/>
          <w:i/>
          <w:lang w:val="lt-LT"/>
        </w:rPr>
        <w:fldChar w:fldCharType="end"/>
      </w:r>
      <w:r w:rsidRPr="00EB3D2A">
        <w:rPr>
          <w:b w:val="0"/>
          <w:i/>
          <w:lang w:val="lt-LT"/>
        </w:rPr>
        <w:t>. Scenarijaus Nr. 3 įgyvendinimo prognozė.</w:t>
      </w:r>
      <w:bookmarkEnd w:id="239"/>
      <w:r w:rsidRPr="00EB3D2A">
        <w:rPr>
          <w:b w:val="0"/>
          <w:i/>
          <w:lang w:val="lt-LT"/>
        </w:rPr>
        <w:t xml:space="preserve"> </w:t>
      </w:r>
    </w:p>
    <w:p w14:paraId="6D554F83" w14:textId="77777777" w:rsidR="0006117A" w:rsidRDefault="0006117A" w:rsidP="0006117A">
      <w:pPr>
        <w:rPr>
          <w:rFonts w:ascii="Georgia" w:hAnsi="Georgia"/>
          <w:sz w:val="20"/>
          <w:szCs w:val="20"/>
          <w:lang w:val="lt-LT"/>
        </w:rPr>
      </w:pPr>
      <w:r w:rsidRPr="00612301">
        <w:rPr>
          <w:noProof/>
          <w:lang w:val="lt-LT" w:eastAsia="lt-LT"/>
        </w:rPr>
        <w:drawing>
          <wp:inline distT="0" distB="0" distL="0" distR="0" wp14:anchorId="14F97D9B" wp14:editId="106A089F">
            <wp:extent cx="5943600" cy="2569210"/>
            <wp:effectExtent l="0" t="0" r="0" b="2540"/>
            <wp:docPr id="50185" name="Picture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569210"/>
                    </a:xfrm>
                    <a:prstGeom prst="rect">
                      <a:avLst/>
                    </a:prstGeom>
                  </pic:spPr>
                </pic:pic>
              </a:graphicData>
            </a:graphic>
          </wp:inline>
        </w:drawing>
      </w:r>
    </w:p>
    <w:p w14:paraId="7CD83458" w14:textId="77777777" w:rsidR="0006117A" w:rsidRDefault="0006117A" w:rsidP="0006117A">
      <w:pPr>
        <w:rPr>
          <w:rFonts w:ascii="Georgia" w:hAnsi="Georgia"/>
          <w:sz w:val="20"/>
          <w:szCs w:val="20"/>
          <w:lang w:val="lt-LT"/>
        </w:rPr>
      </w:pPr>
    </w:p>
    <w:p w14:paraId="0D5D1992" w14:textId="77777777" w:rsidR="0006117A" w:rsidRPr="002A2E90" w:rsidRDefault="0006117A" w:rsidP="0006117A">
      <w:pPr>
        <w:keepNext/>
        <w:rPr>
          <w:rFonts w:ascii="Georgia" w:hAnsi="Georgia"/>
          <w:b/>
          <w:i/>
          <w:sz w:val="24"/>
          <w:szCs w:val="24"/>
          <w:lang w:val="lt-LT"/>
        </w:rPr>
      </w:pPr>
      <w:r w:rsidRPr="002A2E90">
        <w:rPr>
          <w:rFonts w:ascii="Georgia" w:hAnsi="Georgia"/>
          <w:b/>
          <w:i/>
          <w:sz w:val="24"/>
          <w:szCs w:val="24"/>
          <w:lang w:val="lt-LT"/>
        </w:rPr>
        <w:t xml:space="preserve">Scenarijus Nr. </w:t>
      </w:r>
      <w:r>
        <w:rPr>
          <w:rFonts w:ascii="Georgia" w:hAnsi="Georgia"/>
          <w:b/>
          <w:i/>
          <w:sz w:val="24"/>
          <w:szCs w:val="24"/>
          <w:lang w:val="lt-LT"/>
        </w:rPr>
        <w:t>4. Garantijų teikimas</w:t>
      </w:r>
    </w:p>
    <w:p w14:paraId="47AAA46B" w14:textId="77777777" w:rsidR="0006117A" w:rsidRPr="0064135E" w:rsidRDefault="0006117A" w:rsidP="0006117A">
      <w:pPr>
        <w:rPr>
          <w:lang w:val="lt-LT"/>
        </w:rPr>
      </w:pPr>
      <w:r>
        <w:rPr>
          <w:noProof/>
          <w:lang w:val="lt-LT" w:eastAsia="lt-LT"/>
        </w:rPr>
        <w:drawing>
          <wp:inline distT="0" distB="0" distL="0" distR="0" wp14:anchorId="3927A7F8" wp14:editId="4ED96C64">
            <wp:extent cx="5697314" cy="201963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avivaldybe Nr. 4.jpg"/>
                    <pic:cNvPicPr/>
                  </pic:nvPicPr>
                  <pic:blipFill>
                    <a:blip r:embed="rId59" cstate="screen">
                      <a:extLst>
                        <a:ext uri="{28A0092B-C50C-407E-A947-70E740481C1C}">
                          <a14:useLocalDpi xmlns:a14="http://schemas.microsoft.com/office/drawing/2010/main"/>
                        </a:ext>
                      </a:extLst>
                    </a:blip>
                    <a:stretch>
                      <a:fillRect/>
                    </a:stretch>
                  </pic:blipFill>
                  <pic:spPr>
                    <a:xfrm>
                      <a:off x="0" y="0"/>
                      <a:ext cx="5726990" cy="2030151"/>
                    </a:xfrm>
                    <a:prstGeom prst="rect">
                      <a:avLst/>
                    </a:prstGeom>
                  </pic:spPr>
                </pic:pic>
              </a:graphicData>
            </a:graphic>
          </wp:inline>
        </w:drawing>
      </w:r>
    </w:p>
    <w:p w14:paraId="7872876A" w14:textId="17D58021" w:rsidR="0006117A" w:rsidRPr="00BC2CB8" w:rsidRDefault="0006117A" w:rsidP="0006117A">
      <w:pPr>
        <w:pStyle w:val="Antrat"/>
        <w:rPr>
          <w:szCs w:val="20"/>
          <w:lang w:val="lt-LT"/>
        </w:rPr>
      </w:pPr>
      <w:bookmarkStart w:id="240" w:name="_Toc417378309"/>
      <w:bookmarkStart w:id="241" w:name="_Toc507939281"/>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9652A6">
        <w:rPr>
          <w:noProof/>
          <w:lang w:val="lt-LT"/>
        </w:rPr>
        <w:t>22</w:t>
      </w:r>
      <w:r w:rsidRPr="00BC2CB8">
        <w:rPr>
          <w:lang w:val="lt-LT"/>
        </w:rPr>
        <w:fldChar w:fldCharType="end"/>
      </w:r>
      <w:r w:rsidRPr="00BC2CB8">
        <w:rPr>
          <w:lang w:val="lt-LT"/>
        </w:rPr>
        <w:t xml:space="preserve">. </w:t>
      </w:r>
      <w:r>
        <w:rPr>
          <w:lang w:val="lt-LT"/>
        </w:rPr>
        <w:t>Savivaldybių v</w:t>
      </w:r>
      <w:r w:rsidRPr="00BC2CB8">
        <w:rPr>
          <w:lang w:val="lt-LT"/>
        </w:rPr>
        <w:t xml:space="preserve">iešųjų pastatų scenarijaus Nr. </w:t>
      </w:r>
      <w:r>
        <w:rPr>
          <w:lang w:val="lt-LT"/>
        </w:rPr>
        <w:t>4</w:t>
      </w:r>
      <w:r w:rsidRPr="00BC2CB8">
        <w:rPr>
          <w:lang w:val="lt-LT"/>
        </w:rPr>
        <w:t xml:space="preserve"> schema.</w:t>
      </w:r>
      <w:bookmarkEnd w:id="240"/>
      <w:bookmarkEnd w:id="241"/>
      <w:r w:rsidRPr="00BC2CB8">
        <w:rPr>
          <w:lang w:val="lt-LT"/>
        </w:rPr>
        <w:t xml:space="preserve"> </w:t>
      </w:r>
    </w:p>
    <w:p w14:paraId="5CC1F8F3" w14:textId="77777777" w:rsidR="0006117A" w:rsidRPr="00BC2CB8" w:rsidRDefault="0006117A" w:rsidP="0006117A">
      <w:pPr>
        <w:jc w:val="both"/>
        <w:rPr>
          <w:rFonts w:ascii="Georgia" w:hAnsi="Georgia"/>
          <w:sz w:val="20"/>
          <w:szCs w:val="20"/>
          <w:lang w:val="lt-LT"/>
        </w:rPr>
      </w:pPr>
      <w:r w:rsidRPr="00776D82">
        <w:rPr>
          <w:rFonts w:ascii="Georgia" w:hAnsi="Georgia"/>
          <w:sz w:val="20"/>
          <w:szCs w:val="20"/>
          <w:lang w:val="lt-LT"/>
        </w:rPr>
        <w:t xml:space="preserve">Šiame scenarijuje modeliuojama situacija, kai papildomos </w:t>
      </w:r>
      <w:r w:rsidRPr="00A269D1">
        <w:rPr>
          <w:rFonts w:ascii="Georgia" w:hAnsi="Georgia"/>
          <w:sz w:val="20"/>
          <w:szCs w:val="20"/>
          <w:lang w:val="lt-LT"/>
        </w:rPr>
        <w:t>ES (ar biudžeto) l</w:t>
      </w:r>
      <w:r w:rsidRPr="00B23A70">
        <w:rPr>
          <w:rFonts w:ascii="Georgia" w:hAnsi="Georgia"/>
          <w:sz w:val="20"/>
          <w:szCs w:val="20"/>
          <w:lang w:val="lt-LT"/>
        </w:rPr>
        <w:t>ėšos</w:t>
      </w:r>
      <w:r w:rsidRPr="009671B7">
        <w:rPr>
          <w:rFonts w:ascii="Georgia" w:hAnsi="Georgia"/>
          <w:sz w:val="20"/>
          <w:szCs w:val="20"/>
          <w:lang w:val="lt-LT"/>
        </w:rPr>
        <w:t xml:space="preserve"> skiriam</w:t>
      </w:r>
      <w:r w:rsidRPr="00776D82">
        <w:rPr>
          <w:rFonts w:ascii="Georgia" w:hAnsi="Georgia"/>
          <w:sz w:val="20"/>
          <w:szCs w:val="20"/>
          <w:lang w:val="lt-LT"/>
        </w:rPr>
        <w:t xml:space="preserve">os garantijų finansinei priemonei finansuoti. Tokiu būdu </w:t>
      </w:r>
      <w:r>
        <w:rPr>
          <w:rFonts w:ascii="Georgia" w:hAnsi="Georgia"/>
          <w:sz w:val="20"/>
          <w:szCs w:val="20"/>
          <w:lang w:val="lt-LT"/>
        </w:rPr>
        <w:t xml:space="preserve">jei būtų </w:t>
      </w:r>
      <w:r w:rsidRPr="00776D82">
        <w:rPr>
          <w:rFonts w:ascii="Georgia" w:hAnsi="Georgia"/>
          <w:sz w:val="20"/>
          <w:szCs w:val="20"/>
          <w:lang w:val="lt-LT"/>
        </w:rPr>
        <w:t>teikiama subsidija galėtų būtų naudojama išduodamų bankų paskolų sumai ir atitinkamai jų rizikai mažinti, taip skatinant bankų prisidėjimą savo lėšomis dalyvaujant valdžios pastatų renovacijos procese. Šiuo atveju daroma prielaida, jog visa subsidinė parama bus finansuojama papildomomis lėšomis. Tuo tarpu modelyje visos lėšos skirtos finansiniai priemonei remti bus panaudotos teikiant garantijas komerciniams bankams, pagal kurias pastarieji išduos paskolas.</w:t>
      </w:r>
    </w:p>
    <w:p w14:paraId="18785D78" w14:textId="77777777" w:rsidR="0006117A" w:rsidRPr="00BC2CB8" w:rsidRDefault="0006117A" w:rsidP="0006117A">
      <w:pPr>
        <w:ind w:left="360"/>
        <w:rPr>
          <w:rFonts w:ascii="Georgia" w:hAnsi="Georgia"/>
          <w:sz w:val="20"/>
          <w:szCs w:val="20"/>
          <w:lang w:val="lt-LT"/>
        </w:rPr>
      </w:pPr>
    </w:p>
    <w:p w14:paraId="5CA67A3E" w14:textId="5520AB7F" w:rsidR="0006117A" w:rsidRPr="00EB3D2A" w:rsidRDefault="0006117A" w:rsidP="0006117A">
      <w:pPr>
        <w:pStyle w:val="Antrat"/>
        <w:jc w:val="both"/>
        <w:rPr>
          <w:b w:val="0"/>
          <w:i/>
          <w:szCs w:val="20"/>
          <w:lang w:val="lt-LT"/>
        </w:rPr>
      </w:pPr>
      <w:bookmarkStart w:id="242" w:name="_Toc459646444"/>
      <w:bookmarkStart w:id="243" w:name="_Toc507939201"/>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79</w:t>
      </w:r>
      <w:r w:rsidRPr="00EB3D2A">
        <w:rPr>
          <w:b w:val="0"/>
          <w:i/>
          <w:lang w:val="lt-LT"/>
        </w:rPr>
        <w:fldChar w:fldCharType="end"/>
      </w:r>
      <w:r w:rsidRPr="00EB3D2A">
        <w:rPr>
          <w:b w:val="0"/>
          <w:i/>
          <w:lang w:val="lt-LT"/>
        </w:rPr>
        <w:t>. Scenarijaus Nr. 4 įgyvendinimo prognozė</w:t>
      </w:r>
      <w:bookmarkEnd w:id="242"/>
      <w:bookmarkEnd w:id="243"/>
    </w:p>
    <w:p w14:paraId="3808DF41" w14:textId="25E6275B" w:rsidR="0006117A" w:rsidRDefault="0006117A" w:rsidP="0006117A">
      <w:pPr>
        <w:rPr>
          <w:lang w:val="lt-LT"/>
        </w:rPr>
      </w:pPr>
      <w:r w:rsidRPr="006F2673">
        <w:rPr>
          <w:noProof/>
          <w:lang w:val="lt-LT" w:eastAsia="lt-LT"/>
        </w:rPr>
        <w:drawing>
          <wp:inline distT="0" distB="0" distL="0" distR="0" wp14:anchorId="24CB4012" wp14:editId="06200DC0">
            <wp:extent cx="5858204" cy="2395855"/>
            <wp:effectExtent l="0" t="0" r="9525" b="4445"/>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74678" cy="2402592"/>
                    </a:xfrm>
                    <a:prstGeom prst="rect">
                      <a:avLst/>
                    </a:prstGeom>
                  </pic:spPr>
                </pic:pic>
              </a:graphicData>
            </a:graphic>
          </wp:inline>
        </w:drawing>
      </w:r>
    </w:p>
    <w:p w14:paraId="0980904D" w14:textId="77777777" w:rsidR="0006117A" w:rsidRPr="0006117A" w:rsidRDefault="0006117A" w:rsidP="0006117A">
      <w:pPr>
        <w:rPr>
          <w:lang w:val="lt-LT"/>
        </w:rPr>
      </w:pPr>
    </w:p>
    <w:p w14:paraId="33867A45" w14:textId="0F24A6C1" w:rsidR="00280058" w:rsidRDefault="006332E6" w:rsidP="00A41801">
      <w:pPr>
        <w:pStyle w:val="Antrat2"/>
        <w:numPr>
          <w:ilvl w:val="3"/>
          <w:numId w:val="2"/>
        </w:numPr>
        <w:ind w:left="1134"/>
        <w:rPr>
          <w:lang w:val="lt-LT"/>
        </w:rPr>
      </w:pPr>
      <w:bookmarkStart w:id="244" w:name="_Toc25589927"/>
      <w:r w:rsidRPr="002142B8">
        <w:rPr>
          <w:lang w:val="lt-LT"/>
        </w:rPr>
        <w:t>G</w:t>
      </w:r>
      <w:r w:rsidR="002C12CB" w:rsidRPr="002142B8">
        <w:rPr>
          <w:lang w:val="lt-LT"/>
        </w:rPr>
        <w:t>atvių apšvietimas</w:t>
      </w:r>
      <w:bookmarkEnd w:id="227"/>
      <w:bookmarkEnd w:id="228"/>
      <w:bookmarkEnd w:id="244"/>
    </w:p>
    <w:p w14:paraId="25FAF0A6" w14:textId="77777777" w:rsidR="0006117A" w:rsidRDefault="0006117A" w:rsidP="005A432A">
      <w:pPr>
        <w:jc w:val="both"/>
        <w:rPr>
          <w:rFonts w:ascii="Georgia" w:hAnsi="Georgia"/>
          <w:sz w:val="20"/>
          <w:szCs w:val="20"/>
          <w:lang w:val="lt-LT"/>
        </w:rPr>
      </w:pPr>
    </w:p>
    <w:p w14:paraId="6AB6ED14" w14:textId="25AE2CD7" w:rsidR="005A432A" w:rsidRDefault="005A432A" w:rsidP="005A432A">
      <w:pPr>
        <w:jc w:val="both"/>
        <w:rPr>
          <w:rFonts w:ascii="Georgia" w:hAnsi="Georgia"/>
          <w:sz w:val="20"/>
          <w:szCs w:val="20"/>
          <w:lang w:val="lt-LT"/>
        </w:rPr>
      </w:pPr>
      <w:r w:rsidRPr="00AC3318">
        <w:rPr>
          <w:rFonts w:ascii="Georgia" w:hAnsi="Georgia"/>
          <w:sz w:val="20"/>
          <w:szCs w:val="20"/>
          <w:lang w:val="lt-LT"/>
        </w:rPr>
        <w:t>Gatvių apšvietimo modernizavimo pro</w:t>
      </w:r>
      <w:r>
        <w:rPr>
          <w:rFonts w:ascii="Georgia" w:hAnsi="Georgia"/>
          <w:sz w:val="20"/>
          <w:szCs w:val="20"/>
          <w:lang w:val="lt-LT"/>
        </w:rPr>
        <w:t>je</w:t>
      </w:r>
      <w:r w:rsidRPr="00AC3318">
        <w:rPr>
          <w:rFonts w:ascii="Georgia" w:hAnsi="Georgia"/>
          <w:sz w:val="20"/>
          <w:szCs w:val="20"/>
          <w:lang w:val="lt-LT"/>
        </w:rPr>
        <w:t>ktai yra vieni iš finansiškai gyvybingiausių</w:t>
      </w:r>
      <w:r>
        <w:rPr>
          <w:rFonts w:ascii="Georgia" w:hAnsi="Georgia"/>
          <w:sz w:val="20"/>
          <w:szCs w:val="20"/>
          <w:lang w:val="lt-LT"/>
        </w:rPr>
        <w:t xml:space="preserve"> (dėl reikšmingų išlaidų elektros energijos sutaupymų) </w:t>
      </w:r>
      <w:r w:rsidRPr="00AC3318">
        <w:rPr>
          <w:rFonts w:ascii="Georgia" w:hAnsi="Georgia"/>
          <w:sz w:val="20"/>
          <w:szCs w:val="20"/>
          <w:lang w:val="lt-LT"/>
        </w:rPr>
        <w:t xml:space="preserve">, todėl nebuvo vertinamas </w:t>
      </w:r>
      <w:r>
        <w:rPr>
          <w:rFonts w:ascii="Georgia" w:hAnsi="Georgia"/>
          <w:sz w:val="20"/>
          <w:szCs w:val="20"/>
          <w:lang w:val="lt-LT"/>
        </w:rPr>
        <w:t>šių</w:t>
      </w:r>
      <w:r w:rsidRPr="00AC3318">
        <w:rPr>
          <w:rFonts w:ascii="Georgia" w:hAnsi="Georgia"/>
          <w:sz w:val="20"/>
          <w:szCs w:val="20"/>
          <w:lang w:val="lt-LT"/>
        </w:rPr>
        <w:t xml:space="preserve"> projektų subsidijos poreikis. Tačiau nustačius jog šios rinkos pasiūla nepakankama analizuojam</w:t>
      </w:r>
      <w:r>
        <w:rPr>
          <w:rFonts w:ascii="Georgia" w:hAnsi="Georgia"/>
          <w:sz w:val="20"/>
          <w:szCs w:val="20"/>
          <w:lang w:val="lt-LT"/>
        </w:rPr>
        <w:t>i galimi</w:t>
      </w:r>
      <w:r w:rsidRPr="00AC3318">
        <w:rPr>
          <w:rFonts w:ascii="Georgia" w:hAnsi="Georgia"/>
          <w:sz w:val="20"/>
          <w:szCs w:val="20"/>
          <w:lang w:val="lt-LT"/>
        </w:rPr>
        <w:t xml:space="preserve"> finansinės priemonės scenarijai.</w:t>
      </w:r>
    </w:p>
    <w:p w14:paraId="06B1F70E" w14:textId="77777777" w:rsidR="005A432A" w:rsidRDefault="005A432A" w:rsidP="005A432A">
      <w:pPr>
        <w:jc w:val="both"/>
        <w:rPr>
          <w:rFonts w:ascii="Georgia" w:hAnsi="Georgia"/>
          <w:sz w:val="20"/>
          <w:lang w:val="lt-LT"/>
        </w:rPr>
      </w:pPr>
      <w:r>
        <w:rPr>
          <w:rFonts w:ascii="Georgia" w:hAnsi="Georgia"/>
          <w:sz w:val="20"/>
          <w:lang w:val="lt-LT"/>
        </w:rPr>
        <w:t>Šiame ex ante vertinime bus nagrinėjami šie gatvių apšvietimo modernizavimo finansinės priemonės veiklos scenarijai:</w:t>
      </w:r>
    </w:p>
    <w:p w14:paraId="745F7EF1" w14:textId="77777777" w:rsidR="005A432A" w:rsidRPr="00242D25" w:rsidRDefault="005A432A" w:rsidP="005A432A">
      <w:pPr>
        <w:pStyle w:val="Sraopastraipa"/>
        <w:numPr>
          <w:ilvl w:val="0"/>
          <w:numId w:val="18"/>
        </w:numPr>
        <w:jc w:val="both"/>
        <w:rPr>
          <w:rFonts w:ascii="Georgia" w:hAnsi="Georgia"/>
          <w:i/>
          <w:sz w:val="20"/>
          <w:szCs w:val="20"/>
          <w:lang w:val="lt-LT"/>
        </w:rPr>
      </w:pPr>
      <w:r w:rsidRPr="00242D25">
        <w:rPr>
          <w:rFonts w:ascii="Georgia" w:hAnsi="Georgia"/>
          <w:i/>
          <w:sz w:val="20"/>
          <w:szCs w:val="20"/>
          <w:lang w:val="lt-LT"/>
        </w:rPr>
        <w:t xml:space="preserve">Scenarijus Nr. 1: </w:t>
      </w:r>
      <w:r>
        <w:rPr>
          <w:rFonts w:ascii="Georgia" w:hAnsi="Georgia"/>
          <w:i/>
          <w:sz w:val="20"/>
          <w:szCs w:val="20"/>
          <w:lang w:val="lt-LT"/>
        </w:rPr>
        <w:t>P</w:t>
      </w:r>
      <w:r w:rsidRPr="00242D25">
        <w:rPr>
          <w:rFonts w:ascii="Georgia" w:hAnsi="Georgia"/>
          <w:i/>
          <w:sz w:val="20"/>
          <w:szCs w:val="20"/>
          <w:lang w:val="lt-LT"/>
        </w:rPr>
        <w:t xml:space="preserve">askolų teikimas </w:t>
      </w:r>
    </w:p>
    <w:p w14:paraId="0E95DFDC" w14:textId="77777777" w:rsidR="005A432A" w:rsidRDefault="005A432A" w:rsidP="005A432A">
      <w:pPr>
        <w:pStyle w:val="Sraopastraipa"/>
        <w:numPr>
          <w:ilvl w:val="0"/>
          <w:numId w:val="18"/>
        </w:numPr>
        <w:jc w:val="both"/>
        <w:rPr>
          <w:rFonts w:ascii="Georgia" w:hAnsi="Georgia"/>
          <w:i/>
          <w:sz w:val="20"/>
          <w:szCs w:val="20"/>
          <w:lang w:val="lt-LT"/>
        </w:rPr>
      </w:pPr>
      <w:r w:rsidRPr="00242D25">
        <w:rPr>
          <w:rFonts w:ascii="Georgia" w:hAnsi="Georgia"/>
          <w:i/>
          <w:sz w:val="20"/>
          <w:szCs w:val="20"/>
          <w:lang w:val="lt-LT"/>
        </w:rPr>
        <w:t xml:space="preserve">Scenarijus Nr. 2: </w:t>
      </w:r>
      <w:r>
        <w:rPr>
          <w:rFonts w:ascii="Georgia" w:hAnsi="Georgia"/>
          <w:i/>
          <w:sz w:val="20"/>
          <w:szCs w:val="20"/>
          <w:lang w:val="lt-LT"/>
        </w:rPr>
        <w:t>P</w:t>
      </w:r>
      <w:r w:rsidRPr="00242D25">
        <w:rPr>
          <w:rFonts w:ascii="Georgia" w:hAnsi="Georgia"/>
          <w:i/>
          <w:sz w:val="20"/>
          <w:szCs w:val="20"/>
          <w:lang w:val="lt-LT"/>
        </w:rPr>
        <w:t xml:space="preserve">askolų teikimas </w:t>
      </w:r>
      <w:r>
        <w:rPr>
          <w:rFonts w:ascii="Georgia" w:hAnsi="Georgia"/>
          <w:i/>
          <w:sz w:val="20"/>
          <w:szCs w:val="20"/>
          <w:lang w:val="lt-LT"/>
        </w:rPr>
        <w:t>taikant paskolų išpirkimo modelį</w:t>
      </w:r>
    </w:p>
    <w:p w14:paraId="26B9BB96" w14:textId="77777777" w:rsidR="005A432A" w:rsidRDefault="005A432A" w:rsidP="005A432A">
      <w:pPr>
        <w:pStyle w:val="Sraopastraipa"/>
        <w:numPr>
          <w:ilvl w:val="0"/>
          <w:numId w:val="18"/>
        </w:numPr>
        <w:jc w:val="both"/>
        <w:rPr>
          <w:rFonts w:ascii="Georgia" w:hAnsi="Georgia"/>
          <w:i/>
          <w:sz w:val="20"/>
          <w:szCs w:val="20"/>
          <w:lang w:val="lt-LT"/>
        </w:rPr>
      </w:pPr>
      <w:r w:rsidRPr="00242D25">
        <w:rPr>
          <w:rFonts w:ascii="Georgia" w:hAnsi="Georgia"/>
          <w:i/>
          <w:sz w:val="20"/>
          <w:szCs w:val="20"/>
          <w:lang w:val="lt-LT"/>
        </w:rPr>
        <w:t xml:space="preserve">Scenarijus Nr. </w:t>
      </w:r>
      <w:r>
        <w:rPr>
          <w:rFonts w:ascii="Georgia" w:hAnsi="Georgia"/>
          <w:i/>
          <w:sz w:val="20"/>
          <w:szCs w:val="20"/>
        </w:rPr>
        <w:t>3</w:t>
      </w:r>
      <w:r w:rsidRPr="00242D25">
        <w:rPr>
          <w:rFonts w:ascii="Georgia" w:hAnsi="Georgia"/>
          <w:i/>
          <w:sz w:val="20"/>
          <w:szCs w:val="20"/>
          <w:lang w:val="lt-LT"/>
        </w:rPr>
        <w:t xml:space="preserve">: </w:t>
      </w:r>
      <w:r>
        <w:rPr>
          <w:rFonts w:ascii="Georgia" w:hAnsi="Georgia"/>
          <w:i/>
          <w:sz w:val="20"/>
          <w:szCs w:val="20"/>
          <w:lang w:val="lt-LT"/>
        </w:rPr>
        <w:t>Paskolų teikimas taikant asimetrinio rizikos pasidalijimo modelį</w:t>
      </w:r>
    </w:p>
    <w:p w14:paraId="3E5E39F7" w14:textId="77777777" w:rsidR="005A432A" w:rsidRPr="009A1633" w:rsidRDefault="005A432A" w:rsidP="005A432A">
      <w:pPr>
        <w:pStyle w:val="Sraopastraipa"/>
        <w:numPr>
          <w:ilvl w:val="0"/>
          <w:numId w:val="18"/>
        </w:numPr>
        <w:jc w:val="both"/>
        <w:rPr>
          <w:rFonts w:ascii="Georgia" w:hAnsi="Georgia"/>
          <w:i/>
          <w:sz w:val="20"/>
          <w:szCs w:val="20"/>
          <w:lang w:val="lt-LT"/>
        </w:rPr>
      </w:pPr>
      <w:r w:rsidRPr="00242D25">
        <w:rPr>
          <w:rFonts w:ascii="Georgia" w:hAnsi="Georgia"/>
          <w:i/>
          <w:sz w:val="20"/>
          <w:szCs w:val="20"/>
          <w:lang w:val="lt-LT"/>
        </w:rPr>
        <w:t xml:space="preserve">Scenarijus Nr. </w:t>
      </w:r>
      <w:r>
        <w:rPr>
          <w:rFonts w:ascii="Georgia" w:hAnsi="Georgia"/>
          <w:i/>
          <w:sz w:val="20"/>
          <w:szCs w:val="20"/>
          <w:lang w:val="lt-LT"/>
        </w:rPr>
        <w:t>4</w:t>
      </w:r>
      <w:r w:rsidRPr="00242D25">
        <w:rPr>
          <w:rFonts w:ascii="Georgia" w:hAnsi="Georgia"/>
          <w:i/>
          <w:sz w:val="20"/>
          <w:szCs w:val="20"/>
          <w:lang w:val="lt-LT"/>
        </w:rPr>
        <w:t xml:space="preserve">: </w:t>
      </w:r>
      <w:r>
        <w:rPr>
          <w:rFonts w:ascii="Georgia" w:hAnsi="Georgia"/>
          <w:i/>
          <w:sz w:val="20"/>
          <w:szCs w:val="20"/>
          <w:lang w:val="lt-LT"/>
        </w:rPr>
        <w:t>Garantijų teikimas</w:t>
      </w:r>
    </w:p>
    <w:p w14:paraId="3FE295B8" w14:textId="77777777" w:rsidR="005A432A" w:rsidRDefault="005A432A" w:rsidP="005A432A">
      <w:pPr>
        <w:jc w:val="both"/>
        <w:rPr>
          <w:rFonts w:ascii="Georgia" w:hAnsi="Georgia"/>
          <w:sz w:val="20"/>
          <w:lang w:val="lt-LT"/>
        </w:rPr>
      </w:pPr>
      <w:r>
        <w:rPr>
          <w:rFonts w:ascii="Georgia" w:hAnsi="Georgia"/>
          <w:sz w:val="20"/>
          <w:szCs w:val="20"/>
          <w:lang w:val="lt-LT"/>
        </w:rPr>
        <w:t>Pasirenkant scenarijus buvo siekiama išlaikyti balansą tarp galimų skirtingų finansinių produktų įvairovės, sukauptos patirties ir kompetencijų įgyvendinant panašias finansines priemones anksčiau, galimybes pritraukti maksimalų kiekį papildomų privačių lėšų bei greitį siekiant užtikrinti atitiktį Energijos Efektyvumo direktyvos reikalavimams.</w:t>
      </w:r>
    </w:p>
    <w:p w14:paraId="72967747" w14:textId="77777777" w:rsidR="005A432A" w:rsidRPr="00B83B3E" w:rsidRDefault="005A432A" w:rsidP="005A432A">
      <w:pPr>
        <w:jc w:val="both"/>
        <w:rPr>
          <w:rFonts w:ascii="Georgia" w:hAnsi="Georgia"/>
          <w:sz w:val="20"/>
          <w:lang w:val="lt-LT"/>
        </w:rPr>
      </w:pPr>
      <w:r w:rsidRPr="00B83B3E">
        <w:rPr>
          <w:rFonts w:ascii="Georgia" w:hAnsi="Georgia"/>
          <w:sz w:val="20"/>
          <w:lang w:val="lt-LT"/>
        </w:rPr>
        <w:t xml:space="preserve">Žemiau pateiktas prielaidų apibendrinimas visiems keturiems toliau nagrinėjamiems finansinės priemonės, naudojamos centrinės valdžios viešųjų pastatų sektoriuje, scenarijams. </w:t>
      </w:r>
    </w:p>
    <w:p w14:paraId="116ACAEB" w14:textId="776323E9" w:rsidR="005A432A" w:rsidRPr="00EB3D2A" w:rsidRDefault="005A432A" w:rsidP="005A432A">
      <w:pPr>
        <w:pStyle w:val="Antrat"/>
        <w:rPr>
          <w:b w:val="0"/>
          <w:i/>
          <w:szCs w:val="20"/>
          <w:lang w:val="lt-LT"/>
        </w:rPr>
      </w:pPr>
      <w:bookmarkStart w:id="245" w:name="_Toc503193920"/>
      <w:bookmarkStart w:id="246" w:name="_Toc507939202"/>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80</w:t>
      </w:r>
      <w:r w:rsidRPr="00EB3D2A">
        <w:rPr>
          <w:b w:val="0"/>
          <w:i/>
          <w:lang w:val="lt-LT"/>
        </w:rPr>
        <w:fldChar w:fldCharType="end"/>
      </w:r>
      <w:r w:rsidRPr="00EB3D2A">
        <w:rPr>
          <w:b w:val="0"/>
          <w:i/>
          <w:lang w:val="lt-LT"/>
        </w:rPr>
        <w:t xml:space="preserve">. </w:t>
      </w:r>
      <w:r w:rsidRPr="00EB3D2A">
        <w:rPr>
          <w:b w:val="0"/>
          <w:i/>
          <w:szCs w:val="20"/>
          <w:lang w:val="lt-LT"/>
        </w:rPr>
        <w:t>Gatvių apšvietimo scenarijų prielaidos</w:t>
      </w:r>
      <w:bookmarkEnd w:id="245"/>
      <w:bookmarkEnd w:id="246"/>
    </w:p>
    <w:tbl>
      <w:tblPr>
        <w:tblW w:w="9072" w:type="dxa"/>
        <w:tblInd w:w="108" w:type="dxa"/>
        <w:tblLayout w:type="fixed"/>
        <w:tblLook w:val="04A0" w:firstRow="1" w:lastRow="0" w:firstColumn="1" w:lastColumn="0" w:noHBand="0" w:noVBand="1"/>
      </w:tblPr>
      <w:tblGrid>
        <w:gridCol w:w="1741"/>
        <w:gridCol w:w="3788"/>
        <w:gridCol w:w="885"/>
        <w:gridCol w:w="886"/>
        <w:gridCol w:w="886"/>
        <w:gridCol w:w="886"/>
      </w:tblGrid>
      <w:tr w:rsidR="005A432A" w:rsidRPr="00B83B3E" w14:paraId="7FB0E215" w14:textId="77777777" w:rsidTr="005A432A">
        <w:trPr>
          <w:trHeight w:val="270"/>
        </w:trPr>
        <w:tc>
          <w:tcPr>
            <w:tcW w:w="1741" w:type="dxa"/>
            <w:tcBorders>
              <w:top w:val="single" w:sz="8" w:space="0" w:color="D62E1C"/>
              <w:left w:val="single" w:sz="8" w:space="0" w:color="D62E1C"/>
              <w:bottom w:val="nil"/>
              <w:right w:val="nil"/>
            </w:tcBorders>
            <w:shd w:val="clear" w:color="000000" w:fill="D62E1C"/>
            <w:vAlign w:val="center"/>
            <w:hideMark/>
          </w:tcPr>
          <w:p w14:paraId="48F7510B"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Prielaidos </w:t>
            </w:r>
          </w:p>
        </w:tc>
        <w:tc>
          <w:tcPr>
            <w:tcW w:w="3788" w:type="dxa"/>
            <w:tcBorders>
              <w:top w:val="single" w:sz="8" w:space="0" w:color="D62E1C"/>
              <w:left w:val="nil"/>
              <w:bottom w:val="nil"/>
              <w:right w:val="single" w:sz="8" w:space="0" w:color="D62E1C"/>
            </w:tcBorders>
            <w:shd w:val="clear" w:color="000000" w:fill="D62E1C"/>
            <w:vAlign w:val="center"/>
            <w:hideMark/>
          </w:tcPr>
          <w:p w14:paraId="52ECEB43"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Komentaras </w:t>
            </w:r>
          </w:p>
        </w:tc>
        <w:tc>
          <w:tcPr>
            <w:tcW w:w="885" w:type="dxa"/>
            <w:tcBorders>
              <w:top w:val="single" w:sz="8" w:space="0" w:color="D62E1C"/>
              <w:left w:val="nil"/>
              <w:bottom w:val="nil"/>
              <w:right w:val="nil"/>
            </w:tcBorders>
            <w:shd w:val="clear" w:color="000000" w:fill="D62E1C"/>
            <w:vAlign w:val="center"/>
            <w:hideMark/>
          </w:tcPr>
          <w:p w14:paraId="660A4221"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Nr. 1 </w:t>
            </w:r>
          </w:p>
        </w:tc>
        <w:tc>
          <w:tcPr>
            <w:tcW w:w="886" w:type="dxa"/>
            <w:tcBorders>
              <w:top w:val="single" w:sz="8" w:space="0" w:color="D62E1C"/>
              <w:left w:val="nil"/>
              <w:bottom w:val="nil"/>
              <w:right w:val="nil"/>
            </w:tcBorders>
            <w:shd w:val="clear" w:color="000000" w:fill="D62E1C"/>
            <w:vAlign w:val="center"/>
            <w:hideMark/>
          </w:tcPr>
          <w:p w14:paraId="3297CF32"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Nr. 2 </w:t>
            </w:r>
          </w:p>
        </w:tc>
        <w:tc>
          <w:tcPr>
            <w:tcW w:w="886" w:type="dxa"/>
            <w:tcBorders>
              <w:top w:val="single" w:sz="8" w:space="0" w:color="D62E1C"/>
              <w:left w:val="nil"/>
              <w:bottom w:val="nil"/>
              <w:right w:val="nil"/>
            </w:tcBorders>
            <w:shd w:val="clear" w:color="000000" w:fill="D62E1C"/>
            <w:vAlign w:val="center"/>
            <w:hideMark/>
          </w:tcPr>
          <w:p w14:paraId="04F47787"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Nr. 3 </w:t>
            </w:r>
          </w:p>
        </w:tc>
        <w:tc>
          <w:tcPr>
            <w:tcW w:w="886" w:type="dxa"/>
            <w:tcBorders>
              <w:top w:val="single" w:sz="8" w:space="0" w:color="D62E1C"/>
              <w:left w:val="nil"/>
              <w:bottom w:val="nil"/>
              <w:right w:val="nil"/>
            </w:tcBorders>
            <w:shd w:val="clear" w:color="000000" w:fill="D62E1C"/>
            <w:vAlign w:val="center"/>
            <w:hideMark/>
          </w:tcPr>
          <w:p w14:paraId="319A18A9" w14:textId="77777777" w:rsidR="005A432A" w:rsidRPr="00D45CD8" w:rsidRDefault="005A432A" w:rsidP="005A432A">
            <w:pPr>
              <w:rPr>
                <w:rFonts w:ascii="Georgia" w:hAnsi="Georgia"/>
                <w:b/>
                <w:color w:val="FFFFFF" w:themeColor="background1"/>
                <w:sz w:val="20"/>
                <w:szCs w:val="20"/>
              </w:rPr>
            </w:pPr>
            <w:r w:rsidRPr="00D45CD8">
              <w:rPr>
                <w:rFonts w:ascii="Georgia" w:hAnsi="Georgia"/>
                <w:b/>
                <w:color w:val="FFFFFF" w:themeColor="background1"/>
                <w:sz w:val="20"/>
                <w:szCs w:val="20"/>
              </w:rPr>
              <w:t xml:space="preserve">Nr.4 </w:t>
            </w:r>
          </w:p>
        </w:tc>
      </w:tr>
      <w:tr w:rsidR="005A432A" w:rsidRPr="00AB02F7" w14:paraId="539E208E" w14:textId="77777777" w:rsidTr="005A432A">
        <w:trPr>
          <w:trHeight w:val="1290"/>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3FDE45E7"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Investuojamų ESI lėšų suma į fondą, mln. Eurų </w:t>
            </w:r>
          </w:p>
        </w:tc>
        <w:tc>
          <w:tcPr>
            <w:tcW w:w="3788" w:type="dxa"/>
            <w:tcBorders>
              <w:top w:val="single" w:sz="8" w:space="0" w:color="D62E1C"/>
              <w:left w:val="nil"/>
              <w:bottom w:val="single" w:sz="8" w:space="0" w:color="D62E1C"/>
              <w:right w:val="nil"/>
            </w:tcBorders>
            <w:shd w:val="clear" w:color="auto" w:fill="auto"/>
            <w:vAlign w:val="center"/>
            <w:hideMark/>
          </w:tcPr>
          <w:p w14:paraId="4D2C7593" w14:textId="77777777" w:rsidR="005A432A" w:rsidRPr="00D45CD8" w:rsidRDefault="005A432A" w:rsidP="005A432A">
            <w:pPr>
              <w:rPr>
                <w:rFonts w:ascii="Georgia" w:hAnsi="Georgia"/>
                <w:sz w:val="20"/>
                <w:szCs w:val="20"/>
              </w:rPr>
            </w:pPr>
            <w:r w:rsidRPr="00D45CD8">
              <w:rPr>
                <w:rFonts w:ascii="Georgia" w:hAnsi="Georgia"/>
                <w:sz w:val="20"/>
                <w:szCs w:val="20"/>
              </w:rPr>
              <w:t xml:space="preserve">Daroma prielaida, jog gatvių apšvietimo renovacijai skirtos lėšos – 14,5 mln. eurų – bus skirtos paskolų finansinei priemonei. </w:t>
            </w:r>
          </w:p>
        </w:tc>
        <w:tc>
          <w:tcPr>
            <w:tcW w:w="885" w:type="dxa"/>
            <w:tcBorders>
              <w:top w:val="nil"/>
              <w:left w:val="nil"/>
              <w:bottom w:val="nil"/>
              <w:right w:val="nil"/>
            </w:tcBorders>
            <w:shd w:val="clear" w:color="auto" w:fill="auto"/>
            <w:noWrap/>
            <w:vAlign w:val="center"/>
            <w:hideMark/>
          </w:tcPr>
          <w:p w14:paraId="3DA76D42" w14:textId="77777777" w:rsidR="005A432A" w:rsidRPr="00D45CD8" w:rsidRDefault="005A432A" w:rsidP="005A432A">
            <w:pPr>
              <w:rPr>
                <w:rFonts w:ascii="Georgia" w:hAnsi="Georgia"/>
                <w:sz w:val="20"/>
                <w:szCs w:val="20"/>
              </w:rPr>
            </w:pPr>
            <w:r w:rsidRPr="00D45CD8">
              <w:rPr>
                <w:rFonts w:ascii="Georgia" w:hAnsi="Georgia"/>
                <w:sz w:val="20"/>
                <w:szCs w:val="20"/>
              </w:rPr>
              <w:t>15</w:t>
            </w:r>
          </w:p>
        </w:tc>
        <w:tc>
          <w:tcPr>
            <w:tcW w:w="886" w:type="dxa"/>
            <w:tcBorders>
              <w:top w:val="nil"/>
              <w:left w:val="nil"/>
              <w:bottom w:val="nil"/>
              <w:right w:val="nil"/>
            </w:tcBorders>
            <w:shd w:val="clear" w:color="auto" w:fill="auto"/>
            <w:noWrap/>
            <w:vAlign w:val="center"/>
            <w:hideMark/>
          </w:tcPr>
          <w:p w14:paraId="5B17432F" w14:textId="77777777" w:rsidR="005A432A" w:rsidRPr="00D45CD8" w:rsidRDefault="005A432A" w:rsidP="005A432A">
            <w:pPr>
              <w:rPr>
                <w:rFonts w:ascii="Georgia" w:hAnsi="Georgia"/>
                <w:sz w:val="20"/>
                <w:szCs w:val="20"/>
              </w:rPr>
            </w:pPr>
            <w:r w:rsidRPr="00D45CD8">
              <w:rPr>
                <w:rFonts w:ascii="Georgia" w:hAnsi="Georgia"/>
                <w:sz w:val="20"/>
                <w:szCs w:val="20"/>
              </w:rPr>
              <w:t>15</w:t>
            </w:r>
          </w:p>
        </w:tc>
        <w:tc>
          <w:tcPr>
            <w:tcW w:w="886" w:type="dxa"/>
            <w:tcBorders>
              <w:top w:val="nil"/>
              <w:left w:val="nil"/>
              <w:bottom w:val="nil"/>
              <w:right w:val="nil"/>
            </w:tcBorders>
            <w:shd w:val="clear" w:color="auto" w:fill="auto"/>
            <w:noWrap/>
            <w:vAlign w:val="center"/>
            <w:hideMark/>
          </w:tcPr>
          <w:p w14:paraId="2679437C" w14:textId="77777777" w:rsidR="005A432A" w:rsidRPr="00D45CD8" w:rsidRDefault="005A432A" w:rsidP="005A432A">
            <w:pPr>
              <w:rPr>
                <w:rFonts w:ascii="Georgia" w:hAnsi="Georgia"/>
                <w:sz w:val="20"/>
                <w:szCs w:val="20"/>
              </w:rPr>
            </w:pPr>
            <w:r w:rsidRPr="00D45CD8">
              <w:rPr>
                <w:rFonts w:ascii="Georgia" w:hAnsi="Georgia"/>
                <w:sz w:val="20"/>
                <w:szCs w:val="20"/>
              </w:rPr>
              <w:t>15</w:t>
            </w:r>
          </w:p>
        </w:tc>
        <w:tc>
          <w:tcPr>
            <w:tcW w:w="886" w:type="dxa"/>
            <w:tcBorders>
              <w:top w:val="nil"/>
              <w:left w:val="nil"/>
              <w:bottom w:val="nil"/>
              <w:right w:val="single" w:sz="8" w:space="0" w:color="E0301E"/>
            </w:tcBorders>
            <w:shd w:val="clear" w:color="auto" w:fill="auto"/>
            <w:noWrap/>
            <w:vAlign w:val="center"/>
            <w:hideMark/>
          </w:tcPr>
          <w:p w14:paraId="151EA49F" w14:textId="77777777" w:rsidR="005A432A" w:rsidRPr="00D45CD8" w:rsidRDefault="005A432A" w:rsidP="005A432A">
            <w:pPr>
              <w:rPr>
                <w:rFonts w:ascii="Georgia" w:hAnsi="Georgia"/>
                <w:sz w:val="20"/>
                <w:szCs w:val="20"/>
              </w:rPr>
            </w:pPr>
            <w:r w:rsidRPr="00D45CD8">
              <w:rPr>
                <w:rFonts w:ascii="Georgia" w:hAnsi="Georgia"/>
                <w:sz w:val="20"/>
                <w:szCs w:val="20"/>
              </w:rPr>
              <w:t>15</w:t>
            </w:r>
          </w:p>
        </w:tc>
      </w:tr>
      <w:tr w:rsidR="005A432A" w:rsidRPr="00AB02F7" w14:paraId="352931F3" w14:textId="77777777" w:rsidTr="005A432A">
        <w:trPr>
          <w:trHeight w:val="1269"/>
        </w:trPr>
        <w:tc>
          <w:tcPr>
            <w:tcW w:w="1741" w:type="dxa"/>
            <w:tcBorders>
              <w:top w:val="nil"/>
              <w:left w:val="single" w:sz="8" w:space="0" w:color="D62E1C"/>
              <w:bottom w:val="nil"/>
              <w:right w:val="nil"/>
            </w:tcBorders>
            <w:shd w:val="clear" w:color="auto" w:fill="auto"/>
            <w:vAlign w:val="center"/>
            <w:hideMark/>
          </w:tcPr>
          <w:p w14:paraId="7453DBA6" w14:textId="77777777" w:rsidR="005A432A" w:rsidRPr="00D45CD8" w:rsidRDefault="005A432A" w:rsidP="005A432A">
            <w:pPr>
              <w:rPr>
                <w:rFonts w:ascii="Georgia" w:hAnsi="Georgia"/>
                <w:b/>
                <w:sz w:val="20"/>
                <w:szCs w:val="20"/>
              </w:rPr>
            </w:pPr>
            <w:r w:rsidRPr="00D45CD8">
              <w:rPr>
                <w:rFonts w:ascii="Georgia" w:hAnsi="Georgia"/>
                <w:b/>
                <w:sz w:val="20"/>
                <w:szCs w:val="20"/>
              </w:rPr>
              <w:lastRenderedPageBreak/>
              <w:t xml:space="preserve">Tipinio gatvių šviestuvo renovacijos dydis, eurais/vnt. </w:t>
            </w:r>
          </w:p>
        </w:tc>
        <w:tc>
          <w:tcPr>
            <w:tcW w:w="3788" w:type="dxa"/>
            <w:tcBorders>
              <w:top w:val="nil"/>
              <w:left w:val="nil"/>
              <w:bottom w:val="single" w:sz="8" w:space="0" w:color="D62E1C"/>
              <w:right w:val="nil"/>
            </w:tcBorders>
            <w:shd w:val="clear" w:color="auto" w:fill="auto"/>
            <w:vAlign w:val="center"/>
            <w:hideMark/>
          </w:tcPr>
          <w:p w14:paraId="501E5701" w14:textId="77777777" w:rsidR="005A432A" w:rsidRPr="00D45CD8" w:rsidRDefault="005A432A" w:rsidP="005A432A">
            <w:pPr>
              <w:rPr>
                <w:rFonts w:ascii="Georgia" w:hAnsi="Georgia"/>
                <w:sz w:val="20"/>
                <w:szCs w:val="20"/>
              </w:rPr>
            </w:pPr>
            <w:r w:rsidRPr="00D45CD8">
              <w:rPr>
                <w:rFonts w:ascii="Georgia" w:hAnsi="Georgia"/>
                <w:sz w:val="20"/>
                <w:szCs w:val="20"/>
              </w:rPr>
              <w:t>Remiantis ENEF fondo valdytojui pateiktų garantijos gatvių apšvietimo modernizavimui paraiškų duomenimis.</w:t>
            </w:r>
          </w:p>
        </w:tc>
        <w:tc>
          <w:tcPr>
            <w:tcW w:w="885" w:type="dxa"/>
            <w:tcBorders>
              <w:top w:val="single" w:sz="8" w:space="0" w:color="E0301E"/>
              <w:left w:val="nil"/>
              <w:bottom w:val="single" w:sz="8" w:space="0" w:color="E0301E"/>
              <w:right w:val="nil"/>
            </w:tcBorders>
            <w:shd w:val="clear" w:color="auto" w:fill="auto"/>
            <w:noWrap/>
            <w:vAlign w:val="center"/>
            <w:hideMark/>
          </w:tcPr>
          <w:p w14:paraId="36FCAA30" w14:textId="77777777" w:rsidR="005A432A" w:rsidRPr="00D45CD8" w:rsidRDefault="005A432A" w:rsidP="005A432A">
            <w:pPr>
              <w:rPr>
                <w:rFonts w:ascii="Georgia" w:hAnsi="Georgia"/>
                <w:sz w:val="20"/>
                <w:szCs w:val="20"/>
              </w:rPr>
            </w:pPr>
            <w:r w:rsidRPr="00D45CD8">
              <w:rPr>
                <w:rFonts w:ascii="Georgia" w:hAnsi="Georgia"/>
                <w:sz w:val="20"/>
                <w:szCs w:val="20"/>
              </w:rPr>
              <w:t>684</w:t>
            </w:r>
          </w:p>
        </w:tc>
        <w:tc>
          <w:tcPr>
            <w:tcW w:w="886" w:type="dxa"/>
            <w:tcBorders>
              <w:top w:val="single" w:sz="8" w:space="0" w:color="E0301E"/>
              <w:left w:val="nil"/>
              <w:bottom w:val="single" w:sz="8" w:space="0" w:color="E0301E"/>
              <w:right w:val="nil"/>
            </w:tcBorders>
            <w:shd w:val="clear" w:color="auto" w:fill="auto"/>
            <w:noWrap/>
            <w:vAlign w:val="center"/>
            <w:hideMark/>
          </w:tcPr>
          <w:p w14:paraId="1619D1B3" w14:textId="77777777" w:rsidR="005A432A" w:rsidRPr="00D45CD8" w:rsidRDefault="005A432A" w:rsidP="005A432A">
            <w:pPr>
              <w:rPr>
                <w:rFonts w:ascii="Georgia" w:hAnsi="Georgia"/>
                <w:sz w:val="20"/>
                <w:szCs w:val="20"/>
              </w:rPr>
            </w:pPr>
            <w:r w:rsidRPr="00D45CD8">
              <w:rPr>
                <w:rFonts w:ascii="Georgia" w:hAnsi="Georgia"/>
                <w:sz w:val="20"/>
                <w:szCs w:val="20"/>
              </w:rPr>
              <w:t>684</w:t>
            </w:r>
          </w:p>
        </w:tc>
        <w:tc>
          <w:tcPr>
            <w:tcW w:w="886" w:type="dxa"/>
            <w:tcBorders>
              <w:top w:val="single" w:sz="8" w:space="0" w:color="E0301E"/>
              <w:left w:val="nil"/>
              <w:bottom w:val="single" w:sz="8" w:space="0" w:color="E0301E"/>
              <w:right w:val="nil"/>
            </w:tcBorders>
            <w:shd w:val="clear" w:color="auto" w:fill="auto"/>
            <w:noWrap/>
            <w:vAlign w:val="center"/>
            <w:hideMark/>
          </w:tcPr>
          <w:p w14:paraId="778E86D5" w14:textId="77777777" w:rsidR="005A432A" w:rsidRPr="00D45CD8" w:rsidRDefault="005A432A" w:rsidP="005A432A">
            <w:pPr>
              <w:rPr>
                <w:rFonts w:ascii="Georgia" w:hAnsi="Georgia"/>
                <w:sz w:val="20"/>
                <w:szCs w:val="20"/>
              </w:rPr>
            </w:pPr>
            <w:r w:rsidRPr="00D45CD8">
              <w:rPr>
                <w:rFonts w:ascii="Georgia" w:hAnsi="Georgia"/>
                <w:sz w:val="20"/>
                <w:szCs w:val="20"/>
              </w:rPr>
              <w:t>684</w:t>
            </w:r>
          </w:p>
        </w:tc>
        <w:tc>
          <w:tcPr>
            <w:tcW w:w="886" w:type="dxa"/>
            <w:tcBorders>
              <w:top w:val="single" w:sz="8" w:space="0" w:color="E0301E"/>
              <w:left w:val="nil"/>
              <w:bottom w:val="single" w:sz="8" w:space="0" w:color="E0301E"/>
              <w:right w:val="single" w:sz="8" w:space="0" w:color="E0301E"/>
            </w:tcBorders>
            <w:shd w:val="clear" w:color="auto" w:fill="auto"/>
            <w:noWrap/>
            <w:vAlign w:val="center"/>
            <w:hideMark/>
          </w:tcPr>
          <w:p w14:paraId="31D78C2C" w14:textId="77777777" w:rsidR="005A432A" w:rsidRPr="00D45CD8" w:rsidRDefault="005A432A" w:rsidP="005A432A">
            <w:pPr>
              <w:rPr>
                <w:rFonts w:ascii="Georgia" w:hAnsi="Georgia"/>
                <w:sz w:val="20"/>
                <w:szCs w:val="20"/>
              </w:rPr>
            </w:pPr>
            <w:r w:rsidRPr="00D45CD8">
              <w:rPr>
                <w:rFonts w:ascii="Georgia" w:hAnsi="Georgia"/>
                <w:sz w:val="20"/>
                <w:szCs w:val="20"/>
              </w:rPr>
              <w:t>684</w:t>
            </w:r>
          </w:p>
        </w:tc>
      </w:tr>
      <w:tr w:rsidR="005A432A" w:rsidRPr="00AB02F7" w14:paraId="558441A0" w14:textId="77777777" w:rsidTr="005A432A">
        <w:trPr>
          <w:trHeight w:val="3075"/>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086E1970"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Siektinas renovuoti šviestuvų skaičius iki 2023 m., vnt. </w:t>
            </w:r>
          </w:p>
        </w:tc>
        <w:tc>
          <w:tcPr>
            <w:tcW w:w="3788" w:type="dxa"/>
            <w:tcBorders>
              <w:top w:val="nil"/>
              <w:left w:val="nil"/>
              <w:bottom w:val="single" w:sz="8" w:space="0" w:color="D62E1C"/>
              <w:right w:val="nil"/>
            </w:tcBorders>
            <w:shd w:val="clear" w:color="auto" w:fill="auto"/>
            <w:vAlign w:val="center"/>
            <w:hideMark/>
          </w:tcPr>
          <w:p w14:paraId="02D28F38" w14:textId="77777777" w:rsidR="005A432A" w:rsidRPr="00D45CD8" w:rsidRDefault="005A432A" w:rsidP="005A432A">
            <w:pPr>
              <w:rPr>
                <w:rFonts w:ascii="Georgia" w:hAnsi="Georgia"/>
                <w:sz w:val="20"/>
                <w:szCs w:val="20"/>
              </w:rPr>
            </w:pPr>
            <w:r w:rsidRPr="00D45CD8">
              <w:rPr>
                <w:rFonts w:ascii="Georgia" w:hAnsi="Georgia"/>
                <w:sz w:val="20"/>
                <w:szCs w:val="20"/>
              </w:rPr>
              <w:t>Daroma prielaida, kad projektų srautą formuos susidomėjimą išreiškusios savivaldybės nuo 2018 metų (Jonava, Telšiai, Plungė, Šilutė). Taip pat tikėtina, jog bus įgyvendintas Vilniaus miesto gatvių apšvietimo modernizavimo projektas.  Renovuojamų šviestuvų skaičius modelyje yra ribojamas fonde likusių lėšų dydžiu bei paklausos-pasiūlos analizėje nustatytu finansavimo trūkumu.</w:t>
            </w:r>
          </w:p>
        </w:tc>
        <w:tc>
          <w:tcPr>
            <w:tcW w:w="885" w:type="dxa"/>
            <w:tcBorders>
              <w:top w:val="nil"/>
              <w:left w:val="nil"/>
              <w:bottom w:val="single" w:sz="8" w:space="0" w:color="E0301E"/>
              <w:right w:val="nil"/>
            </w:tcBorders>
            <w:shd w:val="clear" w:color="auto" w:fill="auto"/>
            <w:noWrap/>
            <w:vAlign w:val="center"/>
            <w:hideMark/>
          </w:tcPr>
          <w:p w14:paraId="62CD0D4A" w14:textId="77777777" w:rsidR="005A432A" w:rsidRPr="00D45CD8" w:rsidRDefault="005A432A" w:rsidP="005A432A">
            <w:pPr>
              <w:rPr>
                <w:rFonts w:ascii="Georgia" w:hAnsi="Georgia"/>
                <w:sz w:val="20"/>
                <w:szCs w:val="20"/>
              </w:rPr>
            </w:pPr>
            <w:r w:rsidRPr="00D45CD8">
              <w:rPr>
                <w:rFonts w:ascii="Georgia" w:hAnsi="Georgia"/>
                <w:sz w:val="20"/>
                <w:szCs w:val="20"/>
              </w:rPr>
              <w:t>68 756</w:t>
            </w:r>
          </w:p>
        </w:tc>
        <w:tc>
          <w:tcPr>
            <w:tcW w:w="886" w:type="dxa"/>
            <w:tcBorders>
              <w:top w:val="nil"/>
              <w:left w:val="nil"/>
              <w:bottom w:val="single" w:sz="8" w:space="0" w:color="E0301E"/>
              <w:right w:val="nil"/>
            </w:tcBorders>
            <w:shd w:val="clear" w:color="auto" w:fill="auto"/>
            <w:noWrap/>
            <w:vAlign w:val="center"/>
            <w:hideMark/>
          </w:tcPr>
          <w:p w14:paraId="6F83C7B1" w14:textId="77777777" w:rsidR="005A432A" w:rsidRPr="00D45CD8" w:rsidRDefault="005A432A" w:rsidP="005A432A">
            <w:pPr>
              <w:rPr>
                <w:rFonts w:ascii="Georgia" w:hAnsi="Georgia"/>
                <w:sz w:val="20"/>
                <w:szCs w:val="20"/>
              </w:rPr>
            </w:pPr>
            <w:r w:rsidRPr="00D45CD8">
              <w:rPr>
                <w:rFonts w:ascii="Georgia" w:hAnsi="Georgia"/>
                <w:sz w:val="20"/>
                <w:szCs w:val="20"/>
              </w:rPr>
              <w:t>68 756</w:t>
            </w:r>
          </w:p>
        </w:tc>
        <w:tc>
          <w:tcPr>
            <w:tcW w:w="886" w:type="dxa"/>
            <w:tcBorders>
              <w:top w:val="nil"/>
              <w:left w:val="nil"/>
              <w:bottom w:val="single" w:sz="8" w:space="0" w:color="E0301E"/>
              <w:right w:val="nil"/>
            </w:tcBorders>
            <w:shd w:val="clear" w:color="auto" w:fill="auto"/>
            <w:noWrap/>
            <w:vAlign w:val="center"/>
            <w:hideMark/>
          </w:tcPr>
          <w:p w14:paraId="2D90D327" w14:textId="77777777" w:rsidR="005A432A" w:rsidRPr="00D45CD8" w:rsidRDefault="005A432A" w:rsidP="005A432A">
            <w:pPr>
              <w:rPr>
                <w:rFonts w:ascii="Georgia" w:hAnsi="Georgia"/>
                <w:sz w:val="20"/>
                <w:szCs w:val="20"/>
              </w:rPr>
            </w:pPr>
            <w:r w:rsidRPr="00D45CD8">
              <w:rPr>
                <w:rFonts w:ascii="Georgia" w:hAnsi="Georgia"/>
                <w:sz w:val="20"/>
                <w:szCs w:val="20"/>
              </w:rPr>
              <w:t>74 756</w:t>
            </w:r>
          </w:p>
        </w:tc>
        <w:tc>
          <w:tcPr>
            <w:tcW w:w="886" w:type="dxa"/>
            <w:tcBorders>
              <w:top w:val="nil"/>
              <w:left w:val="nil"/>
              <w:bottom w:val="single" w:sz="8" w:space="0" w:color="E0301E"/>
              <w:right w:val="single" w:sz="8" w:space="0" w:color="E0301E"/>
            </w:tcBorders>
            <w:shd w:val="clear" w:color="auto" w:fill="auto"/>
            <w:noWrap/>
            <w:vAlign w:val="center"/>
            <w:hideMark/>
          </w:tcPr>
          <w:p w14:paraId="280150C4" w14:textId="77777777" w:rsidR="005A432A" w:rsidRPr="00D45CD8" w:rsidRDefault="005A432A" w:rsidP="005A432A">
            <w:pPr>
              <w:rPr>
                <w:rFonts w:ascii="Georgia" w:hAnsi="Georgia"/>
                <w:sz w:val="20"/>
                <w:szCs w:val="20"/>
              </w:rPr>
            </w:pPr>
            <w:r w:rsidRPr="00D45CD8">
              <w:rPr>
                <w:rFonts w:ascii="Georgia" w:hAnsi="Georgia"/>
                <w:sz w:val="20"/>
                <w:szCs w:val="20"/>
              </w:rPr>
              <w:t>83 756</w:t>
            </w:r>
          </w:p>
        </w:tc>
      </w:tr>
      <w:tr w:rsidR="005A432A" w:rsidRPr="00AB02F7" w14:paraId="71C4B0EB" w14:textId="77777777" w:rsidTr="005A432A">
        <w:trPr>
          <w:trHeight w:val="780"/>
        </w:trPr>
        <w:tc>
          <w:tcPr>
            <w:tcW w:w="1741" w:type="dxa"/>
            <w:tcBorders>
              <w:top w:val="nil"/>
              <w:left w:val="single" w:sz="8" w:space="0" w:color="D62E1C"/>
              <w:bottom w:val="nil"/>
              <w:right w:val="nil"/>
            </w:tcBorders>
            <w:shd w:val="clear" w:color="auto" w:fill="auto"/>
            <w:vAlign w:val="center"/>
            <w:hideMark/>
          </w:tcPr>
          <w:p w14:paraId="4DD66978"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Paskolos laikotarpis, metais </w:t>
            </w:r>
          </w:p>
        </w:tc>
        <w:tc>
          <w:tcPr>
            <w:tcW w:w="3788" w:type="dxa"/>
            <w:tcBorders>
              <w:top w:val="nil"/>
              <w:left w:val="nil"/>
              <w:bottom w:val="nil"/>
              <w:right w:val="nil"/>
            </w:tcBorders>
            <w:shd w:val="clear" w:color="auto" w:fill="auto"/>
            <w:vAlign w:val="center"/>
            <w:hideMark/>
          </w:tcPr>
          <w:p w14:paraId="35991256" w14:textId="77777777" w:rsidR="005A432A" w:rsidRPr="00D45CD8" w:rsidRDefault="005A432A" w:rsidP="005A432A">
            <w:pPr>
              <w:rPr>
                <w:rFonts w:ascii="Georgia" w:hAnsi="Georgia"/>
                <w:sz w:val="20"/>
                <w:szCs w:val="20"/>
              </w:rPr>
            </w:pPr>
            <w:r w:rsidRPr="00D45CD8">
              <w:rPr>
                <w:rFonts w:ascii="Georgia" w:hAnsi="Georgia"/>
                <w:sz w:val="20"/>
                <w:szCs w:val="20"/>
              </w:rPr>
              <w:t xml:space="preserve">Maksimalus paskolos sutarties terminas  </w:t>
            </w:r>
          </w:p>
        </w:tc>
        <w:tc>
          <w:tcPr>
            <w:tcW w:w="885" w:type="dxa"/>
            <w:tcBorders>
              <w:top w:val="nil"/>
              <w:left w:val="nil"/>
              <w:bottom w:val="single" w:sz="8" w:space="0" w:color="E0301E"/>
              <w:right w:val="nil"/>
            </w:tcBorders>
            <w:shd w:val="clear" w:color="auto" w:fill="auto"/>
            <w:noWrap/>
            <w:vAlign w:val="center"/>
            <w:hideMark/>
          </w:tcPr>
          <w:p w14:paraId="4C613CBE"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nil"/>
            </w:tcBorders>
            <w:shd w:val="clear" w:color="auto" w:fill="auto"/>
            <w:noWrap/>
            <w:vAlign w:val="center"/>
            <w:hideMark/>
          </w:tcPr>
          <w:p w14:paraId="49641426"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nil"/>
            </w:tcBorders>
            <w:shd w:val="clear" w:color="auto" w:fill="auto"/>
            <w:noWrap/>
            <w:vAlign w:val="center"/>
            <w:hideMark/>
          </w:tcPr>
          <w:p w14:paraId="1F65C874"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single" w:sz="8" w:space="0" w:color="E0301E"/>
            </w:tcBorders>
            <w:shd w:val="clear" w:color="auto" w:fill="auto"/>
            <w:noWrap/>
            <w:vAlign w:val="center"/>
            <w:hideMark/>
          </w:tcPr>
          <w:p w14:paraId="1EC7CB08" w14:textId="77777777" w:rsidR="005A432A" w:rsidRPr="00D45CD8" w:rsidRDefault="005A432A" w:rsidP="005A432A">
            <w:pPr>
              <w:rPr>
                <w:rFonts w:ascii="Georgia" w:hAnsi="Georgia"/>
                <w:sz w:val="20"/>
                <w:szCs w:val="20"/>
              </w:rPr>
            </w:pPr>
            <w:r w:rsidRPr="00D45CD8">
              <w:rPr>
                <w:rFonts w:ascii="Georgia" w:hAnsi="Georgia"/>
                <w:sz w:val="20"/>
                <w:szCs w:val="20"/>
              </w:rPr>
              <w:t>20</w:t>
            </w:r>
          </w:p>
        </w:tc>
      </w:tr>
      <w:tr w:rsidR="005A432A" w:rsidRPr="00AB02F7" w14:paraId="6F21A315" w14:textId="77777777" w:rsidTr="005A432A">
        <w:trPr>
          <w:trHeight w:val="1035"/>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21C41E5C"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Nurašytų paskolų dalis, pr0c. </w:t>
            </w:r>
          </w:p>
        </w:tc>
        <w:tc>
          <w:tcPr>
            <w:tcW w:w="3788" w:type="dxa"/>
            <w:tcBorders>
              <w:top w:val="single" w:sz="8" w:space="0" w:color="D62E1C"/>
              <w:left w:val="nil"/>
              <w:bottom w:val="single" w:sz="8" w:space="0" w:color="D62E1C"/>
              <w:right w:val="nil"/>
            </w:tcBorders>
            <w:shd w:val="clear" w:color="auto" w:fill="auto"/>
            <w:vAlign w:val="center"/>
            <w:hideMark/>
          </w:tcPr>
          <w:p w14:paraId="7BCD73FA" w14:textId="77777777" w:rsidR="005A432A" w:rsidRPr="00D45CD8" w:rsidRDefault="005A432A" w:rsidP="005A432A">
            <w:pPr>
              <w:rPr>
                <w:rFonts w:ascii="Georgia" w:hAnsi="Georgia"/>
                <w:sz w:val="20"/>
                <w:szCs w:val="20"/>
              </w:rPr>
            </w:pPr>
            <w:r w:rsidRPr="00D45CD8">
              <w:rPr>
                <w:rFonts w:ascii="Georgia" w:hAnsi="Georgia"/>
                <w:sz w:val="20"/>
                <w:szCs w:val="20"/>
              </w:rPr>
              <w:t xml:space="preserve">Nurašytų paskolų dalis buvo nustatyta remiantis ekspertų ir komercinių bankų vertinimu.  </w:t>
            </w:r>
          </w:p>
        </w:tc>
        <w:tc>
          <w:tcPr>
            <w:tcW w:w="885" w:type="dxa"/>
            <w:tcBorders>
              <w:top w:val="nil"/>
              <w:left w:val="nil"/>
              <w:bottom w:val="single" w:sz="8" w:space="0" w:color="E0301E"/>
              <w:right w:val="nil"/>
            </w:tcBorders>
            <w:shd w:val="clear" w:color="auto" w:fill="auto"/>
            <w:noWrap/>
            <w:vAlign w:val="center"/>
            <w:hideMark/>
          </w:tcPr>
          <w:p w14:paraId="13E745BE" w14:textId="77777777" w:rsidR="005A432A" w:rsidRPr="00D45CD8" w:rsidRDefault="005A432A" w:rsidP="005A432A">
            <w:pPr>
              <w:rPr>
                <w:rFonts w:ascii="Georgia" w:hAnsi="Georgia"/>
                <w:sz w:val="20"/>
                <w:szCs w:val="20"/>
              </w:rPr>
            </w:pPr>
            <w:r w:rsidRPr="00D45CD8">
              <w:rPr>
                <w:rFonts w:ascii="Georgia" w:hAnsi="Georgia"/>
                <w:sz w:val="20"/>
                <w:szCs w:val="20"/>
              </w:rPr>
              <w:t>5,0%</w:t>
            </w:r>
          </w:p>
        </w:tc>
        <w:tc>
          <w:tcPr>
            <w:tcW w:w="886" w:type="dxa"/>
            <w:tcBorders>
              <w:top w:val="nil"/>
              <w:left w:val="nil"/>
              <w:bottom w:val="single" w:sz="8" w:space="0" w:color="E0301E"/>
              <w:right w:val="nil"/>
            </w:tcBorders>
            <w:shd w:val="clear" w:color="auto" w:fill="auto"/>
            <w:noWrap/>
            <w:vAlign w:val="center"/>
            <w:hideMark/>
          </w:tcPr>
          <w:p w14:paraId="2A6B50AF" w14:textId="77777777" w:rsidR="005A432A" w:rsidRPr="00D45CD8" w:rsidRDefault="005A432A" w:rsidP="005A432A">
            <w:pPr>
              <w:rPr>
                <w:rFonts w:ascii="Georgia" w:hAnsi="Georgia"/>
                <w:sz w:val="20"/>
                <w:szCs w:val="20"/>
              </w:rPr>
            </w:pPr>
            <w:r w:rsidRPr="00D45CD8">
              <w:rPr>
                <w:rFonts w:ascii="Georgia" w:hAnsi="Georgia"/>
                <w:sz w:val="20"/>
                <w:szCs w:val="20"/>
              </w:rPr>
              <w:t>5,0%</w:t>
            </w:r>
          </w:p>
        </w:tc>
        <w:tc>
          <w:tcPr>
            <w:tcW w:w="886" w:type="dxa"/>
            <w:tcBorders>
              <w:top w:val="nil"/>
              <w:left w:val="nil"/>
              <w:bottom w:val="single" w:sz="8" w:space="0" w:color="E0301E"/>
              <w:right w:val="nil"/>
            </w:tcBorders>
            <w:shd w:val="clear" w:color="auto" w:fill="auto"/>
            <w:noWrap/>
            <w:vAlign w:val="center"/>
            <w:hideMark/>
          </w:tcPr>
          <w:p w14:paraId="72030810" w14:textId="77777777" w:rsidR="005A432A" w:rsidRPr="00D45CD8" w:rsidRDefault="005A432A" w:rsidP="005A432A">
            <w:pPr>
              <w:rPr>
                <w:rFonts w:ascii="Georgia" w:hAnsi="Georgia"/>
                <w:sz w:val="20"/>
                <w:szCs w:val="20"/>
              </w:rPr>
            </w:pPr>
            <w:r w:rsidRPr="00D45CD8">
              <w:rPr>
                <w:rFonts w:ascii="Georgia" w:hAnsi="Georgia"/>
                <w:sz w:val="20"/>
                <w:szCs w:val="20"/>
              </w:rPr>
              <w:t>5,0%</w:t>
            </w:r>
          </w:p>
        </w:tc>
        <w:tc>
          <w:tcPr>
            <w:tcW w:w="886" w:type="dxa"/>
            <w:tcBorders>
              <w:top w:val="nil"/>
              <w:left w:val="nil"/>
              <w:bottom w:val="single" w:sz="8" w:space="0" w:color="E0301E"/>
              <w:right w:val="single" w:sz="8" w:space="0" w:color="E0301E"/>
            </w:tcBorders>
            <w:shd w:val="clear" w:color="auto" w:fill="auto"/>
            <w:noWrap/>
            <w:vAlign w:val="center"/>
            <w:hideMark/>
          </w:tcPr>
          <w:p w14:paraId="79593A61" w14:textId="77777777" w:rsidR="005A432A" w:rsidRPr="00D45CD8" w:rsidRDefault="005A432A" w:rsidP="005A432A">
            <w:pPr>
              <w:rPr>
                <w:rFonts w:ascii="Georgia" w:hAnsi="Georgia"/>
                <w:sz w:val="20"/>
                <w:szCs w:val="20"/>
              </w:rPr>
            </w:pPr>
            <w:r w:rsidRPr="00D45CD8">
              <w:rPr>
                <w:rFonts w:ascii="Georgia" w:hAnsi="Georgia"/>
                <w:sz w:val="20"/>
                <w:szCs w:val="20"/>
              </w:rPr>
              <w:t>5,0%</w:t>
            </w:r>
          </w:p>
        </w:tc>
      </w:tr>
      <w:tr w:rsidR="005A432A" w:rsidRPr="00AB02F7" w14:paraId="5A848D43" w14:textId="77777777" w:rsidTr="005A432A">
        <w:trPr>
          <w:trHeight w:val="1800"/>
        </w:trPr>
        <w:tc>
          <w:tcPr>
            <w:tcW w:w="1741" w:type="dxa"/>
            <w:tcBorders>
              <w:top w:val="nil"/>
              <w:left w:val="single" w:sz="8" w:space="0" w:color="D62E1C"/>
              <w:bottom w:val="nil"/>
              <w:right w:val="nil"/>
            </w:tcBorders>
            <w:shd w:val="clear" w:color="auto" w:fill="auto"/>
            <w:vAlign w:val="center"/>
            <w:hideMark/>
          </w:tcPr>
          <w:p w14:paraId="787A429A"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Paskolų palūkanų norma: proc. palūkanų maržos </w:t>
            </w:r>
          </w:p>
        </w:tc>
        <w:tc>
          <w:tcPr>
            <w:tcW w:w="3788" w:type="dxa"/>
            <w:tcBorders>
              <w:top w:val="nil"/>
              <w:left w:val="nil"/>
              <w:bottom w:val="nil"/>
              <w:right w:val="nil"/>
            </w:tcBorders>
            <w:shd w:val="clear" w:color="auto" w:fill="auto"/>
            <w:vAlign w:val="center"/>
            <w:hideMark/>
          </w:tcPr>
          <w:p w14:paraId="055A1665" w14:textId="77777777" w:rsidR="005A432A" w:rsidRPr="00D45CD8" w:rsidRDefault="005A432A" w:rsidP="005A432A">
            <w:pPr>
              <w:rPr>
                <w:rFonts w:ascii="Georgia" w:hAnsi="Georgia"/>
                <w:sz w:val="20"/>
                <w:szCs w:val="20"/>
              </w:rPr>
            </w:pPr>
            <w:r w:rsidRPr="00D45CD8">
              <w:rPr>
                <w:rFonts w:ascii="Georgia" w:hAnsi="Georgia"/>
                <w:sz w:val="20"/>
                <w:szCs w:val="20"/>
              </w:rPr>
              <w:t xml:space="preserve">Analizės tikslais nustatomos 2 % metinės palūkanos. Pradinėje FP stadijoje gali būti nustatomos ir mažesnės palūkanos. Išnaudojus ESI fondų lėšas palūkanos turėtų atitikti FP administravimo ir lėšų pritraukimo kainą. </w:t>
            </w:r>
          </w:p>
        </w:tc>
        <w:tc>
          <w:tcPr>
            <w:tcW w:w="885" w:type="dxa"/>
            <w:tcBorders>
              <w:top w:val="nil"/>
              <w:left w:val="nil"/>
              <w:bottom w:val="single" w:sz="8" w:space="0" w:color="E0301E"/>
              <w:right w:val="nil"/>
            </w:tcBorders>
            <w:shd w:val="clear" w:color="auto" w:fill="auto"/>
            <w:noWrap/>
            <w:vAlign w:val="center"/>
            <w:hideMark/>
          </w:tcPr>
          <w:p w14:paraId="6C19CB53"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nil"/>
            </w:tcBorders>
            <w:shd w:val="clear" w:color="auto" w:fill="auto"/>
            <w:noWrap/>
            <w:vAlign w:val="center"/>
            <w:hideMark/>
          </w:tcPr>
          <w:p w14:paraId="349A168E"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nil"/>
            </w:tcBorders>
            <w:shd w:val="clear" w:color="auto" w:fill="auto"/>
            <w:noWrap/>
            <w:vAlign w:val="center"/>
            <w:hideMark/>
          </w:tcPr>
          <w:p w14:paraId="1660128A" w14:textId="77777777" w:rsidR="005A432A" w:rsidRPr="00D45CD8" w:rsidRDefault="005A432A" w:rsidP="005A432A">
            <w:pPr>
              <w:rPr>
                <w:rFonts w:ascii="Georgia" w:hAnsi="Georgia"/>
                <w:sz w:val="20"/>
                <w:szCs w:val="20"/>
              </w:rPr>
            </w:pPr>
            <w:r w:rsidRPr="00D45CD8">
              <w:rPr>
                <w:rFonts w:ascii="Georgia" w:hAnsi="Georgia"/>
                <w:sz w:val="20"/>
                <w:szCs w:val="20"/>
              </w:rPr>
              <w:t>2,0%</w:t>
            </w:r>
          </w:p>
        </w:tc>
        <w:tc>
          <w:tcPr>
            <w:tcW w:w="886" w:type="dxa"/>
            <w:tcBorders>
              <w:top w:val="nil"/>
              <w:left w:val="nil"/>
              <w:bottom w:val="single" w:sz="8" w:space="0" w:color="E0301E"/>
              <w:right w:val="single" w:sz="8" w:space="0" w:color="E0301E"/>
            </w:tcBorders>
            <w:shd w:val="clear" w:color="auto" w:fill="auto"/>
            <w:noWrap/>
            <w:vAlign w:val="center"/>
            <w:hideMark/>
          </w:tcPr>
          <w:p w14:paraId="7EB40083" w14:textId="77777777" w:rsidR="005A432A" w:rsidRPr="00D45CD8" w:rsidRDefault="005A432A" w:rsidP="005A432A">
            <w:pPr>
              <w:rPr>
                <w:rFonts w:ascii="Georgia" w:hAnsi="Georgia"/>
                <w:sz w:val="20"/>
                <w:szCs w:val="20"/>
              </w:rPr>
            </w:pPr>
            <w:r w:rsidRPr="00D45CD8">
              <w:rPr>
                <w:rFonts w:ascii="Georgia" w:hAnsi="Georgia"/>
                <w:sz w:val="20"/>
                <w:szCs w:val="20"/>
              </w:rPr>
              <w:t>2,0%</w:t>
            </w:r>
          </w:p>
        </w:tc>
      </w:tr>
      <w:tr w:rsidR="005A432A" w:rsidRPr="00AB02F7" w14:paraId="33225D3F" w14:textId="77777777" w:rsidTr="005A432A">
        <w:trPr>
          <w:trHeight w:val="2055"/>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2A2C1DEE"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Valdymo mokestis: vadovaujantis Deleguoto reglamento nuostatomis </w:t>
            </w:r>
          </w:p>
        </w:tc>
        <w:tc>
          <w:tcPr>
            <w:tcW w:w="3788" w:type="dxa"/>
            <w:tcBorders>
              <w:top w:val="single" w:sz="8" w:space="0" w:color="D62E1C"/>
              <w:left w:val="nil"/>
              <w:bottom w:val="single" w:sz="8" w:space="0" w:color="D62E1C"/>
              <w:right w:val="nil"/>
            </w:tcBorders>
            <w:shd w:val="clear" w:color="auto" w:fill="auto"/>
            <w:vAlign w:val="center"/>
            <w:hideMark/>
          </w:tcPr>
          <w:p w14:paraId="7984FE16" w14:textId="77777777" w:rsidR="005A432A" w:rsidRPr="00D45CD8" w:rsidRDefault="005A432A" w:rsidP="005A432A">
            <w:pPr>
              <w:rPr>
                <w:rFonts w:ascii="Georgia" w:hAnsi="Georgia"/>
                <w:sz w:val="20"/>
                <w:szCs w:val="20"/>
              </w:rPr>
            </w:pPr>
            <w:r w:rsidRPr="00D45CD8">
              <w:rPr>
                <w:rFonts w:ascii="Georgia" w:hAnsi="Georgia"/>
                <w:sz w:val="20"/>
                <w:szCs w:val="20"/>
              </w:rPr>
              <w:t xml:space="preserve">Vadovaujantis Deleguoto reglamento nuostatomis, valdymo mokestis susideda iš dviejų dalių: 0,5 proc. bazinis mokestis nuo finansinei priemonei skirtų ir įmokėtų lėšų, 1 proc. mokestis nuo paskolų sumos (arba 1.5 proc nuo garantijų sumos). </w:t>
            </w:r>
          </w:p>
        </w:tc>
        <w:tc>
          <w:tcPr>
            <w:tcW w:w="885" w:type="dxa"/>
            <w:tcBorders>
              <w:top w:val="nil"/>
              <w:left w:val="nil"/>
              <w:bottom w:val="single" w:sz="8" w:space="0" w:color="E0301E"/>
              <w:right w:val="nil"/>
            </w:tcBorders>
            <w:shd w:val="clear" w:color="auto" w:fill="auto"/>
            <w:vAlign w:val="center"/>
            <w:hideMark/>
          </w:tcPr>
          <w:p w14:paraId="7E148EE5" w14:textId="77777777" w:rsidR="005A432A" w:rsidRPr="00D45CD8" w:rsidRDefault="005A432A" w:rsidP="005A432A">
            <w:pPr>
              <w:rPr>
                <w:rFonts w:ascii="Georgia" w:hAnsi="Georgia"/>
                <w:sz w:val="20"/>
                <w:szCs w:val="20"/>
              </w:rPr>
            </w:pPr>
            <w:r w:rsidRPr="00D45CD8">
              <w:rPr>
                <w:rFonts w:ascii="Georgia" w:hAnsi="Georgia"/>
                <w:sz w:val="20"/>
                <w:szCs w:val="20"/>
              </w:rPr>
              <w:t>0,5% ir 1%</w:t>
            </w:r>
          </w:p>
        </w:tc>
        <w:tc>
          <w:tcPr>
            <w:tcW w:w="886" w:type="dxa"/>
            <w:tcBorders>
              <w:top w:val="nil"/>
              <w:left w:val="nil"/>
              <w:bottom w:val="single" w:sz="8" w:space="0" w:color="E0301E"/>
              <w:right w:val="nil"/>
            </w:tcBorders>
            <w:shd w:val="clear" w:color="auto" w:fill="auto"/>
            <w:vAlign w:val="center"/>
            <w:hideMark/>
          </w:tcPr>
          <w:p w14:paraId="75BADF99" w14:textId="77777777" w:rsidR="005A432A" w:rsidRPr="00D45CD8" w:rsidRDefault="005A432A" w:rsidP="005A432A">
            <w:pPr>
              <w:rPr>
                <w:rFonts w:ascii="Georgia" w:hAnsi="Georgia"/>
                <w:sz w:val="20"/>
                <w:szCs w:val="20"/>
              </w:rPr>
            </w:pPr>
            <w:r w:rsidRPr="00D45CD8">
              <w:rPr>
                <w:rFonts w:ascii="Georgia" w:hAnsi="Georgia"/>
                <w:sz w:val="20"/>
                <w:szCs w:val="20"/>
              </w:rPr>
              <w:t>0,5% ir 1%</w:t>
            </w:r>
          </w:p>
        </w:tc>
        <w:tc>
          <w:tcPr>
            <w:tcW w:w="886" w:type="dxa"/>
            <w:tcBorders>
              <w:top w:val="nil"/>
              <w:left w:val="nil"/>
              <w:bottom w:val="single" w:sz="8" w:space="0" w:color="E0301E"/>
              <w:right w:val="nil"/>
            </w:tcBorders>
            <w:shd w:val="clear" w:color="auto" w:fill="auto"/>
            <w:vAlign w:val="center"/>
            <w:hideMark/>
          </w:tcPr>
          <w:p w14:paraId="1D20ECE4" w14:textId="77777777" w:rsidR="005A432A" w:rsidRPr="00D45CD8" w:rsidRDefault="005A432A" w:rsidP="005A432A">
            <w:pPr>
              <w:rPr>
                <w:rFonts w:ascii="Georgia" w:hAnsi="Georgia"/>
                <w:sz w:val="20"/>
                <w:szCs w:val="20"/>
              </w:rPr>
            </w:pPr>
            <w:r w:rsidRPr="00D45CD8">
              <w:rPr>
                <w:rFonts w:ascii="Georgia" w:hAnsi="Georgia"/>
                <w:sz w:val="20"/>
                <w:szCs w:val="20"/>
              </w:rPr>
              <w:t>0,5% ir 1%</w:t>
            </w:r>
          </w:p>
        </w:tc>
        <w:tc>
          <w:tcPr>
            <w:tcW w:w="886" w:type="dxa"/>
            <w:tcBorders>
              <w:top w:val="nil"/>
              <w:left w:val="nil"/>
              <w:bottom w:val="single" w:sz="8" w:space="0" w:color="E0301E"/>
              <w:right w:val="single" w:sz="8" w:space="0" w:color="E0301E"/>
            </w:tcBorders>
            <w:shd w:val="clear" w:color="auto" w:fill="auto"/>
            <w:vAlign w:val="center"/>
            <w:hideMark/>
          </w:tcPr>
          <w:p w14:paraId="132CA77F" w14:textId="77777777" w:rsidR="005A432A" w:rsidRPr="00D45CD8" w:rsidRDefault="005A432A" w:rsidP="005A432A">
            <w:pPr>
              <w:rPr>
                <w:rFonts w:ascii="Georgia" w:hAnsi="Georgia"/>
                <w:sz w:val="20"/>
                <w:szCs w:val="20"/>
              </w:rPr>
            </w:pPr>
            <w:r w:rsidRPr="00D45CD8">
              <w:rPr>
                <w:rFonts w:ascii="Georgia" w:hAnsi="Georgia"/>
                <w:sz w:val="20"/>
                <w:szCs w:val="20"/>
              </w:rPr>
              <w:t>0,5% ir 1,5%</w:t>
            </w:r>
          </w:p>
        </w:tc>
      </w:tr>
      <w:tr w:rsidR="005A432A" w:rsidRPr="00AB02F7" w14:paraId="76459BE5" w14:textId="77777777" w:rsidTr="005A432A">
        <w:trPr>
          <w:trHeight w:val="1290"/>
        </w:trPr>
        <w:tc>
          <w:tcPr>
            <w:tcW w:w="1741" w:type="dxa"/>
            <w:tcBorders>
              <w:top w:val="nil"/>
              <w:left w:val="single" w:sz="8" w:space="0" w:color="D62E1C"/>
              <w:bottom w:val="nil"/>
              <w:right w:val="nil"/>
            </w:tcBorders>
            <w:shd w:val="clear" w:color="auto" w:fill="auto"/>
            <w:vAlign w:val="center"/>
            <w:hideMark/>
          </w:tcPr>
          <w:p w14:paraId="486016DF"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Projekto įgyvendinimo laikotarpis: 1 metai  </w:t>
            </w:r>
          </w:p>
        </w:tc>
        <w:tc>
          <w:tcPr>
            <w:tcW w:w="3788" w:type="dxa"/>
            <w:tcBorders>
              <w:top w:val="nil"/>
              <w:left w:val="nil"/>
              <w:bottom w:val="nil"/>
              <w:right w:val="nil"/>
            </w:tcBorders>
            <w:shd w:val="clear" w:color="auto" w:fill="auto"/>
            <w:vAlign w:val="center"/>
            <w:hideMark/>
          </w:tcPr>
          <w:p w14:paraId="295A52D0" w14:textId="77777777" w:rsidR="005A432A" w:rsidRPr="00D45CD8" w:rsidRDefault="005A432A" w:rsidP="005A432A">
            <w:pPr>
              <w:rPr>
                <w:rFonts w:ascii="Georgia" w:hAnsi="Georgia"/>
                <w:sz w:val="20"/>
                <w:szCs w:val="20"/>
              </w:rPr>
            </w:pPr>
            <w:r w:rsidRPr="00D45CD8">
              <w:rPr>
                <w:rFonts w:ascii="Georgia" w:hAnsi="Georgia"/>
                <w:sz w:val="20"/>
                <w:szCs w:val="20"/>
              </w:rPr>
              <w:t xml:space="preserve">Daroma prielaida, jog gatvių apšvietimo renovacijos laikas yra 1 metai nuo paskolos sutarties pasirašymo momento. </w:t>
            </w:r>
          </w:p>
        </w:tc>
        <w:tc>
          <w:tcPr>
            <w:tcW w:w="885" w:type="dxa"/>
            <w:tcBorders>
              <w:top w:val="nil"/>
              <w:left w:val="nil"/>
              <w:bottom w:val="single" w:sz="8" w:space="0" w:color="E0301E"/>
              <w:right w:val="nil"/>
            </w:tcBorders>
            <w:shd w:val="clear" w:color="auto" w:fill="auto"/>
            <w:noWrap/>
            <w:vAlign w:val="center"/>
            <w:hideMark/>
          </w:tcPr>
          <w:p w14:paraId="0927BB53" w14:textId="77777777" w:rsidR="005A432A" w:rsidRPr="00D45CD8" w:rsidRDefault="005A432A" w:rsidP="005A432A">
            <w:pPr>
              <w:rPr>
                <w:rFonts w:ascii="Georgia" w:hAnsi="Georgia"/>
                <w:sz w:val="20"/>
                <w:szCs w:val="20"/>
              </w:rPr>
            </w:pPr>
            <w:r w:rsidRPr="00D45CD8">
              <w:rPr>
                <w:rFonts w:ascii="Georgia" w:hAnsi="Georgia"/>
                <w:sz w:val="20"/>
                <w:szCs w:val="20"/>
              </w:rPr>
              <w:t>1</w:t>
            </w:r>
          </w:p>
        </w:tc>
        <w:tc>
          <w:tcPr>
            <w:tcW w:w="886" w:type="dxa"/>
            <w:tcBorders>
              <w:top w:val="nil"/>
              <w:left w:val="nil"/>
              <w:bottom w:val="single" w:sz="8" w:space="0" w:color="E0301E"/>
              <w:right w:val="nil"/>
            </w:tcBorders>
            <w:shd w:val="clear" w:color="auto" w:fill="auto"/>
            <w:noWrap/>
            <w:vAlign w:val="center"/>
            <w:hideMark/>
          </w:tcPr>
          <w:p w14:paraId="544A16C0" w14:textId="77777777" w:rsidR="005A432A" w:rsidRPr="00D45CD8" w:rsidRDefault="005A432A" w:rsidP="005A432A">
            <w:pPr>
              <w:rPr>
                <w:rFonts w:ascii="Georgia" w:hAnsi="Georgia"/>
                <w:sz w:val="20"/>
                <w:szCs w:val="20"/>
              </w:rPr>
            </w:pPr>
            <w:r w:rsidRPr="00D45CD8">
              <w:rPr>
                <w:rFonts w:ascii="Georgia" w:hAnsi="Georgia"/>
                <w:sz w:val="20"/>
                <w:szCs w:val="20"/>
              </w:rPr>
              <w:t>1</w:t>
            </w:r>
          </w:p>
        </w:tc>
        <w:tc>
          <w:tcPr>
            <w:tcW w:w="886" w:type="dxa"/>
            <w:tcBorders>
              <w:top w:val="nil"/>
              <w:left w:val="nil"/>
              <w:bottom w:val="single" w:sz="8" w:space="0" w:color="E0301E"/>
              <w:right w:val="nil"/>
            </w:tcBorders>
            <w:shd w:val="clear" w:color="auto" w:fill="auto"/>
            <w:noWrap/>
            <w:vAlign w:val="center"/>
            <w:hideMark/>
          </w:tcPr>
          <w:p w14:paraId="3957950C" w14:textId="77777777" w:rsidR="005A432A" w:rsidRPr="00D45CD8" w:rsidRDefault="005A432A" w:rsidP="005A432A">
            <w:pPr>
              <w:rPr>
                <w:rFonts w:ascii="Georgia" w:hAnsi="Georgia"/>
                <w:sz w:val="20"/>
                <w:szCs w:val="20"/>
              </w:rPr>
            </w:pPr>
            <w:r w:rsidRPr="00D45CD8">
              <w:rPr>
                <w:rFonts w:ascii="Georgia" w:hAnsi="Georgia"/>
                <w:sz w:val="20"/>
                <w:szCs w:val="20"/>
              </w:rPr>
              <w:t>1</w:t>
            </w:r>
          </w:p>
        </w:tc>
        <w:tc>
          <w:tcPr>
            <w:tcW w:w="886" w:type="dxa"/>
            <w:tcBorders>
              <w:top w:val="nil"/>
              <w:left w:val="nil"/>
              <w:bottom w:val="single" w:sz="8" w:space="0" w:color="E0301E"/>
              <w:right w:val="single" w:sz="8" w:space="0" w:color="E0301E"/>
            </w:tcBorders>
            <w:shd w:val="clear" w:color="auto" w:fill="auto"/>
            <w:noWrap/>
            <w:vAlign w:val="center"/>
            <w:hideMark/>
          </w:tcPr>
          <w:p w14:paraId="6FFDCA45" w14:textId="77777777" w:rsidR="005A432A" w:rsidRPr="00D45CD8" w:rsidRDefault="005A432A" w:rsidP="005A432A">
            <w:pPr>
              <w:rPr>
                <w:rFonts w:ascii="Georgia" w:hAnsi="Georgia"/>
                <w:sz w:val="20"/>
                <w:szCs w:val="20"/>
              </w:rPr>
            </w:pPr>
            <w:r w:rsidRPr="00D45CD8">
              <w:rPr>
                <w:rFonts w:ascii="Georgia" w:hAnsi="Georgia"/>
                <w:sz w:val="20"/>
                <w:szCs w:val="20"/>
              </w:rPr>
              <w:t>1</w:t>
            </w:r>
          </w:p>
        </w:tc>
      </w:tr>
      <w:tr w:rsidR="005A432A" w:rsidRPr="00AB02F7" w14:paraId="03154E2A" w14:textId="77777777" w:rsidTr="005A432A">
        <w:trPr>
          <w:trHeight w:val="1800"/>
        </w:trPr>
        <w:tc>
          <w:tcPr>
            <w:tcW w:w="1741" w:type="dxa"/>
            <w:tcBorders>
              <w:top w:val="single" w:sz="8" w:space="0" w:color="D62E1C"/>
              <w:left w:val="single" w:sz="8" w:space="0" w:color="D62E1C"/>
              <w:bottom w:val="single" w:sz="8" w:space="0" w:color="D62E1C"/>
              <w:right w:val="nil"/>
            </w:tcBorders>
            <w:shd w:val="clear" w:color="auto" w:fill="auto"/>
            <w:vAlign w:val="center"/>
            <w:hideMark/>
          </w:tcPr>
          <w:p w14:paraId="677A9082" w14:textId="77777777" w:rsidR="005A432A" w:rsidRPr="00D45CD8" w:rsidRDefault="005A432A" w:rsidP="005A432A">
            <w:pPr>
              <w:rPr>
                <w:rFonts w:ascii="Georgia" w:hAnsi="Georgia"/>
                <w:b/>
                <w:sz w:val="20"/>
                <w:szCs w:val="20"/>
              </w:rPr>
            </w:pPr>
            <w:r w:rsidRPr="00D45CD8">
              <w:rPr>
                <w:rFonts w:ascii="Georgia" w:hAnsi="Georgia"/>
                <w:b/>
                <w:sz w:val="20"/>
                <w:szCs w:val="20"/>
              </w:rPr>
              <w:lastRenderedPageBreak/>
              <w:t xml:space="preserve">Pakartotinai panaudojamos grįžusios lėšos: po 2 metų </w:t>
            </w:r>
          </w:p>
        </w:tc>
        <w:tc>
          <w:tcPr>
            <w:tcW w:w="3788" w:type="dxa"/>
            <w:tcBorders>
              <w:top w:val="single" w:sz="8" w:space="0" w:color="D62E1C"/>
              <w:left w:val="nil"/>
              <w:bottom w:val="single" w:sz="8" w:space="0" w:color="D62E1C"/>
              <w:right w:val="nil"/>
            </w:tcBorders>
            <w:shd w:val="clear" w:color="auto" w:fill="auto"/>
            <w:vAlign w:val="center"/>
            <w:hideMark/>
          </w:tcPr>
          <w:p w14:paraId="6406AFDA" w14:textId="77777777" w:rsidR="005A432A" w:rsidRPr="00D45CD8" w:rsidRDefault="005A432A" w:rsidP="005A432A">
            <w:pPr>
              <w:rPr>
                <w:rFonts w:ascii="Georgia" w:hAnsi="Georgia"/>
                <w:sz w:val="20"/>
                <w:szCs w:val="20"/>
              </w:rPr>
            </w:pPr>
            <w:r w:rsidRPr="00D45CD8">
              <w:rPr>
                <w:rFonts w:ascii="Georgia" w:hAnsi="Georgia"/>
                <w:sz w:val="20"/>
                <w:szCs w:val="20"/>
              </w:rPr>
              <w:t xml:space="preserve">Daroma prielaida, jog grįžtančios lėšos pakartotinai panaudojamos projektų finansavimui tomis pačiomis sąlygomis po 2 metų. </w:t>
            </w:r>
          </w:p>
        </w:tc>
        <w:tc>
          <w:tcPr>
            <w:tcW w:w="885" w:type="dxa"/>
            <w:tcBorders>
              <w:top w:val="nil"/>
              <w:left w:val="nil"/>
              <w:bottom w:val="single" w:sz="8" w:space="0" w:color="E0301E"/>
              <w:right w:val="nil"/>
            </w:tcBorders>
            <w:shd w:val="clear" w:color="auto" w:fill="auto"/>
            <w:noWrap/>
            <w:vAlign w:val="center"/>
            <w:hideMark/>
          </w:tcPr>
          <w:p w14:paraId="6F953C39" w14:textId="77777777" w:rsidR="005A432A" w:rsidRPr="00D45CD8" w:rsidRDefault="005A432A" w:rsidP="005A432A">
            <w:pPr>
              <w:rPr>
                <w:rFonts w:ascii="Georgia" w:hAnsi="Georgia"/>
                <w:sz w:val="20"/>
                <w:szCs w:val="20"/>
              </w:rPr>
            </w:pPr>
            <w:r w:rsidRPr="00D45CD8">
              <w:rPr>
                <w:rFonts w:ascii="Georgia" w:hAnsi="Georgia"/>
                <w:sz w:val="20"/>
                <w:szCs w:val="20"/>
              </w:rPr>
              <w:t>2</w:t>
            </w:r>
          </w:p>
        </w:tc>
        <w:tc>
          <w:tcPr>
            <w:tcW w:w="886" w:type="dxa"/>
            <w:tcBorders>
              <w:top w:val="nil"/>
              <w:left w:val="nil"/>
              <w:bottom w:val="single" w:sz="8" w:space="0" w:color="E0301E"/>
              <w:right w:val="nil"/>
            </w:tcBorders>
            <w:shd w:val="clear" w:color="auto" w:fill="auto"/>
            <w:noWrap/>
            <w:vAlign w:val="center"/>
            <w:hideMark/>
          </w:tcPr>
          <w:p w14:paraId="4B34447A" w14:textId="77777777" w:rsidR="005A432A" w:rsidRPr="00D45CD8" w:rsidRDefault="005A432A" w:rsidP="005A432A">
            <w:pPr>
              <w:rPr>
                <w:rFonts w:ascii="Georgia" w:hAnsi="Georgia"/>
                <w:sz w:val="20"/>
                <w:szCs w:val="20"/>
              </w:rPr>
            </w:pPr>
            <w:r w:rsidRPr="00D45CD8">
              <w:rPr>
                <w:rFonts w:ascii="Georgia" w:hAnsi="Georgia"/>
                <w:sz w:val="20"/>
                <w:szCs w:val="20"/>
              </w:rPr>
              <w:t>2</w:t>
            </w:r>
          </w:p>
        </w:tc>
        <w:tc>
          <w:tcPr>
            <w:tcW w:w="886" w:type="dxa"/>
            <w:tcBorders>
              <w:top w:val="nil"/>
              <w:left w:val="nil"/>
              <w:bottom w:val="single" w:sz="8" w:space="0" w:color="E0301E"/>
              <w:right w:val="nil"/>
            </w:tcBorders>
            <w:shd w:val="clear" w:color="auto" w:fill="auto"/>
            <w:noWrap/>
            <w:vAlign w:val="center"/>
            <w:hideMark/>
          </w:tcPr>
          <w:p w14:paraId="2F33DA35" w14:textId="77777777" w:rsidR="005A432A" w:rsidRPr="00D45CD8" w:rsidRDefault="005A432A" w:rsidP="005A432A">
            <w:pPr>
              <w:rPr>
                <w:rFonts w:ascii="Georgia" w:hAnsi="Georgia"/>
                <w:sz w:val="20"/>
                <w:szCs w:val="20"/>
              </w:rPr>
            </w:pPr>
            <w:r w:rsidRPr="00D45CD8">
              <w:rPr>
                <w:rFonts w:ascii="Georgia" w:hAnsi="Georgia"/>
                <w:sz w:val="20"/>
                <w:szCs w:val="20"/>
              </w:rPr>
              <w:t>2</w:t>
            </w:r>
          </w:p>
        </w:tc>
        <w:tc>
          <w:tcPr>
            <w:tcW w:w="886" w:type="dxa"/>
            <w:tcBorders>
              <w:top w:val="nil"/>
              <w:left w:val="nil"/>
              <w:bottom w:val="single" w:sz="8" w:space="0" w:color="E0301E"/>
              <w:right w:val="single" w:sz="8" w:space="0" w:color="E0301E"/>
            </w:tcBorders>
            <w:shd w:val="clear" w:color="auto" w:fill="auto"/>
            <w:noWrap/>
            <w:vAlign w:val="center"/>
            <w:hideMark/>
          </w:tcPr>
          <w:p w14:paraId="7346ED94" w14:textId="77777777" w:rsidR="005A432A" w:rsidRPr="00D45CD8" w:rsidRDefault="005A432A" w:rsidP="005A432A">
            <w:pPr>
              <w:rPr>
                <w:rFonts w:ascii="Georgia" w:hAnsi="Georgia"/>
                <w:sz w:val="20"/>
                <w:szCs w:val="20"/>
              </w:rPr>
            </w:pPr>
            <w:r w:rsidRPr="00D45CD8">
              <w:rPr>
                <w:rFonts w:ascii="Georgia" w:hAnsi="Georgia"/>
                <w:sz w:val="20"/>
                <w:szCs w:val="20"/>
              </w:rPr>
              <w:t>2</w:t>
            </w:r>
          </w:p>
        </w:tc>
      </w:tr>
      <w:tr w:rsidR="005A432A" w:rsidRPr="00AB02F7" w14:paraId="736D66E0" w14:textId="77777777" w:rsidTr="005A432A">
        <w:trPr>
          <w:trHeight w:val="1545"/>
        </w:trPr>
        <w:tc>
          <w:tcPr>
            <w:tcW w:w="1741" w:type="dxa"/>
            <w:tcBorders>
              <w:top w:val="nil"/>
              <w:left w:val="single" w:sz="8" w:space="0" w:color="D62E1C"/>
              <w:bottom w:val="single" w:sz="8" w:space="0" w:color="D62E1C"/>
              <w:right w:val="nil"/>
            </w:tcBorders>
            <w:shd w:val="clear" w:color="auto" w:fill="auto"/>
            <w:vAlign w:val="center"/>
            <w:hideMark/>
          </w:tcPr>
          <w:p w14:paraId="63645D6C"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Privataus investicinio fondo išperkamų paskolų dalis, proc </w:t>
            </w:r>
          </w:p>
        </w:tc>
        <w:tc>
          <w:tcPr>
            <w:tcW w:w="3788" w:type="dxa"/>
            <w:tcBorders>
              <w:top w:val="nil"/>
              <w:left w:val="nil"/>
              <w:bottom w:val="single" w:sz="8" w:space="0" w:color="D62E1C"/>
              <w:right w:val="nil"/>
            </w:tcBorders>
            <w:shd w:val="clear" w:color="auto" w:fill="auto"/>
            <w:vAlign w:val="center"/>
            <w:hideMark/>
          </w:tcPr>
          <w:p w14:paraId="1C60F2F9" w14:textId="77777777" w:rsidR="005A432A" w:rsidRPr="00D45CD8" w:rsidRDefault="005A432A" w:rsidP="005A432A">
            <w:pPr>
              <w:rPr>
                <w:rFonts w:ascii="Georgia" w:hAnsi="Georgia"/>
                <w:sz w:val="20"/>
                <w:szCs w:val="20"/>
              </w:rPr>
            </w:pPr>
            <w:r w:rsidRPr="00D45CD8">
              <w:rPr>
                <w:rFonts w:ascii="Georgia" w:hAnsi="Georgia"/>
                <w:sz w:val="20"/>
                <w:szCs w:val="20"/>
              </w:rPr>
              <w:t xml:space="preserve">Daroma prielaidą, kad privatus investicinis fondas nuo 2019 m. galėtų išpirkti apie 70 % visų paskolų portfelio. </w:t>
            </w:r>
          </w:p>
        </w:tc>
        <w:tc>
          <w:tcPr>
            <w:tcW w:w="885" w:type="dxa"/>
            <w:tcBorders>
              <w:top w:val="nil"/>
              <w:left w:val="nil"/>
              <w:bottom w:val="single" w:sz="8" w:space="0" w:color="E0301E"/>
              <w:right w:val="nil"/>
            </w:tcBorders>
            <w:shd w:val="clear" w:color="auto" w:fill="auto"/>
            <w:noWrap/>
            <w:vAlign w:val="center"/>
            <w:hideMark/>
          </w:tcPr>
          <w:p w14:paraId="4E55F2CD" w14:textId="77777777" w:rsidR="005A432A" w:rsidRPr="00D45CD8" w:rsidRDefault="005A432A" w:rsidP="005A432A">
            <w:pPr>
              <w:rPr>
                <w:rFonts w:ascii="Georgia" w:hAnsi="Georgia"/>
                <w:sz w:val="20"/>
                <w:szCs w:val="20"/>
              </w:rPr>
            </w:pPr>
            <w:r w:rsidRPr="00D45CD8">
              <w:rPr>
                <w:rFonts w:ascii="Georgia" w:hAnsi="Georgia"/>
                <w:sz w:val="20"/>
                <w:szCs w:val="20"/>
              </w:rPr>
              <w:t>n/a</w:t>
            </w:r>
          </w:p>
        </w:tc>
        <w:tc>
          <w:tcPr>
            <w:tcW w:w="886" w:type="dxa"/>
            <w:tcBorders>
              <w:top w:val="nil"/>
              <w:left w:val="nil"/>
              <w:bottom w:val="single" w:sz="8" w:space="0" w:color="E0301E"/>
              <w:right w:val="nil"/>
            </w:tcBorders>
            <w:shd w:val="clear" w:color="auto" w:fill="auto"/>
            <w:noWrap/>
            <w:vAlign w:val="center"/>
            <w:hideMark/>
          </w:tcPr>
          <w:p w14:paraId="52509317" w14:textId="77777777" w:rsidR="005A432A" w:rsidRPr="00D45CD8" w:rsidRDefault="005A432A" w:rsidP="005A432A">
            <w:pPr>
              <w:rPr>
                <w:rFonts w:ascii="Georgia" w:hAnsi="Georgia"/>
                <w:sz w:val="20"/>
                <w:szCs w:val="20"/>
              </w:rPr>
            </w:pPr>
            <w:r w:rsidRPr="00D45CD8">
              <w:rPr>
                <w:rFonts w:ascii="Georgia" w:hAnsi="Georgia"/>
                <w:sz w:val="20"/>
                <w:szCs w:val="20"/>
              </w:rPr>
              <w:t>70,0%</w:t>
            </w:r>
          </w:p>
        </w:tc>
        <w:tc>
          <w:tcPr>
            <w:tcW w:w="886" w:type="dxa"/>
            <w:tcBorders>
              <w:top w:val="nil"/>
              <w:left w:val="nil"/>
              <w:bottom w:val="single" w:sz="8" w:space="0" w:color="E0301E"/>
              <w:right w:val="nil"/>
            </w:tcBorders>
            <w:shd w:val="clear" w:color="auto" w:fill="auto"/>
            <w:noWrap/>
            <w:vAlign w:val="center"/>
            <w:hideMark/>
          </w:tcPr>
          <w:p w14:paraId="7827B36B" w14:textId="77777777" w:rsidR="005A432A" w:rsidRPr="00D45CD8" w:rsidRDefault="005A432A" w:rsidP="005A432A">
            <w:pPr>
              <w:rPr>
                <w:rFonts w:ascii="Georgia" w:hAnsi="Georgia"/>
                <w:sz w:val="20"/>
                <w:szCs w:val="20"/>
              </w:rPr>
            </w:pPr>
            <w:r w:rsidRPr="00D45CD8">
              <w:rPr>
                <w:rFonts w:ascii="Georgia" w:hAnsi="Georgia"/>
                <w:sz w:val="20"/>
                <w:szCs w:val="20"/>
              </w:rPr>
              <w:t>n/a</w:t>
            </w:r>
          </w:p>
        </w:tc>
        <w:tc>
          <w:tcPr>
            <w:tcW w:w="886" w:type="dxa"/>
            <w:tcBorders>
              <w:top w:val="nil"/>
              <w:left w:val="nil"/>
              <w:bottom w:val="single" w:sz="8" w:space="0" w:color="E0301E"/>
              <w:right w:val="single" w:sz="8" w:space="0" w:color="E0301E"/>
            </w:tcBorders>
            <w:shd w:val="clear" w:color="auto" w:fill="auto"/>
            <w:noWrap/>
            <w:vAlign w:val="center"/>
            <w:hideMark/>
          </w:tcPr>
          <w:p w14:paraId="261AF673" w14:textId="77777777" w:rsidR="005A432A" w:rsidRPr="00D45CD8" w:rsidRDefault="005A432A" w:rsidP="005A432A">
            <w:pPr>
              <w:rPr>
                <w:rFonts w:ascii="Georgia" w:hAnsi="Georgia"/>
                <w:sz w:val="20"/>
                <w:szCs w:val="20"/>
              </w:rPr>
            </w:pPr>
            <w:r w:rsidRPr="00D45CD8">
              <w:rPr>
                <w:rFonts w:ascii="Georgia" w:hAnsi="Georgia"/>
                <w:sz w:val="20"/>
                <w:szCs w:val="20"/>
              </w:rPr>
              <w:t>n/a</w:t>
            </w:r>
          </w:p>
        </w:tc>
      </w:tr>
      <w:tr w:rsidR="005A432A" w:rsidRPr="00AB02F7" w14:paraId="5D2F9670" w14:textId="77777777" w:rsidTr="005A432A">
        <w:trPr>
          <w:trHeight w:val="1800"/>
        </w:trPr>
        <w:tc>
          <w:tcPr>
            <w:tcW w:w="1741" w:type="dxa"/>
            <w:tcBorders>
              <w:top w:val="nil"/>
              <w:left w:val="single" w:sz="8" w:space="0" w:color="D62E1C"/>
              <w:bottom w:val="single" w:sz="8" w:space="0" w:color="D62E1C"/>
              <w:right w:val="nil"/>
            </w:tcBorders>
            <w:shd w:val="clear" w:color="auto" w:fill="auto"/>
            <w:vAlign w:val="center"/>
            <w:hideMark/>
          </w:tcPr>
          <w:p w14:paraId="47109C0E" w14:textId="77777777" w:rsidR="005A432A" w:rsidRPr="00D45CD8" w:rsidRDefault="005A432A" w:rsidP="005A432A">
            <w:pPr>
              <w:rPr>
                <w:rFonts w:ascii="Georgia" w:hAnsi="Georgia"/>
                <w:b/>
                <w:sz w:val="20"/>
                <w:szCs w:val="20"/>
              </w:rPr>
            </w:pPr>
            <w:r w:rsidRPr="00D45CD8">
              <w:rPr>
                <w:rFonts w:ascii="Georgia" w:hAnsi="Georgia"/>
                <w:b/>
                <w:sz w:val="20"/>
                <w:szCs w:val="20"/>
              </w:rPr>
              <w:t xml:space="preserve">Išperkamų paskolų dalis, proc </w:t>
            </w:r>
          </w:p>
        </w:tc>
        <w:tc>
          <w:tcPr>
            <w:tcW w:w="3788" w:type="dxa"/>
            <w:tcBorders>
              <w:top w:val="nil"/>
              <w:left w:val="nil"/>
              <w:bottom w:val="single" w:sz="8" w:space="0" w:color="D62E1C"/>
              <w:right w:val="nil"/>
            </w:tcBorders>
            <w:shd w:val="clear" w:color="auto" w:fill="auto"/>
            <w:vAlign w:val="center"/>
            <w:hideMark/>
          </w:tcPr>
          <w:p w14:paraId="633FA884" w14:textId="77777777" w:rsidR="005A432A" w:rsidRPr="00D45CD8" w:rsidRDefault="005A432A" w:rsidP="005A432A">
            <w:pPr>
              <w:rPr>
                <w:rFonts w:ascii="Georgia" w:hAnsi="Georgia"/>
                <w:sz w:val="20"/>
                <w:szCs w:val="20"/>
              </w:rPr>
            </w:pPr>
            <w:r w:rsidRPr="00D45CD8">
              <w:rPr>
                <w:rFonts w:ascii="Georgia" w:hAnsi="Georgia"/>
                <w:sz w:val="20"/>
                <w:szCs w:val="20"/>
              </w:rPr>
              <w:t xml:space="preserve">Daroma prielaida, kad investicinis fondas pritrauks tiek pat investicijų kiek bus įnešta iš ESI lėšų. </w:t>
            </w:r>
          </w:p>
        </w:tc>
        <w:tc>
          <w:tcPr>
            <w:tcW w:w="885" w:type="dxa"/>
            <w:tcBorders>
              <w:top w:val="nil"/>
              <w:left w:val="nil"/>
              <w:bottom w:val="single" w:sz="8" w:space="0" w:color="E0301E"/>
              <w:right w:val="nil"/>
            </w:tcBorders>
            <w:shd w:val="clear" w:color="auto" w:fill="auto"/>
            <w:noWrap/>
            <w:vAlign w:val="center"/>
            <w:hideMark/>
          </w:tcPr>
          <w:p w14:paraId="1C30AB38"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c>
          <w:tcPr>
            <w:tcW w:w="886" w:type="dxa"/>
            <w:tcBorders>
              <w:top w:val="nil"/>
              <w:left w:val="nil"/>
              <w:bottom w:val="single" w:sz="8" w:space="0" w:color="E0301E"/>
              <w:right w:val="nil"/>
            </w:tcBorders>
            <w:shd w:val="clear" w:color="auto" w:fill="auto"/>
            <w:noWrap/>
            <w:vAlign w:val="center"/>
            <w:hideMark/>
          </w:tcPr>
          <w:p w14:paraId="12253FF7"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c>
          <w:tcPr>
            <w:tcW w:w="886" w:type="dxa"/>
            <w:tcBorders>
              <w:top w:val="nil"/>
              <w:left w:val="nil"/>
              <w:bottom w:val="single" w:sz="8" w:space="0" w:color="E0301E"/>
              <w:right w:val="nil"/>
            </w:tcBorders>
            <w:shd w:val="clear" w:color="auto" w:fill="auto"/>
            <w:noWrap/>
            <w:vAlign w:val="center"/>
            <w:hideMark/>
          </w:tcPr>
          <w:p w14:paraId="3A13982F" w14:textId="77777777" w:rsidR="005A432A" w:rsidRPr="00D45CD8" w:rsidRDefault="005A432A" w:rsidP="005A432A">
            <w:pPr>
              <w:rPr>
                <w:rFonts w:ascii="Georgia" w:hAnsi="Georgia"/>
                <w:sz w:val="20"/>
                <w:szCs w:val="20"/>
              </w:rPr>
            </w:pPr>
            <w:r w:rsidRPr="00D45CD8">
              <w:rPr>
                <w:rFonts w:ascii="Georgia" w:hAnsi="Georgia"/>
                <w:sz w:val="20"/>
                <w:szCs w:val="20"/>
              </w:rPr>
              <w:t>50,0%</w:t>
            </w:r>
          </w:p>
        </w:tc>
        <w:tc>
          <w:tcPr>
            <w:tcW w:w="886" w:type="dxa"/>
            <w:tcBorders>
              <w:top w:val="nil"/>
              <w:left w:val="nil"/>
              <w:bottom w:val="single" w:sz="8" w:space="0" w:color="E0301E"/>
              <w:right w:val="single" w:sz="8" w:space="0" w:color="E0301E"/>
            </w:tcBorders>
            <w:shd w:val="clear" w:color="auto" w:fill="auto"/>
            <w:noWrap/>
            <w:vAlign w:val="center"/>
            <w:hideMark/>
          </w:tcPr>
          <w:p w14:paraId="1CC2186C"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r>
      <w:tr w:rsidR="005A432A" w:rsidRPr="00AB02F7" w14:paraId="7A1887B7" w14:textId="77777777" w:rsidTr="005A432A">
        <w:trPr>
          <w:trHeight w:val="4350"/>
        </w:trPr>
        <w:tc>
          <w:tcPr>
            <w:tcW w:w="1741" w:type="dxa"/>
            <w:tcBorders>
              <w:top w:val="nil"/>
              <w:left w:val="single" w:sz="8" w:space="0" w:color="D62E1C"/>
              <w:bottom w:val="single" w:sz="8" w:space="0" w:color="D62E1C"/>
              <w:right w:val="nil"/>
            </w:tcBorders>
            <w:shd w:val="clear" w:color="auto" w:fill="auto"/>
            <w:vAlign w:val="center"/>
            <w:hideMark/>
          </w:tcPr>
          <w:p w14:paraId="05AB312A" w14:textId="77777777" w:rsidR="005A432A" w:rsidRPr="00D45CD8" w:rsidRDefault="005A432A" w:rsidP="005A432A">
            <w:pPr>
              <w:rPr>
                <w:rFonts w:ascii="Georgia" w:hAnsi="Georgia"/>
                <w:b/>
                <w:sz w:val="20"/>
                <w:szCs w:val="20"/>
              </w:rPr>
            </w:pPr>
            <w:r w:rsidRPr="00D45CD8">
              <w:rPr>
                <w:rFonts w:ascii="Georgia" w:hAnsi="Georgia"/>
                <w:b/>
                <w:sz w:val="20"/>
                <w:szCs w:val="20"/>
              </w:rPr>
              <w:t>Bankų palūkanų norma garantijų priemonės atveju, proc</w:t>
            </w:r>
            <w:r>
              <w:rPr>
                <w:rFonts w:ascii="Georgia" w:hAnsi="Georgia"/>
                <w:b/>
                <w:sz w:val="20"/>
                <w:szCs w:val="20"/>
              </w:rPr>
              <w:t>.</w:t>
            </w:r>
            <w:r w:rsidRPr="00D45CD8">
              <w:rPr>
                <w:rFonts w:ascii="Georgia" w:hAnsi="Georgia"/>
                <w:b/>
                <w:sz w:val="20"/>
                <w:szCs w:val="20"/>
              </w:rPr>
              <w:t xml:space="preserve"> </w:t>
            </w:r>
          </w:p>
        </w:tc>
        <w:tc>
          <w:tcPr>
            <w:tcW w:w="3788" w:type="dxa"/>
            <w:tcBorders>
              <w:top w:val="nil"/>
              <w:left w:val="nil"/>
              <w:bottom w:val="single" w:sz="8" w:space="0" w:color="D62E1C"/>
              <w:right w:val="nil"/>
            </w:tcBorders>
            <w:shd w:val="clear" w:color="auto" w:fill="auto"/>
            <w:vAlign w:val="center"/>
            <w:hideMark/>
          </w:tcPr>
          <w:p w14:paraId="1389D002" w14:textId="77777777" w:rsidR="005A432A" w:rsidRPr="00D45CD8" w:rsidRDefault="005A432A" w:rsidP="005A432A">
            <w:pPr>
              <w:rPr>
                <w:rFonts w:ascii="Georgia" w:hAnsi="Georgia"/>
                <w:sz w:val="20"/>
                <w:szCs w:val="20"/>
              </w:rPr>
            </w:pPr>
            <w:r w:rsidRPr="00D45CD8">
              <w:rPr>
                <w:rFonts w:ascii="Georgia" w:hAnsi="Georgia"/>
                <w:sz w:val="20"/>
                <w:szCs w:val="20"/>
              </w:rPr>
              <w:t>Daroma prielaida, jog, garantijų priemonės atveju, komercinių bankų fiksuota paskolų palūkanų norma (20-ies metų laikotarpiui) sudarys 5,8 proc. Ši palūkanų norma įvertinta remiantis šiais duomenimis:</w:t>
            </w:r>
            <w:r w:rsidRPr="00D45CD8">
              <w:rPr>
                <w:rFonts w:ascii="Georgia" w:hAnsi="Georgia"/>
                <w:sz w:val="20"/>
                <w:szCs w:val="20"/>
              </w:rPr>
              <w:br/>
              <w:t>1) Prognozuojamas suderintas vartotojų kainų indekso (SVKI) vidurkis Lietuvoje 2017-2019 (2,9%);</w:t>
            </w:r>
            <w:r w:rsidRPr="00D45CD8">
              <w:rPr>
                <w:rFonts w:ascii="Georgia" w:hAnsi="Georgia"/>
                <w:sz w:val="20"/>
                <w:szCs w:val="20"/>
              </w:rPr>
              <w:br/>
              <w:t xml:space="preserve">2) vidutinės Lietuvos Respublikos Vyriausybės obligacijų emisijos (2536 dienų trukmės) palūkanos 2014 rugsėjo mėnesį (0,8%); </w:t>
            </w:r>
            <w:r w:rsidRPr="00D45CD8">
              <w:rPr>
                <w:rFonts w:ascii="Georgia" w:hAnsi="Georgia"/>
                <w:sz w:val="20"/>
                <w:szCs w:val="20"/>
              </w:rPr>
              <w:br/>
              <w:t>3) Galima komercinių bankų marža (2,1%).</w:t>
            </w:r>
          </w:p>
        </w:tc>
        <w:tc>
          <w:tcPr>
            <w:tcW w:w="885" w:type="dxa"/>
            <w:tcBorders>
              <w:top w:val="nil"/>
              <w:left w:val="nil"/>
              <w:bottom w:val="single" w:sz="8" w:space="0" w:color="E0301E"/>
              <w:right w:val="nil"/>
            </w:tcBorders>
            <w:shd w:val="clear" w:color="auto" w:fill="auto"/>
            <w:noWrap/>
            <w:vAlign w:val="center"/>
            <w:hideMark/>
          </w:tcPr>
          <w:p w14:paraId="28FD9599"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c>
          <w:tcPr>
            <w:tcW w:w="886" w:type="dxa"/>
            <w:tcBorders>
              <w:top w:val="nil"/>
              <w:left w:val="nil"/>
              <w:bottom w:val="single" w:sz="8" w:space="0" w:color="E0301E"/>
              <w:right w:val="nil"/>
            </w:tcBorders>
            <w:shd w:val="clear" w:color="auto" w:fill="auto"/>
            <w:noWrap/>
            <w:vAlign w:val="center"/>
            <w:hideMark/>
          </w:tcPr>
          <w:p w14:paraId="2360E341"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c>
          <w:tcPr>
            <w:tcW w:w="886" w:type="dxa"/>
            <w:tcBorders>
              <w:top w:val="nil"/>
              <w:left w:val="nil"/>
              <w:bottom w:val="single" w:sz="8" w:space="0" w:color="E0301E"/>
              <w:right w:val="nil"/>
            </w:tcBorders>
            <w:shd w:val="clear" w:color="auto" w:fill="auto"/>
            <w:noWrap/>
            <w:vAlign w:val="center"/>
            <w:hideMark/>
          </w:tcPr>
          <w:p w14:paraId="56FAF1D4" w14:textId="77777777" w:rsidR="005A432A" w:rsidRPr="00D45CD8" w:rsidRDefault="005A432A" w:rsidP="005A432A">
            <w:pPr>
              <w:rPr>
                <w:rFonts w:ascii="Georgia" w:hAnsi="Georgia"/>
                <w:sz w:val="20"/>
                <w:szCs w:val="20"/>
              </w:rPr>
            </w:pPr>
            <w:r w:rsidRPr="00D45CD8">
              <w:rPr>
                <w:rFonts w:ascii="Georgia" w:hAnsi="Georgia"/>
                <w:sz w:val="20"/>
                <w:szCs w:val="20"/>
              </w:rPr>
              <w:t xml:space="preserve">n/a </w:t>
            </w:r>
          </w:p>
        </w:tc>
        <w:tc>
          <w:tcPr>
            <w:tcW w:w="886" w:type="dxa"/>
            <w:tcBorders>
              <w:top w:val="nil"/>
              <w:left w:val="nil"/>
              <w:bottom w:val="single" w:sz="8" w:space="0" w:color="E0301E"/>
              <w:right w:val="single" w:sz="8" w:space="0" w:color="E0301E"/>
            </w:tcBorders>
            <w:shd w:val="clear" w:color="auto" w:fill="auto"/>
            <w:noWrap/>
            <w:vAlign w:val="center"/>
            <w:hideMark/>
          </w:tcPr>
          <w:p w14:paraId="741C3B36" w14:textId="77777777" w:rsidR="005A432A" w:rsidRPr="00D45CD8" w:rsidRDefault="005A432A" w:rsidP="005A432A">
            <w:pPr>
              <w:rPr>
                <w:rFonts w:ascii="Georgia" w:hAnsi="Georgia"/>
                <w:sz w:val="20"/>
                <w:szCs w:val="20"/>
              </w:rPr>
            </w:pPr>
            <w:r w:rsidRPr="00D45CD8">
              <w:rPr>
                <w:rFonts w:ascii="Georgia" w:hAnsi="Georgia"/>
                <w:sz w:val="20"/>
                <w:szCs w:val="20"/>
              </w:rPr>
              <w:t>5,80%</w:t>
            </w:r>
          </w:p>
        </w:tc>
      </w:tr>
    </w:tbl>
    <w:p w14:paraId="1A1B767D" w14:textId="77777777" w:rsidR="005A432A" w:rsidRPr="00EE34B0" w:rsidRDefault="005A432A" w:rsidP="00EE34B0">
      <w:pPr>
        <w:spacing w:after="160" w:line="240" w:lineRule="auto"/>
        <w:jc w:val="both"/>
        <w:rPr>
          <w:rFonts w:ascii="Georgia" w:eastAsia="Georgia" w:hAnsi="Georgia" w:cs="Arial Unicode MS"/>
          <w:i/>
          <w:iCs/>
          <w:color w:val="821A1A"/>
          <w:sz w:val="20"/>
          <w:szCs w:val="18"/>
          <w:lang w:val="lt-LT"/>
        </w:rPr>
      </w:pPr>
      <w:r w:rsidRPr="00EE34B0">
        <w:rPr>
          <w:rFonts w:ascii="Georgia" w:eastAsia="Georgia" w:hAnsi="Georgia" w:cs="Arial Unicode MS"/>
          <w:i/>
          <w:iCs/>
          <w:color w:val="821A1A"/>
          <w:sz w:val="20"/>
          <w:szCs w:val="18"/>
          <w:lang w:val="lt-LT"/>
        </w:rPr>
        <w:t>Šaltinis: sudaryta autorių</w:t>
      </w:r>
    </w:p>
    <w:p w14:paraId="2A9D4864" w14:textId="77777777" w:rsidR="005A432A" w:rsidRDefault="005A432A" w:rsidP="005A432A">
      <w:pPr>
        <w:keepNext/>
        <w:rPr>
          <w:rFonts w:ascii="Georgia" w:hAnsi="Georgia"/>
          <w:sz w:val="20"/>
          <w:lang w:val="lt-LT"/>
        </w:rPr>
      </w:pPr>
      <w:r w:rsidRPr="001F1785">
        <w:rPr>
          <w:rFonts w:ascii="Georgia" w:hAnsi="Georgia"/>
          <w:sz w:val="20"/>
          <w:lang w:val="lt-LT"/>
        </w:rPr>
        <w:t>Toliau pateikiami visų scenarijų trumpi aprašymai, schemos bei modeliavimo rezultatai, o 4.4 skyriuje apibendrinami visų scenarijų rezultatai.</w:t>
      </w:r>
    </w:p>
    <w:p w14:paraId="6EEEF9E5" w14:textId="77777777" w:rsidR="005A432A" w:rsidRPr="008E6FE5" w:rsidRDefault="005A432A" w:rsidP="005A432A">
      <w:pPr>
        <w:keepNext/>
        <w:rPr>
          <w:rFonts w:ascii="Georgia" w:hAnsi="Georgia"/>
          <w:b/>
          <w:i/>
          <w:sz w:val="28"/>
          <w:szCs w:val="28"/>
          <w:lang w:val="lt-LT"/>
        </w:rPr>
      </w:pPr>
      <w:r w:rsidRPr="008E6FE5">
        <w:rPr>
          <w:rFonts w:ascii="Georgia" w:hAnsi="Georgia"/>
          <w:b/>
          <w:i/>
          <w:sz w:val="28"/>
          <w:szCs w:val="28"/>
          <w:lang w:val="lt-LT"/>
        </w:rPr>
        <w:t>Scenarijus Nr. 1: Lengvatinių paskolų teikimas</w:t>
      </w:r>
    </w:p>
    <w:p w14:paraId="60F5B0AA" w14:textId="77777777" w:rsidR="005A432A" w:rsidRPr="00AC3318" w:rsidRDefault="005A432A" w:rsidP="005A432A">
      <w:pPr>
        <w:jc w:val="both"/>
        <w:rPr>
          <w:rFonts w:ascii="Georgia" w:hAnsi="Georgia"/>
          <w:sz w:val="20"/>
          <w:szCs w:val="20"/>
          <w:lang w:val="lt-LT"/>
        </w:rPr>
      </w:pPr>
      <w:r w:rsidRPr="00AC3318">
        <w:rPr>
          <w:rFonts w:ascii="Georgia" w:hAnsi="Georgia"/>
          <w:sz w:val="20"/>
          <w:szCs w:val="20"/>
          <w:lang w:val="lt-LT"/>
        </w:rPr>
        <w:t xml:space="preserve">Šiame scenarijuje </w:t>
      </w:r>
      <w:r>
        <w:rPr>
          <w:rFonts w:ascii="Georgia" w:hAnsi="Georgia"/>
          <w:sz w:val="20"/>
          <w:szCs w:val="20"/>
          <w:lang w:val="lt-LT"/>
        </w:rPr>
        <w:t>modeliuojama</w:t>
      </w:r>
      <w:r w:rsidRPr="00AC3318">
        <w:rPr>
          <w:rFonts w:ascii="Georgia" w:hAnsi="Georgia"/>
          <w:sz w:val="20"/>
          <w:szCs w:val="20"/>
          <w:lang w:val="lt-LT"/>
        </w:rPr>
        <w:t xml:space="preserve"> situacija, kai </w:t>
      </w:r>
      <w:r>
        <w:rPr>
          <w:rFonts w:ascii="Georgia" w:hAnsi="Georgia"/>
          <w:sz w:val="20"/>
          <w:szCs w:val="20"/>
          <w:lang w:val="lt-LT"/>
        </w:rPr>
        <w:t>ESI</w:t>
      </w:r>
      <w:r w:rsidRPr="00AC3318">
        <w:rPr>
          <w:rFonts w:ascii="Georgia" w:hAnsi="Georgia"/>
          <w:sz w:val="20"/>
          <w:szCs w:val="20"/>
          <w:lang w:val="lt-LT"/>
        </w:rPr>
        <w:t xml:space="preserve"> fondų </w:t>
      </w:r>
      <w:r>
        <w:rPr>
          <w:rFonts w:ascii="Georgia" w:hAnsi="Georgia"/>
          <w:sz w:val="20"/>
          <w:szCs w:val="20"/>
          <w:lang w:val="lt-LT"/>
        </w:rPr>
        <w:t xml:space="preserve">lėšomis </w:t>
      </w:r>
      <w:r w:rsidRPr="00AC3318">
        <w:rPr>
          <w:rFonts w:ascii="Georgia" w:hAnsi="Georgia"/>
          <w:sz w:val="20"/>
          <w:szCs w:val="20"/>
          <w:lang w:val="lt-LT"/>
        </w:rPr>
        <w:t xml:space="preserve">sukuriama </w:t>
      </w:r>
      <w:r>
        <w:rPr>
          <w:rFonts w:ascii="Georgia" w:hAnsi="Georgia"/>
          <w:sz w:val="20"/>
          <w:szCs w:val="20"/>
          <w:lang w:val="lt-LT"/>
        </w:rPr>
        <w:t>finansinė priemonė ir pasitelkus finansinius tarpininkus</w:t>
      </w:r>
      <w:r w:rsidRPr="00AC3318">
        <w:rPr>
          <w:rFonts w:ascii="Georgia" w:hAnsi="Georgia"/>
          <w:sz w:val="20"/>
          <w:szCs w:val="20"/>
          <w:lang w:val="lt-LT"/>
        </w:rPr>
        <w:t xml:space="preserve"> </w:t>
      </w:r>
      <w:r>
        <w:rPr>
          <w:rFonts w:ascii="Georgia" w:hAnsi="Georgia"/>
          <w:sz w:val="20"/>
          <w:szCs w:val="20"/>
          <w:lang w:val="lt-LT"/>
        </w:rPr>
        <w:t xml:space="preserve">teikiamos paskolos </w:t>
      </w:r>
      <w:r w:rsidRPr="00AC3318">
        <w:rPr>
          <w:rFonts w:ascii="Georgia" w:hAnsi="Georgia"/>
          <w:sz w:val="20"/>
          <w:szCs w:val="20"/>
          <w:lang w:val="lt-LT"/>
        </w:rPr>
        <w:t>gatvių modernizavimą vykdantiems subjektams</w:t>
      </w:r>
      <w:r>
        <w:rPr>
          <w:rFonts w:ascii="Georgia" w:hAnsi="Georgia"/>
          <w:sz w:val="20"/>
          <w:szCs w:val="20"/>
          <w:lang w:val="lt-LT"/>
        </w:rPr>
        <w:t xml:space="preserve">. Prognozuojama šviestuvų renovacijos paklausa yra pagrįsta faktine situacija Jonavos, Telšių, Plungės, Šilutės savivaldybių bei Vilniaus miesto planais iki </w:t>
      </w:r>
      <w:r>
        <w:rPr>
          <w:rFonts w:ascii="Georgia" w:hAnsi="Georgia"/>
          <w:sz w:val="20"/>
          <w:szCs w:val="20"/>
        </w:rPr>
        <w:t>2020 met</w:t>
      </w:r>
      <w:r>
        <w:rPr>
          <w:rFonts w:ascii="Georgia" w:hAnsi="Georgia"/>
          <w:sz w:val="20"/>
          <w:szCs w:val="20"/>
          <w:lang w:val="lt-LT"/>
        </w:rPr>
        <w:t xml:space="preserve">ų. Per 2021-2023 metų laikotarpį numatoma renovuoti po 5,000 šviestuvų kasmet. </w:t>
      </w:r>
    </w:p>
    <w:p w14:paraId="4C8747F1" w14:textId="77777777" w:rsidR="005A432A" w:rsidRPr="00AC3318" w:rsidRDefault="005A432A" w:rsidP="005A432A">
      <w:pPr>
        <w:jc w:val="center"/>
        <w:rPr>
          <w:rFonts w:ascii="Georgia" w:hAnsi="Georgia"/>
          <w:sz w:val="20"/>
          <w:szCs w:val="20"/>
          <w:lang w:val="lt-LT"/>
        </w:rPr>
      </w:pPr>
      <w:r>
        <w:rPr>
          <w:rFonts w:ascii="Georgia" w:hAnsi="Georgia"/>
          <w:noProof/>
          <w:sz w:val="20"/>
          <w:szCs w:val="20"/>
          <w:lang w:val="lt-LT" w:eastAsia="lt-LT"/>
        </w:rPr>
        <w:lastRenderedPageBreak/>
        <w:drawing>
          <wp:inline distT="0" distB="0" distL="0" distR="0" wp14:anchorId="60D02324" wp14:editId="16BC34ED">
            <wp:extent cx="5295900" cy="1990725"/>
            <wp:effectExtent l="0" t="0" r="0" b="9525"/>
            <wp:docPr id="287" name="Paveikslėlis 287"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tviu apsvietimas N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295900" cy="1990725"/>
                    </a:xfrm>
                    <a:prstGeom prst="rect">
                      <a:avLst/>
                    </a:prstGeom>
                    <a:noFill/>
                    <a:ln>
                      <a:noFill/>
                    </a:ln>
                  </pic:spPr>
                </pic:pic>
              </a:graphicData>
            </a:graphic>
          </wp:inline>
        </w:drawing>
      </w:r>
    </w:p>
    <w:p w14:paraId="7CDFCEC0" w14:textId="3E97F093" w:rsidR="005A432A" w:rsidRPr="002B70C1" w:rsidRDefault="005A432A" w:rsidP="005A432A">
      <w:pPr>
        <w:pStyle w:val="Antrat"/>
        <w:rPr>
          <w:szCs w:val="20"/>
          <w:lang w:val="lt-LT"/>
        </w:rPr>
      </w:pPr>
      <w:bookmarkStart w:id="247" w:name="_Toc503196638"/>
      <w:bookmarkStart w:id="248" w:name="_Toc507939282"/>
      <w:r w:rsidRPr="009D771A">
        <w:rPr>
          <w:lang w:val="lt-LT"/>
        </w:rPr>
        <w:t xml:space="preserve">Paveikslas </w:t>
      </w:r>
      <w:r w:rsidRPr="009D771A">
        <w:rPr>
          <w:lang w:val="lt-LT"/>
        </w:rPr>
        <w:fldChar w:fldCharType="begin"/>
      </w:r>
      <w:r w:rsidRPr="009D771A">
        <w:rPr>
          <w:lang w:val="lt-LT"/>
        </w:rPr>
        <w:instrText xml:space="preserve"> SEQ Paveikslas \* ARABIC </w:instrText>
      </w:r>
      <w:r w:rsidRPr="009D771A">
        <w:rPr>
          <w:lang w:val="lt-LT"/>
        </w:rPr>
        <w:fldChar w:fldCharType="separate"/>
      </w:r>
      <w:r w:rsidR="009652A6">
        <w:rPr>
          <w:noProof/>
          <w:lang w:val="lt-LT"/>
        </w:rPr>
        <w:t>23</w:t>
      </w:r>
      <w:r w:rsidRPr="009D771A">
        <w:rPr>
          <w:lang w:val="lt-LT"/>
        </w:rPr>
        <w:fldChar w:fldCharType="end"/>
      </w:r>
      <w:r w:rsidRPr="009D771A">
        <w:rPr>
          <w:lang w:val="lt-LT"/>
        </w:rPr>
        <w:t>. Gatvių apšvietimo scenarij</w:t>
      </w:r>
      <w:r>
        <w:rPr>
          <w:lang w:val="lt-LT"/>
        </w:rPr>
        <w:t>a</w:t>
      </w:r>
      <w:r w:rsidRPr="009D771A">
        <w:rPr>
          <w:lang w:val="lt-LT"/>
        </w:rPr>
        <w:t>us Nr. 1</w:t>
      </w:r>
      <w:r w:rsidRPr="002B70C1">
        <w:rPr>
          <w:lang w:val="lt-LT"/>
        </w:rPr>
        <w:t xml:space="preserve"> </w:t>
      </w:r>
      <w:r>
        <w:rPr>
          <w:lang w:val="lt-LT"/>
        </w:rPr>
        <w:t>schema</w:t>
      </w:r>
      <w:r w:rsidRPr="009D771A">
        <w:rPr>
          <w:lang w:val="lt-LT"/>
        </w:rPr>
        <w:t>.</w:t>
      </w:r>
      <w:bookmarkEnd w:id="247"/>
      <w:bookmarkEnd w:id="248"/>
      <w:r w:rsidRPr="009D771A">
        <w:rPr>
          <w:lang w:val="lt-LT"/>
        </w:rPr>
        <w:t xml:space="preserve"> </w:t>
      </w:r>
    </w:p>
    <w:p w14:paraId="310B92AA" w14:textId="799D73F7" w:rsidR="005A432A" w:rsidRPr="00EB3D2A" w:rsidRDefault="005A432A" w:rsidP="005A432A">
      <w:pPr>
        <w:pStyle w:val="Antrat"/>
        <w:rPr>
          <w:b w:val="0"/>
          <w:i/>
          <w:szCs w:val="20"/>
          <w:lang w:val="lt-LT"/>
        </w:rPr>
      </w:pPr>
      <w:bookmarkStart w:id="249" w:name="_Toc503193921"/>
      <w:bookmarkStart w:id="250" w:name="_Toc507939203"/>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81</w:t>
      </w:r>
      <w:r w:rsidRPr="00EB3D2A">
        <w:rPr>
          <w:b w:val="0"/>
          <w:i/>
          <w:lang w:val="lt-LT"/>
        </w:rPr>
        <w:fldChar w:fldCharType="end"/>
      </w:r>
      <w:r w:rsidRPr="00EB3D2A">
        <w:rPr>
          <w:b w:val="0"/>
          <w:i/>
          <w:lang w:val="lt-LT"/>
        </w:rPr>
        <w:t>. Scenarijaus Nr. 1 įgyvendinimo prognozė</w:t>
      </w:r>
      <w:bookmarkEnd w:id="249"/>
      <w:bookmarkEnd w:id="250"/>
    </w:p>
    <w:p w14:paraId="2406416D" w14:textId="77777777" w:rsidR="005A432A" w:rsidRPr="00AC3318" w:rsidRDefault="005A432A" w:rsidP="005A432A">
      <w:pPr>
        <w:rPr>
          <w:rFonts w:ascii="Georgia" w:hAnsi="Georgia"/>
          <w:sz w:val="20"/>
          <w:szCs w:val="20"/>
          <w:lang w:val="lt-LT"/>
        </w:rPr>
      </w:pPr>
      <w:r w:rsidRPr="000600EA" w:rsidDel="000600EA">
        <w:t xml:space="preserve"> </w:t>
      </w:r>
      <w:r w:rsidRPr="002A70C3">
        <w:rPr>
          <w:noProof/>
          <w:lang w:val="lt-LT" w:eastAsia="lt-LT"/>
        </w:rPr>
        <w:drawing>
          <wp:inline distT="0" distB="0" distL="0" distR="0" wp14:anchorId="747CF98B" wp14:editId="4D472816">
            <wp:extent cx="5731510" cy="2334262"/>
            <wp:effectExtent l="0" t="0" r="2540" b="8890"/>
            <wp:docPr id="50179" name="Picture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334262"/>
                    </a:xfrm>
                    <a:prstGeom prst="rect">
                      <a:avLst/>
                    </a:prstGeom>
                    <a:noFill/>
                    <a:ln>
                      <a:noFill/>
                    </a:ln>
                  </pic:spPr>
                </pic:pic>
              </a:graphicData>
            </a:graphic>
          </wp:inline>
        </w:drawing>
      </w:r>
    </w:p>
    <w:p w14:paraId="1F08B8E2" w14:textId="77777777" w:rsidR="005A432A" w:rsidRPr="008E6FE5" w:rsidRDefault="005A432A" w:rsidP="005A432A">
      <w:pPr>
        <w:keepNext/>
        <w:rPr>
          <w:rFonts w:ascii="Georgia" w:hAnsi="Georgia"/>
          <w:b/>
          <w:i/>
          <w:sz w:val="28"/>
          <w:szCs w:val="28"/>
          <w:lang w:val="lt-LT"/>
        </w:rPr>
      </w:pPr>
      <w:r w:rsidRPr="008E6FE5">
        <w:rPr>
          <w:rFonts w:ascii="Georgia" w:hAnsi="Georgia"/>
          <w:b/>
          <w:i/>
          <w:sz w:val="28"/>
          <w:szCs w:val="28"/>
          <w:lang w:val="lt-LT"/>
        </w:rPr>
        <w:t xml:space="preserve">Scenarijus Nr. 2: </w:t>
      </w:r>
      <w:r>
        <w:rPr>
          <w:rFonts w:ascii="Georgia" w:hAnsi="Georgia"/>
          <w:b/>
          <w:i/>
          <w:sz w:val="28"/>
          <w:szCs w:val="28"/>
          <w:lang w:val="lt-LT"/>
        </w:rPr>
        <w:t>P</w:t>
      </w:r>
      <w:r w:rsidRPr="002F6B98">
        <w:rPr>
          <w:rFonts w:ascii="Georgia" w:hAnsi="Georgia"/>
          <w:b/>
          <w:i/>
          <w:sz w:val="28"/>
          <w:szCs w:val="28"/>
          <w:lang w:val="lt-LT"/>
        </w:rPr>
        <w:t xml:space="preserve">askolų teikimas taikant </w:t>
      </w:r>
      <w:r>
        <w:rPr>
          <w:rFonts w:ascii="Georgia" w:hAnsi="Georgia"/>
          <w:b/>
          <w:i/>
          <w:sz w:val="28"/>
          <w:szCs w:val="28"/>
          <w:lang w:val="lt-LT"/>
        </w:rPr>
        <w:t>paskolų išpirkimo modelį</w:t>
      </w:r>
    </w:p>
    <w:p w14:paraId="2CA9781D" w14:textId="77777777" w:rsidR="005A432A" w:rsidRDefault="005A432A" w:rsidP="005A432A">
      <w:pPr>
        <w:pStyle w:val="Antrat"/>
        <w:rPr>
          <w:lang w:val="lt-LT"/>
        </w:rPr>
      </w:pPr>
      <w:r>
        <w:rPr>
          <w:noProof/>
          <w:lang w:val="lt-LT" w:eastAsia="lt-LT"/>
        </w:rPr>
        <w:drawing>
          <wp:inline distT="0" distB="0" distL="0" distR="0" wp14:anchorId="7B2C1D39" wp14:editId="3DD9B27A">
            <wp:extent cx="5724525" cy="1390650"/>
            <wp:effectExtent l="0" t="0" r="9525" b="0"/>
            <wp:docPr id="286" name="Paveikslėlis 286"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tviu apsvietimas N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724525" cy="1390650"/>
                    </a:xfrm>
                    <a:prstGeom prst="rect">
                      <a:avLst/>
                    </a:prstGeom>
                    <a:noFill/>
                    <a:ln>
                      <a:noFill/>
                    </a:ln>
                  </pic:spPr>
                </pic:pic>
              </a:graphicData>
            </a:graphic>
          </wp:inline>
        </w:drawing>
      </w:r>
    </w:p>
    <w:p w14:paraId="7C71CB58" w14:textId="77777777" w:rsidR="005A432A" w:rsidRDefault="005A432A" w:rsidP="005A432A">
      <w:pPr>
        <w:pStyle w:val="Antrat"/>
        <w:rPr>
          <w:lang w:val="lt-LT"/>
        </w:rPr>
      </w:pPr>
    </w:p>
    <w:p w14:paraId="3492F4DE" w14:textId="5C98535E" w:rsidR="005A432A" w:rsidRPr="002B70C1" w:rsidRDefault="005A432A" w:rsidP="005A432A">
      <w:pPr>
        <w:pStyle w:val="Antrat"/>
        <w:rPr>
          <w:szCs w:val="20"/>
          <w:lang w:val="lt-LT"/>
        </w:rPr>
      </w:pPr>
      <w:bookmarkStart w:id="251" w:name="_Toc503196639"/>
      <w:bookmarkStart w:id="252" w:name="_Toc507939283"/>
      <w:r w:rsidRPr="0009214D">
        <w:rPr>
          <w:lang w:val="lt-LT"/>
        </w:rPr>
        <w:t xml:space="preserve">Paveikslas </w:t>
      </w:r>
      <w:r w:rsidRPr="0009214D">
        <w:rPr>
          <w:lang w:val="lt-LT"/>
        </w:rPr>
        <w:fldChar w:fldCharType="begin"/>
      </w:r>
      <w:r w:rsidRPr="0009214D">
        <w:rPr>
          <w:lang w:val="lt-LT"/>
        </w:rPr>
        <w:instrText xml:space="preserve"> SEQ Paveikslas \* ARABIC </w:instrText>
      </w:r>
      <w:r w:rsidRPr="0009214D">
        <w:rPr>
          <w:lang w:val="lt-LT"/>
        </w:rPr>
        <w:fldChar w:fldCharType="separate"/>
      </w:r>
      <w:r w:rsidR="009652A6">
        <w:rPr>
          <w:noProof/>
          <w:lang w:val="lt-LT"/>
        </w:rPr>
        <w:t>24</w:t>
      </w:r>
      <w:r w:rsidRPr="0009214D">
        <w:rPr>
          <w:lang w:val="lt-LT"/>
        </w:rPr>
        <w:fldChar w:fldCharType="end"/>
      </w:r>
      <w:r w:rsidRPr="0009214D">
        <w:rPr>
          <w:lang w:val="lt-LT"/>
        </w:rPr>
        <w:t>. Gatvių apšvietimo scenarij</w:t>
      </w:r>
      <w:r>
        <w:rPr>
          <w:lang w:val="lt-LT"/>
        </w:rPr>
        <w:t>a</w:t>
      </w:r>
      <w:r w:rsidRPr="0009214D">
        <w:rPr>
          <w:lang w:val="lt-LT"/>
        </w:rPr>
        <w:t>us Nr. 2</w:t>
      </w:r>
      <w:r w:rsidRPr="002B70C1">
        <w:rPr>
          <w:lang w:val="lt-LT"/>
        </w:rPr>
        <w:t xml:space="preserve"> </w:t>
      </w:r>
      <w:r>
        <w:rPr>
          <w:lang w:val="lt-LT"/>
        </w:rPr>
        <w:t>schema</w:t>
      </w:r>
      <w:r w:rsidRPr="0009214D">
        <w:rPr>
          <w:lang w:val="lt-LT"/>
        </w:rPr>
        <w:t>.</w:t>
      </w:r>
      <w:bookmarkEnd w:id="251"/>
      <w:bookmarkEnd w:id="252"/>
      <w:r w:rsidRPr="0009214D">
        <w:rPr>
          <w:lang w:val="lt-LT"/>
        </w:rPr>
        <w:t xml:space="preserve"> </w:t>
      </w:r>
    </w:p>
    <w:p w14:paraId="04C8B2E8" w14:textId="77777777" w:rsidR="005A432A" w:rsidRPr="002B70C1" w:rsidRDefault="005A432A" w:rsidP="005A432A">
      <w:pPr>
        <w:pStyle w:val="Antrat"/>
        <w:jc w:val="both"/>
        <w:rPr>
          <w:szCs w:val="20"/>
          <w:lang w:val="lt-LT"/>
        </w:rPr>
      </w:pPr>
      <w:r w:rsidRPr="00E84094">
        <w:rPr>
          <w:rFonts w:eastAsiaTheme="minorHAnsi" w:cstheme="minorBidi"/>
          <w:b w:val="0"/>
          <w:bCs w:val="0"/>
          <w:color w:val="auto"/>
          <w:szCs w:val="20"/>
          <w:lang w:val="lt-LT"/>
        </w:rPr>
        <w:t xml:space="preserve">Antrame scenarijuje skaičiuojama paskolų finansinė priemonė, kaip ir scenarijuje Nr. 1, tačiau numatoma, jog bus taikomas </w:t>
      </w:r>
      <w:r w:rsidRPr="00FE04E1">
        <w:rPr>
          <w:rFonts w:eastAsiaTheme="minorHAnsi" w:cstheme="minorBidi"/>
          <w:b w:val="0"/>
          <w:bCs w:val="0"/>
          <w:color w:val="auto"/>
          <w:szCs w:val="20"/>
          <w:lang w:val="lt-LT"/>
        </w:rPr>
        <w:t>ateities pinigų srautų išpirkimo modelis</w:t>
      </w:r>
      <w:r w:rsidRPr="00E84094">
        <w:rPr>
          <w:rFonts w:eastAsiaTheme="minorHAnsi" w:cstheme="minorBidi"/>
          <w:b w:val="0"/>
          <w:bCs w:val="0"/>
          <w:color w:val="auto"/>
          <w:szCs w:val="20"/>
          <w:lang w:val="lt-LT"/>
        </w:rPr>
        <w:t xml:space="preserve"> siekiant pritraukti papildomą </w:t>
      </w:r>
      <w:r w:rsidRPr="00E84094">
        <w:rPr>
          <w:rFonts w:eastAsiaTheme="minorHAnsi" w:cstheme="minorBidi"/>
          <w:b w:val="0"/>
          <w:bCs w:val="0"/>
          <w:color w:val="auto"/>
          <w:szCs w:val="20"/>
          <w:lang w:val="lt-LT"/>
        </w:rPr>
        <w:lastRenderedPageBreak/>
        <w:t>finansavimą. Vienas iš tokio modelio pavyzdžių</w:t>
      </w:r>
      <w:r>
        <w:rPr>
          <w:rStyle w:val="Puslapioinaosnuoroda"/>
          <w:rFonts w:eastAsiaTheme="minorHAnsi" w:cstheme="minorBidi"/>
          <w:b w:val="0"/>
          <w:bCs w:val="0"/>
          <w:color w:val="auto"/>
          <w:szCs w:val="20"/>
          <w:lang w:val="lt-LT"/>
        </w:rPr>
        <w:footnoteReference w:id="134"/>
      </w:r>
      <w:r w:rsidRPr="00E84094">
        <w:rPr>
          <w:rFonts w:eastAsiaTheme="minorHAnsi" w:cstheme="minorBidi"/>
          <w:b w:val="0"/>
          <w:bCs w:val="0"/>
          <w:color w:val="auto"/>
          <w:szCs w:val="20"/>
          <w:lang w:val="lt-LT"/>
        </w:rPr>
        <w:t xml:space="preserve"> galėtų būti privatus investicinis fondas, kuris išpirktų apie 70 proc. finansinės priemonės paskolų (investiciniam fondui būtų parduodamos gerosios paskolos), taip daug greičiau grąžinant išmokėtas lėšas ir jas investuojant į papildomus renovacijos projektus. </w:t>
      </w:r>
    </w:p>
    <w:p w14:paraId="151AF46F" w14:textId="77777777" w:rsidR="00EB3D2A" w:rsidRDefault="005A432A" w:rsidP="00EB3D2A">
      <w:pPr>
        <w:jc w:val="both"/>
        <w:rPr>
          <w:rFonts w:ascii="Georgia" w:hAnsi="Georgia"/>
          <w:sz w:val="20"/>
          <w:szCs w:val="20"/>
          <w:lang w:val="lt-LT"/>
        </w:rPr>
      </w:pPr>
      <w:r>
        <w:rPr>
          <w:rFonts w:ascii="Georgia" w:hAnsi="Georgia"/>
          <w:sz w:val="20"/>
          <w:szCs w:val="20"/>
          <w:lang w:val="lt-LT"/>
        </w:rPr>
        <w:t xml:space="preserve">Pabrėžtina, jog šiame modelyje įsibėgėjus paskolų išpirkimo procesui renovuojamų šviestuvų skaičių riboja ne fondo lėšų likutis, o projektų paklausos duomenys. Remiantis atlikta savivaldybių </w:t>
      </w:r>
      <w:r>
        <w:rPr>
          <w:rFonts w:ascii="Georgia" w:hAnsi="Georgia"/>
          <w:sz w:val="20"/>
          <w:szCs w:val="20"/>
        </w:rPr>
        <w:t xml:space="preserve">apklausa 2017 metais, </w:t>
      </w:r>
      <w:r>
        <w:rPr>
          <w:rFonts w:ascii="Georgia" w:hAnsi="Georgia"/>
          <w:sz w:val="20"/>
          <w:szCs w:val="20"/>
          <w:lang w:val="lt-LT"/>
        </w:rPr>
        <w:t xml:space="preserve">daroma prielaida, jog renovacijos paklausos duomenys būtų tokie: </w:t>
      </w:r>
      <w:r>
        <w:rPr>
          <w:rFonts w:ascii="Georgia" w:hAnsi="Georgia"/>
          <w:sz w:val="20"/>
          <w:szCs w:val="20"/>
        </w:rPr>
        <w:t>2018 m</w:t>
      </w:r>
      <w:r>
        <w:rPr>
          <w:rFonts w:ascii="Georgia" w:hAnsi="Georgia"/>
          <w:sz w:val="20"/>
          <w:szCs w:val="20"/>
          <w:lang w:val="lt-LT"/>
        </w:rPr>
        <w:t xml:space="preserve">. bus renovuojami </w:t>
      </w:r>
      <w:r>
        <w:rPr>
          <w:rFonts w:ascii="Georgia" w:hAnsi="Georgia"/>
          <w:sz w:val="20"/>
          <w:szCs w:val="20"/>
        </w:rPr>
        <w:t xml:space="preserve">5 974 </w:t>
      </w:r>
      <w:r>
        <w:rPr>
          <w:rFonts w:ascii="Georgia" w:hAnsi="Georgia"/>
          <w:sz w:val="20"/>
          <w:szCs w:val="20"/>
          <w:lang w:val="lt-LT"/>
        </w:rPr>
        <w:t xml:space="preserve">šviestuvai Jonavoje, </w:t>
      </w:r>
      <w:r>
        <w:rPr>
          <w:rFonts w:ascii="Georgia" w:hAnsi="Georgia"/>
          <w:sz w:val="20"/>
          <w:szCs w:val="20"/>
        </w:rPr>
        <w:t>2019 m. – Tel</w:t>
      </w:r>
      <w:r>
        <w:rPr>
          <w:rFonts w:ascii="Georgia" w:hAnsi="Georgia"/>
          <w:sz w:val="20"/>
          <w:szCs w:val="20"/>
          <w:lang w:val="lt-LT"/>
        </w:rPr>
        <w:t xml:space="preserve">šiuose, Plungėje ir Šilutėje (iš viso – 7 177), o </w:t>
      </w:r>
      <w:r>
        <w:rPr>
          <w:rFonts w:ascii="Georgia" w:hAnsi="Georgia"/>
          <w:sz w:val="20"/>
          <w:szCs w:val="20"/>
        </w:rPr>
        <w:t>2020 m. – Vilniuje (40 605).</w:t>
      </w:r>
      <w:r>
        <w:rPr>
          <w:rFonts w:ascii="Georgia" w:hAnsi="Georgia"/>
          <w:sz w:val="20"/>
          <w:szCs w:val="20"/>
          <w:lang w:val="lt-LT"/>
        </w:rPr>
        <w:t xml:space="preserve"> Nuo </w:t>
      </w:r>
      <w:r>
        <w:rPr>
          <w:rFonts w:ascii="Georgia" w:hAnsi="Georgia"/>
          <w:sz w:val="20"/>
          <w:szCs w:val="20"/>
        </w:rPr>
        <w:t>2021 renovacijos mastai gal</w:t>
      </w:r>
      <w:r>
        <w:rPr>
          <w:rFonts w:ascii="Georgia" w:hAnsi="Georgia"/>
          <w:sz w:val="20"/>
          <w:szCs w:val="20"/>
          <w:lang w:val="lt-LT"/>
        </w:rPr>
        <w:t xml:space="preserve">ėtų siekti </w:t>
      </w:r>
      <w:r>
        <w:rPr>
          <w:rFonts w:ascii="Georgia" w:hAnsi="Georgia"/>
          <w:sz w:val="20"/>
          <w:szCs w:val="20"/>
        </w:rPr>
        <w:t xml:space="preserve">5 000 </w:t>
      </w:r>
      <w:r>
        <w:rPr>
          <w:rFonts w:ascii="Georgia" w:hAnsi="Georgia"/>
          <w:sz w:val="20"/>
          <w:szCs w:val="20"/>
          <w:lang w:val="lt-LT"/>
        </w:rPr>
        <w:t>šviestuvų per metus. Modelyje leidžiamas projektų skaičius niekada neviršija fonde esančių lėšų likučio.</w:t>
      </w:r>
      <w:bookmarkStart w:id="253" w:name="_Toc503193922"/>
    </w:p>
    <w:p w14:paraId="4A7677BE" w14:textId="0099D8FF" w:rsidR="00EB3D2A" w:rsidRDefault="005A432A" w:rsidP="00EB3D2A">
      <w:pPr>
        <w:pStyle w:val="Antrat"/>
        <w:rPr>
          <w:b w:val="0"/>
          <w:i/>
          <w:lang w:val="lt-LT"/>
        </w:rPr>
      </w:pPr>
      <w:bookmarkStart w:id="254" w:name="_Toc507939204"/>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82</w:t>
      </w:r>
      <w:r w:rsidRPr="00EB3D2A">
        <w:rPr>
          <w:b w:val="0"/>
          <w:i/>
          <w:lang w:val="lt-LT"/>
        </w:rPr>
        <w:fldChar w:fldCharType="end"/>
      </w:r>
      <w:r w:rsidRPr="00EB3D2A">
        <w:rPr>
          <w:b w:val="0"/>
          <w:i/>
          <w:lang w:val="lt-LT"/>
        </w:rPr>
        <w:t>. Scenarijaus Nr. 2 įgyvendinimo prognozė</w:t>
      </w:r>
      <w:bookmarkEnd w:id="253"/>
      <w:bookmarkEnd w:id="254"/>
      <w:r w:rsidR="00EB3D2A">
        <w:rPr>
          <w:b w:val="0"/>
          <w:i/>
          <w:lang w:val="lt-LT"/>
        </w:rPr>
        <w:t xml:space="preserve"> </w:t>
      </w:r>
    </w:p>
    <w:p w14:paraId="31EC6500" w14:textId="0BC61DEB" w:rsidR="005A432A" w:rsidRPr="00C205F4" w:rsidRDefault="005A432A" w:rsidP="00EB3D2A">
      <w:pPr>
        <w:jc w:val="both"/>
        <w:rPr>
          <w:szCs w:val="20"/>
          <w:lang w:val="lt-LT"/>
        </w:rPr>
      </w:pPr>
      <w:r w:rsidRPr="006A38B4">
        <w:rPr>
          <w:noProof/>
          <w:lang w:val="lt-LT" w:eastAsia="lt-LT"/>
        </w:rPr>
        <w:drawing>
          <wp:inline distT="0" distB="0" distL="0" distR="0" wp14:anchorId="0FC1156D" wp14:editId="63A0CE08">
            <wp:extent cx="5731510" cy="2707743"/>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707743"/>
                    </a:xfrm>
                    <a:prstGeom prst="rect">
                      <a:avLst/>
                    </a:prstGeom>
                    <a:noFill/>
                    <a:ln>
                      <a:noFill/>
                    </a:ln>
                  </pic:spPr>
                </pic:pic>
              </a:graphicData>
            </a:graphic>
          </wp:inline>
        </w:drawing>
      </w:r>
      <w:r w:rsidRPr="002D4CC1" w:rsidDel="002D4CC1">
        <w:t xml:space="preserve"> </w:t>
      </w:r>
    </w:p>
    <w:p w14:paraId="54EB7230" w14:textId="77777777" w:rsidR="005A432A" w:rsidRPr="008E6FE5" w:rsidRDefault="005A432A" w:rsidP="005A432A">
      <w:pPr>
        <w:keepNext/>
        <w:rPr>
          <w:rFonts w:ascii="Georgia" w:hAnsi="Georgia"/>
          <w:b/>
          <w:i/>
          <w:sz w:val="28"/>
          <w:szCs w:val="28"/>
          <w:lang w:val="lt-LT"/>
        </w:rPr>
      </w:pPr>
      <w:r>
        <w:rPr>
          <w:rFonts w:ascii="Georgia" w:hAnsi="Georgia"/>
          <w:b/>
          <w:i/>
          <w:sz w:val="28"/>
          <w:szCs w:val="28"/>
          <w:lang w:val="lt-LT"/>
        </w:rPr>
        <w:lastRenderedPageBreak/>
        <w:t xml:space="preserve">Scenarijus Nr. </w:t>
      </w:r>
      <w:r>
        <w:rPr>
          <w:rFonts w:ascii="Georgia" w:hAnsi="Georgia"/>
          <w:b/>
          <w:i/>
          <w:sz w:val="28"/>
          <w:szCs w:val="28"/>
        </w:rPr>
        <w:t>3</w:t>
      </w:r>
      <w:r w:rsidRPr="008E6FE5">
        <w:rPr>
          <w:rFonts w:ascii="Georgia" w:hAnsi="Georgia"/>
          <w:b/>
          <w:i/>
          <w:sz w:val="28"/>
          <w:szCs w:val="28"/>
          <w:lang w:val="lt-LT"/>
        </w:rPr>
        <w:t xml:space="preserve">: </w:t>
      </w:r>
      <w:r>
        <w:rPr>
          <w:rFonts w:ascii="Georgia" w:hAnsi="Georgia"/>
          <w:b/>
          <w:i/>
          <w:sz w:val="28"/>
          <w:szCs w:val="28"/>
          <w:lang w:val="lt-LT"/>
        </w:rPr>
        <w:t>Paskolų teikimas taikant asimetrinio rizikos pasidalijimo modelį</w:t>
      </w:r>
    </w:p>
    <w:p w14:paraId="67887653" w14:textId="77777777" w:rsidR="005A432A" w:rsidRPr="00D36E6A" w:rsidRDefault="005A432A" w:rsidP="005A432A">
      <w:pPr>
        <w:keepNext/>
        <w:jc w:val="both"/>
        <w:rPr>
          <w:szCs w:val="20"/>
          <w:lang w:val="lt-LT"/>
        </w:rPr>
      </w:pPr>
      <w:r w:rsidRPr="00050E2D">
        <w:rPr>
          <w:rFonts w:ascii="Georgia" w:hAnsi="Georgia"/>
          <w:sz w:val="20"/>
          <w:szCs w:val="20"/>
          <w:lang w:val="lt-LT"/>
        </w:rPr>
        <w:t xml:space="preserve">Šio scenarijaus atveju </w:t>
      </w:r>
      <w:r>
        <w:rPr>
          <w:rFonts w:ascii="Georgia" w:hAnsi="Georgia"/>
          <w:sz w:val="20"/>
          <w:szCs w:val="20"/>
          <w:lang w:val="lt-LT"/>
        </w:rPr>
        <w:t xml:space="preserve">numatoma, </w:t>
      </w:r>
      <w:r w:rsidRPr="00BC2CB8">
        <w:rPr>
          <w:rFonts w:ascii="Georgia" w:hAnsi="Georgia"/>
          <w:sz w:val="20"/>
          <w:szCs w:val="20"/>
          <w:lang w:val="lt-LT"/>
        </w:rPr>
        <w:t xml:space="preserve">jog </w:t>
      </w:r>
      <w:r>
        <w:rPr>
          <w:rFonts w:ascii="Georgia" w:hAnsi="Georgia"/>
          <w:sz w:val="20"/>
          <w:szCs w:val="20"/>
          <w:lang w:val="lt-LT"/>
        </w:rPr>
        <w:t>bus taikomas asimetrinis rizikų pasidalijimo modelis siekiant pritraukti papildomą finansavimą. Finansinės priemonės valdytojas ir (ar) ministerijos gali taikyti įvairius asimetrinio rizikos pasidalijimo modelio variantus. Šiame scenarijuje modeliuojamas vienas pavyzdys iš galimų taikyti variantų</w:t>
      </w:r>
      <w:r>
        <w:rPr>
          <w:rStyle w:val="Puslapioinaosnuoroda"/>
          <w:rFonts w:ascii="Georgia" w:hAnsi="Georgia"/>
          <w:sz w:val="20"/>
          <w:szCs w:val="20"/>
          <w:lang w:val="lt-LT"/>
        </w:rPr>
        <w:footnoteReference w:id="135"/>
      </w:r>
      <w:r>
        <w:rPr>
          <w:rFonts w:ascii="Georgia" w:hAnsi="Georgia"/>
          <w:sz w:val="20"/>
          <w:szCs w:val="20"/>
          <w:lang w:val="lt-LT"/>
        </w:rPr>
        <w:t>, t.y. kai</w:t>
      </w:r>
      <w:r w:rsidRPr="00050E2D">
        <w:rPr>
          <w:rFonts w:ascii="Georgia" w:hAnsi="Georgia"/>
          <w:sz w:val="20"/>
          <w:szCs w:val="20"/>
          <w:lang w:val="lt-LT"/>
        </w:rPr>
        <w:t xml:space="preserve"> ES</w:t>
      </w:r>
      <w:r>
        <w:rPr>
          <w:rFonts w:ascii="Georgia" w:hAnsi="Georgia"/>
          <w:sz w:val="20"/>
          <w:szCs w:val="20"/>
          <w:lang w:val="lt-LT"/>
        </w:rPr>
        <w:t>I</w:t>
      </w:r>
      <w:r w:rsidRPr="00050E2D">
        <w:rPr>
          <w:rFonts w:ascii="Georgia" w:hAnsi="Georgia"/>
          <w:sz w:val="20"/>
          <w:szCs w:val="20"/>
          <w:lang w:val="lt-LT"/>
        </w:rPr>
        <w:t xml:space="preserve"> fondų lėšos būtų </w:t>
      </w:r>
      <w:r>
        <w:rPr>
          <w:rFonts w:ascii="Georgia" w:hAnsi="Georgia"/>
          <w:sz w:val="20"/>
          <w:szCs w:val="20"/>
          <w:lang w:val="lt-LT"/>
        </w:rPr>
        <w:t>nukreipiamos</w:t>
      </w:r>
      <w:r w:rsidRPr="00050E2D">
        <w:rPr>
          <w:rFonts w:ascii="Georgia" w:hAnsi="Georgia"/>
          <w:sz w:val="20"/>
          <w:szCs w:val="20"/>
          <w:lang w:val="lt-LT"/>
        </w:rPr>
        <w:t xml:space="preserve"> į </w:t>
      </w:r>
      <w:r>
        <w:rPr>
          <w:rFonts w:ascii="Georgia" w:hAnsi="Georgia"/>
          <w:sz w:val="20"/>
          <w:szCs w:val="20"/>
          <w:lang w:val="lt-LT"/>
        </w:rPr>
        <w:t xml:space="preserve">naujai sukurtą juridinio asmens statusą turintį subjektą </w:t>
      </w:r>
      <w:r w:rsidRPr="00050E2D">
        <w:rPr>
          <w:rFonts w:ascii="Georgia" w:hAnsi="Georgia"/>
          <w:sz w:val="20"/>
          <w:szCs w:val="20"/>
          <w:lang w:val="lt-LT"/>
        </w:rPr>
        <w:t xml:space="preserve">ir tomis lėšomis būtų užtikrinama privačių investuotojų ir/ar paskolos davėjų </w:t>
      </w:r>
      <w:r>
        <w:rPr>
          <w:rFonts w:ascii="Georgia" w:hAnsi="Georgia"/>
          <w:sz w:val="20"/>
          <w:szCs w:val="20"/>
          <w:lang w:val="lt-LT"/>
        </w:rPr>
        <w:t>investicijų saugumas, o toks subjektas tiesiogiai teikia paskolas projektams</w:t>
      </w:r>
      <w:r w:rsidRPr="00050E2D">
        <w:rPr>
          <w:rFonts w:ascii="Georgia" w:hAnsi="Georgia"/>
          <w:sz w:val="20"/>
          <w:szCs w:val="20"/>
          <w:lang w:val="lt-LT"/>
        </w:rPr>
        <w:t>.</w:t>
      </w:r>
    </w:p>
    <w:p w14:paraId="793034A7" w14:textId="77777777" w:rsidR="005A432A" w:rsidRDefault="005A432A" w:rsidP="005A432A">
      <w:pPr>
        <w:pStyle w:val="Antrat"/>
        <w:jc w:val="center"/>
        <w:rPr>
          <w:lang w:val="lt-LT"/>
        </w:rPr>
      </w:pPr>
      <w:r>
        <w:rPr>
          <w:noProof/>
          <w:lang w:val="lt-LT" w:eastAsia="lt-LT"/>
        </w:rPr>
        <w:drawing>
          <wp:inline distT="0" distB="0" distL="0" distR="0" wp14:anchorId="5D50E6F0" wp14:editId="2B0CEF56">
            <wp:extent cx="5629275" cy="2381250"/>
            <wp:effectExtent l="0" t="0" r="9525" b="0"/>
            <wp:docPr id="282" name="Paveikslėlis 282"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tviu apsvietimas Nr"/>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629275" cy="2381250"/>
                    </a:xfrm>
                    <a:prstGeom prst="rect">
                      <a:avLst/>
                    </a:prstGeom>
                    <a:noFill/>
                    <a:ln>
                      <a:noFill/>
                    </a:ln>
                  </pic:spPr>
                </pic:pic>
              </a:graphicData>
            </a:graphic>
          </wp:inline>
        </w:drawing>
      </w:r>
    </w:p>
    <w:p w14:paraId="4960D717" w14:textId="3721278D" w:rsidR="005A432A" w:rsidRPr="000F7756" w:rsidRDefault="005A432A" w:rsidP="005A432A">
      <w:pPr>
        <w:pStyle w:val="Antrat"/>
        <w:rPr>
          <w:szCs w:val="20"/>
          <w:lang w:val="lt-LT"/>
        </w:rPr>
      </w:pPr>
      <w:bookmarkStart w:id="255" w:name="_Toc503196640"/>
      <w:bookmarkStart w:id="256" w:name="_Toc507939284"/>
      <w:r w:rsidRPr="00C01701">
        <w:rPr>
          <w:lang w:val="lt-LT"/>
        </w:rPr>
        <w:t xml:space="preserve">Paveikslas </w:t>
      </w:r>
      <w:r w:rsidRPr="00C01701">
        <w:rPr>
          <w:lang w:val="lt-LT"/>
        </w:rPr>
        <w:fldChar w:fldCharType="begin"/>
      </w:r>
      <w:r w:rsidRPr="00C01701">
        <w:rPr>
          <w:lang w:val="lt-LT"/>
        </w:rPr>
        <w:instrText xml:space="preserve"> SEQ Paveikslas \* ARABIC </w:instrText>
      </w:r>
      <w:r w:rsidRPr="00C01701">
        <w:rPr>
          <w:lang w:val="lt-LT"/>
        </w:rPr>
        <w:fldChar w:fldCharType="separate"/>
      </w:r>
      <w:r w:rsidR="009652A6">
        <w:rPr>
          <w:noProof/>
          <w:lang w:val="lt-LT"/>
        </w:rPr>
        <w:t>25</w:t>
      </w:r>
      <w:r w:rsidRPr="00C01701">
        <w:rPr>
          <w:lang w:val="lt-LT"/>
        </w:rPr>
        <w:fldChar w:fldCharType="end"/>
      </w:r>
      <w:r w:rsidRPr="00C01701">
        <w:rPr>
          <w:lang w:val="lt-LT"/>
        </w:rPr>
        <w:t>. Gatvių apšvietimo scenarij</w:t>
      </w:r>
      <w:r>
        <w:rPr>
          <w:lang w:val="lt-LT"/>
        </w:rPr>
        <w:t>a</w:t>
      </w:r>
      <w:r w:rsidRPr="00C01701">
        <w:rPr>
          <w:lang w:val="lt-LT"/>
        </w:rPr>
        <w:t xml:space="preserve">us Nr. </w:t>
      </w:r>
      <w:r>
        <w:rPr>
          <w:lang w:val="lt-LT"/>
        </w:rPr>
        <w:t>3</w:t>
      </w:r>
      <w:r w:rsidRPr="002B70C1">
        <w:rPr>
          <w:lang w:val="lt-LT"/>
        </w:rPr>
        <w:t xml:space="preserve"> </w:t>
      </w:r>
      <w:r>
        <w:rPr>
          <w:lang w:val="lt-LT"/>
        </w:rPr>
        <w:t>schema</w:t>
      </w:r>
      <w:r w:rsidRPr="00C01701">
        <w:rPr>
          <w:lang w:val="lt-LT"/>
        </w:rPr>
        <w:t>.</w:t>
      </w:r>
      <w:bookmarkEnd w:id="255"/>
      <w:bookmarkEnd w:id="256"/>
      <w:r w:rsidRPr="00C01701">
        <w:rPr>
          <w:lang w:val="lt-LT"/>
        </w:rPr>
        <w:t xml:space="preserve"> </w:t>
      </w:r>
    </w:p>
    <w:p w14:paraId="232860E7" w14:textId="77777777" w:rsidR="005A432A" w:rsidRDefault="005A432A" w:rsidP="005A432A">
      <w:pPr>
        <w:jc w:val="both"/>
      </w:pPr>
      <w:r w:rsidRPr="00D4248B">
        <w:rPr>
          <w:rFonts w:ascii="Georgia" w:hAnsi="Georgia"/>
          <w:sz w:val="20"/>
          <w:szCs w:val="20"/>
          <w:lang w:val="lt-LT"/>
        </w:rPr>
        <w:t>Atsižvelgiant į preliminarius pokalbius su bankais ir kitom</w:t>
      </w:r>
      <w:r>
        <w:rPr>
          <w:rFonts w:ascii="Georgia" w:hAnsi="Georgia"/>
          <w:sz w:val="20"/>
          <w:szCs w:val="20"/>
          <w:lang w:val="lt-LT"/>
        </w:rPr>
        <w:t xml:space="preserve">is finansinėmis institucijomis </w:t>
      </w:r>
      <w:r w:rsidRPr="00D4248B">
        <w:rPr>
          <w:rFonts w:ascii="Georgia" w:hAnsi="Georgia"/>
          <w:sz w:val="20"/>
          <w:szCs w:val="20"/>
          <w:lang w:val="lt-LT"/>
        </w:rPr>
        <w:t>ir šiandienines ekonomines aplinkybes</w:t>
      </w:r>
      <w:r>
        <w:rPr>
          <w:rFonts w:ascii="Georgia" w:hAnsi="Georgia"/>
          <w:sz w:val="20"/>
          <w:szCs w:val="20"/>
          <w:lang w:val="lt-LT"/>
        </w:rPr>
        <w:t xml:space="preserve"> bei</w:t>
      </w:r>
      <w:r w:rsidRPr="00D4248B">
        <w:rPr>
          <w:rFonts w:ascii="Georgia" w:hAnsi="Georgia"/>
          <w:sz w:val="20"/>
          <w:szCs w:val="20"/>
          <w:lang w:val="lt-LT"/>
        </w:rPr>
        <w:t xml:space="preserve"> EIB </w:t>
      </w:r>
      <w:r>
        <w:rPr>
          <w:rFonts w:ascii="Georgia" w:hAnsi="Georgia"/>
          <w:sz w:val="20"/>
          <w:szCs w:val="20"/>
          <w:lang w:val="lt-LT"/>
        </w:rPr>
        <w:t>preliminarų vertinimą</w:t>
      </w:r>
      <w:r w:rsidRPr="00D4248B">
        <w:rPr>
          <w:rFonts w:ascii="Georgia" w:hAnsi="Georgia"/>
          <w:sz w:val="20"/>
          <w:szCs w:val="20"/>
          <w:lang w:val="lt-LT"/>
        </w:rPr>
        <w:t>, galima būtų tikėtis, kad per 201</w:t>
      </w:r>
      <w:r>
        <w:rPr>
          <w:rFonts w:ascii="Georgia" w:hAnsi="Georgia"/>
          <w:sz w:val="20"/>
          <w:szCs w:val="20"/>
        </w:rPr>
        <w:t>7</w:t>
      </w:r>
      <w:r w:rsidRPr="00D4248B">
        <w:rPr>
          <w:rFonts w:ascii="Georgia" w:hAnsi="Georgia"/>
          <w:sz w:val="20"/>
          <w:szCs w:val="20"/>
          <w:lang w:val="lt-LT"/>
        </w:rPr>
        <w:t>-202</w:t>
      </w:r>
      <w:r>
        <w:rPr>
          <w:rFonts w:ascii="Georgia" w:hAnsi="Georgia"/>
          <w:sz w:val="20"/>
          <w:szCs w:val="20"/>
          <w:lang w:val="lt-LT"/>
        </w:rPr>
        <w:t>3</w:t>
      </w:r>
      <w:r w:rsidRPr="00D4248B">
        <w:rPr>
          <w:rFonts w:ascii="Georgia" w:hAnsi="Georgia"/>
          <w:sz w:val="20"/>
          <w:szCs w:val="20"/>
          <w:lang w:val="lt-LT"/>
        </w:rPr>
        <w:t xml:space="preserve"> metų laikotarpį būtų galima pasiekti, kad į </w:t>
      </w:r>
      <w:r>
        <w:rPr>
          <w:rFonts w:ascii="Georgia" w:hAnsi="Georgia"/>
          <w:sz w:val="20"/>
          <w:szCs w:val="20"/>
          <w:lang w:val="lt-LT"/>
        </w:rPr>
        <w:t xml:space="preserve">tokio tipo </w:t>
      </w:r>
      <w:r w:rsidRPr="00D4248B">
        <w:rPr>
          <w:rFonts w:ascii="Georgia" w:hAnsi="Georgia"/>
          <w:sz w:val="20"/>
          <w:szCs w:val="20"/>
          <w:lang w:val="lt-LT"/>
        </w:rPr>
        <w:t xml:space="preserve">fondą pritrauktos </w:t>
      </w:r>
      <w:r>
        <w:rPr>
          <w:rFonts w:ascii="Georgia" w:hAnsi="Georgia"/>
          <w:sz w:val="20"/>
          <w:szCs w:val="20"/>
          <w:lang w:val="lt-LT"/>
        </w:rPr>
        <w:t xml:space="preserve">privačios </w:t>
      </w:r>
      <w:r w:rsidRPr="00D4248B">
        <w:rPr>
          <w:rFonts w:ascii="Georgia" w:hAnsi="Georgia"/>
          <w:sz w:val="20"/>
          <w:szCs w:val="20"/>
          <w:lang w:val="lt-LT"/>
        </w:rPr>
        <w:t xml:space="preserve">lėšos </w:t>
      </w:r>
      <w:r>
        <w:rPr>
          <w:rFonts w:ascii="Georgia" w:hAnsi="Georgia"/>
          <w:sz w:val="20"/>
          <w:szCs w:val="20"/>
          <w:lang w:val="lt-LT"/>
        </w:rPr>
        <w:t>sudarytų</w:t>
      </w:r>
      <w:r w:rsidRPr="00D4248B">
        <w:rPr>
          <w:rFonts w:ascii="Georgia" w:hAnsi="Georgia"/>
          <w:sz w:val="20"/>
          <w:szCs w:val="20"/>
          <w:lang w:val="lt-LT"/>
        </w:rPr>
        <w:t xml:space="preserve"> apie </w:t>
      </w:r>
      <w:r>
        <w:rPr>
          <w:rFonts w:ascii="Georgia" w:hAnsi="Georgia"/>
          <w:sz w:val="20"/>
          <w:szCs w:val="20"/>
        </w:rPr>
        <w:t>7</w:t>
      </w:r>
      <w:r w:rsidRPr="00D4248B">
        <w:rPr>
          <w:rFonts w:ascii="Georgia" w:hAnsi="Georgia"/>
          <w:sz w:val="20"/>
          <w:szCs w:val="20"/>
          <w:lang w:val="lt-LT"/>
        </w:rPr>
        <w:t>0 proc.</w:t>
      </w:r>
      <w:r>
        <w:rPr>
          <w:rFonts w:ascii="Georgia" w:hAnsi="Georgia"/>
          <w:sz w:val="20"/>
          <w:szCs w:val="20"/>
          <w:lang w:val="lt-LT"/>
        </w:rPr>
        <w:t xml:space="preserve"> fondo dydžio. Tuo tarpu visos ESI lėšos (kurios sudaro </w:t>
      </w:r>
      <w:r>
        <w:rPr>
          <w:rFonts w:ascii="Georgia" w:hAnsi="Georgia"/>
          <w:sz w:val="20"/>
          <w:szCs w:val="20"/>
        </w:rPr>
        <w:t>30 proc.)</w:t>
      </w:r>
      <w:r>
        <w:rPr>
          <w:rFonts w:ascii="Georgia" w:hAnsi="Georgia"/>
          <w:sz w:val="20"/>
          <w:szCs w:val="20"/>
          <w:lang w:val="lt-LT"/>
        </w:rPr>
        <w:t xml:space="preserve"> būtų laikomos rezerve ir naudojama bankų patirtiems nuostoliams padengti. Tai padėtų sumažinti kredito riziką bankams bei paskatintų juos prisidėti savo lėšomis investuojant į gatvių apšvietimo projektus. </w:t>
      </w:r>
    </w:p>
    <w:p w14:paraId="5F1A45B3" w14:textId="6B4FFB88" w:rsidR="005A432A" w:rsidRPr="00EB3D2A" w:rsidRDefault="005A432A" w:rsidP="005A432A">
      <w:pPr>
        <w:pStyle w:val="Antrat"/>
        <w:rPr>
          <w:b w:val="0"/>
          <w:i/>
          <w:szCs w:val="20"/>
          <w:lang w:val="lt-LT"/>
        </w:rPr>
      </w:pPr>
      <w:bookmarkStart w:id="257" w:name="_Toc503193923"/>
      <w:bookmarkStart w:id="258" w:name="_Toc507939205"/>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83</w:t>
      </w:r>
      <w:r w:rsidRPr="00EB3D2A">
        <w:rPr>
          <w:b w:val="0"/>
          <w:i/>
          <w:lang w:val="lt-LT"/>
        </w:rPr>
        <w:fldChar w:fldCharType="end"/>
      </w:r>
      <w:r w:rsidRPr="00EB3D2A">
        <w:rPr>
          <w:b w:val="0"/>
          <w:i/>
          <w:lang w:val="lt-LT"/>
        </w:rPr>
        <w:t xml:space="preserve">. Scenarijaus Nr. 3 </w:t>
      </w:r>
      <w:r w:rsidRPr="00EB3D2A">
        <w:rPr>
          <w:b w:val="0"/>
          <w:i/>
          <w:szCs w:val="20"/>
          <w:lang w:val="lt-LT"/>
        </w:rPr>
        <w:t>lengvatinių paskolų finansinė priemonė</w:t>
      </w:r>
      <w:bookmarkEnd w:id="257"/>
      <w:bookmarkEnd w:id="258"/>
    </w:p>
    <w:p w14:paraId="0DF0BE52" w14:textId="77777777" w:rsidR="005A432A" w:rsidRDefault="005A432A" w:rsidP="005A432A">
      <w:pPr>
        <w:keepNext/>
        <w:rPr>
          <w:rFonts w:ascii="Georgia" w:hAnsi="Georgia"/>
          <w:b/>
          <w:i/>
          <w:sz w:val="28"/>
          <w:szCs w:val="28"/>
          <w:lang w:val="lt-LT"/>
        </w:rPr>
      </w:pPr>
      <w:r w:rsidRPr="006A38B4">
        <w:rPr>
          <w:rFonts w:ascii="Georgia" w:eastAsia="PMingLiU" w:hAnsi="Georgia" w:cs="Times New Roman"/>
          <w:b/>
          <w:bCs/>
          <w:noProof/>
          <w:color w:val="A32020"/>
          <w:sz w:val="20"/>
          <w:szCs w:val="18"/>
          <w:lang w:val="lt-LT" w:eastAsia="lt-LT"/>
        </w:rPr>
        <w:drawing>
          <wp:inline distT="0" distB="0" distL="0" distR="0" wp14:anchorId="575570D9" wp14:editId="2A467555">
            <wp:extent cx="5731510" cy="2334262"/>
            <wp:effectExtent l="0" t="0" r="254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334262"/>
                    </a:xfrm>
                    <a:prstGeom prst="rect">
                      <a:avLst/>
                    </a:prstGeom>
                    <a:noFill/>
                    <a:ln>
                      <a:noFill/>
                    </a:ln>
                  </pic:spPr>
                </pic:pic>
              </a:graphicData>
            </a:graphic>
          </wp:inline>
        </w:drawing>
      </w:r>
    </w:p>
    <w:p w14:paraId="67C1FE8B" w14:textId="77777777" w:rsidR="005A432A" w:rsidRPr="008E6FE5" w:rsidRDefault="005A432A" w:rsidP="005A432A">
      <w:pPr>
        <w:keepNext/>
        <w:rPr>
          <w:rFonts w:ascii="Georgia" w:hAnsi="Georgia"/>
          <w:b/>
          <w:i/>
          <w:sz w:val="28"/>
          <w:szCs w:val="28"/>
          <w:lang w:val="lt-LT"/>
        </w:rPr>
      </w:pPr>
      <w:r w:rsidRPr="008E6FE5">
        <w:rPr>
          <w:rFonts w:ascii="Georgia" w:hAnsi="Georgia"/>
          <w:b/>
          <w:i/>
          <w:sz w:val="28"/>
          <w:szCs w:val="28"/>
          <w:lang w:val="lt-LT"/>
        </w:rPr>
        <w:t xml:space="preserve">Scenarijus Nr. </w:t>
      </w:r>
      <w:r>
        <w:rPr>
          <w:rFonts w:ascii="Georgia" w:hAnsi="Georgia"/>
          <w:b/>
          <w:i/>
          <w:sz w:val="28"/>
          <w:szCs w:val="28"/>
          <w:lang w:val="lt-LT"/>
        </w:rPr>
        <w:t>4</w:t>
      </w:r>
      <w:r w:rsidRPr="008E6FE5">
        <w:rPr>
          <w:rFonts w:ascii="Georgia" w:hAnsi="Georgia"/>
          <w:b/>
          <w:i/>
          <w:sz w:val="28"/>
          <w:szCs w:val="28"/>
          <w:lang w:val="lt-LT"/>
        </w:rPr>
        <w:t xml:space="preserve">: Finansinės priemonės lėšos nukreipiamos į garantijų priemonę </w:t>
      </w:r>
    </w:p>
    <w:p w14:paraId="184F0186" w14:textId="77777777" w:rsidR="005A432A" w:rsidRDefault="005A432A" w:rsidP="005A432A">
      <w:pPr>
        <w:pStyle w:val="Antrat"/>
        <w:jc w:val="center"/>
        <w:rPr>
          <w:lang w:val="lt-LT"/>
        </w:rPr>
      </w:pPr>
      <w:r>
        <w:rPr>
          <w:noProof/>
          <w:lang w:val="lt-LT" w:eastAsia="lt-LT"/>
        </w:rPr>
        <w:drawing>
          <wp:inline distT="0" distB="0" distL="0" distR="0" wp14:anchorId="6B46BA92" wp14:editId="6C101578">
            <wp:extent cx="5598795" cy="2173605"/>
            <wp:effectExtent l="0" t="0" r="1905" b="0"/>
            <wp:docPr id="4128" name="Paveikslėlis 4128"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14:paraId="29FA4228" w14:textId="22BBEDF1" w:rsidR="005A432A" w:rsidRPr="00901908" w:rsidRDefault="005A432A" w:rsidP="005A432A">
      <w:pPr>
        <w:pStyle w:val="Antrat"/>
        <w:rPr>
          <w:szCs w:val="20"/>
          <w:lang w:val="lt-LT"/>
        </w:rPr>
      </w:pPr>
      <w:bookmarkStart w:id="259" w:name="_Toc503196641"/>
      <w:bookmarkStart w:id="260" w:name="_Toc507939285"/>
      <w:r w:rsidRPr="00B52279">
        <w:rPr>
          <w:lang w:val="lt-LT"/>
        </w:rPr>
        <w:t xml:space="preserve">Paveikslas </w:t>
      </w:r>
      <w:r w:rsidRPr="00B52279">
        <w:rPr>
          <w:lang w:val="lt-LT"/>
        </w:rPr>
        <w:fldChar w:fldCharType="begin"/>
      </w:r>
      <w:r w:rsidRPr="00B52279">
        <w:rPr>
          <w:lang w:val="lt-LT"/>
        </w:rPr>
        <w:instrText xml:space="preserve"> SEQ Paveikslas \* ARABIC </w:instrText>
      </w:r>
      <w:r w:rsidRPr="00B52279">
        <w:rPr>
          <w:lang w:val="lt-LT"/>
        </w:rPr>
        <w:fldChar w:fldCharType="separate"/>
      </w:r>
      <w:r w:rsidR="009652A6">
        <w:rPr>
          <w:noProof/>
          <w:lang w:val="lt-LT"/>
        </w:rPr>
        <w:t>26</w:t>
      </w:r>
      <w:r w:rsidRPr="00B52279">
        <w:rPr>
          <w:lang w:val="lt-LT"/>
        </w:rPr>
        <w:fldChar w:fldCharType="end"/>
      </w:r>
      <w:r w:rsidRPr="00B52279">
        <w:rPr>
          <w:lang w:val="lt-LT"/>
        </w:rPr>
        <w:t>. Gatvių apšvietimo scenarij</w:t>
      </w:r>
      <w:r>
        <w:rPr>
          <w:lang w:val="lt-LT"/>
        </w:rPr>
        <w:t>a</w:t>
      </w:r>
      <w:r w:rsidRPr="00B52279">
        <w:rPr>
          <w:lang w:val="lt-LT"/>
        </w:rPr>
        <w:t xml:space="preserve">us Nr. </w:t>
      </w:r>
      <w:r>
        <w:rPr>
          <w:lang w:val="lt-LT"/>
        </w:rPr>
        <w:t>4</w:t>
      </w:r>
      <w:r w:rsidRPr="002B70C1">
        <w:rPr>
          <w:lang w:val="lt-LT"/>
        </w:rPr>
        <w:t xml:space="preserve"> </w:t>
      </w:r>
      <w:r>
        <w:rPr>
          <w:lang w:val="lt-LT"/>
        </w:rPr>
        <w:t>schema</w:t>
      </w:r>
      <w:r w:rsidRPr="00B52279">
        <w:rPr>
          <w:lang w:val="lt-LT"/>
        </w:rPr>
        <w:t>.</w:t>
      </w:r>
      <w:bookmarkEnd w:id="259"/>
      <w:bookmarkEnd w:id="260"/>
      <w:r w:rsidRPr="00B52279">
        <w:rPr>
          <w:lang w:val="lt-LT"/>
        </w:rPr>
        <w:t xml:space="preserve"> </w:t>
      </w:r>
    </w:p>
    <w:p w14:paraId="00C8AF28" w14:textId="77777777" w:rsidR="005A432A" w:rsidRDefault="005A432A" w:rsidP="005A432A">
      <w:pPr>
        <w:jc w:val="both"/>
        <w:rPr>
          <w:szCs w:val="20"/>
          <w:lang w:val="lt-LT"/>
        </w:rPr>
      </w:pPr>
      <w:r w:rsidRPr="00AC3318">
        <w:rPr>
          <w:rFonts w:ascii="Georgia" w:hAnsi="Georgia"/>
          <w:sz w:val="20"/>
          <w:szCs w:val="20"/>
          <w:lang w:val="lt-LT"/>
        </w:rPr>
        <w:t xml:space="preserve">Vertinamas scenarijus su prielaidomis, kad </w:t>
      </w:r>
      <w:r>
        <w:rPr>
          <w:rFonts w:ascii="Georgia" w:hAnsi="Georgia"/>
          <w:sz w:val="20"/>
          <w:szCs w:val="20"/>
          <w:lang w:val="lt-LT"/>
        </w:rPr>
        <w:t>visos ESI fondų lėšos bus panaudotos garantijų priemonei įgyvendinti</w:t>
      </w:r>
      <w:r w:rsidRPr="00AC3318">
        <w:rPr>
          <w:rFonts w:ascii="Georgia" w:hAnsi="Georgia"/>
          <w:sz w:val="20"/>
          <w:szCs w:val="20"/>
          <w:lang w:val="lt-LT"/>
        </w:rPr>
        <w:t>.</w:t>
      </w:r>
      <w:r>
        <w:rPr>
          <w:rFonts w:ascii="Georgia" w:hAnsi="Georgia"/>
          <w:sz w:val="20"/>
          <w:szCs w:val="20"/>
          <w:lang w:val="lt-LT"/>
        </w:rPr>
        <w:t xml:space="preserve"> </w:t>
      </w:r>
      <w:r w:rsidRPr="001029C2">
        <w:rPr>
          <w:rFonts w:ascii="Georgia" w:hAnsi="Georgia"/>
          <w:sz w:val="20"/>
          <w:szCs w:val="20"/>
          <w:lang w:val="lt-LT"/>
        </w:rPr>
        <w:t xml:space="preserve">Visos </w:t>
      </w:r>
      <w:r>
        <w:rPr>
          <w:rFonts w:ascii="Georgia" w:hAnsi="Georgia"/>
          <w:sz w:val="20"/>
          <w:szCs w:val="20"/>
          <w:lang w:val="lt-LT"/>
        </w:rPr>
        <w:t>ESI</w:t>
      </w:r>
      <w:r w:rsidRPr="001029C2">
        <w:rPr>
          <w:rFonts w:ascii="Georgia" w:hAnsi="Georgia"/>
          <w:sz w:val="20"/>
          <w:szCs w:val="20"/>
          <w:lang w:val="lt-LT"/>
        </w:rPr>
        <w:t xml:space="preserve"> lėšos finansiniai priemonei remti bus panaudotos teikiant garantijas komerciniams bankams, pagal kurias pastarieji išduos paskolas.</w:t>
      </w:r>
    </w:p>
    <w:p w14:paraId="2DF454F8" w14:textId="77777777" w:rsidR="005A432A" w:rsidRPr="00492193" w:rsidRDefault="005A432A" w:rsidP="005A432A">
      <w:pPr>
        <w:jc w:val="both"/>
        <w:rPr>
          <w:szCs w:val="20"/>
          <w:lang w:val="lt-LT"/>
        </w:rPr>
      </w:pPr>
      <w:r w:rsidRPr="00492193">
        <w:rPr>
          <w:rFonts w:ascii="Georgia" w:hAnsi="Georgia"/>
          <w:sz w:val="20"/>
          <w:szCs w:val="20"/>
          <w:lang w:val="lt-LT"/>
        </w:rPr>
        <w:t>Garantinės priemonės pagrindinės sąnaudos – bankamas išmokamos lėšos už nurašomas paskolas. Daroma prielaida, jog iš viso paskolų portfelio iki 2023 metų apie 5% bankų visų išduotų paskolų būtų neveiksnios</w:t>
      </w:r>
      <w:r>
        <w:rPr>
          <w:rFonts w:ascii="Georgia" w:hAnsi="Georgia"/>
          <w:sz w:val="20"/>
          <w:szCs w:val="20"/>
          <w:lang w:val="lt-LT"/>
        </w:rPr>
        <w:t>, kurių</w:t>
      </w:r>
      <w:r w:rsidRPr="00492193">
        <w:rPr>
          <w:rFonts w:ascii="Georgia" w:hAnsi="Georgia"/>
          <w:sz w:val="20"/>
          <w:szCs w:val="20"/>
          <w:lang w:val="lt-LT"/>
        </w:rPr>
        <w:t xml:space="preserve"> pusę iš jų reikėtų pilnai nurašyti. </w:t>
      </w:r>
    </w:p>
    <w:p w14:paraId="116C73DB" w14:textId="71CDE8A1" w:rsidR="005A432A" w:rsidRPr="00EB3D2A" w:rsidRDefault="005A432A" w:rsidP="005A432A">
      <w:pPr>
        <w:pStyle w:val="Antrat"/>
        <w:rPr>
          <w:b w:val="0"/>
          <w:i/>
          <w:szCs w:val="20"/>
          <w:lang w:val="lt-LT"/>
        </w:rPr>
      </w:pPr>
      <w:bookmarkStart w:id="261" w:name="_Toc503193924"/>
      <w:bookmarkStart w:id="262" w:name="_Toc507939206"/>
      <w:r w:rsidRPr="00EB3D2A">
        <w:rPr>
          <w:b w:val="0"/>
          <w:i/>
          <w:lang w:val="lt-LT"/>
        </w:rPr>
        <w:lastRenderedPageBreak/>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84</w:t>
      </w:r>
      <w:r w:rsidRPr="00EB3D2A">
        <w:rPr>
          <w:b w:val="0"/>
          <w:i/>
          <w:lang w:val="lt-LT"/>
        </w:rPr>
        <w:fldChar w:fldCharType="end"/>
      </w:r>
      <w:r w:rsidRPr="00EB3D2A">
        <w:rPr>
          <w:b w:val="0"/>
          <w:i/>
          <w:lang w:val="lt-LT"/>
        </w:rPr>
        <w:t xml:space="preserve">. Scenarijaus Nr. 4 </w:t>
      </w:r>
      <w:r w:rsidRPr="00EB3D2A">
        <w:rPr>
          <w:b w:val="0"/>
          <w:i/>
          <w:szCs w:val="20"/>
          <w:lang w:val="lt-LT"/>
        </w:rPr>
        <w:t>garantijų priemonės įgyvendinimo prognozė</w:t>
      </w:r>
      <w:bookmarkEnd w:id="261"/>
      <w:bookmarkEnd w:id="262"/>
    </w:p>
    <w:p w14:paraId="08A55BA9" w14:textId="1CB2522E" w:rsidR="005A432A" w:rsidRDefault="005A432A" w:rsidP="005A432A">
      <w:pPr>
        <w:rPr>
          <w:lang w:val="lt-LT"/>
        </w:rPr>
      </w:pPr>
      <w:r w:rsidRPr="008F3B35">
        <w:rPr>
          <w:noProof/>
          <w:lang w:val="lt-LT" w:eastAsia="lt-LT"/>
        </w:rPr>
        <w:drawing>
          <wp:inline distT="0" distB="0" distL="0" distR="0" wp14:anchorId="57FCD191" wp14:editId="40148365">
            <wp:extent cx="5731510" cy="2438308"/>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438308"/>
                    </a:xfrm>
                    <a:prstGeom prst="rect">
                      <a:avLst/>
                    </a:prstGeom>
                    <a:noFill/>
                    <a:ln>
                      <a:noFill/>
                    </a:ln>
                  </pic:spPr>
                </pic:pic>
              </a:graphicData>
            </a:graphic>
          </wp:inline>
        </w:drawing>
      </w:r>
    </w:p>
    <w:p w14:paraId="00077E24" w14:textId="77777777" w:rsidR="005A432A" w:rsidRDefault="005A432A" w:rsidP="005A432A">
      <w:pPr>
        <w:rPr>
          <w:lang w:val="lt-LT"/>
        </w:rPr>
      </w:pPr>
    </w:p>
    <w:p w14:paraId="21DA0DE6" w14:textId="77777777" w:rsidR="00280058" w:rsidRPr="002142B8" w:rsidRDefault="00280058" w:rsidP="008E6FE5">
      <w:pPr>
        <w:pStyle w:val="Antrat2"/>
        <w:numPr>
          <w:ilvl w:val="1"/>
          <w:numId w:val="2"/>
        </w:numPr>
        <w:spacing w:after="240"/>
        <w:ind w:left="709"/>
        <w:rPr>
          <w:lang w:val="lt-LT"/>
        </w:rPr>
      </w:pPr>
      <w:bookmarkStart w:id="263" w:name="_Toc402352631"/>
      <w:bookmarkStart w:id="264" w:name="_Toc25589928"/>
      <w:r w:rsidRPr="002142B8">
        <w:rPr>
          <w:lang w:val="lt-LT"/>
        </w:rPr>
        <w:t>Kokybinis pridėtinės vertės vertinimas</w:t>
      </w:r>
      <w:bookmarkEnd w:id="263"/>
      <w:bookmarkEnd w:id="264"/>
    </w:p>
    <w:p w14:paraId="496BDD29" w14:textId="3E2593C6" w:rsidR="002E7A5C" w:rsidRPr="002142B8" w:rsidRDefault="002E7A5C" w:rsidP="00280058">
      <w:pPr>
        <w:jc w:val="both"/>
        <w:rPr>
          <w:rStyle w:val="hps"/>
          <w:rFonts w:ascii="Georgia" w:hAnsi="Georgia" w:cs="Arial"/>
          <w:color w:val="222222"/>
          <w:sz w:val="20"/>
          <w:szCs w:val="20"/>
          <w:lang w:val="lt-LT"/>
        </w:rPr>
      </w:pPr>
      <w:r w:rsidRPr="002142B8">
        <w:rPr>
          <w:rStyle w:val="hps"/>
          <w:rFonts w:ascii="Georgia" w:hAnsi="Georgia" w:cs="Arial"/>
          <w:color w:val="222222"/>
          <w:sz w:val="20"/>
          <w:szCs w:val="20"/>
          <w:lang w:val="lt-LT"/>
        </w:rPr>
        <w:t xml:space="preserve">Žemiau atliekamas kokybinis kiekvieno scenarijaus vertinimas </w:t>
      </w:r>
      <w:r w:rsidR="003574B9" w:rsidRPr="002142B8">
        <w:rPr>
          <w:rStyle w:val="hps"/>
          <w:rFonts w:ascii="Georgia" w:hAnsi="Georgia" w:cs="Arial"/>
          <w:color w:val="222222"/>
          <w:sz w:val="20"/>
          <w:szCs w:val="20"/>
          <w:lang w:val="lt-LT"/>
        </w:rPr>
        <w:t xml:space="preserve">daugiabučių namų modernizavimo, </w:t>
      </w:r>
      <w:r w:rsidR="00A9390E" w:rsidRPr="002142B8">
        <w:rPr>
          <w:rStyle w:val="hps"/>
          <w:rFonts w:ascii="Georgia" w:hAnsi="Georgia" w:cs="Arial"/>
          <w:color w:val="222222"/>
          <w:sz w:val="20"/>
          <w:szCs w:val="20"/>
          <w:lang w:val="lt-LT"/>
        </w:rPr>
        <w:t xml:space="preserve">viešųjų pastatų (centrinės valdžios ir savivaldybių) </w:t>
      </w:r>
      <w:r w:rsidRPr="002142B8">
        <w:rPr>
          <w:rStyle w:val="hps"/>
          <w:rFonts w:ascii="Georgia" w:hAnsi="Georgia" w:cs="Arial"/>
          <w:color w:val="222222"/>
          <w:sz w:val="20"/>
          <w:szCs w:val="20"/>
          <w:lang w:val="lt-LT"/>
        </w:rPr>
        <w:t xml:space="preserve">ir gatvių apšvietimo renovacijos sektoriuose, remiantis pasirinktais svarbiausiais kriterijais. </w:t>
      </w:r>
    </w:p>
    <w:p w14:paraId="4B5D9636" w14:textId="17E17889" w:rsidR="00702724" w:rsidRPr="002142B8" w:rsidRDefault="00702724" w:rsidP="002E7A5C">
      <w:pPr>
        <w:pStyle w:val="Antrat2"/>
        <w:numPr>
          <w:ilvl w:val="3"/>
          <w:numId w:val="2"/>
        </w:numPr>
        <w:ind w:left="1134"/>
        <w:rPr>
          <w:lang w:val="lt-LT"/>
        </w:rPr>
      </w:pPr>
      <w:bookmarkStart w:id="265" w:name="_Toc25589929"/>
      <w:r w:rsidRPr="002142B8">
        <w:rPr>
          <w:lang w:val="lt-LT"/>
        </w:rPr>
        <w:t>Daugiabuči</w:t>
      </w:r>
      <w:r w:rsidR="004872A4" w:rsidRPr="002142B8">
        <w:rPr>
          <w:lang w:val="lt-LT"/>
        </w:rPr>
        <w:t>ų namų</w:t>
      </w:r>
      <w:r w:rsidR="00517619" w:rsidRPr="002142B8">
        <w:rPr>
          <w:lang w:val="lt-LT"/>
        </w:rPr>
        <w:t xml:space="preserve"> modernizavimas</w:t>
      </w:r>
      <w:bookmarkEnd w:id="265"/>
    </w:p>
    <w:p w14:paraId="595ADACD" w14:textId="77777777" w:rsidR="003C7AA1" w:rsidRPr="002142B8" w:rsidRDefault="003C7AA1" w:rsidP="00971206">
      <w:pPr>
        <w:jc w:val="both"/>
        <w:rPr>
          <w:rStyle w:val="hps"/>
          <w:rFonts w:ascii="Georgia" w:hAnsi="Georgia" w:cs="Arial"/>
          <w:color w:val="222222"/>
          <w:sz w:val="20"/>
          <w:szCs w:val="20"/>
          <w:lang w:val="lt-LT"/>
        </w:rPr>
      </w:pPr>
    </w:p>
    <w:p w14:paraId="6C4E7A2D" w14:textId="52C9AB69" w:rsidR="00971206" w:rsidRPr="002142B8" w:rsidRDefault="00E128B6" w:rsidP="00971206">
      <w:pPr>
        <w:jc w:val="both"/>
        <w:rPr>
          <w:rStyle w:val="hps"/>
          <w:rFonts w:ascii="Georgia" w:hAnsi="Georgia" w:cs="Arial"/>
          <w:color w:val="222222"/>
          <w:sz w:val="20"/>
          <w:szCs w:val="20"/>
          <w:lang w:val="lt-LT"/>
        </w:rPr>
      </w:pPr>
      <w:r w:rsidRPr="002142B8">
        <w:rPr>
          <w:rStyle w:val="hps"/>
          <w:rFonts w:ascii="Georgia" w:hAnsi="Georgia" w:cs="Arial"/>
          <w:color w:val="222222"/>
          <w:sz w:val="20"/>
          <w:szCs w:val="20"/>
          <w:lang w:val="lt-LT"/>
        </w:rPr>
        <w:t>Daugiabučių modernizavimo projektuose kaip ir centrinės valdžios ir savivaldybių pastatų ir gatvių apšvietimo projektuose nagrinėjami keturi pagrindiniai finansinių produktų tipai, tai yra paskol</w:t>
      </w:r>
      <w:r w:rsidR="00063F36" w:rsidRPr="002142B8">
        <w:rPr>
          <w:rStyle w:val="hps"/>
          <w:rFonts w:ascii="Georgia" w:hAnsi="Georgia" w:cs="Arial"/>
          <w:color w:val="222222"/>
          <w:sz w:val="20"/>
          <w:szCs w:val="20"/>
          <w:lang w:val="lt-LT"/>
        </w:rPr>
        <w:t xml:space="preserve">ų </w:t>
      </w:r>
      <w:r w:rsidR="00BC5B4B" w:rsidRPr="002142B8">
        <w:rPr>
          <w:rStyle w:val="hps"/>
          <w:rFonts w:ascii="Georgia" w:hAnsi="Georgia" w:cs="Arial"/>
          <w:color w:val="222222"/>
          <w:sz w:val="20"/>
          <w:szCs w:val="20"/>
          <w:lang w:val="lt-LT"/>
        </w:rPr>
        <w:t>finansinės priemonės</w:t>
      </w:r>
      <w:r w:rsidRPr="002142B8">
        <w:rPr>
          <w:rStyle w:val="hps"/>
          <w:rFonts w:ascii="Georgia" w:hAnsi="Georgia" w:cs="Arial"/>
          <w:color w:val="222222"/>
          <w:sz w:val="20"/>
          <w:szCs w:val="20"/>
          <w:lang w:val="lt-LT"/>
        </w:rPr>
        <w:t>, paskolų teikimas</w:t>
      </w:r>
      <w:r w:rsidR="002263C7" w:rsidRPr="002142B8">
        <w:rPr>
          <w:rStyle w:val="hps"/>
          <w:rFonts w:ascii="Georgia" w:hAnsi="Georgia" w:cs="Arial"/>
          <w:color w:val="222222"/>
          <w:sz w:val="20"/>
          <w:szCs w:val="20"/>
          <w:lang w:val="lt-LT"/>
        </w:rPr>
        <w:t xml:space="preserve"> taikant paskolų išpirkimo modelį, taikomas asimetrinis rizikos pasidalijimo modelis bei siūlomos garantijų priemonės. Daugiabučių modernizavimo atveju nagrinėtos ir skirtingų finansinių</w:t>
      </w:r>
      <w:r w:rsidR="001B3CD0" w:rsidRPr="002142B8">
        <w:rPr>
          <w:rStyle w:val="hps"/>
          <w:rFonts w:ascii="Georgia" w:hAnsi="Georgia" w:cs="Arial"/>
          <w:color w:val="222222"/>
          <w:sz w:val="20"/>
          <w:szCs w:val="20"/>
          <w:lang w:val="lt-LT"/>
        </w:rPr>
        <w:t xml:space="preserve"> produktų derinimo alternatyvos.</w:t>
      </w:r>
    </w:p>
    <w:tbl>
      <w:tblPr>
        <w:tblStyle w:val="viesussraas2parykinimas1"/>
        <w:tblW w:w="9181" w:type="dxa"/>
        <w:tblLook w:val="04A0" w:firstRow="1" w:lastRow="0" w:firstColumn="1" w:lastColumn="0" w:noHBand="0" w:noVBand="1"/>
      </w:tblPr>
      <w:tblGrid>
        <w:gridCol w:w="2376"/>
        <w:gridCol w:w="3261"/>
        <w:gridCol w:w="3544"/>
      </w:tblGrid>
      <w:tr w:rsidR="00517619" w:rsidRPr="002142B8" w14:paraId="56474493" w14:textId="77777777" w:rsidTr="0063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CA862FE" w14:textId="4589FAA4" w:rsidR="00517619" w:rsidRPr="002142B8" w:rsidRDefault="00971206" w:rsidP="00E128B6">
            <w:pPr>
              <w:jc w:val="both"/>
              <w:rPr>
                <w:rStyle w:val="hps"/>
                <w:rFonts w:ascii="Georgia" w:hAnsi="Georgia" w:cs="Arial"/>
                <w:sz w:val="20"/>
                <w:szCs w:val="20"/>
              </w:rPr>
            </w:pPr>
            <w:r w:rsidRPr="002142B8">
              <w:rPr>
                <w:rStyle w:val="hps"/>
                <w:rFonts w:ascii="Georgia" w:hAnsi="Georgia" w:cs="Arial"/>
                <w:sz w:val="20"/>
                <w:szCs w:val="20"/>
              </w:rPr>
              <w:t>S</w:t>
            </w:r>
            <w:r w:rsidR="00517619" w:rsidRPr="002142B8">
              <w:rPr>
                <w:rStyle w:val="hps"/>
                <w:rFonts w:ascii="Georgia" w:hAnsi="Georgia" w:cs="Arial"/>
                <w:sz w:val="20"/>
                <w:szCs w:val="20"/>
              </w:rPr>
              <w:t>cenarijus</w:t>
            </w:r>
          </w:p>
        </w:tc>
        <w:tc>
          <w:tcPr>
            <w:tcW w:w="3261" w:type="dxa"/>
          </w:tcPr>
          <w:p w14:paraId="32EA56EF" w14:textId="77777777" w:rsidR="00517619" w:rsidRPr="002142B8" w:rsidRDefault="00517619" w:rsidP="00E128B6">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sz w:val="20"/>
                <w:szCs w:val="20"/>
              </w:rPr>
            </w:pPr>
            <w:r w:rsidRPr="002142B8">
              <w:rPr>
                <w:rStyle w:val="hps"/>
                <w:rFonts w:ascii="Georgia" w:hAnsi="Georgia" w:cs="Arial"/>
                <w:sz w:val="20"/>
                <w:szCs w:val="20"/>
              </w:rPr>
              <w:t>Privalumai</w:t>
            </w:r>
          </w:p>
        </w:tc>
        <w:tc>
          <w:tcPr>
            <w:tcW w:w="3544" w:type="dxa"/>
          </w:tcPr>
          <w:p w14:paraId="6315CC30" w14:textId="77777777" w:rsidR="00517619" w:rsidRPr="002142B8" w:rsidRDefault="00517619" w:rsidP="00E128B6">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sz w:val="20"/>
                <w:szCs w:val="20"/>
              </w:rPr>
            </w:pPr>
            <w:r w:rsidRPr="002142B8">
              <w:rPr>
                <w:rStyle w:val="hps"/>
                <w:rFonts w:ascii="Georgia" w:hAnsi="Georgia" w:cs="Arial"/>
                <w:sz w:val="20"/>
                <w:szCs w:val="20"/>
              </w:rPr>
              <w:t>Trūkumai</w:t>
            </w:r>
          </w:p>
        </w:tc>
      </w:tr>
      <w:tr w:rsidR="00517619" w:rsidRPr="002142B8" w14:paraId="30805B07"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71E8DE7" w14:textId="0C609658" w:rsidR="00517619" w:rsidRPr="002142B8" w:rsidRDefault="00517619" w:rsidP="00E22457">
            <w:pPr>
              <w:rPr>
                <w:rStyle w:val="hps"/>
                <w:rFonts w:ascii="Georgia" w:hAnsi="Georgia" w:cs="Arial"/>
                <w:color w:val="222222"/>
                <w:sz w:val="20"/>
                <w:szCs w:val="20"/>
              </w:rPr>
            </w:pPr>
            <w:r w:rsidRPr="002142B8">
              <w:rPr>
                <w:rStyle w:val="hps"/>
                <w:rFonts w:ascii="Georgia" w:hAnsi="Georgia" w:cs="Arial"/>
                <w:color w:val="222222"/>
                <w:sz w:val="20"/>
                <w:szCs w:val="20"/>
              </w:rPr>
              <w:t>Paskol</w:t>
            </w:r>
            <w:r w:rsidR="002263C7" w:rsidRPr="002142B8">
              <w:rPr>
                <w:rStyle w:val="hps"/>
                <w:rFonts w:ascii="Georgia" w:hAnsi="Georgia" w:cs="Arial"/>
                <w:color w:val="222222"/>
                <w:sz w:val="20"/>
                <w:szCs w:val="20"/>
              </w:rPr>
              <w:t>ų alternatyvos</w:t>
            </w:r>
          </w:p>
        </w:tc>
        <w:tc>
          <w:tcPr>
            <w:tcW w:w="3261" w:type="dxa"/>
          </w:tcPr>
          <w:p w14:paraId="3A3689DF"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Paprasčiausia, žinomiausia ir rinkoje suprantamiausia finansavimo forma</w:t>
            </w:r>
          </w:p>
          <w:p w14:paraId="5953F744"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Patirtis administruojant panašias finansines priemones (JESSICA)</w:t>
            </w:r>
          </w:p>
          <w:p w14:paraId="0541E1F2" w14:textId="77777777" w:rsidR="00517619" w:rsidRPr="002142B8" w:rsidRDefault="00517619" w:rsidP="00E128B6">
            <w:pPr>
              <w:ind w:left="360"/>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p>
        </w:tc>
        <w:tc>
          <w:tcPr>
            <w:tcW w:w="3544" w:type="dxa"/>
          </w:tcPr>
          <w:p w14:paraId="4B85A627"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Santykinai lėtas lėšų grįžimas ir pakartotinis panaudojimas</w:t>
            </w:r>
          </w:p>
          <w:p w14:paraId="1B8A3716" w14:textId="3AB1957E" w:rsidR="0088219E" w:rsidRPr="002142B8" w:rsidRDefault="0088219E"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Gali atsirasti prievolė vertinti kiekvieną namo savininką atskirai susiduriant su asmens duomenų valdymo reikalavimų iššūkiais</w:t>
            </w:r>
          </w:p>
          <w:p w14:paraId="0A566C2B" w14:textId="49C0E1DB" w:rsidR="00517619" w:rsidRPr="002142B8" w:rsidRDefault="0088219E"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Netaikant papildomų skaitinimo priemonių m</w:t>
            </w:r>
            <w:r w:rsidR="00517619" w:rsidRPr="002142B8">
              <w:rPr>
                <w:rStyle w:val="hps"/>
                <w:rFonts w:ascii="Georgia" w:hAnsi="Georgia" w:cs="Arial"/>
                <w:color w:val="222222"/>
                <w:sz w:val="20"/>
                <w:szCs w:val="20"/>
              </w:rPr>
              <w:t>ažesnis potencialas pritraukti papildomų lėšų dėl didesnės rizikos bankams</w:t>
            </w:r>
          </w:p>
        </w:tc>
      </w:tr>
      <w:tr w:rsidR="00517619" w:rsidRPr="002142B8" w14:paraId="4DBBE360" w14:textId="77777777" w:rsidTr="0063781D">
        <w:tc>
          <w:tcPr>
            <w:cnfStyle w:val="001000000000" w:firstRow="0" w:lastRow="0" w:firstColumn="1" w:lastColumn="0" w:oddVBand="0" w:evenVBand="0" w:oddHBand="0" w:evenHBand="0" w:firstRowFirstColumn="0" w:firstRowLastColumn="0" w:lastRowFirstColumn="0" w:lastRowLastColumn="0"/>
            <w:tcW w:w="2376" w:type="dxa"/>
          </w:tcPr>
          <w:p w14:paraId="4730F83B" w14:textId="77777777" w:rsidR="00517619" w:rsidRPr="002142B8" w:rsidRDefault="00517619" w:rsidP="00E22457">
            <w:pPr>
              <w:rPr>
                <w:rStyle w:val="hps"/>
                <w:rFonts w:ascii="Georgia" w:hAnsi="Georgia" w:cs="Arial"/>
                <w:color w:val="222222"/>
                <w:sz w:val="20"/>
                <w:szCs w:val="20"/>
              </w:rPr>
            </w:pPr>
            <w:r w:rsidRPr="002142B8">
              <w:rPr>
                <w:rStyle w:val="hps"/>
                <w:rFonts w:ascii="Georgia" w:hAnsi="Georgia" w:cs="Arial"/>
                <w:color w:val="222222"/>
                <w:sz w:val="20"/>
                <w:szCs w:val="20"/>
              </w:rPr>
              <w:t>Paskolos teikimas taikant paskolų išpirkimo modelį</w:t>
            </w:r>
          </w:p>
        </w:tc>
        <w:tc>
          <w:tcPr>
            <w:tcW w:w="3261" w:type="dxa"/>
          </w:tcPr>
          <w:p w14:paraId="3CAFBD5C"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Visi išvardinti aukščiau plius</w:t>
            </w:r>
          </w:p>
          <w:p w14:paraId="3D0048AA"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Paspartintas lėšų reinvestavimas  </w:t>
            </w:r>
          </w:p>
          <w:p w14:paraId="4EF07E38"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Sumažinama lėšų praradimo rizika </w:t>
            </w:r>
          </w:p>
        </w:tc>
        <w:tc>
          <w:tcPr>
            <w:tcW w:w="3544" w:type="dxa"/>
          </w:tcPr>
          <w:p w14:paraId="7B2709B9"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Privalo susiformuoti pakankamas projektų srautas norint taikyti tokį modelį</w:t>
            </w:r>
          </w:p>
          <w:p w14:paraId="23AD072E"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Reikalaujantis laiko procesas</w:t>
            </w:r>
          </w:p>
          <w:p w14:paraId="3FF924B0"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Lietuvoje nėra tokio modelio pavyzdžių</w:t>
            </w:r>
          </w:p>
          <w:p w14:paraId="54013786"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Reikalingas išankstinis </w:t>
            </w:r>
            <w:r w:rsidRPr="002142B8">
              <w:rPr>
                <w:rStyle w:val="hps"/>
                <w:rFonts w:ascii="Georgia" w:hAnsi="Georgia" w:cs="Arial"/>
                <w:color w:val="222222"/>
                <w:sz w:val="20"/>
                <w:szCs w:val="20"/>
              </w:rPr>
              <w:lastRenderedPageBreak/>
              <w:t>investuotojų įtraukimas, siekiant, kad paskolos tiktų perpirkimui</w:t>
            </w:r>
          </w:p>
        </w:tc>
      </w:tr>
      <w:tr w:rsidR="00517619" w:rsidRPr="002142B8" w14:paraId="48E4CEE2" w14:textId="77777777" w:rsidTr="0063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C0EAF98" w14:textId="77777777" w:rsidR="00517619" w:rsidRPr="002142B8" w:rsidRDefault="00517619" w:rsidP="00E22457">
            <w:pPr>
              <w:rPr>
                <w:rStyle w:val="hps"/>
                <w:rFonts w:ascii="Georgia" w:hAnsi="Georgia" w:cs="Arial"/>
                <w:color w:val="222222"/>
                <w:sz w:val="20"/>
                <w:szCs w:val="20"/>
              </w:rPr>
            </w:pPr>
            <w:r w:rsidRPr="002142B8">
              <w:rPr>
                <w:rStyle w:val="hps"/>
                <w:rFonts w:ascii="Georgia" w:hAnsi="Georgia" w:cs="Arial"/>
                <w:color w:val="222222"/>
                <w:sz w:val="20"/>
                <w:szCs w:val="20"/>
              </w:rPr>
              <w:lastRenderedPageBreak/>
              <w:t>Paskolų teikimas taikant asimetrinės rizikos pasidalijimo modelį</w:t>
            </w:r>
          </w:p>
        </w:tc>
        <w:tc>
          <w:tcPr>
            <w:tcW w:w="3261" w:type="dxa"/>
          </w:tcPr>
          <w:p w14:paraId="1A732C45"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Skatina asimetrinį rizikų pasidalijimą, naudojant ESI lėšas pirmiems nuostoliams dengti, o tai leidžia lengviau pritraukti privatų kapitalą</w:t>
            </w:r>
          </w:p>
          <w:p w14:paraId="4F760292"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Dėl didesnio rizikų prisiėmimo viešosiomis lėšomis galima tikėtis geresnių rezultatų</w:t>
            </w:r>
          </w:p>
          <w:p w14:paraId="7D4D7B05"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Ribojama privačių rinkos dalyvių rizika skatina papildomų lėšų pritraukimą</w:t>
            </w:r>
          </w:p>
          <w:p w14:paraId="207562CF" w14:textId="78CEAAE7" w:rsidR="00517619" w:rsidRPr="002142B8" w:rsidRDefault="00517619" w:rsidP="002263C7">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Lietuvoje yra sėkmingų tokio modelio pavyzdžių (Invega, J</w:t>
            </w:r>
            <w:r w:rsidR="002263C7" w:rsidRPr="002142B8">
              <w:rPr>
                <w:rStyle w:val="hps"/>
                <w:rFonts w:ascii="Georgia" w:hAnsi="Georgia" w:cs="Arial"/>
                <w:color w:val="222222"/>
                <w:sz w:val="20"/>
                <w:szCs w:val="20"/>
              </w:rPr>
              <w:t>ESSICA</w:t>
            </w:r>
            <w:r w:rsidRPr="002142B8">
              <w:rPr>
                <w:rStyle w:val="hps"/>
                <w:rFonts w:ascii="Georgia" w:hAnsi="Georgia" w:cs="Arial"/>
                <w:color w:val="222222"/>
                <w:sz w:val="20"/>
                <w:szCs w:val="20"/>
              </w:rPr>
              <w:t>)</w:t>
            </w:r>
          </w:p>
        </w:tc>
        <w:tc>
          <w:tcPr>
            <w:tcW w:w="3544" w:type="dxa"/>
          </w:tcPr>
          <w:p w14:paraId="525C5991"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Valstybė prisiima didžiausią projektų riziką, dėl ko atsiranda didesnis potencialas mažėti viešųjų lėšų apimčiai</w:t>
            </w:r>
          </w:p>
          <w:p w14:paraId="3BE4FC9F"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Sudėtingi valstybės pagalbos derinimo elementai</w:t>
            </w:r>
          </w:p>
          <w:p w14:paraId="5ABC3DA5" w14:textId="77777777" w:rsidR="00517619" w:rsidRPr="002142B8" w:rsidRDefault="00517619"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Nusprendus teikti subsidiją iš fondo lėšų, tikėtina, jog bankai mažintų savo prisidėjimo dalį</w:t>
            </w:r>
          </w:p>
          <w:p w14:paraId="0295D3A3" w14:textId="77777777" w:rsidR="00517619" w:rsidRPr="002142B8" w:rsidRDefault="00517619" w:rsidP="00E128B6">
            <w:p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 </w:t>
            </w:r>
          </w:p>
        </w:tc>
      </w:tr>
      <w:tr w:rsidR="00517619" w:rsidRPr="002142B8" w14:paraId="54F8FB22" w14:textId="77777777" w:rsidTr="0063781D">
        <w:tc>
          <w:tcPr>
            <w:cnfStyle w:val="001000000000" w:firstRow="0" w:lastRow="0" w:firstColumn="1" w:lastColumn="0" w:oddVBand="0" w:evenVBand="0" w:oddHBand="0" w:evenHBand="0" w:firstRowFirstColumn="0" w:firstRowLastColumn="0" w:lastRowFirstColumn="0" w:lastRowLastColumn="0"/>
            <w:tcW w:w="2376" w:type="dxa"/>
          </w:tcPr>
          <w:p w14:paraId="0CE19690" w14:textId="77777777" w:rsidR="00517619" w:rsidRPr="002142B8" w:rsidRDefault="00517619" w:rsidP="00E22457">
            <w:pPr>
              <w:rPr>
                <w:rStyle w:val="hps"/>
                <w:rFonts w:ascii="Georgia" w:hAnsi="Georgia" w:cs="Arial"/>
                <w:color w:val="222222"/>
                <w:sz w:val="20"/>
                <w:szCs w:val="20"/>
              </w:rPr>
            </w:pPr>
            <w:r w:rsidRPr="002142B8">
              <w:rPr>
                <w:rStyle w:val="hps"/>
                <w:rFonts w:ascii="Georgia" w:hAnsi="Georgia" w:cs="Arial"/>
                <w:color w:val="222222"/>
                <w:sz w:val="20"/>
                <w:szCs w:val="20"/>
              </w:rPr>
              <w:t>Garantijos</w:t>
            </w:r>
          </w:p>
        </w:tc>
        <w:tc>
          <w:tcPr>
            <w:tcW w:w="3261" w:type="dxa"/>
          </w:tcPr>
          <w:p w14:paraId="4559D05A"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Sumažina bankų riziką</w:t>
            </w:r>
          </w:p>
          <w:p w14:paraId="219AF5D2"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Lyginant su paskolomis reikalauja mažiausiai pradinių lėšų</w:t>
            </w:r>
          </w:p>
          <w:p w14:paraId="50D54D0F"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Nereikalauja iš galutinių naudos gavėjų pilno užstato</w:t>
            </w:r>
          </w:p>
        </w:tc>
        <w:tc>
          <w:tcPr>
            <w:tcW w:w="3544" w:type="dxa"/>
          </w:tcPr>
          <w:p w14:paraId="21FA1523"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Garantijų priemonė bankams nėra patraukli</w:t>
            </w:r>
          </w:p>
          <w:p w14:paraId="1209ADA5"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Įgyvendinimas galėtų ilgai užtrukti, dėl poreikio pertvarkyti vidinius bankų procesus</w:t>
            </w:r>
          </w:p>
          <w:p w14:paraId="185742D3"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Paskolų istorijos trūkumas</w:t>
            </w:r>
          </w:p>
          <w:p w14:paraId="66AB4EC0" w14:textId="77777777" w:rsidR="00517619" w:rsidRPr="002142B8" w:rsidRDefault="00517619"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Sunku įvertinti garantinį dydį</w:t>
            </w:r>
          </w:p>
        </w:tc>
      </w:tr>
      <w:tr w:rsidR="002263C7" w:rsidRPr="002142B8" w14:paraId="1ACEF55E" w14:textId="77777777" w:rsidTr="00ED4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0DB156B" w14:textId="1BFD71B9" w:rsidR="002263C7" w:rsidRPr="002142B8" w:rsidRDefault="002263C7" w:rsidP="00E22457">
            <w:pPr>
              <w:rPr>
                <w:rStyle w:val="hps"/>
                <w:rFonts w:ascii="Georgia" w:hAnsi="Georgia" w:cs="Arial"/>
                <w:color w:val="222222"/>
                <w:sz w:val="20"/>
                <w:szCs w:val="20"/>
              </w:rPr>
            </w:pPr>
            <w:r w:rsidRPr="002142B8">
              <w:rPr>
                <w:rStyle w:val="hps"/>
                <w:rFonts w:ascii="Georgia" w:hAnsi="Georgia" w:cs="Arial"/>
                <w:color w:val="222222"/>
                <w:sz w:val="20"/>
                <w:szCs w:val="20"/>
              </w:rPr>
              <w:t>Dalis lėšų nukreipiama  į paskolų modelį dalis į garantijų priemonę</w:t>
            </w:r>
          </w:p>
        </w:tc>
        <w:tc>
          <w:tcPr>
            <w:tcW w:w="3261" w:type="dxa"/>
          </w:tcPr>
          <w:p w14:paraId="61ECE364" w14:textId="07A57BA8" w:rsidR="002263C7" w:rsidRPr="002142B8"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Galima taikyti „dviejų greičių“ metodą: pradžioje įgyvendinti rinkoje gerai žinomą paskolų priemonę ir pasitvirtinusią bei tinkamai pasirengti garantijų priemonės įgyvendin</w:t>
            </w:r>
            <w:r w:rsidR="00D9139B" w:rsidRPr="002142B8">
              <w:rPr>
                <w:rStyle w:val="hps"/>
                <w:rFonts w:ascii="Georgia" w:hAnsi="Georgia" w:cs="Arial"/>
                <w:color w:val="222222"/>
                <w:sz w:val="20"/>
                <w:szCs w:val="20"/>
              </w:rPr>
              <w:t>i</w:t>
            </w:r>
            <w:r w:rsidRPr="002142B8">
              <w:rPr>
                <w:rStyle w:val="hps"/>
                <w:rFonts w:ascii="Georgia" w:hAnsi="Georgia" w:cs="Arial"/>
                <w:color w:val="222222"/>
                <w:sz w:val="20"/>
                <w:szCs w:val="20"/>
              </w:rPr>
              <w:t>mui.</w:t>
            </w:r>
          </w:p>
          <w:p w14:paraId="7781DB7F" w14:textId="40521887" w:rsidR="002263C7" w:rsidRPr="002142B8"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Bankai, kiti privatūs investuotojai gali pasirinkti sau priimtinesnę priemonę, kurioje norėtų dalyvauti</w:t>
            </w:r>
          </w:p>
          <w:p w14:paraId="7FD1808F" w14:textId="1D5F091A" w:rsidR="002263C7" w:rsidRPr="002142B8" w:rsidRDefault="002263C7" w:rsidP="002263C7">
            <w:p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p>
        </w:tc>
        <w:tc>
          <w:tcPr>
            <w:tcW w:w="3544" w:type="dxa"/>
          </w:tcPr>
          <w:p w14:paraId="40B734EC" w14:textId="7285A17D" w:rsidR="002263C7" w:rsidRPr="002142B8" w:rsidRDefault="00D9139B"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Pakankamai</w:t>
            </w:r>
            <w:r w:rsidR="002263C7" w:rsidRPr="002142B8">
              <w:rPr>
                <w:rStyle w:val="hps"/>
                <w:rFonts w:ascii="Georgia" w:hAnsi="Georgia" w:cs="Arial"/>
                <w:color w:val="222222"/>
                <w:sz w:val="20"/>
                <w:szCs w:val="20"/>
              </w:rPr>
              <w:t xml:space="preserve"> sudėtinga administravimo schema</w:t>
            </w:r>
          </w:p>
          <w:p w14:paraId="233DF439" w14:textId="22991A5F" w:rsidR="002263C7" w:rsidRPr="002142B8" w:rsidRDefault="002263C7" w:rsidP="00E128B6">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Atskiroms dalims taikomi tiek anksčiau nagrinėti paskolų, tiek garantijų trūkumai.</w:t>
            </w:r>
          </w:p>
        </w:tc>
      </w:tr>
      <w:tr w:rsidR="00E22457" w:rsidRPr="002142B8" w14:paraId="66A0E53B" w14:textId="77777777" w:rsidTr="00ED4ADE">
        <w:tc>
          <w:tcPr>
            <w:cnfStyle w:val="001000000000" w:firstRow="0" w:lastRow="0" w:firstColumn="1" w:lastColumn="0" w:oddVBand="0" w:evenVBand="0" w:oddHBand="0" w:evenHBand="0" w:firstRowFirstColumn="0" w:firstRowLastColumn="0" w:lastRowFirstColumn="0" w:lastRowLastColumn="0"/>
            <w:tcW w:w="2376" w:type="dxa"/>
          </w:tcPr>
          <w:p w14:paraId="0EFA3A4F" w14:textId="37D72D46" w:rsidR="00E22457" w:rsidRPr="002142B8" w:rsidRDefault="00E22457" w:rsidP="00E22457">
            <w:pPr>
              <w:rPr>
                <w:rStyle w:val="hps"/>
                <w:rFonts w:ascii="Georgia" w:hAnsi="Georgia" w:cs="Arial"/>
                <w:color w:val="222222"/>
                <w:sz w:val="20"/>
                <w:szCs w:val="20"/>
              </w:rPr>
            </w:pPr>
            <w:r w:rsidRPr="002142B8">
              <w:rPr>
                <w:rStyle w:val="hps"/>
                <w:rFonts w:ascii="Georgia" w:hAnsi="Georgia" w:cs="Arial"/>
                <w:color w:val="222222"/>
                <w:sz w:val="20"/>
                <w:szCs w:val="20"/>
              </w:rPr>
              <w:t>Dalis lėšų nukreipiama  į paskolų modelį dalis į garantijų priemonę su galimybę ateityje išpirkti ateities fina</w:t>
            </w:r>
            <w:r w:rsidR="00927881" w:rsidRPr="002142B8">
              <w:rPr>
                <w:rStyle w:val="hps"/>
                <w:rFonts w:ascii="Georgia" w:hAnsi="Georgia" w:cs="Arial"/>
                <w:color w:val="222222"/>
                <w:sz w:val="20"/>
                <w:szCs w:val="20"/>
              </w:rPr>
              <w:t>n</w:t>
            </w:r>
            <w:r w:rsidRPr="002142B8">
              <w:rPr>
                <w:rStyle w:val="hps"/>
                <w:rFonts w:ascii="Georgia" w:hAnsi="Georgia" w:cs="Arial"/>
                <w:color w:val="222222"/>
                <w:sz w:val="20"/>
                <w:szCs w:val="20"/>
              </w:rPr>
              <w:t>sinius srautus</w:t>
            </w:r>
          </w:p>
        </w:tc>
        <w:tc>
          <w:tcPr>
            <w:tcW w:w="3261" w:type="dxa"/>
          </w:tcPr>
          <w:p w14:paraId="6E65D419" w14:textId="552C6BB4" w:rsidR="00927881" w:rsidRPr="002142B8" w:rsidRDefault="00927881" w:rsidP="00927881">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Išnaudoja tiek paskolų ir garantijų priemonių privalomus</w:t>
            </w:r>
          </w:p>
          <w:p w14:paraId="4321C36A" w14:textId="7FD37614" w:rsidR="00927881" w:rsidRPr="002142B8" w:rsidRDefault="00927881" w:rsidP="00927881">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Paspartintas lėšų reinvestavimas  (paskolų dalies) </w:t>
            </w:r>
          </w:p>
          <w:p w14:paraId="309B93EF" w14:textId="1200C8BD" w:rsidR="00E22457" w:rsidRPr="002142B8" w:rsidRDefault="00E22457" w:rsidP="00927881">
            <w:pPr>
              <w:pStyle w:val="Sraopastraipa"/>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p>
        </w:tc>
        <w:tc>
          <w:tcPr>
            <w:tcW w:w="3544" w:type="dxa"/>
          </w:tcPr>
          <w:p w14:paraId="7A5EF33E" w14:textId="0B9120DD" w:rsidR="00E22457" w:rsidRPr="002142B8" w:rsidRDefault="00927881"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 xml:space="preserve">Papildoma </w:t>
            </w:r>
            <w:r w:rsidR="00D9139B" w:rsidRPr="002142B8">
              <w:rPr>
                <w:rStyle w:val="hps"/>
                <w:rFonts w:ascii="Georgia" w:hAnsi="Georgia" w:cs="Arial"/>
                <w:color w:val="222222"/>
                <w:sz w:val="20"/>
                <w:szCs w:val="20"/>
              </w:rPr>
              <w:t>administracinė</w:t>
            </w:r>
            <w:r w:rsidRPr="002142B8">
              <w:rPr>
                <w:rStyle w:val="hps"/>
                <w:rFonts w:ascii="Georgia" w:hAnsi="Georgia" w:cs="Arial"/>
                <w:color w:val="222222"/>
                <w:sz w:val="20"/>
                <w:szCs w:val="20"/>
              </w:rPr>
              <w:t xml:space="preserve"> našta dėl sudėtingos administravimo schemos. </w:t>
            </w:r>
          </w:p>
          <w:p w14:paraId="5B870A3E" w14:textId="49AB0B53" w:rsidR="00927881" w:rsidRPr="002142B8" w:rsidRDefault="00927881" w:rsidP="00E128B6">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2142B8">
              <w:rPr>
                <w:rStyle w:val="hps"/>
                <w:rFonts w:ascii="Georgia" w:hAnsi="Georgia" w:cs="Arial"/>
                <w:color w:val="222222"/>
                <w:sz w:val="20"/>
                <w:szCs w:val="20"/>
              </w:rPr>
              <w:t>Būtų susidurta su visais tiek paskolų, tiek garantijų priemonių tiek ir pas</w:t>
            </w:r>
            <w:r w:rsidR="00ED4ADE" w:rsidRPr="002142B8">
              <w:rPr>
                <w:rStyle w:val="hps"/>
                <w:rFonts w:ascii="Georgia" w:hAnsi="Georgia" w:cs="Arial"/>
                <w:color w:val="222222"/>
                <w:sz w:val="20"/>
                <w:szCs w:val="20"/>
              </w:rPr>
              <w:t>kolų išpirkimo modelių trūkumais nagrinėtais</w:t>
            </w:r>
            <w:r w:rsidRPr="002142B8">
              <w:rPr>
                <w:rStyle w:val="hps"/>
                <w:rFonts w:ascii="Georgia" w:hAnsi="Georgia" w:cs="Arial"/>
                <w:color w:val="222222"/>
                <w:sz w:val="20"/>
                <w:szCs w:val="20"/>
              </w:rPr>
              <w:t xml:space="preserve"> anksčiau.</w:t>
            </w:r>
          </w:p>
        </w:tc>
      </w:tr>
    </w:tbl>
    <w:p w14:paraId="6EC729F4" w14:textId="77777777" w:rsidR="00517619" w:rsidRPr="00EB3D2A" w:rsidRDefault="00517619" w:rsidP="0063781D">
      <w:pPr>
        <w:spacing w:after="160" w:line="240" w:lineRule="auto"/>
        <w:jc w:val="both"/>
        <w:rPr>
          <w:rFonts w:ascii="Georgia" w:eastAsia="Georgia" w:hAnsi="Georgia" w:cs="Arial Unicode MS"/>
          <w:i/>
          <w:iCs/>
          <w:color w:val="821A1A"/>
          <w:sz w:val="20"/>
          <w:szCs w:val="20"/>
        </w:rPr>
      </w:pPr>
      <w:r w:rsidRPr="00EB3D2A">
        <w:rPr>
          <w:rFonts w:ascii="Georgia" w:eastAsia="Georgia" w:hAnsi="Georgia" w:cs="Arial Unicode MS"/>
          <w:i/>
          <w:iCs/>
          <w:color w:val="821A1A"/>
          <w:sz w:val="20"/>
          <w:szCs w:val="20"/>
        </w:rPr>
        <w:t>Šaltinis: sudaryta autorių</w:t>
      </w:r>
    </w:p>
    <w:p w14:paraId="6CE8CB40" w14:textId="45AA3ED8" w:rsidR="007B305E" w:rsidRDefault="007B305E">
      <w:pPr>
        <w:rPr>
          <w:lang w:val="lt-LT"/>
        </w:rPr>
      </w:pPr>
      <w:r>
        <w:rPr>
          <w:lang w:val="lt-LT"/>
        </w:rPr>
        <w:br w:type="page"/>
      </w:r>
    </w:p>
    <w:p w14:paraId="42F115C8" w14:textId="315634C3" w:rsidR="002E7A5C" w:rsidRDefault="002E7A5C" w:rsidP="002E7A5C">
      <w:pPr>
        <w:pStyle w:val="Antrat2"/>
        <w:numPr>
          <w:ilvl w:val="3"/>
          <w:numId w:val="2"/>
        </w:numPr>
        <w:ind w:left="1134"/>
        <w:rPr>
          <w:lang w:val="lt-LT"/>
        </w:rPr>
      </w:pPr>
      <w:bookmarkStart w:id="266" w:name="_Toc503766300"/>
      <w:bookmarkStart w:id="267" w:name="_Toc503766856"/>
      <w:bookmarkStart w:id="268" w:name="_Toc503766988"/>
      <w:bookmarkStart w:id="269" w:name="_Toc25589930"/>
      <w:bookmarkEnd w:id="266"/>
      <w:bookmarkEnd w:id="267"/>
      <w:bookmarkEnd w:id="268"/>
      <w:r w:rsidRPr="002142B8">
        <w:rPr>
          <w:lang w:val="lt-LT"/>
        </w:rPr>
        <w:lastRenderedPageBreak/>
        <w:t xml:space="preserve">Centrinės valdžios </w:t>
      </w:r>
      <w:r w:rsidR="00A9390E" w:rsidRPr="002142B8">
        <w:rPr>
          <w:lang w:val="lt-LT"/>
        </w:rPr>
        <w:t xml:space="preserve">ir savivaldybių </w:t>
      </w:r>
      <w:r w:rsidRPr="002142B8">
        <w:rPr>
          <w:lang w:val="lt-LT"/>
        </w:rPr>
        <w:t>viešieji pastatai</w:t>
      </w:r>
      <w:bookmarkEnd w:id="269"/>
    </w:p>
    <w:tbl>
      <w:tblPr>
        <w:tblStyle w:val="LightList-Accent21"/>
        <w:tblW w:w="0" w:type="auto"/>
        <w:tblLook w:val="04A0" w:firstRow="1" w:lastRow="0" w:firstColumn="1" w:lastColumn="0" w:noHBand="0" w:noVBand="1"/>
      </w:tblPr>
      <w:tblGrid>
        <w:gridCol w:w="1809"/>
        <w:gridCol w:w="3544"/>
        <w:gridCol w:w="3827"/>
      </w:tblGrid>
      <w:tr w:rsidR="005A432A" w14:paraId="205418AC" w14:textId="77777777" w:rsidTr="005A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DC19089" w14:textId="77777777" w:rsidR="005A432A" w:rsidRPr="009A3B64" w:rsidRDefault="005A432A" w:rsidP="005A432A">
            <w:pPr>
              <w:jc w:val="both"/>
              <w:rPr>
                <w:rStyle w:val="hps"/>
                <w:rFonts w:ascii="Georgia" w:hAnsi="Georgia" w:cs="Arial"/>
                <w:color w:val="FFFFFF" w:themeColor="background1"/>
                <w:sz w:val="20"/>
                <w:szCs w:val="20"/>
              </w:rPr>
            </w:pPr>
            <w:r w:rsidRPr="009A3B64">
              <w:rPr>
                <w:rStyle w:val="hps"/>
                <w:rFonts w:ascii="Georgia" w:hAnsi="Georgia" w:cs="Arial"/>
                <w:color w:val="FFFFFF" w:themeColor="background1"/>
                <w:sz w:val="20"/>
                <w:szCs w:val="20"/>
              </w:rPr>
              <w:t>Scenarijus</w:t>
            </w:r>
          </w:p>
        </w:tc>
        <w:tc>
          <w:tcPr>
            <w:tcW w:w="3544" w:type="dxa"/>
          </w:tcPr>
          <w:p w14:paraId="55D2949C" w14:textId="77777777" w:rsidR="005A432A" w:rsidRPr="009A3B64"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FFFFFF" w:themeColor="background1"/>
                <w:sz w:val="20"/>
                <w:szCs w:val="20"/>
              </w:rPr>
            </w:pPr>
            <w:r w:rsidRPr="009A3B64">
              <w:rPr>
                <w:rStyle w:val="hps"/>
                <w:rFonts w:ascii="Georgia" w:hAnsi="Georgia" w:cs="Arial"/>
                <w:color w:val="FFFFFF" w:themeColor="background1"/>
                <w:sz w:val="20"/>
                <w:szCs w:val="20"/>
              </w:rPr>
              <w:t>Privalumai</w:t>
            </w:r>
          </w:p>
        </w:tc>
        <w:tc>
          <w:tcPr>
            <w:tcW w:w="3827" w:type="dxa"/>
          </w:tcPr>
          <w:p w14:paraId="0A9C1165" w14:textId="77777777" w:rsidR="005A432A" w:rsidRPr="009A3B64"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FFFFFF" w:themeColor="background1"/>
                <w:sz w:val="20"/>
                <w:szCs w:val="20"/>
              </w:rPr>
            </w:pPr>
            <w:r w:rsidRPr="009A3B64">
              <w:rPr>
                <w:rStyle w:val="hps"/>
                <w:rFonts w:ascii="Georgia" w:hAnsi="Georgia" w:cs="Arial"/>
                <w:color w:val="FFFFFF" w:themeColor="background1"/>
                <w:sz w:val="20"/>
                <w:szCs w:val="20"/>
              </w:rPr>
              <w:t>Trūkumai</w:t>
            </w:r>
          </w:p>
        </w:tc>
      </w:tr>
      <w:tr w:rsidR="005A432A" w14:paraId="4B3E4AED"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543552D" w14:textId="77777777" w:rsidR="005A432A" w:rsidRPr="00933D48" w:rsidRDefault="005A432A" w:rsidP="005A432A">
            <w:pPr>
              <w:rPr>
                <w:rStyle w:val="hps"/>
                <w:rFonts w:ascii="Georgia" w:hAnsi="Georgia" w:cs="Arial"/>
                <w:color w:val="222222"/>
                <w:sz w:val="20"/>
                <w:szCs w:val="20"/>
              </w:rPr>
            </w:pPr>
            <w:r>
              <w:rPr>
                <w:rStyle w:val="hps"/>
                <w:rFonts w:ascii="Georgia" w:hAnsi="Georgia" w:cs="Arial"/>
                <w:color w:val="222222"/>
                <w:sz w:val="20"/>
                <w:szCs w:val="20"/>
              </w:rPr>
              <w:t>P</w:t>
            </w:r>
            <w:r w:rsidRPr="00933D48">
              <w:rPr>
                <w:rStyle w:val="hps"/>
                <w:rFonts w:ascii="Georgia" w:hAnsi="Georgia" w:cs="Arial"/>
                <w:color w:val="222222"/>
                <w:sz w:val="20"/>
                <w:szCs w:val="20"/>
              </w:rPr>
              <w:t>askol</w:t>
            </w:r>
            <w:r>
              <w:rPr>
                <w:rStyle w:val="hps"/>
                <w:rFonts w:ascii="Georgia" w:hAnsi="Georgia" w:cs="Arial"/>
                <w:color w:val="222222"/>
                <w:sz w:val="20"/>
                <w:szCs w:val="20"/>
              </w:rPr>
              <w:t>a</w:t>
            </w:r>
          </w:p>
        </w:tc>
        <w:tc>
          <w:tcPr>
            <w:tcW w:w="3544" w:type="dxa"/>
          </w:tcPr>
          <w:p w14:paraId="13277F42"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Paprasčiausia, žinomiausia ir rinkoje suprantamiausia finansavimo forma</w:t>
            </w:r>
          </w:p>
          <w:p w14:paraId="6D49CDA2"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Patirtis administruojant panašias finansines priemones (JESSICA)</w:t>
            </w:r>
          </w:p>
          <w:p w14:paraId="4362A4B5" w14:textId="77777777" w:rsidR="005A432A" w:rsidRPr="002248D1" w:rsidRDefault="005A432A" w:rsidP="005A432A">
            <w:pPr>
              <w:ind w:left="360"/>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en-US"/>
              </w:rPr>
            </w:pPr>
          </w:p>
        </w:tc>
        <w:tc>
          <w:tcPr>
            <w:tcW w:w="3827" w:type="dxa"/>
          </w:tcPr>
          <w:p w14:paraId="3A557A1D"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Santykinai lėtas lėšų grįžimas ir pakartotinis panaudojimas</w:t>
            </w:r>
          </w:p>
          <w:p w14:paraId="7C3A7383"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Finansinių priemonių valdytojams gali reikėti vertinti kiekvieną projektą atskirai</w:t>
            </w:r>
          </w:p>
          <w:p w14:paraId="696E65A5" w14:textId="77777777" w:rsidR="005A432A" w:rsidRPr="00E31CDC"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Mažesnis potencialas pritraukti papildomų lėšų dėl didesnės rizikos bankams</w:t>
            </w:r>
          </w:p>
        </w:tc>
      </w:tr>
      <w:tr w:rsidR="005A432A" w14:paraId="7907D06D" w14:textId="77777777" w:rsidTr="005A432A">
        <w:tc>
          <w:tcPr>
            <w:cnfStyle w:val="001000000000" w:firstRow="0" w:lastRow="0" w:firstColumn="1" w:lastColumn="0" w:oddVBand="0" w:evenVBand="0" w:oddHBand="0" w:evenHBand="0" w:firstRowFirstColumn="0" w:firstRowLastColumn="0" w:lastRowFirstColumn="0" w:lastRowLastColumn="0"/>
            <w:tcW w:w="1809" w:type="dxa"/>
          </w:tcPr>
          <w:p w14:paraId="2FCD33BA" w14:textId="77777777" w:rsidR="005A432A" w:rsidRPr="00933D48" w:rsidRDefault="005A432A" w:rsidP="005A432A">
            <w:pPr>
              <w:rPr>
                <w:rStyle w:val="hps"/>
                <w:rFonts w:ascii="Georgia" w:hAnsi="Georgia" w:cs="Arial"/>
                <w:color w:val="222222"/>
                <w:sz w:val="20"/>
                <w:szCs w:val="20"/>
              </w:rPr>
            </w:pPr>
            <w:r>
              <w:rPr>
                <w:rStyle w:val="hps"/>
                <w:rFonts w:ascii="Georgia" w:hAnsi="Georgia" w:cs="Arial"/>
                <w:color w:val="222222"/>
                <w:sz w:val="20"/>
                <w:szCs w:val="20"/>
              </w:rPr>
              <w:t>Paskolos</w:t>
            </w:r>
            <w:r w:rsidRPr="00933D48">
              <w:rPr>
                <w:rStyle w:val="hps"/>
                <w:rFonts w:ascii="Georgia" w:hAnsi="Georgia" w:cs="Arial"/>
                <w:color w:val="222222"/>
                <w:sz w:val="20"/>
                <w:szCs w:val="20"/>
              </w:rPr>
              <w:t xml:space="preserve"> </w:t>
            </w:r>
            <w:r>
              <w:rPr>
                <w:rStyle w:val="hps"/>
                <w:rFonts w:ascii="Georgia" w:hAnsi="Georgia" w:cs="Arial"/>
                <w:color w:val="222222"/>
                <w:sz w:val="20"/>
                <w:szCs w:val="20"/>
              </w:rPr>
              <w:t>teikimas taikant paskolų išpirkimo modelį</w:t>
            </w:r>
          </w:p>
        </w:tc>
        <w:tc>
          <w:tcPr>
            <w:tcW w:w="3544" w:type="dxa"/>
          </w:tcPr>
          <w:p w14:paraId="6E4620F0"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Visi išvardinti aukščiau plius</w:t>
            </w:r>
          </w:p>
          <w:p w14:paraId="136A8423"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Paspartintas lėšų reinvestavimas  </w:t>
            </w:r>
          </w:p>
          <w:p w14:paraId="785BEA62" w14:textId="77777777" w:rsidR="005A432A" w:rsidRPr="00E31CDC"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Sumažinama lėšų praradimo rizika </w:t>
            </w:r>
          </w:p>
        </w:tc>
        <w:tc>
          <w:tcPr>
            <w:tcW w:w="3827" w:type="dxa"/>
          </w:tcPr>
          <w:p w14:paraId="793BB03A"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Privalo susiformuoti pakankamas projektų srautas norint taikyti tokį modelį</w:t>
            </w:r>
          </w:p>
          <w:p w14:paraId="01E4A061"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Reikalaujantis laiko procesas</w:t>
            </w:r>
          </w:p>
          <w:p w14:paraId="3AE94DBB"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Lietuvoje nėra tokio modelio pavyzdžių</w:t>
            </w:r>
          </w:p>
          <w:p w14:paraId="2357C406" w14:textId="77777777" w:rsidR="005A432A" w:rsidRPr="00E31CDC"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Reikalingas išankstinis investuotojų įtraukimas, siekiant, kad paskolos tiktų perpirkimui</w:t>
            </w:r>
          </w:p>
        </w:tc>
      </w:tr>
      <w:tr w:rsidR="005A432A" w14:paraId="5F95DFC4"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BD3D2EB" w14:textId="77777777" w:rsidR="005A432A" w:rsidRPr="00933D48" w:rsidRDefault="005A432A" w:rsidP="005A432A">
            <w:pPr>
              <w:rPr>
                <w:rStyle w:val="hps"/>
                <w:rFonts w:ascii="Georgia" w:hAnsi="Georgia" w:cs="Arial"/>
                <w:color w:val="222222"/>
                <w:sz w:val="20"/>
                <w:szCs w:val="20"/>
              </w:rPr>
            </w:pPr>
            <w:r>
              <w:rPr>
                <w:rStyle w:val="hps"/>
                <w:rFonts w:ascii="Georgia" w:hAnsi="Georgia" w:cs="Arial"/>
                <w:color w:val="222222"/>
                <w:sz w:val="20"/>
                <w:szCs w:val="20"/>
              </w:rPr>
              <w:t>Paskolų teikimas taikant asimetrinės rizikos pasidalijimo modelį</w:t>
            </w:r>
          </w:p>
        </w:tc>
        <w:tc>
          <w:tcPr>
            <w:tcW w:w="3544" w:type="dxa"/>
          </w:tcPr>
          <w:p w14:paraId="484F5BCF"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Skatina asimetrinį rizikų pasidalijimą, naudojant ESI lėšas pirmiems nuostoliams dengti, o tai leidžia lengviau pritraukti privatų kapitalą</w:t>
            </w:r>
          </w:p>
          <w:p w14:paraId="2781F742"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Dėl didesnio rizikų prisiėmimo viešosiomis lėšomis galima tikėtis geresnių rezultatų</w:t>
            </w:r>
          </w:p>
          <w:p w14:paraId="3FF75766"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066631">
              <w:rPr>
                <w:rStyle w:val="hps"/>
                <w:rFonts w:ascii="Georgia" w:hAnsi="Georgia" w:cs="Arial"/>
                <w:color w:val="222222"/>
                <w:sz w:val="20"/>
                <w:szCs w:val="20"/>
              </w:rPr>
              <w:t xml:space="preserve">Ribojama </w:t>
            </w:r>
            <w:r>
              <w:rPr>
                <w:rStyle w:val="hps"/>
                <w:rFonts w:ascii="Georgia" w:hAnsi="Georgia" w:cs="Arial"/>
                <w:color w:val="222222"/>
                <w:sz w:val="20"/>
                <w:szCs w:val="20"/>
              </w:rPr>
              <w:t>privačių rinkos</w:t>
            </w:r>
            <w:r w:rsidRPr="00066631">
              <w:rPr>
                <w:rStyle w:val="hps"/>
                <w:rFonts w:ascii="Georgia" w:hAnsi="Georgia" w:cs="Arial"/>
                <w:color w:val="222222"/>
                <w:sz w:val="20"/>
                <w:szCs w:val="20"/>
              </w:rPr>
              <w:t xml:space="preserve"> dalyvių rizika skatina papildomų lėšų pritraukimą</w:t>
            </w:r>
          </w:p>
          <w:p w14:paraId="0EE0B548" w14:textId="216A9C95" w:rsidR="005A432A" w:rsidRPr="00E31CDC" w:rsidRDefault="005A432A" w:rsidP="0063653E">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Lietuvoje yra sėkmingų tokio modelio pavyzdžių (</w:t>
            </w:r>
            <w:r w:rsidR="0063653E">
              <w:rPr>
                <w:rStyle w:val="hps"/>
                <w:rFonts w:ascii="Georgia" w:hAnsi="Georgia" w:cs="Arial"/>
                <w:color w:val="222222"/>
                <w:sz w:val="20"/>
                <w:szCs w:val="20"/>
              </w:rPr>
              <w:t xml:space="preserve">pvz. </w:t>
            </w:r>
            <w:r>
              <w:rPr>
                <w:rStyle w:val="hps"/>
                <w:rFonts w:ascii="Georgia" w:hAnsi="Georgia" w:cs="Arial"/>
                <w:color w:val="222222"/>
                <w:sz w:val="20"/>
                <w:szCs w:val="20"/>
              </w:rPr>
              <w:t>Jessica)</w:t>
            </w:r>
          </w:p>
        </w:tc>
        <w:tc>
          <w:tcPr>
            <w:tcW w:w="3827" w:type="dxa"/>
          </w:tcPr>
          <w:p w14:paraId="5D973ABC"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Valstybė prisiima didžiausią projektų riziką, dėl ko atsiranda didesnis potencialas mažėti viešųjų lėšų apimčiai</w:t>
            </w:r>
          </w:p>
          <w:p w14:paraId="0DB52540" w14:textId="77777777" w:rsidR="005A432A" w:rsidRPr="00B172D6"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Sudėtingi valstybės pagalbos derinimo elementai</w:t>
            </w:r>
          </w:p>
          <w:p w14:paraId="7962D1C0"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Nusprendus teikti subsidiją iš fondo lėšų, tikėtina, jog bankai mažintų savo prisidėjimo dalį</w:t>
            </w:r>
          </w:p>
          <w:p w14:paraId="5F15BA38" w14:textId="77777777" w:rsidR="005A432A" w:rsidRPr="00BD6168" w:rsidRDefault="005A432A" w:rsidP="005A432A">
            <w:p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BD6168">
              <w:rPr>
                <w:rStyle w:val="hps"/>
                <w:rFonts w:ascii="Georgia" w:hAnsi="Georgia" w:cs="Arial"/>
                <w:color w:val="222222"/>
                <w:sz w:val="20"/>
                <w:szCs w:val="20"/>
              </w:rPr>
              <w:t xml:space="preserve"> </w:t>
            </w:r>
          </w:p>
        </w:tc>
      </w:tr>
      <w:tr w:rsidR="005A432A" w14:paraId="7CBC0682" w14:textId="77777777" w:rsidTr="005A432A">
        <w:tc>
          <w:tcPr>
            <w:cnfStyle w:val="001000000000" w:firstRow="0" w:lastRow="0" w:firstColumn="1" w:lastColumn="0" w:oddVBand="0" w:evenVBand="0" w:oddHBand="0" w:evenHBand="0" w:firstRowFirstColumn="0" w:firstRowLastColumn="0" w:lastRowFirstColumn="0" w:lastRowLastColumn="0"/>
            <w:tcW w:w="1809" w:type="dxa"/>
          </w:tcPr>
          <w:p w14:paraId="13B651D9" w14:textId="77777777" w:rsidR="005A432A" w:rsidRDefault="005A432A" w:rsidP="005A432A">
            <w:pPr>
              <w:jc w:val="both"/>
              <w:rPr>
                <w:rStyle w:val="hps"/>
                <w:rFonts w:ascii="Georgia" w:hAnsi="Georgia" w:cs="Arial"/>
                <w:color w:val="222222"/>
                <w:sz w:val="20"/>
                <w:szCs w:val="20"/>
              </w:rPr>
            </w:pPr>
            <w:r>
              <w:rPr>
                <w:rStyle w:val="hps"/>
                <w:rFonts w:ascii="Georgia" w:hAnsi="Georgia" w:cs="Arial"/>
                <w:color w:val="222222"/>
                <w:sz w:val="20"/>
                <w:szCs w:val="20"/>
              </w:rPr>
              <w:t>Garantijos</w:t>
            </w:r>
          </w:p>
        </w:tc>
        <w:tc>
          <w:tcPr>
            <w:tcW w:w="3544" w:type="dxa"/>
          </w:tcPr>
          <w:p w14:paraId="546EBE08"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Sumažina bankų riziką</w:t>
            </w:r>
          </w:p>
          <w:p w14:paraId="377D2EB2"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Lyginant su paskolomis reikalauja mažiausiai pradinių lėšų</w:t>
            </w:r>
          </w:p>
          <w:p w14:paraId="58752AD2" w14:textId="77777777" w:rsidR="005A432A" w:rsidRPr="00E31CDC"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Nereikalauja iš galutinių naudos gavėjų pilno užstato</w:t>
            </w:r>
          </w:p>
        </w:tc>
        <w:tc>
          <w:tcPr>
            <w:tcW w:w="3827" w:type="dxa"/>
          </w:tcPr>
          <w:p w14:paraId="21F8910F"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Garantijų priemonė bankams nėra patraukli</w:t>
            </w:r>
          </w:p>
          <w:p w14:paraId="57E1ACF6"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Įgyvendinimas galėtų ilgai užtrukti, dėl poreikio pertvarkyti vidinius bankų procesus</w:t>
            </w:r>
          </w:p>
          <w:p w14:paraId="07B54245"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Paskolų istorijos trūkumas</w:t>
            </w:r>
          </w:p>
          <w:p w14:paraId="4FBC0FEE" w14:textId="77777777" w:rsidR="005A432A" w:rsidRPr="00CD7FE5"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Sunku įvertinti garantinį dydį</w:t>
            </w:r>
          </w:p>
        </w:tc>
      </w:tr>
    </w:tbl>
    <w:p w14:paraId="54529C64" w14:textId="77777777" w:rsidR="005A432A" w:rsidRPr="00EB3D2A" w:rsidRDefault="005A432A" w:rsidP="005A432A">
      <w:pPr>
        <w:spacing w:after="160" w:line="240" w:lineRule="auto"/>
        <w:jc w:val="both"/>
        <w:rPr>
          <w:rFonts w:ascii="Georgia" w:eastAsia="Georgia" w:hAnsi="Georgia" w:cs="Arial Unicode MS"/>
          <w:i/>
          <w:iCs/>
          <w:color w:val="821A1A"/>
          <w:sz w:val="20"/>
          <w:szCs w:val="20"/>
        </w:rPr>
      </w:pPr>
      <w:r w:rsidRPr="00EB3D2A">
        <w:rPr>
          <w:rFonts w:ascii="Georgia" w:eastAsia="Georgia" w:hAnsi="Georgia" w:cs="Arial Unicode MS"/>
          <w:i/>
          <w:iCs/>
          <w:color w:val="821A1A"/>
          <w:sz w:val="20"/>
          <w:szCs w:val="20"/>
        </w:rPr>
        <w:t>Šaltinis: sudaryta autorių</w:t>
      </w:r>
    </w:p>
    <w:p w14:paraId="00468937" w14:textId="77777777" w:rsidR="005A432A" w:rsidRDefault="005A432A" w:rsidP="005A432A">
      <w:pPr>
        <w:jc w:val="both"/>
        <w:rPr>
          <w:rStyle w:val="hps"/>
          <w:rFonts w:ascii="Georgia" w:hAnsi="Georgia" w:cs="Arial"/>
          <w:color w:val="222222"/>
          <w:sz w:val="20"/>
          <w:szCs w:val="20"/>
          <w:lang w:val="lt-LT"/>
        </w:rPr>
      </w:pPr>
      <w:r>
        <w:rPr>
          <w:rStyle w:val="hps"/>
          <w:rFonts w:ascii="Georgia" w:hAnsi="Georgia" w:cs="Arial"/>
          <w:color w:val="222222"/>
          <w:sz w:val="20"/>
          <w:szCs w:val="20"/>
        </w:rPr>
        <w:t>Atsižvelgus į priežastis aptartas 4.1.2 dalies pabaigoje, buvo pasi</w:t>
      </w:r>
      <w:r>
        <w:rPr>
          <w:rStyle w:val="hps"/>
          <w:rFonts w:ascii="Georgia" w:hAnsi="Georgia" w:cs="Arial"/>
          <w:color w:val="222222"/>
          <w:sz w:val="20"/>
          <w:szCs w:val="20"/>
          <w:lang w:val="lt-LT"/>
        </w:rPr>
        <w:t xml:space="preserve">ūlyta taikyti </w:t>
      </w:r>
      <w:r>
        <w:rPr>
          <w:rStyle w:val="hps"/>
          <w:rFonts w:ascii="Georgia" w:hAnsi="Georgia" w:cs="Arial"/>
          <w:color w:val="222222"/>
          <w:sz w:val="20"/>
          <w:szCs w:val="20"/>
        </w:rPr>
        <w:t>40 proc. dydžio subsidiją, s</w:t>
      </w:r>
      <w:r>
        <w:rPr>
          <w:rStyle w:val="hps"/>
          <w:rFonts w:ascii="Georgia" w:hAnsi="Georgia" w:cs="Arial"/>
          <w:color w:val="222222"/>
          <w:sz w:val="20"/>
          <w:szCs w:val="20"/>
          <w:lang w:val="lt-LT"/>
        </w:rPr>
        <w:t xml:space="preserve">iekiant laiku </w:t>
      </w:r>
      <w:r>
        <w:rPr>
          <w:rStyle w:val="hps"/>
          <w:rFonts w:ascii="Georgia" w:hAnsi="Georgia" w:cs="Arial"/>
          <w:color w:val="222222"/>
          <w:sz w:val="20"/>
          <w:szCs w:val="20"/>
        </w:rPr>
        <w:t xml:space="preserve">įgyvendinti ES energijos efektyvumo direktyvos nuostatas ir </w:t>
      </w:r>
      <w:r>
        <w:rPr>
          <w:rStyle w:val="hps"/>
          <w:rFonts w:ascii="Georgia" w:hAnsi="Georgia" w:cs="Arial"/>
          <w:color w:val="222222"/>
          <w:sz w:val="20"/>
          <w:szCs w:val="20"/>
          <w:lang w:val="lt-LT"/>
        </w:rPr>
        <w:t>paskatinti rinką formuojant centrinės valdžios renovacijos projektų srautą, kuris padėtų ateityje pritraukiant papildomų finansavimo šaltinių.</w:t>
      </w:r>
    </w:p>
    <w:p w14:paraId="2D0AB123" w14:textId="03DACC17" w:rsidR="007B305E" w:rsidRDefault="005A432A" w:rsidP="005A432A">
      <w:pPr>
        <w:jc w:val="both"/>
        <w:rPr>
          <w:rStyle w:val="hps"/>
          <w:rFonts w:ascii="Georgia" w:hAnsi="Georgia" w:cs="Arial"/>
          <w:color w:val="222222"/>
          <w:sz w:val="20"/>
          <w:szCs w:val="20"/>
        </w:rPr>
      </w:pPr>
      <w:r>
        <w:rPr>
          <w:rStyle w:val="hps"/>
          <w:rFonts w:ascii="Georgia" w:hAnsi="Georgia" w:cs="Arial"/>
          <w:color w:val="222222"/>
          <w:sz w:val="20"/>
          <w:szCs w:val="20"/>
          <w:lang w:val="lt-LT"/>
        </w:rPr>
        <w:t>Dėl to</w:t>
      </w:r>
      <w:r>
        <w:rPr>
          <w:rStyle w:val="hps"/>
          <w:rFonts w:ascii="Georgia" w:hAnsi="Georgia" w:cs="Arial"/>
          <w:color w:val="222222"/>
          <w:sz w:val="20"/>
          <w:szCs w:val="20"/>
        </w:rPr>
        <w:t xml:space="preserve"> visas keturias </w:t>
      </w:r>
      <w:r>
        <w:rPr>
          <w:rStyle w:val="hps"/>
          <w:rFonts w:ascii="Georgia" w:hAnsi="Georgia" w:cs="Arial"/>
          <w:color w:val="222222"/>
          <w:sz w:val="20"/>
          <w:szCs w:val="20"/>
          <w:lang w:val="lt-LT"/>
        </w:rPr>
        <w:t xml:space="preserve">aukščiau paminėtas alternatyvas siūloma derinti su subsidijų arba </w:t>
      </w:r>
      <w:r w:rsidR="0022230B">
        <w:rPr>
          <w:rStyle w:val="hps"/>
          <w:rFonts w:ascii="Georgia" w:hAnsi="Georgia" w:cs="Arial"/>
          <w:color w:val="222222"/>
          <w:sz w:val="20"/>
          <w:szCs w:val="20"/>
          <w:lang w:val="lt-LT"/>
        </w:rPr>
        <w:t xml:space="preserve">grąžinamųjų </w:t>
      </w:r>
      <w:r>
        <w:rPr>
          <w:rStyle w:val="hps"/>
          <w:rFonts w:ascii="Georgia" w:hAnsi="Georgia" w:cs="Arial"/>
          <w:color w:val="222222"/>
          <w:sz w:val="20"/>
          <w:szCs w:val="20"/>
          <w:lang w:val="lt-LT"/>
        </w:rPr>
        <w:t xml:space="preserve">subsidijų parama. Žemiau lentelėje pateikti paprastos ir </w:t>
      </w:r>
      <w:r w:rsidR="0022230B">
        <w:rPr>
          <w:rStyle w:val="hps"/>
          <w:rFonts w:ascii="Georgia" w:hAnsi="Georgia" w:cs="Arial"/>
          <w:color w:val="222222"/>
          <w:sz w:val="20"/>
          <w:szCs w:val="20"/>
          <w:lang w:val="lt-LT"/>
        </w:rPr>
        <w:t xml:space="preserve">grąžinamosios </w:t>
      </w:r>
      <w:r>
        <w:rPr>
          <w:rStyle w:val="hps"/>
          <w:rFonts w:ascii="Georgia" w:hAnsi="Georgia" w:cs="Arial"/>
          <w:color w:val="222222"/>
          <w:sz w:val="20"/>
          <w:szCs w:val="20"/>
          <w:lang w:val="lt-LT"/>
        </w:rPr>
        <w:t>subsidijos pagrindiniai privalumai ir trūkumai palyginamumo ir derinimo su finansinėmis priemonėmis tikslais</w:t>
      </w:r>
      <w:r>
        <w:rPr>
          <w:rStyle w:val="hps"/>
          <w:rFonts w:ascii="Georgia" w:hAnsi="Georgia" w:cs="Arial"/>
          <w:color w:val="222222"/>
          <w:sz w:val="20"/>
          <w:szCs w:val="20"/>
        </w:rPr>
        <w:t xml:space="preserve">. </w:t>
      </w:r>
    </w:p>
    <w:p w14:paraId="6B6383A0" w14:textId="77777777" w:rsidR="007B305E" w:rsidRDefault="007B305E">
      <w:pPr>
        <w:rPr>
          <w:rStyle w:val="hps"/>
          <w:rFonts w:ascii="Georgia" w:hAnsi="Georgia" w:cs="Arial"/>
          <w:color w:val="222222"/>
          <w:sz w:val="20"/>
          <w:szCs w:val="20"/>
        </w:rPr>
      </w:pPr>
      <w:r>
        <w:rPr>
          <w:rStyle w:val="hps"/>
          <w:rFonts w:ascii="Georgia" w:hAnsi="Georgia" w:cs="Arial"/>
          <w:color w:val="222222"/>
          <w:sz w:val="20"/>
          <w:szCs w:val="20"/>
        </w:rPr>
        <w:br w:type="page"/>
      </w:r>
    </w:p>
    <w:p w14:paraId="41EE37DB" w14:textId="77777777" w:rsidR="005A432A" w:rsidRDefault="005A432A" w:rsidP="005A432A">
      <w:pPr>
        <w:jc w:val="both"/>
        <w:rPr>
          <w:rStyle w:val="hps"/>
          <w:rFonts w:ascii="Georgia" w:hAnsi="Georgia" w:cs="Arial"/>
          <w:color w:val="222222"/>
          <w:sz w:val="20"/>
          <w:szCs w:val="20"/>
        </w:rPr>
      </w:pPr>
    </w:p>
    <w:tbl>
      <w:tblPr>
        <w:tblStyle w:val="LightList-Accent21"/>
        <w:tblW w:w="0" w:type="auto"/>
        <w:tblLook w:val="04A0" w:firstRow="1" w:lastRow="0" w:firstColumn="1" w:lastColumn="0" w:noHBand="0" w:noVBand="1"/>
      </w:tblPr>
      <w:tblGrid>
        <w:gridCol w:w="1504"/>
        <w:gridCol w:w="3795"/>
        <w:gridCol w:w="3943"/>
      </w:tblGrid>
      <w:tr w:rsidR="005A432A" w14:paraId="14D0071B" w14:textId="77777777" w:rsidTr="00CB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E3A615D" w14:textId="77777777" w:rsidR="005A432A" w:rsidRPr="009A3B64" w:rsidRDefault="005A432A" w:rsidP="005A432A">
            <w:pPr>
              <w:jc w:val="both"/>
              <w:rPr>
                <w:rStyle w:val="hps"/>
                <w:rFonts w:ascii="Georgia" w:hAnsi="Georgia" w:cs="Arial"/>
                <w:color w:val="FFFFFF" w:themeColor="background1"/>
                <w:sz w:val="20"/>
                <w:szCs w:val="20"/>
              </w:rPr>
            </w:pPr>
            <w:r>
              <w:rPr>
                <w:rStyle w:val="hps"/>
                <w:rFonts w:ascii="Georgia" w:hAnsi="Georgia" w:cs="Arial"/>
                <w:color w:val="FFFFFF" w:themeColor="background1"/>
                <w:sz w:val="20"/>
                <w:szCs w:val="20"/>
              </w:rPr>
              <w:t>Paramos priemonė</w:t>
            </w:r>
          </w:p>
        </w:tc>
        <w:tc>
          <w:tcPr>
            <w:tcW w:w="3828" w:type="dxa"/>
          </w:tcPr>
          <w:p w14:paraId="70B5DFE2" w14:textId="77777777" w:rsidR="005A432A" w:rsidRPr="009A3B64"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FFFFFF" w:themeColor="background1"/>
                <w:sz w:val="20"/>
                <w:szCs w:val="20"/>
              </w:rPr>
            </w:pPr>
            <w:r w:rsidRPr="009A3B64">
              <w:rPr>
                <w:rStyle w:val="hps"/>
                <w:rFonts w:ascii="Georgia" w:hAnsi="Georgia" w:cs="Arial"/>
                <w:color w:val="FFFFFF" w:themeColor="background1"/>
                <w:sz w:val="20"/>
                <w:szCs w:val="20"/>
              </w:rPr>
              <w:t>Privalumai</w:t>
            </w:r>
          </w:p>
        </w:tc>
        <w:tc>
          <w:tcPr>
            <w:tcW w:w="3981" w:type="dxa"/>
          </w:tcPr>
          <w:p w14:paraId="0C5ADCA9" w14:textId="77777777" w:rsidR="005A432A" w:rsidRPr="009A3B64"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FFFFFF" w:themeColor="background1"/>
                <w:sz w:val="20"/>
                <w:szCs w:val="20"/>
              </w:rPr>
            </w:pPr>
            <w:r w:rsidRPr="009A3B64">
              <w:rPr>
                <w:rStyle w:val="hps"/>
                <w:rFonts w:ascii="Georgia" w:hAnsi="Georgia" w:cs="Arial"/>
                <w:color w:val="FFFFFF" w:themeColor="background1"/>
                <w:sz w:val="20"/>
                <w:szCs w:val="20"/>
              </w:rPr>
              <w:t>Trūkumai</w:t>
            </w:r>
          </w:p>
        </w:tc>
      </w:tr>
      <w:tr w:rsidR="005A432A" w14:paraId="41DA3B67" w14:textId="77777777" w:rsidTr="00CB0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BAD43C5" w14:textId="77777777" w:rsidR="005A432A" w:rsidRPr="00933D48" w:rsidRDefault="005A432A" w:rsidP="005A432A">
            <w:pPr>
              <w:rPr>
                <w:rStyle w:val="hps"/>
                <w:rFonts w:ascii="Georgia" w:hAnsi="Georgia" w:cs="Arial"/>
                <w:color w:val="222222"/>
                <w:sz w:val="20"/>
                <w:szCs w:val="20"/>
              </w:rPr>
            </w:pPr>
            <w:r>
              <w:rPr>
                <w:rStyle w:val="hps"/>
                <w:rFonts w:ascii="Georgia" w:hAnsi="Georgia" w:cs="Arial"/>
                <w:color w:val="222222"/>
                <w:sz w:val="20"/>
                <w:szCs w:val="20"/>
              </w:rPr>
              <w:t>Paprasta subsidija</w:t>
            </w:r>
          </w:p>
        </w:tc>
        <w:tc>
          <w:tcPr>
            <w:tcW w:w="3828" w:type="dxa"/>
          </w:tcPr>
          <w:p w14:paraId="110D8F72"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Lengvai padeda didinti kompetencijas ir sektoriuje vykstančių projektų žinomumą</w:t>
            </w:r>
          </w:p>
          <w:p w14:paraId="5044C8B4"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Įsisavinimo greitumas</w:t>
            </w:r>
          </w:p>
          <w:p w14:paraId="79D47562"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Derinimo galimybės su finansinėmis priemonėmis</w:t>
            </w:r>
          </w:p>
          <w:p w14:paraId="66A82231"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Leidžia įgyvendinti projektus, kurie finansiškai yra neatsiperkantys</w:t>
            </w:r>
          </w:p>
          <w:p w14:paraId="5B3499BA" w14:textId="77777777" w:rsidR="005A432A" w:rsidRPr="00E31CDC"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Pažįstama paramos forma galutiniam naudos gavėjui iš ankstesnio </w:t>
            </w:r>
            <w:r>
              <w:rPr>
                <w:rStyle w:val="hps"/>
                <w:rFonts w:ascii="Georgia" w:hAnsi="Georgia" w:cs="Arial"/>
                <w:color w:val="222222"/>
                <w:sz w:val="20"/>
                <w:szCs w:val="20"/>
                <w:lang w:val="en-US"/>
              </w:rPr>
              <w:t>2007-2013m. periodo</w:t>
            </w:r>
          </w:p>
        </w:tc>
        <w:tc>
          <w:tcPr>
            <w:tcW w:w="3981" w:type="dxa"/>
          </w:tcPr>
          <w:p w14:paraId="0BFA4BF1"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Lėšos negali būti panaudotos pakartotinai, todėl jų trūks įgyvendinant užsibrėžtus energijos efektyvumo tikslus ateityje (ilgame laikotarpyje)</w:t>
            </w:r>
          </w:p>
          <w:p w14:paraId="1C400816"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Skatina neatsakingą skolinimąsi, nes nereikalauja grąžinti</w:t>
            </w:r>
          </w:p>
          <w:p w14:paraId="5F82FBEC" w14:textId="158A0C69"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Naudojant tiem</w:t>
            </w:r>
            <w:r w:rsidR="0037266E">
              <w:rPr>
                <w:rStyle w:val="hps"/>
                <w:rFonts w:ascii="Georgia" w:hAnsi="Georgia" w:cs="Arial"/>
                <w:color w:val="222222"/>
                <w:sz w:val="20"/>
                <w:szCs w:val="20"/>
              </w:rPr>
              <w:t>s</w:t>
            </w:r>
            <w:r>
              <w:rPr>
                <w:rStyle w:val="hps"/>
                <w:rFonts w:ascii="Georgia" w:hAnsi="Georgia" w:cs="Arial"/>
                <w:color w:val="222222"/>
                <w:sz w:val="20"/>
                <w:szCs w:val="20"/>
              </w:rPr>
              <w:t xml:space="preserve"> patiems tiksliniams naudos gavėjams mažina finansinių priemonių patrauklumą</w:t>
            </w:r>
          </w:p>
          <w:p w14:paraId="3F0774F6"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Tikimybė gauti geresnes sąlygas (didesnę subsidiją) gali stabdyti projektus</w:t>
            </w:r>
          </w:p>
          <w:p w14:paraId="1C1ECE3F" w14:textId="77777777" w:rsidR="005A432A" w:rsidRPr="00492193"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rPr>
              <w:t xml:space="preserve">Pasipelnymo problema (angl. free-rider), kai naudos gavėjai būtų įgyvendinę projektą ir be subsidijos </w:t>
            </w:r>
          </w:p>
          <w:p w14:paraId="64DB084C" w14:textId="77777777" w:rsidR="005A432A" w:rsidRPr="00E31CDC"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lang w:val="en-US"/>
              </w:rPr>
              <w:t>Ypa</w:t>
            </w:r>
            <w:r>
              <w:rPr>
                <w:rStyle w:val="hps"/>
                <w:rFonts w:ascii="Georgia" w:hAnsi="Georgia" w:cs="Arial"/>
                <w:color w:val="222222"/>
                <w:sz w:val="20"/>
                <w:szCs w:val="20"/>
              </w:rPr>
              <w:t>č apribotos priemonių įgyvendinimo galimybės susiję su tinkamų išlaidų reikalavimais</w:t>
            </w:r>
          </w:p>
        </w:tc>
      </w:tr>
      <w:tr w:rsidR="005A432A" w14:paraId="5E2B778B" w14:textId="77777777" w:rsidTr="00CB0D45">
        <w:tc>
          <w:tcPr>
            <w:cnfStyle w:val="001000000000" w:firstRow="0" w:lastRow="0" w:firstColumn="1" w:lastColumn="0" w:oddVBand="0" w:evenVBand="0" w:oddHBand="0" w:evenHBand="0" w:firstRowFirstColumn="0" w:firstRowLastColumn="0" w:lastRowFirstColumn="0" w:lastRowLastColumn="0"/>
            <w:tcW w:w="1371" w:type="dxa"/>
          </w:tcPr>
          <w:p w14:paraId="6C25B88E" w14:textId="7BD44460" w:rsidR="005A432A" w:rsidRPr="00933D48" w:rsidRDefault="0037266E" w:rsidP="005A432A">
            <w:pPr>
              <w:rPr>
                <w:rStyle w:val="hps"/>
                <w:rFonts w:ascii="Georgia" w:hAnsi="Georgia" w:cs="Arial"/>
                <w:color w:val="222222"/>
                <w:sz w:val="20"/>
                <w:szCs w:val="20"/>
              </w:rPr>
            </w:pPr>
            <w:r>
              <w:rPr>
                <w:rStyle w:val="hps"/>
                <w:rFonts w:ascii="Georgia" w:hAnsi="Georgia" w:cs="Arial"/>
                <w:color w:val="222222"/>
                <w:sz w:val="20"/>
                <w:szCs w:val="20"/>
              </w:rPr>
              <w:t xml:space="preserve">Grąžinamoji </w:t>
            </w:r>
            <w:r w:rsidR="005A432A">
              <w:rPr>
                <w:rStyle w:val="hps"/>
                <w:rFonts w:ascii="Georgia" w:hAnsi="Georgia" w:cs="Arial"/>
                <w:color w:val="222222"/>
                <w:sz w:val="20"/>
                <w:szCs w:val="20"/>
              </w:rPr>
              <w:t>subsidija</w:t>
            </w:r>
            <w:r w:rsidR="005A432A">
              <w:rPr>
                <w:rStyle w:val="Puslapioinaosnuoroda"/>
                <w:rFonts w:ascii="Georgia" w:hAnsi="Georgia" w:cs="Arial"/>
                <w:color w:val="222222"/>
                <w:sz w:val="20"/>
                <w:szCs w:val="20"/>
              </w:rPr>
              <w:footnoteReference w:id="136"/>
            </w:r>
          </w:p>
        </w:tc>
        <w:tc>
          <w:tcPr>
            <w:tcW w:w="3828" w:type="dxa"/>
          </w:tcPr>
          <w:p w14:paraId="7E260D21"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Įsisavinimo greit</w:t>
            </w:r>
            <w:r>
              <w:rPr>
                <w:rStyle w:val="hps"/>
                <w:rFonts w:ascii="Georgia" w:hAnsi="Georgia" w:cs="Arial"/>
                <w:color w:val="222222"/>
                <w:sz w:val="20"/>
                <w:szCs w:val="20"/>
                <w:lang w:val="en-US"/>
              </w:rPr>
              <w:t>i</w:t>
            </w:r>
            <w:r>
              <w:rPr>
                <w:rStyle w:val="hps"/>
                <w:rFonts w:ascii="Georgia" w:hAnsi="Georgia" w:cs="Arial"/>
                <w:color w:val="222222"/>
                <w:sz w:val="20"/>
                <w:szCs w:val="20"/>
              </w:rPr>
              <w:t xml:space="preserve">s </w:t>
            </w:r>
          </w:p>
          <w:p w14:paraId="14D29A69"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Derinimo galimybės su finansinėmis priemonėmis</w:t>
            </w:r>
          </w:p>
          <w:p w14:paraId="6E7A6584" w14:textId="195015A8"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Potencialiai grįžtančių </w:t>
            </w:r>
            <w:r w:rsidR="00270EAF">
              <w:rPr>
                <w:rStyle w:val="hps"/>
                <w:rFonts w:ascii="Georgia" w:hAnsi="Georgia" w:cs="Arial"/>
                <w:color w:val="222222"/>
                <w:sz w:val="20"/>
                <w:szCs w:val="20"/>
              </w:rPr>
              <w:t xml:space="preserve">lėšų </w:t>
            </w:r>
            <w:r>
              <w:rPr>
                <w:rStyle w:val="hps"/>
                <w:rFonts w:ascii="Georgia" w:hAnsi="Georgia" w:cs="Arial"/>
                <w:color w:val="222222"/>
                <w:sz w:val="20"/>
                <w:szCs w:val="20"/>
              </w:rPr>
              <w:t>dalis gali būti pakartotinai panaudotos tikslui toje pačioje srityje siekti</w:t>
            </w:r>
          </w:p>
          <w:p w14:paraId="68955BB5"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Leidžia įgyvendinti projektus, kurie finansiškai yra neatsiperkantys arba kurių rezultatas nėra žinomas iš anksto</w:t>
            </w:r>
          </w:p>
          <w:p w14:paraId="44EC182E" w14:textId="77777777" w:rsidR="005A432A" w:rsidRPr="00E31CDC"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Priklausomai nuo sutarties sąlygų gali veikti kaip skatinamasis mechanizmas </w:t>
            </w:r>
          </w:p>
        </w:tc>
        <w:tc>
          <w:tcPr>
            <w:tcW w:w="3981" w:type="dxa"/>
          </w:tcPr>
          <w:p w14:paraId="306865FE"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Nauja paramos forma nėra gerai pažįstama rinkos dalyviams</w:t>
            </w:r>
          </w:p>
          <w:p w14:paraId="301D8D7A"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Didelė dalis lėšų negrįš</w:t>
            </w:r>
          </w:p>
          <w:p w14:paraId="78C950BE" w14:textId="77777777" w:rsidR="005A432A" w:rsidRPr="00E31CDC"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Sunkus perėjimas nuo subsidijų kultūros mentaliteto į grąžintinos paramos mentalitetą</w:t>
            </w:r>
          </w:p>
        </w:tc>
      </w:tr>
    </w:tbl>
    <w:p w14:paraId="4495E657" w14:textId="77777777" w:rsidR="005A432A" w:rsidRDefault="005A432A" w:rsidP="005A432A">
      <w:pPr>
        <w:jc w:val="both"/>
        <w:rPr>
          <w:rStyle w:val="hps"/>
          <w:rFonts w:ascii="Georgia" w:hAnsi="Georgia" w:cs="Arial"/>
          <w:color w:val="222222"/>
          <w:sz w:val="20"/>
          <w:szCs w:val="20"/>
        </w:rPr>
      </w:pPr>
      <w:r>
        <w:rPr>
          <w:rStyle w:val="hps"/>
          <w:rFonts w:ascii="Georgia" w:hAnsi="Georgia" w:cs="Arial"/>
          <w:color w:val="222222"/>
          <w:sz w:val="20"/>
          <w:szCs w:val="20"/>
        </w:rPr>
        <w:t>Šaltinis: sudaryta autorių</w:t>
      </w:r>
    </w:p>
    <w:p w14:paraId="66F6B3C5" w14:textId="77777777" w:rsidR="005A432A" w:rsidRPr="005B31C6" w:rsidRDefault="005A432A" w:rsidP="005A432A">
      <w:pPr>
        <w:jc w:val="both"/>
        <w:rPr>
          <w:rStyle w:val="hps"/>
          <w:rFonts w:ascii="Georgia" w:hAnsi="Georgia" w:cs="Arial"/>
          <w:color w:val="222222"/>
          <w:sz w:val="20"/>
          <w:szCs w:val="20"/>
          <w:highlight w:val="yellow"/>
        </w:rPr>
      </w:pPr>
      <w:r>
        <w:rPr>
          <w:rStyle w:val="hps"/>
          <w:rFonts w:ascii="Georgia" w:hAnsi="Georgia" w:cs="Arial"/>
          <w:color w:val="222222"/>
          <w:sz w:val="20"/>
          <w:szCs w:val="20"/>
        </w:rPr>
        <w:t>Svarstant subsidijų galimybę reikėtų prisiminti, jog EK labiau skatina finansinių priemonių naudojimą</w:t>
      </w:r>
      <w:r>
        <w:rPr>
          <w:rStyle w:val="Puslapioinaosnuoroda"/>
          <w:rFonts w:ascii="Georgia" w:hAnsi="Georgia" w:cs="Arial"/>
          <w:color w:val="222222"/>
          <w:sz w:val="20"/>
          <w:szCs w:val="20"/>
        </w:rPr>
        <w:footnoteReference w:id="137"/>
      </w:r>
      <w:r>
        <w:rPr>
          <w:rStyle w:val="hps"/>
          <w:rFonts w:ascii="Georgia" w:hAnsi="Georgia" w:cs="Arial"/>
          <w:color w:val="222222"/>
          <w:sz w:val="20"/>
          <w:szCs w:val="20"/>
        </w:rPr>
        <w:t xml:space="preserve"> dėl jų teigiamo poveikio ESI fondams, platesnių galimybių derinant viešąsias ir privačiąsias lėšas ir grįžtančio lėšų srauto, kurios mažina papildomų lėšų poreikį ilguoju laikotarpiu ir užtikrina ES paramos tvarumą pasibaigus finansavimo programos periodui. Reikėtų taip pat atkreipti dėmesį, jog finansinės priemonės, priešingai nei subsidijos, skatina atsakingesnį lėšų vartojimą ir leidžia pritraukti papildomų privačių lėšų projektams finansuoti, todėl kokybiniu atžvilgiu</w:t>
      </w:r>
      <w:r w:rsidRPr="00FD0F93">
        <w:rPr>
          <w:rStyle w:val="hps"/>
          <w:rFonts w:ascii="Georgia" w:hAnsi="Georgia" w:cs="Arial"/>
          <w:color w:val="222222"/>
          <w:sz w:val="20"/>
          <w:szCs w:val="20"/>
        </w:rPr>
        <w:t xml:space="preserve"> </w:t>
      </w:r>
      <w:r>
        <w:rPr>
          <w:rStyle w:val="hps"/>
          <w:rFonts w:ascii="Georgia" w:hAnsi="Georgia" w:cs="Arial"/>
          <w:color w:val="222222"/>
          <w:sz w:val="20"/>
          <w:szCs w:val="20"/>
        </w:rPr>
        <w:t xml:space="preserve">pirmenybė turėtų būti </w:t>
      </w:r>
      <w:r w:rsidRPr="003E4432">
        <w:rPr>
          <w:rStyle w:val="hps"/>
          <w:rFonts w:ascii="Georgia" w:hAnsi="Georgia" w:cs="Arial"/>
          <w:color w:val="222222"/>
          <w:sz w:val="20"/>
          <w:szCs w:val="20"/>
        </w:rPr>
        <w:t>teikiama kiek įmanoma didesnei finansinės priemonės daliai.</w:t>
      </w:r>
    </w:p>
    <w:p w14:paraId="2CBB610F" w14:textId="73561B08" w:rsidR="002E7A5C" w:rsidRPr="002142B8" w:rsidRDefault="002E7A5C" w:rsidP="002E7A5C">
      <w:pPr>
        <w:pStyle w:val="Antrat2"/>
        <w:numPr>
          <w:ilvl w:val="3"/>
          <w:numId w:val="2"/>
        </w:numPr>
        <w:ind w:left="1134"/>
        <w:rPr>
          <w:lang w:val="lt-LT"/>
        </w:rPr>
      </w:pPr>
      <w:bookmarkStart w:id="270" w:name="_Toc25589931"/>
      <w:r w:rsidRPr="002142B8">
        <w:rPr>
          <w:lang w:val="lt-LT"/>
        </w:rPr>
        <w:t>Gatvių apšvietimas</w:t>
      </w:r>
      <w:bookmarkEnd w:id="270"/>
    </w:p>
    <w:p w14:paraId="79B4FABD" w14:textId="77777777" w:rsidR="005A432A" w:rsidRPr="00BA30A9" w:rsidRDefault="005A432A" w:rsidP="005A432A">
      <w:pPr>
        <w:jc w:val="both"/>
        <w:rPr>
          <w:rStyle w:val="hps"/>
          <w:rFonts w:ascii="Georgia" w:hAnsi="Georgia" w:cs="Arial"/>
          <w:color w:val="222222"/>
          <w:sz w:val="20"/>
          <w:szCs w:val="20"/>
          <w:lang w:val="lt-LT"/>
        </w:rPr>
      </w:pPr>
      <w:r w:rsidRPr="00BA30A9">
        <w:rPr>
          <w:rStyle w:val="hps"/>
          <w:rFonts w:ascii="Georgia" w:hAnsi="Georgia" w:cs="Arial"/>
          <w:color w:val="222222"/>
          <w:sz w:val="20"/>
          <w:szCs w:val="20"/>
        </w:rPr>
        <w:t xml:space="preserve">Gatvių apšvietimo renovacijos projektuose buvo naudojamos tokios pačios keturios alternatyvos. Kadangi nagrinėtos finansinės priemonės skirtingose alternatyvose yra taikomos plačiai įvairiuose </w:t>
      </w:r>
      <w:r w:rsidRPr="00BA30A9">
        <w:rPr>
          <w:rStyle w:val="hps"/>
          <w:rFonts w:ascii="Georgia" w:hAnsi="Georgia" w:cs="Arial"/>
          <w:color w:val="222222"/>
          <w:sz w:val="20"/>
          <w:szCs w:val="20"/>
        </w:rPr>
        <w:lastRenderedPageBreak/>
        <w:t xml:space="preserve">sektoriuose, žemiau lentelėje pateikti privalumai ir trūkumai nepaisant kelių svarbių skirtumų, kurie yra paryškinti, yra tokie patys kaip ir išdėstyti prie centrinės valdžios pastatų. </w:t>
      </w:r>
    </w:p>
    <w:tbl>
      <w:tblPr>
        <w:tblStyle w:val="LightList-Accent21"/>
        <w:tblW w:w="0" w:type="auto"/>
        <w:tblLook w:val="04A0" w:firstRow="1" w:lastRow="0" w:firstColumn="1" w:lastColumn="0" w:noHBand="0" w:noVBand="1"/>
      </w:tblPr>
      <w:tblGrid>
        <w:gridCol w:w="2309"/>
        <w:gridCol w:w="3186"/>
        <w:gridCol w:w="3685"/>
      </w:tblGrid>
      <w:tr w:rsidR="005A432A" w14:paraId="60D7EA31" w14:textId="77777777" w:rsidTr="005A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2F040ED6" w14:textId="77777777" w:rsidR="005A432A" w:rsidRDefault="005A432A" w:rsidP="005A432A">
            <w:pPr>
              <w:jc w:val="both"/>
              <w:rPr>
                <w:rStyle w:val="hps"/>
                <w:rFonts w:ascii="Georgia" w:hAnsi="Georgia" w:cs="Arial"/>
                <w:color w:val="222222"/>
                <w:sz w:val="20"/>
                <w:szCs w:val="20"/>
              </w:rPr>
            </w:pPr>
            <w:r w:rsidRPr="009A3B64">
              <w:rPr>
                <w:rStyle w:val="hps"/>
                <w:rFonts w:ascii="Georgia" w:hAnsi="Georgia" w:cs="Arial"/>
                <w:color w:val="FFFFFF" w:themeColor="background1"/>
                <w:sz w:val="20"/>
                <w:szCs w:val="20"/>
              </w:rPr>
              <w:t>Scenarijus</w:t>
            </w:r>
          </w:p>
        </w:tc>
        <w:tc>
          <w:tcPr>
            <w:tcW w:w="3186" w:type="dxa"/>
          </w:tcPr>
          <w:p w14:paraId="49B9EA0E" w14:textId="77777777" w:rsidR="005A432A"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9A3B64">
              <w:rPr>
                <w:rStyle w:val="hps"/>
                <w:rFonts w:ascii="Georgia" w:hAnsi="Georgia" w:cs="Arial"/>
                <w:color w:val="FFFFFF" w:themeColor="background1"/>
                <w:sz w:val="20"/>
                <w:szCs w:val="20"/>
              </w:rPr>
              <w:t>Privalumai</w:t>
            </w:r>
          </w:p>
        </w:tc>
        <w:tc>
          <w:tcPr>
            <w:tcW w:w="3685" w:type="dxa"/>
          </w:tcPr>
          <w:p w14:paraId="7C54EB68" w14:textId="77777777" w:rsidR="005A432A" w:rsidRDefault="005A432A" w:rsidP="005A432A">
            <w:pPr>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9A3B64">
              <w:rPr>
                <w:rStyle w:val="hps"/>
                <w:rFonts w:ascii="Georgia" w:hAnsi="Georgia" w:cs="Arial"/>
                <w:color w:val="FFFFFF" w:themeColor="background1"/>
                <w:sz w:val="20"/>
                <w:szCs w:val="20"/>
              </w:rPr>
              <w:t>Trūkumai</w:t>
            </w:r>
          </w:p>
        </w:tc>
      </w:tr>
      <w:tr w:rsidR="005A432A" w14:paraId="599BB850"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56404BEA" w14:textId="77777777" w:rsidR="005A432A" w:rsidRDefault="005A432A" w:rsidP="005A432A">
            <w:pPr>
              <w:rPr>
                <w:rStyle w:val="hps"/>
                <w:rFonts w:ascii="Georgia" w:hAnsi="Georgia" w:cs="Arial"/>
                <w:color w:val="222222"/>
                <w:sz w:val="20"/>
                <w:szCs w:val="20"/>
              </w:rPr>
            </w:pPr>
            <w:r w:rsidRPr="008A3BE9">
              <w:rPr>
                <w:rStyle w:val="hps"/>
                <w:rFonts w:ascii="Georgia" w:hAnsi="Georgia" w:cs="Arial"/>
                <w:color w:val="222222"/>
                <w:sz w:val="20"/>
                <w:szCs w:val="20"/>
                <w:lang w:val="en-US"/>
              </w:rPr>
              <w:t>Lengvatin</w:t>
            </w:r>
            <w:r w:rsidRPr="008A3BE9">
              <w:rPr>
                <w:rStyle w:val="hps"/>
                <w:rFonts w:ascii="Georgia" w:hAnsi="Georgia" w:cs="Arial"/>
                <w:color w:val="222222"/>
                <w:sz w:val="20"/>
                <w:szCs w:val="20"/>
              </w:rPr>
              <w:t>ė paskola</w:t>
            </w:r>
          </w:p>
        </w:tc>
        <w:tc>
          <w:tcPr>
            <w:tcW w:w="3186" w:type="dxa"/>
          </w:tcPr>
          <w:p w14:paraId="7BAD4258"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Paprasčiausia, žinomiausia ir rinkoje suprantamiausia finansavimo forma</w:t>
            </w:r>
          </w:p>
          <w:p w14:paraId="40D73137"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Patirtis administruojant panašias finansines priemones (JESSICA)</w:t>
            </w:r>
          </w:p>
          <w:p w14:paraId="1A87DF94" w14:textId="77777777" w:rsidR="005A432A" w:rsidRDefault="005A432A" w:rsidP="005A432A">
            <w:p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 </w:t>
            </w:r>
          </w:p>
        </w:tc>
        <w:tc>
          <w:tcPr>
            <w:tcW w:w="3685" w:type="dxa"/>
          </w:tcPr>
          <w:p w14:paraId="6998E703"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Santykinai lėtas lėšų grįžimas ir pakartotinis panaudojimas</w:t>
            </w:r>
          </w:p>
          <w:p w14:paraId="29E34B69"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Finansinių priemonių valdytojams gali reikėti vertinti kiekvieną projektą atskirai</w:t>
            </w:r>
          </w:p>
          <w:p w14:paraId="0FD0D583" w14:textId="77777777" w:rsidR="005A432A" w:rsidRPr="00BD6168" w:rsidRDefault="005A432A" w:rsidP="005A432A">
            <w:pPr>
              <w:pStyle w:val="Sraopastraipa"/>
              <w:numPr>
                <w:ilvl w:val="0"/>
                <w:numId w:val="78"/>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BD6168">
              <w:rPr>
                <w:rStyle w:val="hps"/>
                <w:rFonts w:ascii="Georgia" w:hAnsi="Georgia" w:cs="Arial"/>
                <w:color w:val="222222"/>
                <w:sz w:val="20"/>
                <w:szCs w:val="20"/>
              </w:rPr>
              <w:t>Mažesnis potencialas pritraukti papildomų lėšų dėl didesnės rizikos bankams</w:t>
            </w:r>
          </w:p>
        </w:tc>
      </w:tr>
      <w:tr w:rsidR="005A432A" w14:paraId="4621007B" w14:textId="77777777" w:rsidTr="005A432A">
        <w:tc>
          <w:tcPr>
            <w:cnfStyle w:val="001000000000" w:firstRow="0" w:lastRow="0" w:firstColumn="1" w:lastColumn="0" w:oddVBand="0" w:evenVBand="0" w:oddHBand="0" w:evenHBand="0" w:firstRowFirstColumn="0" w:firstRowLastColumn="0" w:lastRowFirstColumn="0" w:lastRowLastColumn="0"/>
            <w:tcW w:w="2309" w:type="dxa"/>
          </w:tcPr>
          <w:p w14:paraId="45FAB7F8" w14:textId="77777777" w:rsidR="005A432A" w:rsidRDefault="005A432A" w:rsidP="005A432A">
            <w:pPr>
              <w:rPr>
                <w:rStyle w:val="hps"/>
                <w:rFonts w:ascii="Georgia" w:hAnsi="Georgia" w:cs="Arial"/>
                <w:color w:val="222222"/>
                <w:sz w:val="20"/>
                <w:szCs w:val="20"/>
              </w:rPr>
            </w:pPr>
            <w:r w:rsidRPr="008A3BE9">
              <w:rPr>
                <w:rStyle w:val="hps"/>
                <w:rFonts w:ascii="Georgia" w:hAnsi="Georgia" w:cs="Arial"/>
                <w:color w:val="222222"/>
                <w:sz w:val="20"/>
                <w:szCs w:val="20"/>
                <w:lang w:val="en-US"/>
              </w:rPr>
              <w:t>Lengvatin</w:t>
            </w:r>
            <w:r w:rsidRPr="008A3BE9">
              <w:rPr>
                <w:rStyle w:val="hps"/>
                <w:rFonts w:ascii="Georgia" w:hAnsi="Georgia" w:cs="Arial"/>
                <w:color w:val="222222"/>
                <w:sz w:val="20"/>
                <w:szCs w:val="20"/>
              </w:rPr>
              <w:t>ė paskola su ateinančių pinigų srautų išpirkimu</w:t>
            </w:r>
          </w:p>
        </w:tc>
        <w:tc>
          <w:tcPr>
            <w:tcW w:w="3186" w:type="dxa"/>
          </w:tcPr>
          <w:p w14:paraId="3E7075F1"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Visi išvardinti aukščiau ir</w:t>
            </w:r>
          </w:p>
          <w:p w14:paraId="7B697803"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Paspartintas lėšų reinvestavimas  </w:t>
            </w:r>
          </w:p>
          <w:p w14:paraId="182E06A6" w14:textId="77777777" w:rsidR="005A432A" w:rsidRPr="00BD6168" w:rsidRDefault="005A432A" w:rsidP="005A432A">
            <w:pPr>
              <w:pStyle w:val="Sraopastraipa"/>
              <w:numPr>
                <w:ilvl w:val="0"/>
                <w:numId w:val="78"/>
              </w:numPr>
              <w:jc w:val="both"/>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BD6168">
              <w:rPr>
                <w:rStyle w:val="hps"/>
                <w:rFonts w:ascii="Georgia" w:hAnsi="Georgia" w:cs="Arial"/>
                <w:color w:val="222222"/>
                <w:sz w:val="20"/>
                <w:szCs w:val="20"/>
              </w:rPr>
              <w:t xml:space="preserve">Sumažinama lėšų praradimo rizika </w:t>
            </w:r>
          </w:p>
        </w:tc>
        <w:tc>
          <w:tcPr>
            <w:tcW w:w="3685" w:type="dxa"/>
          </w:tcPr>
          <w:p w14:paraId="38C1D603"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Turi susiformuoti pakankamas projektų srautas norint taikyti tokį modelį</w:t>
            </w:r>
          </w:p>
          <w:p w14:paraId="7F3C0468"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Reikalaujantis laiko procesas</w:t>
            </w:r>
          </w:p>
          <w:p w14:paraId="3C820962" w14:textId="77777777" w:rsidR="005A432A" w:rsidRDefault="005A432A" w:rsidP="005A432A">
            <w:pPr>
              <w:pStyle w:val="Sraopastraipa"/>
              <w:numPr>
                <w:ilvl w:val="0"/>
                <w:numId w:val="78"/>
              </w:numPr>
              <w:jc w:val="both"/>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sidRPr="00BD6168">
              <w:rPr>
                <w:rStyle w:val="hps"/>
                <w:rFonts w:ascii="Georgia" w:hAnsi="Georgia" w:cs="Arial"/>
                <w:color w:val="222222"/>
                <w:sz w:val="20"/>
                <w:szCs w:val="20"/>
              </w:rPr>
              <w:t>Lietuvoje nėra tokio modelio pavyzdžių</w:t>
            </w:r>
          </w:p>
          <w:p w14:paraId="63AEDB54" w14:textId="77777777" w:rsidR="005A432A" w:rsidRPr="00BD6168" w:rsidRDefault="005A432A" w:rsidP="005A432A">
            <w:pPr>
              <w:pStyle w:val="Sraopastraipa"/>
              <w:numPr>
                <w:ilvl w:val="0"/>
                <w:numId w:val="78"/>
              </w:numPr>
              <w:jc w:val="both"/>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Reikalingas išankstinis investuotojų įtraukimas, siekiant, kad paskolos tiktų perpirkimui</w:t>
            </w:r>
          </w:p>
        </w:tc>
      </w:tr>
      <w:tr w:rsidR="005A432A" w14:paraId="220C240C"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7B1C35CA" w14:textId="77777777" w:rsidR="005A432A" w:rsidRDefault="005A432A" w:rsidP="005A432A">
            <w:pPr>
              <w:rPr>
                <w:rStyle w:val="hps"/>
                <w:rFonts w:ascii="Georgia" w:hAnsi="Georgia" w:cs="Arial"/>
                <w:color w:val="222222"/>
                <w:sz w:val="20"/>
                <w:szCs w:val="20"/>
              </w:rPr>
            </w:pPr>
            <w:r>
              <w:rPr>
                <w:rStyle w:val="hps"/>
                <w:rFonts w:ascii="Georgia" w:hAnsi="Georgia" w:cs="Arial"/>
                <w:color w:val="222222"/>
                <w:sz w:val="20"/>
                <w:szCs w:val="20"/>
                <w:lang w:val="en-US"/>
              </w:rPr>
              <w:t>Paskolų teikimas taikant asimetrinio rizikos pasidalijimo modelį</w:t>
            </w:r>
          </w:p>
        </w:tc>
        <w:tc>
          <w:tcPr>
            <w:tcW w:w="3186" w:type="dxa"/>
          </w:tcPr>
          <w:p w14:paraId="04486EB0"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Skatina asimetrinį rizikų pasidalijimą, naudojant ESI lėšas pirmiems nuostoliams dengti, o tai leidžia lengviau pritraukti privačias lėšas</w:t>
            </w:r>
          </w:p>
          <w:p w14:paraId="69CB036B"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Dėl didesnio rizikų prisiėmimo viešosiomis lėšomis galima tikėtis geresnių rezultatų</w:t>
            </w:r>
          </w:p>
          <w:p w14:paraId="2C4F0387" w14:textId="77777777" w:rsidR="005A432A" w:rsidRPr="00FC5416"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sidRPr="00066631">
              <w:rPr>
                <w:rStyle w:val="hps"/>
                <w:rFonts w:ascii="Georgia" w:hAnsi="Georgia" w:cs="Arial"/>
                <w:color w:val="222222"/>
                <w:sz w:val="20"/>
                <w:szCs w:val="20"/>
              </w:rPr>
              <w:t xml:space="preserve">Ribojama </w:t>
            </w:r>
            <w:r>
              <w:rPr>
                <w:rStyle w:val="hps"/>
                <w:rFonts w:ascii="Georgia" w:hAnsi="Georgia" w:cs="Arial"/>
                <w:color w:val="222222"/>
                <w:sz w:val="20"/>
                <w:szCs w:val="20"/>
              </w:rPr>
              <w:t>privačių rinkos</w:t>
            </w:r>
            <w:r w:rsidRPr="00066631">
              <w:rPr>
                <w:rStyle w:val="hps"/>
                <w:rFonts w:ascii="Georgia" w:hAnsi="Georgia" w:cs="Arial"/>
                <w:color w:val="222222"/>
                <w:sz w:val="20"/>
                <w:szCs w:val="20"/>
              </w:rPr>
              <w:t xml:space="preserve"> dalyvių rizika skatina papildomų lėšų pritraukimą</w:t>
            </w:r>
          </w:p>
          <w:p w14:paraId="6E471BD8"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Lietuvoje yra sėkmingų tokio modelio pavyzdžių (Invega, Jessica)</w:t>
            </w:r>
          </w:p>
          <w:p w14:paraId="39042A73" w14:textId="77777777" w:rsidR="005A432A" w:rsidRPr="000A75FA" w:rsidRDefault="005A432A" w:rsidP="005A432A">
            <w:pPr>
              <w:ind w:left="36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p>
        </w:tc>
        <w:tc>
          <w:tcPr>
            <w:tcW w:w="3685" w:type="dxa"/>
          </w:tcPr>
          <w:p w14:paraId="6FDD56B7"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Valstybė prisiima didžiausią projektų riziką, dėl ko atsiranda didesnis potencialas mažėti viešųjų lėšų apimčiai</w:t>
            </w:r>
          </w:p>
          <w:p w14:paraId="19549BA0" w14:textId="77777777" w:rsidR="005A432A" w:rsidRPr="00FC5416"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Sudėtingi valstybės pagalbos derinimo elementai</w:t>
            </w:r>
          </w:p>
          <w:p w14:paraId="5DE30764" w14:textId="77777777" w:rsidR="005A432A"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Santykinai mažas fondo dydis reikštų masto ekonomijos trūkumą ir reikšmingas administracines sąnaudas</w:t>
            </w:r>
          </w:p>
          <w:p w14:paraId="699F5EFE" w14:textId="77777777" w:rsidR="005A432A" w:rsidRPr="00FC5416" w:rsidRDefault="005A432A" w:rsidP="005A432A">
            <w:pPr>
              <w:pStyle w:val="Sraopastraipa"/>
              <w:numPr>
                <w:ilvl w:val="0"/>
                <w:numId w:val="78"/>
              </w:numPr>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en-US"/>
              </w:rPr>
            </w:pPr>
            <w:r w:rsidRPr="001F1785">
              <w:rPr>
                <w:rStyle w:val="hps"/>
                <w:rFonts w:ascii="Georgia" w:hAnsi="Georgia" w:cs="Arial"/>
                <w:color w:val="222222"/>
                <w:sz w:val="20"/>
                <w:szCs w:val="20"/>
              </w:rPr>
              <w:t>Nusprendus teikti subsidiją iš fondo lėšų, tikėtina, jog bankai mažintų savo prisidėjimo dalį</w:t>
            </w:r>
          </w:p>
        </w:tc>
      </w:tr>
      <w:tr w:rsidR="005A432A" w14:paraId="3C58461E" w14:textId="77777777" w:rsidTr="005A432A">
        <w:tc>
          <w:tcPr>
            <w:cnfStyle w:val="001000000000" w:firstRow="0" w:lastRow="0" w:firstColumn="1" w:lastColumn="0" w:oddVBand="0" w:evenVBand="0" w:oddHBand="0" w:evenHBand="0" w:firstRowFirstColumn="0" w:firstRowLastColumn="0" w:lastRowFirstColumn="0" w:lastRowLastColumn="0"/>
            <w:tcW w:w="2309" w:type="dxa"/>
          </w:tcPr>
          <w:p w14:paraId="46CF97CE" w14:textId="77777777" w:rsidR="005A432A" w:rsidRDefault="005A432A" w:rsidP="005A432A">
            <w:pPr>
              <w:rPr>
                <w:rStyle w:val="hps"/>
                <w:rFonts w:ascii="Georgia" w:hAnsi="Georgia" w:cs="Arial"/>
                <w:color w:val="222222"/>
                <w:sz w:val="20"/>
                <w:szCs w:val="20"/>
              </w:rPr>
            </w:pPr>
            <w:r>
              <w:rPr>
                <w:rStyle w:val="hps"/>
                <w:rFonts w:ascii="Georgia" w:hAnsi="Georgia" w:cs="Arial"/>
                <w:color w:val="222222"/>
                <w:sz w:val="20"/>
                <w:szCs w:val="20"/>
              </w:rPr>
              <w:t>Garantijų priemonė</w:t>
            </w:r>
          </w:p>
        </w:tc>
        <w:tc>
          <w:tcPr>
            <w:tcW w:w="3186" w:type="dxa"/>
          </w:tcPr>
          <w:p w14:paraId="24FFA390"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Sumažina bankų riziką</w:t>
            </w:r>
          </w:p>
          <w:p w14:paraId="7E328A19"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Lyginant su paskolomis reikalauja mažiausiai pradinių lėšų</w:t>
            </w:r>
          </w:p>
          <w:p w14:paraId="73E8E986"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Galutiniai naudos gavėjai tikėtina gaus geresnes finansavimo sąlygas turint garantiją</w:t>
            </w:r>
          </w:p>
          <w:p w14:paraId="4953B10A"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Bankai teigiamai vertina garantijų priemonę gatvių apšvietimo projektų atveju</w:t>
            </w:r>
          </w:p>
          <w:p w14:paraId="2ABBB41C"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Dėl didelių sutaupymų ir didelės investicinės grąžos patraukli priemonė bankams</w:t>
            </w:r>
          </w:p>
          <w:p w14:paraId="7DF96A17" w14:textId="77777777" w:rsidR="005A432A" w:rsidRPr="00BD6168"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rPr>
              <w:t xml:space="preserve">Garantijos užtikrina didesnį sverto efektą </w:t>
            </w:r>
          </w:p>
        </w:tc>
        <w:tc>
          <w:tcPr>
            <w:tcW w:w="3685" w:type="dxa"/>
          </w:tcPr>
          <w:p w14:paraId="6467DEFA" w14:textId="77777777" w:rsidR="005A432A"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rPr>
              <w:t>Nesuteikia likvidumo skolintojui</w:t>
            </w:r>
          </w:p>
          <w:p w14:paraId="7FE208F0" w14:textId="77777777" w:rsidR="005A432A" w:rsidRPr="0070440B"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rPr>
              <w:t>Sudėtinga tiksliai įvertinti garantinį dydį</w:t>
            </w:r>
          </w:p>
          <w:p w14:paraId="1D7DE383" w14:textId="77777777" w:rsidR="005A432A" w:rsidRPr="00AF796B"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rPr>
              <w:t>Projektų vykdytojams, kurių finansinė padėtis pakankamai stabili, garantijos gavimo administracinė našta gali neatsverti jos pridėtinės vertės.</w:t>
            </w:r>
          </w:p>
          <w:p w14:paraId="018DEA0B" w14:textId="77777777" w:rsidR="005A432A" w:rsidRPr="00204442" w:rsidRDefault="005A432A" w:rsidP="005A432A">
            <w:pPr>
              <w:pStyle w:val="Sraopastraipa"/>
              <w:numPr>
                <w:ilvl w:val="0"/>
                <w:numId w:val="78"/>
              </w:numPr>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en-US"/>
              </w:rPr>
            </w:pPr>
            <w:r>
              <w:rPr>
                <w:rStyle w:val="hps"/>
                <w:rFonts w:ascii="Georgia" w:hAnsi="Georgia" w:cs="Arial"/>
                <w:color w:val="222222"/>
                <w:sz w:val="20"/>
                <w:szCs w:val="20"/>
              </w:rPr>
              <w:t>Yra rizika, kad garantijų priemone naudosis, tik projektų vykdytojai, kurie negali pasiskolinti tiesiogiai iš bankų dėl prastos finansinės padėties.</w:t>
            </w:r>
          </w:p>
        </w:tc>
      </w:tr>
    </w:tbl>
    <w:p w14:paraId="2186C77D" w14:textId="77777777" w:rsidR="005A432A" w:rsidRPr="00D45CD8" w:rsidRDefault="005A432A" w:rsidP="005A432A">
      <w:pPr>
        <w:spacing w:after="160" w:line="240" w:lineRule="auto"/>
        <w:jc w:val="both"/>
        <w:rPr>
          <w:rFonts w:ascii="Georgia" w:eastAsia="Georgia" w:hAnsi="Georgia" w:cs="Arial Unicode MS"/>
          <w:i/>
          <w:iCs/>
          <w:color w:val="821A1A"/>
          <w:sz w:val="20"/>
          <w:szCs w:val="20"/>
        </w:rPr>
      </w:pPr>
      <w:r w:rsidRPr="00D45CD8">
        <w:rPr>
          <w:rFonts w:ascii="Georgia" w:eastAsia="Georgia" w:hAnsi="Georgia" w:cs="Arial Unicode MS"/>
          <w:i/>
          <w:iCs/>
          <w:color w:val="821A1A"/>
          <w:sz w:val="20"/>
          <w:szCs w:val="20"/>
        </w:rPr>
        <w:t>Šaltinis: sudaryta autorių</w:t>
      </w:r>
    </w:p>
    <w:p w14:paraId="4A9FDC81" w14:textId="77777777" w:rsidR="005A432A" w:rsidRDefault="005A432A" w:rsidP="005A432A">
      <w:pPr>
        <w:jc w:val="both"/>
        <w:rPr>
          <w:rFonts w:ascii="Georgia" w:hAnsi="Georgia"/>
          <w:sz w:val="20"/>
          <w:szCs w:val="20"/>
          <w:lang w:val="lt-LT"/>
        </w:rPr>
      </w:pPr>
      <w:r>
        <w:rPr>
          <w:rFonts w:ascii="Georgia" w:hAnsi="Georgia"/>
          <w:sz w:val="20"/>
          <w:szCs w:val="20"/>
          <w:lang w:val="lt-LT"/>
        </w:rPr>
        <w:lastRenderedPageBreak/>
        <w:t xml:space="preserve">Gatvių apšvietimo projektai yra finansiškai gyvybingi (jei lyginamos išlaidos elektros energijai, kurios būtų patirtos veikiant visiems šviestuvams šiuo metu ir po apšvietimo tinklų modernizacijos) </w:t>
      </w:r>
      <w:r>
        <w:rPr>
          <w:rStyle w:val="Puslapioinaosnuoroda"/>
          <w:rFonts w:ascii="Georgia" w:hAnsi="Georgia"/>
          <w:sz w:val="20"/>
          <w:szCs w:val="20"/>
          <w:lang w:val="lt-LT"/>
        </w:rPr>
        <w:footnoteReference w:id="138"/>
      </w:r>
      <w:r>
        <w:rPr>
          <w:rFonts w:ascii="Georgia" w:hAnsi="Georgia"/>
          <w:sz w:val="20"/>
          <w:szCs w:val="20"/>
          <w:lang w:val="lt-LT"/>
        </w:rPr>
        <w:t xml:space="preserve">, todėl siekiant įgyvendinti gatvių apšvietimo projektus jų derinimas su </w:t>
      </w:r>
      <w:r>
        <w:rPr>
          <w:rStyle w:val="hps"/>
          <w:rFonts w:ascii="Georgia" w:hAnsi="Georgia" w:cs="Arial"/>
          <w:color w:val="222222"/>
          <w:sz w:val="20"/>
          <w:szCs w:val="20"/>
        </w:rPr>
        <w:t xml:space="preserve">subsidijos </w:t>
      </w:r>
      <w:r>
        <w:rPr>
          <w:rFonts w:ascii="Georgia" w:hAnsi="Georgia"/>
          <w:sz w:val="20"/>
          <w:szCs w:val="20"/>
          <w:lang w:val="lt-LT"/>
        </w:rPr>
        <w:t xml:space="preserve">parama nėra būtina. Tačiau verta paminėti, jog norint paskatinti tokių projektų įgyvendinimą, galima būtų apsvarstyti galimybę įvesti palūkanų kompensavimą arba </w:t>
      </w:r>
      <w:r>
        <w:rPr>
          <w:rStyle w:val="hps"/>
          <w:rFonts w:ascii="Georgia" w:hAnsi="Georgia" w:cs="Arial"/>
          <w:color w:val="222222"/>
          <w:sz w:val="20"/>
          <w:szCs w:val="20"/>
        </w:rPr>
        <w:t>grąžinamosios subsidijos</w:t>
      </w:r>
      <w:r>
        <w:rPr>
          <w:rFonts w:ascii="Georgia" w:hAnsi="Georgia"/>
          <w:sz w:val="20"/>
          <w:szCs w:val="20"/>
          <w:lang w:val="lt-LT"/>
        </w:rPr>
        <w:t xml:space="preserve"> elementą siekiant paskatinti projektų srauto susidarymą (ypač pradiniame etape).</w:t>
      </w:r>
    </w:p>
    <w:p w14:paraId="71DB0F63" w14:textId="77777777" w:rsidR="005A432A" w:rsidRDefault="005A432A" w:rsidP="005A432A">
      <w:pPr>
        <w:jc w:val="both"/>
        <w:rPr>
          <w:rFonts w:ascii="Georgia" w:hAnsi="Georgia"/>
          <w:sz w:val="20"/>
          <w:szCs w:val="20"/>
          <w:lang w:val="lt-LT"/>
        </w:rPr>
      </w:pPr>
      <w:r>
        <w:rPr>
          <w:rFonts w:ascii="Georgia" w:hAnsi="Georgia"/>
          <w:sz w:val="20"/>
          <w:szCs w:val="20"/>
          <w:lang w:val="lt-LT"/>
        </w:rPr>
        <w:t xml:space="preserve">Palūkanų subsidijos scenarijuje </w:t>
      </w:r>
      <w:r>
        <w:rPr>
          <w:rFonts w:ascii="Georgia" w:hAnsi="Georgia"/>
          <w:sz w:val="20"/>
          <w:szCs w:val="20"/>
        </w:rPr>
        <w:t>100 proc. palūkanų būtų kompensuojama savivaldybėms, įgyvendinančioms gatvės apšvietimo projektus. Preliminariais paskaičiavimais, tai galėtų padėti savivaldybėms sutaupyti nuo 10 iki 20 proc. projekto tinkam</w:t>
      </w:r>
      <w:r>
        <w:rPr>
          <w:rFonts w:ascii="Georgia" w:hAnsi="Georgia"/>
          <w:sz w:val="20"/>
          <w:szCs w:val="20"/>
          <w:lang w:val="lt-LT"/>
        </w:rPr>
        <w:t xml:space="preserve">ų išlaidų. Tokia kompensacija taip pat prisidėtų prie geresnių kiekybinių rodiklių, tokių kaip finansiniai sutaupymai, atsipirkimo laikotarpis bei investicijų grąža. Be to, vadovaujantis Europos Komisijos gairėmis, palūkanų subsidijos taikymas galimas finansinės priemonės apimtyje, todėl tokia alternatyva galėtų būti įvedama sąlyginai greitai, su minimaliomis laiko ir administracinėmis sąnaudomis. Šios alternatyvos trūkumas - naudą iš palūkanų kompensavimo savivaldybės pajustų tik ilgalaikėje perspektyvoje per paskolos grąžinimo laikotarpį (apie </w:t>
      </w:r>
      <w:r>
        <w:rPr>
          <w:rFonts w:ascii="Georgia" w:hAnsi="Georgia"/>
          <w:sz w:val="20"/>
          <w:szCs w:val="20"/>
        </w:rPr>
        <w:t>20 met</w:t>
      </w:r>
      <w:r>
        <w:rPr>
          <w:rFonts w:ascii="Georgia" w:hAnsi="Georgia"/>
          <w:sz w:val="20"/>
          <w:szCs w:val="20"/>
          <w:lang w:val="lt-LT"/>
        </w:rPr>
        <w:t xml:space="preserve">ų). Projekto vykdytojai palankiau vertina visos subsidijos išmokėjimą projekto pradžioje nei per ilgesnį laikotarpį, didele dalimi ir dėl politinių priežasčių. Vis dėlto toks projektų vykdytojų vertinimas paremtas nepakankama patirtimi ar suvokimu apie palūkanų kompensavimo naudą, todėl minėtą alternatyvos trūkumą galima panaikinti užtikrinant stiprią ir efektyvią komunikaciją su projektų vykdytojais apie palūkanų kompensavimo teikiamą naudą.  Ši alternatyva padėtų išjudinti gatvių apšvietimo projektų rengimą ir įgyvendinimą. Vis dėlto tokia alternatyva sumažintų esamą santykinai mažą lėšų kiekį, kuris būtinas siekiant nors ir nedidelės masto ekonomijos. </w:t>
      </w:r>
    </w:p>
    <w:p w14:paraId="7BEA3096" w14:textId="77777777" w:rsidR="005A432A" w:rsidRPr="00AC3318" w:rsidRDefault="005A432A" w:rsidP="005A432A">
      <w:pPr>
        <w:jc w:val="both"/>
        <w:rPr>
          <w:rFonts w:ascii="Georgia" w:hAnsi="Georgia"/>
          <w:sz w:val="20"/>
          <w:szCs w:val="20"/>
          <w:lang w:val="lt-LT"/>
        </w:rPr>
      </w:pPr>
      <w:r>
        <w:rPr>
          <w:rStyle w:val="hps"/>
          <w:rFonts w:ascii="Georgia" w:hAnsi="Georgia" w:cs="Arial"/>
          <w:color w:val="222222"/>
          <w:sz w:val="20"/>
          <w:szCs w:val="20"/>
        </w:rPr>
        <w:t xml:space="preserve">Grąžinamosios subsidijos </w:t>
      </w:r>
      <w:r>
        <w:rPr>
          <w:rFonts w:ascii="Georgia" w:hAnsi="Georgia"/>
          <w:sz w:val="20"/>
          <w:szCs w:val="20"/>
          <w:lang w:val="lt-LT"/>
        </w:rPr>
        <w:t xml:space="preserve">alternatyva tikėtina padėtų išjudinti projektų srautą, nepaisant to, jog pagal tokių projektų atsiperkamumą ir finansinį gyvybingumą, tokia pagalba nėra reikalinga. Iki </w:t>
      </w:r>
      <w:r>
        <w:rPr>
          <w:rFonts w:ascii="Georgia" w:hAnsi="Georgia"/>
          <w:sz w:val="20"/>
          <w:szCs w:val="20"/>
        </w:rPr>
        <w:t xml:space="preserve">20 proc. </w:t>
      </w:r>
      <w:r>
        <w:rPr>
          <w:rStyle w:val="hps"/>
          <w:rFonts w:ascii="Georgia" w:hAnsi="Georgia" w:cs="Arial"/>
          <w:color w:val="222222"/>
          <w:sz w:val="20"/>
          <w:szCs w:val="20"/>
        </w:rPr>
        <w:t>grąžinamoji subsidija</w:t>
      </w:r>
      <w:r w:rsidRPr="005B31C6">
        <w:rPr>
          <w:rStyle w:val="hps"/>
          <w:color w:val="222222"/>
        </w:rPr>
        <w:t xml:space="preserve"> </w:t>
      </w:r>
      <w:r>
        <w:rPr>
          <w:rFonts w:ascii="Georgia" w:hAnsi="Georgia"/>
          <w:sz w:val="20"/>
          <w:szCs w:val="20"/>
        </w:rPr>
        <w:t>būtų patrauklesnė schema savivaldybėms nei palūkanų kompensavimas dėl greito lėšų įsisavinimo ir finansinių įsipareigojimų sumažinimo. Taip pat, grąžinamoji subsidija reiškia, jog pasiekus gerus rezultatus grąžintos lėšos galėtų būti reinvestuojamos į kitus gatvių apšvietimo projektus. Vis dėlto tai neišspręstų jau aukščiau minėtos problemos dėl mažo lėšų kiekio siekiant masto ekonomijos bei priemonės skaidymo atveju padidintų finansinės priemonės administravimo kaštus.</w:t>
      </w:r>
      <w:r>
        <w:rPr>
          <w:rFonts w:ascii="Georgia" w:hAnsi="Georgia"/>
          <w:sz w:val="20"/>
          <w:szCs w:val="20"/>
          <w:lang w:val="lt-LT"/>
        </w:rPr>
        <w:t xml:space="preserve"> Šios alternatyvos įgyvendinimas taip pat užtruktų ilgiau, nei palūkanų subsidijos alternatyva, kadangi jos įgyvendinimui reikėtų pakeisti daug teisės aktų ir kitų dokumentų. </w:t>
      </w:r>
    </w:p>
    <w:p w14:paraId="04DC8C9D" w14:textId="77777777" w:rsidR="00FD5FAE" w:rsidRPr="002142B8" w:rsidRDefault="00FD5FAE" w:rsidP="00C57355">
      <w:pPr>
        <w:pStyle w:val="Antrat2"/>
        <w:numPr>
          <w:ilvl w:val="1"/>
          <w:numId w:val="2"/>
        </w:numPr>
        <w:spacing w:after="240"/>
        <w:ind w:left="709"/>
        <w:rPr>
          <w:lang w:val="lt-LT"/>
        </w:rPr>
      </w:pPr>
      <w:bookmarkStart w:id="271" w:name="_Toc402352635"/>
      <w:bookmarkStart w:id="272" w:name="_Toc25589932"/>
      <w:r w:rsidRPr="002142B8">
        <w:rPr>
          <w:lang w:val="lt-LT"/>
        </w:rPr>
        <w:t>Sverto efekto skaičiavimas</w:t>
      </w:r>
      <w:bookmarkEnd w:id="271"/>
      <w:bookmarkEnd w:id="272"/>
    </w:p>
    <w:p w14:paraId="1C0B24D3" w14:textId="7BD7DF4B" w:rsidR="00C812CA" w:rsidRPr="002142B8" w:rsidRDefault="00C812CA" w:rsidP="00C812CA">
      <w:pPr>
        <w:jc w:val="both"/>
        <w:rPr>
          <w:rFonts w:ascii="Georgia" w:hAnsi="Georgia"/>
          <w:sz w:val="20"/>
          <w:szCs w:val="20"/>
          <w:lang w:val="lt-LT"/>
        </w:rPr>
      </w:pPr>
      <w:r w:rsidRPr="002142B8">
        <w:rPr>
          <w:rFonts w:ascii="Georgia" w:hAnsi="Georgia"/>
          <w:sz w:val="20"/>
          <w:szCs w:val="20"/>
          <w:lang w:val="lt-LT"/>
        </w:rPr>
        <w:t>Remiantis Bendrųjų nuostatų reglamentu sverto efektas privalo būti skaičiuojamas kaip lėšų galutiniams naudos gavėjams sumos santykis su asignuotomis ESI lėšomis specifinei finansinei priemonei.</w:t>
      </w:r>
    </w:p>
    <w:p w14:paraId="26CC5BD0" w14:textId="4C2B1055" w:rsidR="00927881" w:rsidRPr="002142B8" w:rsidRDefault="00927881" w:rsidP="00927881">
      <w:pPr>
        <w:autoSpaceDE w:val="0"/>
        <w:autoSpaceDN w:val="0"/>
        <w:adjustRightInd w:val="0"/>
        <w:spacing w:after="120"/>
        <w:jc w:val="both"/>
        <w:rPr>
          <w:rFonts w:ascii="Georgia" w:hAnsi="Georgia" w:cs="Georgia"/>
          <w:sz w:val="20"/>
          <w:szCs w:val="20"/>
          <w:lang w:val="lt-LT"/>
        </w:rPr>
      </w:pPr>
      <w:r w:rsidRPr="002142B8">
        <w:rPr>
          <w:rFonts w:ascii="Georgia" w:hAnsi="Georgia"/>
          <w:sz w:val="20"/>
          <w:szCs w:val="20"/>
          <w:lang w:val="lt-LT"/>
        </w:rPr>
        <w:t>4.1.4.1 skyriuje apskaičiuoti d</w:t>
      </w:r>
      <w:r w:rsidRPr="002142B8">
        <w:rPr>
          <w:rFonts w:ascii="Georgia" w:hAnsi="Georgia" w:cs="Georgia"/>
          <w:sz w:val="20"/>
          <w:szCs w:val="20"/>
          <w:lang w:val="lt-LT"/>
        </w:rPr>
        <w:t>augiabučių modernizavimo scenarijų sverto efekto pateikiami lentelėje žemiau.</w:t>
      </w:r>
    </w:p>
    <w:p w14:paraId="04484347" w14:textId="0A05E89D" w:rsidR="00927881" w:rsidRPr="00EB3D2A" w:rsidRDefault="00927881" w:rsidP="00927881">
      <w:pPr>
        <w:pStyle w:val="Antrat"/>
        <w:jc w:val="both"/>
        <w:rPr>
          <w:rFonts w:cs="Georgia"/>
          <w:b w:val="0"/>
          <w:i/>
          <w:szCs w:val="20"/>
          <w:lang w:val="lt-LT"/>
        </w:rPr>
      </w:pPr>
      <w:bookmarkStart w:id="273" w:name="_Toc507939207"/>
      <w:r w:rsidRPr="00EB3D2A">
        <w:rPr>
          <w:b w:val="0"/>
          <w:i/>
          <w:lang w:val="lt-LT"/>
        </w:rPr>
        <w:t xml:space="preserve">Lentelė </w:t>
      </w:r>
      <w:r w:rsidRPr="00EB3D2A">
        <w:rPr>
          <w:b w:val="0"/>
          <w:i/>
          <w:lang w:val="lt-LT"/>
        </w:rPr>
        <w:fldChar w:fldCharType="begin"/>
      </w:r>
      <w:r w:rsidRPr="00EB3D2A">
        <w:rPr>
          <w:b w:val="0"/>
          <w:i/>
          <w:lang w:val="lt-LT"/>
        </w:rPr>
        <w:instrText xml:space="preserve"> SEQ Lentelė \* ARABIC </w:instrText>
      </w:r>
      <w:r w:rsidRPr="00EB3D2A">
        <w:rPr>
          <w:b w:val="0"/>
          <w:i/>
          <w:lang w:val="lt-LT"/>
        </w:rPr>
        <w:fldChar w:fldCharType="separate"/>
      </w:r>
      <w:r w:rsidR="009652A6">
        <w:rPr>
          <w:b w:val="0"/>
          <w:i/>
          <w:noProof/>
          <w:lang w:val="lt-LT"/>
        </w:rPr>
        <w:t>85</w:t>
      </w:r>
      <w:r w:rsidRPr="00EB3D2A">
        <w:rPr>
          <w:b w:val="0"/>
          <w:i/>
          <w:lang w:val="lt-LT"/>
        </w:rPr>
        <w:fldChar w:fldCharType="end"/>
      </w:r>
      <w:r w:rsidRPr="00EB3D2A">
        <w:rPr>
          <w:b w:val="0"/>
          <w:i/>
          <w:lang w:val="lt-LT"/>
        </w:rPr>
        <w:t>. Daugiabučių modernizavimo</w:t>
      </w:r>
      <w:r w:rsidRPr="00EB3D2A">
        <w:rPr>
          <w:rFonts w:cs="Georgia"/>
          <w:b w:val="0"/>
          <w:i/>
          <w:szCs w:val="20"/>
          <w:lang w:val="lt-LT"/>
        </w:rPr>
        <w:t xml:space="preserve"> finansavimo sverto efekto rodikliai pagal atskirus scenarijus</w:t>
      </w:r>
      <w:bookmarkEnd w:id="273"/>
      <w:r w:rsidRPr="00EB3D2A">
        <w:rPr>
          <w:rFonts w:cs="Georgia"/>
          <w:b w:val="0"/>
          <w:i/>
          <w:szCs w:val="20"/>
          <w:lang w:val="lt-LT"/>
        </w:rPr>
        <w:t xml:space="preserve"> </w:t>
      </w:r>
    </w:p>
    <w:tbl>
      <w:tblPr>
        <w:tblStyle w:val="LightList-Accent21"/>
        <w:tblW w:w="0" w:type="auto"/>
        <w:tblLook w:val="04A0" w:firstRow="1" w:lastRow="0" w:firstColumn="1" w:lastColumn="0" w:noHBand="0" w:noVBand="1"/>
      </w:tblPr>
      <w:tblGrid>
        <w:gridCol w:w="6970"/>
        <w:gridCol w:w="2036"/>
      </w:tblGrid>
      <w:tr w:rsidR="00927881" w:rsidRPr="002142B8" w14:paraId="47779C81" w14:textId="77777777" w:rsidTr="00CB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hideMark/>
          </w:tcPr>
          <w:p w14:paraId="3F1C279C" w14:textId="77777777" w:rsidR="00927881" w:rsidRPr="002142B8" w:rsidRDefault="00927881" w:rsidP="00A3268D">
            <w:pPr>
              <w:keepNext/>
              <w:tabs>
                <w:tab w:val="left" w:pos="614"/>
                <w:tab w:val="center" w:pos="3341"/>
              </w:tabs>
              <w:rPr>
                <w:rFonts w:ascii="Georgia" w:hAnsi="Georgia"/>
                <w:sz w:val="20"/>
                <w:szCs w:val="20"/>
              </w:rPr>
            </w:pPr>
            <w:r w:rsidRPr="002142B8">
              <w:rPr>
                <w:rFonts w:ascii="Georgia" w:hAnsi="Georgia"/>
                <w:sz w:val="20"/>
                <w:szCs w:val="20"/>
              </w:rPr>
              <w:t>Scenarijai</w:t>
            </w:r>
          </w:p>
        </w:tc>
        <w:tc>
          <w:tcPr>
            <w:tcW w:w="2036" w:type="dxa"/>
          </w:tcPr>
          <w:p w14:paraId="36286A02" w14:textId="77777777" w:rsidR="00927881" w:rsidRPr="002142B8" w:rsidRDefault="00927881" w:rsidP="00A3268D">
            <w:pPr>
              <w:keepNext/>
              <w:tabs>
                <w:tab w:val="left" w:pos="614"/>
                <w:tab w:val="center" w:pos="3341"/>
              </w:tabs>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Sverto efektas</w:t>
            </w:r>
          </w:p>
        </w:tc>
      </w:tr>
      <w:tr w:rsidR="00927881" w:rsidRPr="002142B8" w14:paraId="5FB95DC9" w14:textId="77777777" w:rsidTr="00CB0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hideMark/>
          </w:tcPr>
          <w:p w14:paraId="52BBC92B" w14:textId="78962BE2" w:rsidR="00927881" w:rsidRPr="002142B8" w:rsidRDefault="00927881" w:rsidP="00927881">
            <w:pPr>
              <w:keepNext/>
              <w:rPr>
                <w:rFonts w:ascii="Georgia" w:hAnsi="Georgia"/>
                <w:b w:val="0"/>
                <w:sz w:val="20"/>
                <w:szCs w:val="20"/>
              </w:rPr>
            </w:pPr>
            <w:r w:rsidRPr="002142B8">
              <w:rPr>
                <w:rFonts w:ascii="Georgia" w:hAnsi="Georgia"/>
                <w:b w:val="0"/>
                <w:sz w:val="20"/>
                <w:szCs w:val="20"/>
              </w:rPr>
              <w:t xml:space="preserve">Lengvatinių paskolų teikimas </w:t>
            </w:r>
          </w:p>
        </w:tc>
        <w:tc>
          <w:tcPr>
            <w:tcW w:w="2036" w:type="dxa"/>
          </w:tcPr>
          <w:p w14:paraId="09215B54" w14:textId="4EFAB9AC" w:rsidR="00927881" w:rsidRPr="002142B8" w:rsidRDefault="00927881" w:rsidP="00927881">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w:t>
            </w:r>
            <w:r w:rsidR="00F43818" w:rsidRPr="002142B8">
              <w:rPr>
                <w:rFonts w:ascii="Georgia" w:hAnsi="Georgia"/>
                <w:sz w:val="20"/>
                <w:szCs w:val="20"/>
              </w:rPr>
              <w:t>24</w:t>
            </w:r>
          </w:p>
        </w:tc>
      </w:tr>
      <w:tr w:rsidR="00927881" w:rsidRPr="002142B8" w14:paraId="06612317" w14:textId="77777777" w:rsidTr="00CB0D45">
        <w:tc>
          <w:tcPr>
            <w:cnfStyle w:val="001000000000" w:firstRow="0" w:lastRow="0" w:firstColumn="1" w:lastColumn="0" w:oddVBand="0" w:evenVBand="0" w:oddHBand="0" w:evenHBand="0" w:firstRowFirstColumn="0" w:firstRowLastColumn="0" w:lastRowFirstColumn="0" w:lastRowLastColumn="0"/>
            <w:tcW w:w="6970" w:type="dxa"/>
            <w:hideMark/>
          </w:tcPr>
          <w:p w14:paraId="7069FFAE" w14:textId="2325574C" w:rsidR="00927881" w:rsidRPr="002142B8" w:rsidRDefault="00927881" w:rsidP="00927881">
            <w:pPr>
              <w:rPr>
                <w:rFonts w:ascii="Georgia" w:hAnsi="Georgia"/>
                <w:b w:val="0"/>
                <w:sz w:val="20"/>
                <w:szCs w:val="20"/>
              </w:rPr>
            </w:pPr>
            <w:r w:rsidRPr="002142B8">
              <w:rPr>
                <w:rFonts w:ascii="Georgia" w:hAnsi="Georgia"/>
                <w:b w:val="0"/>
                <w:sz w:val="20"/>
                <w:szCs w:val="20"/>
              </w:rPr>
              <w:t>Dalis finansinės priemonės lėšų nukreipiama į paskolų modelį, o dalis į garantijų priemonę</w:t>
            </w:r>
            <w:r w:rsidR="00EA4DE9" w:rsidRPr="002142B8">
              <w:rPr>
                <w:rFonts w:ascii="Georgia" w:hAnsi="Georgia"/>
                <w:b w:val="0"/>
                <w:sz w:val="20"/>
                <w:szCs w:val="20"/>
              </w:rPr>
              <w:t xml:space="preserve"> (palyginamosios prielaidos)</w:t>
            </w:r>
          </w:p>
        </w:tc>
        <w:tc>
          <w:tcPr>
            <w:tcW w:w="2036" w:type="dxa"/>
          </w:tcPr>
          <w:p w14:paraId="2D829A2B" w14:textId="202485F8" w:rsidR="00927881" w:rsidRPr="002142B8" w:rsidRDefault="00F43818" w:rsidP="0092788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2,64</w:t>
            </w:r>
          </w:p>
        </w:tc>
      </w:tr>
      <w:tr w:rsidR="00927881" w:rsidRPr="002142B8" w14:paraId="156B5789" w14:textId="77777777" w:rsidTr="00CB0D4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970" w:type="dxa"/>
            <w:hideMark/>
          </w:tcPr>
          <w:p w14:paraId="578BD710" w14:textId="28165A69" w:rsidR="00927881" w:rsidRPr="002142B8" w:rsidRDefault="00927881" w:rsidP="00927881">
            <w:pPr>
              <w:rPr>
                <w:rFonts w:ascii="Georgia" w:hAnsi="Georgia"/>
                <w:b w:val="0"/>
                <w:sz w:val="20"/>
                <w:szCs w:val="20"/>
              </w:rPr>
            </w:pPr>
            <w:r w:rsidRPr="002142B8">
              <w:rPr>
                <w:rFonts w:ascii="Georgia" w:hAnsi="Georgia"/>
                <w:b w:val="0"/>
                <w:sz w:val="20"/>
                <w:szCs w:val="20"/>
              </w:rPr>
              <w:t>Visos lėšos panaudojamos garantijoms</w:t>
            </w:r>
          </w:p>
        </w:tc>
        <w:tc>
          <w:tcPr>
            <w:tcW w:w="2036" w:type="dxa"/>
          </w:tcPr>
          <w:p w14:paraId="2AC65303" w14:textId="30907208" w:rsidR="00927881" w:rsidRPr="002142B8" w:rsidRDefault="00927881" w:rsidP="0092788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3,</w:t>
            </w:r>
            <w:r w:rsidR="00F43818" w:rsidRPr="002142B8">
              <w:rPr>
                <w:rFonts w:ascii="Georgia" w:hAnsi="Georgia"/>
                <w:sz w:val="20"/>
                <w:szCs w:val="20"/>
              </w:rPr>
              <w:t>14</w:t>
            </w:r>
          </w:p>
        </w:tc>
      </w:tr>
      <w:tr w:rsidR="00927881" w:rsidRPr="002142B8" w14:paraId="05E8FB4C" w14:textId="77777777" w:rsidTr="00CB0D45">
        <w:tc>
          <w:tcPr>
            <w:cnfStyle w:val="001000000000" w:firstRow="0" w:lastRow="0" w:firstColumn="1" w:lastColumn="0" w:oddVBand="0" w:evenVBand="0" w:oddHBand="0" w:evenHBand="0" w:firstRowFirstColumn="0" w:firstRowLastColumn="0" w:lastRowFirstColumn="0" w:lastRowLastColumn="0"/>
            <w:tcW w:w="6970" w:type="dxa"/>
          </w:tcPr>
          <w:p w14:paraId="1FB3BDCD" w14:textId="5FF6608A" w:rsidR="00927881" w:rsidRPr="002142B8" w:rsidRDefault="0088219E" w:rsidP="00927881">
            <w:pPr>
              <w:rPr>
                <w:rFonts w:ascii="Georgia" w:hAnsi="Georgia"/>
                <w:b w:val="0"/>
                <w:sz w:val="20"/>
                <w:szCs w:val="20"/>
              </w:rPr>
            </w:pPr>
            <w:r w:rsidRPr="002142B8">
              <w:rPr>
                <w:rFonts w:ascii="Georgia" w:hAnsi="Georgia"/>
                <w:b w:val="0"/>
                <w:sz w:val="20"/>
                <w:szCs w:val="20"/>
              </w:rPr>
              <w:lastRenderedPageBreak/>
              <w:t>Paskolų teikimas taikant asimetrinį rizikos pasidalijimo modelį</w:t>
            </w:r>
          </w:p>
        </w:tc>
        <w:tc>
          <w:tcPr>
            <w:tcW w:w="2036" w:type="dxa"/>
          </w:tcPr>
          <w:p w14:paraId="4D8517A5" w14:textId="2AE56E74" w:rsidR="00927881" w:rsidRPr="002142B8" w:rsidRDefault="00F43818" w:rsidP="0092788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3,57</w:t>
            </w:r>
          </w:p>
        </w:tc>
      </w:tr>
      <w:tr w:rsidR="00927881" w:rsidRPr="002142B8" w14:paraId="3B8A5B20" w14:textId="77777777" w:rsidTr="00CB0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0" w:type="dxa"/>
          </w:tcPr>
          <w:p w14:paraId="1591CE5F" w14:textId="395F7D40" w:rsidR="00927881" w:rsidRPr="002142B8" w:rsidRDefault="00927881" w:rsidP="00927881">
            <w:pPr>
              <w:rPr>
                <w:rFonts w:ascii="Georgia" w:hAnsi="Georgia"/>
                <w:b w:val="0"/>
                <w:sz w:val="20"/>
                <w:szCs w:val="20"/>
              </w:rPr>
            </w:pPr>
            <w:r w:rsidRPr="002142B8">
              <w:rPr>
                <w:rFonts w:ascii="Georgia" w:hAnsi="Georgia"/>
                <w:b w:val="0"/>
                <w:sz w:val="20"/>
                <w:szCs w:val="20"/>
              </w:rPr>
              <w:t>Dalis finansinės priemonės lėšų nukreipiama į paskolų modelį, o dalis į garantijų priemonę su galimybe išpirkti ateities finansinius srautus</w:t>
            </w:r>
          </w:p>
        </w:tc>
        <w:tc>
          <w:tcPr>
            <w:tcW w:w="2036" w:type="dxa"/>
          </w:tcPr>
          <w:p w14:paraId="15A6D01B" w14:textId="44C99169" w:rsidR="00927881" w:rsidRPr="002142B8" w:rsidRDefault="00F43818" w:rsidP="0092788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2,59</w:t>
            </w:r>
          </w:p>
        </w:tc>
      </w:tr>
    </w:tbl>
    <w:p w14:paraId="147C35C7" w14:textId="77777777" w:rsidR="00F43818" w:rsidRPr="002142B8" w:rsidRDefault="00F43818" w:rsidP="0063781D">
      <w:pPr>
        <w:spacing w:after="160" w:line="240" w:lineRule="auto"/>
        <w:jc w:val="both"/>
        <w:rPr>
          <w:rFonts w:ascii="Georgia" w:eastAsia="Georgia" w:hAnsi="Georgia" w:cs="Arial Unicode MS"/>
          <w:i/>
          <w:iCs/>
          <w:color w:val="821A1A"/>
          <w:sz w:val="20"/>
          <w:szCs w:val="20"/>
          <w:lang w:val="lt-LT"/>
        </w:rPr>
      </w:pPr>
      <w:r w:rsidRPr="002142B8">
        <w:rPr>
          <w:rFonts w:ascii="Georgia" w:eastAsia="Georgia" w:hAnsi="Georgia" w:cs="Arial Unicode MS"/>
          <w:i/>
          <w:iCs/>
          <w:color w:val="821A1A"/>
          <w:sz w:val="20"/>
          <w:szCs w:val="20"/>
          <w:lang w:val="lt-LT"/>
        </w:rPr>
        <w:t>Šaltinis: sudaryta autorių</w:t>
      </w:r>
    </w:p>
    <w:p w14:paraId="6491279D" w14:textId="09E277A3" w:rsidR="00FD5FAE" w:rsidRPr="002142B8" w:rsidRDefault="00FD5FAE" w:rsidP="00FD5FAE">
      <w:pPr>
        <w:autoSpaceDE w:val="0"/>
        <w:autoSpaceDN w:val="0"/>
        <w:adjustRightInd w:val="0"/>
        <w:spacing w:after="120"/>
        <w:jc w:val="both"/>
        <w:rPr>
          <w:rFonts w:ascii="Georgia" w:hAnsi="Georgia" w:cs="Georgia"/>
          <w:sz w:val="20"/>
          <w:szCs w:val="20"/>
          <w:lang w:val="lt-LT"/>
        </w:rPr>
      </w:pPr>
      <w:r w:rsidRPr="002142B8">
        <w:rPr>
          <w:rFonts w:ascii="Georgia" w:hAnsi="Georgia" w:cs="Georgia"/>
          <w:sz w:val="20"/>
          <w:szCs w:val="20"/>
          <w:lang w:val="lt-LT"/>
        </w:rPr>
        <w:t xml:space="preserve">Pagal </w:t>
      </w:r>
      <w:r w:rsidRPr="002142B8">
        <w:rPr>
          <w:rFonts w:ascii="Georgia" w:hAnsi="Georgia"/>
          <w:sz w:val="20"/>
          <w:szCs w:val="20"/>
          <w:lang w:val="lt-LT"/>
        </w:rPr>
        <w:t>4.1.</w:t>
      </w:r>
      <w:r w:rsidR="00927881" w:rsidRPr="002142B8">
        <w:rPr>
          <w:rFonts w:ascii="Georgia" w:hAnsi="Georgia"/>
          <w:sz w:val="20"/>
          <w:szCs w:val="20"/>
          <w:lang w:val="lt-LT"/>
        </w:rPr>
        <w:t>4</w:t>
      </w:r>
      <w:r w:rsidRPr="002142B8">
        <w:rPr>
          <w:rFonts w:ascii="Georgia" w:hAnsi="Georgia"/>
          <w:sz w:val="20"/>
          <w:szCs w:val="20"/>
          <w:lang w:val="lt-LT"/>
        </w:rPr>
        <w:t>.</w:t>
      </w:r>
      <w:r w:rsidR="00927881" w:rsidRPr="002142B8">
        <w:rPr>
          <w:rFonts w:ascii="Georgia" w:hAnsi="Georgia"/>
          <w:sz w:val="20"/>
          <w:szCs w:val="20"/>
          <w:lang w:val="lt-LT"/>
        </w:rPr>
        <w:t>2</w:t>
      </w:r>
      <w:r w:rsidRPr="002142B8">
        <w:rPr>
          <w:rFonts w:ascii="Georgia" w:hAnsi="Georgia"/>
          <w:sz w:val="20"/>
          <w:szCs w:val="20"/>
          <w:lang w:val="lt-LT"/>
        </w:rPr>
        <w:t xml:space="preserve"> </w:t>
      </w:r>
      <w:r w:rsidR="00086FC2" w:rsidRPr="002142B8">
        <w:rPr>
          <w:rFonts w:ascii="Georgia" w:hAnsi="Georgia"/>
          <w:sz w:val="20"/>
          <w:szCs w:val="20"/>
          <w:lang w:val="lt-LT"/>
        </w:rPr>
        <w:t>ir 4.1.</w:t>
      </w:r>
      <w:r w:rsidR="00927881" w:rsidRPr="002142B8">
        <w:rPr>
          <w:rFonts w:ascii="Georgia" w:hAnsi="Georgia"/>
          <w:sz w:val="20"/>
          <w:szCs w:val="20"/>
          <w:lang w:val="lt-LT"/>
        </w:rPr>
        <w:t>4</w:t>
      </w:r>
      <w:r w:rsidR="00086FC2" w:rsidRPr="002142B8">
        <w:rPr>
          <w:rFonts w:ascii="Georgia" w:hAnsi="Georgia"/>
          <w:sz w:val="20"/>
          <w:szCs w:val="20"/>
          <w:lang w:val="lt-LT"/>
        </w:rPr>
        <w:t>.</w:t>
      </w:r>
      <w:r w:rsidR="00927881" w:rsidRPr="002142B8">
        <w:rPr>
          <w:rFonts w:ascii="Georgia" w:hAnsi="Georgia"/>
          <w:sz w:val="20"/>
          <w:szCs w:val="20"/>
          <w:lang w:val="lt-LT"/>
        </w:rPr>
        <w:t>4</w:t>
      </w:r>
      <w:r w:rsidR="00086FC2" w:rsidRPr="002142B8">
        <w:rPr>
          <w:rFonts w:ascii="Georgia" w:hAnsi="Georgia"/>
          <w:sz w:val="20"/>
          <w:szCs w:val="20"/>
          <w:lang w:val="lt-LT"/>
        </w:rPr>
        <w:t xml:space="preserve"> </w:t>
      </w:r>
      <w:r w:rsidRPr="002142B8">
        <w:rPr>
          <w:rFonts w:ascii="Georgia" w:hAnsi="Georgia"/>
          <w:sz w:val="20"/>
          <w:szCs w:val="20"/>
          <w:lang w:val="lt-LT"/>
        </w:rPr>
        <w:t>skyriu</w:t>
      </w:r>
      <w:r w:rsidR="00086FC2" w:rsidRPr="002142B8">
        <w:rPr>
          <w:rFonts w:ascii="Georgia" w:hAnsi="Georgia"/>
          <w:sz w:val="20"/>
          <w:szCs w:val="20"/>
          <w:lang w:val="lt-LT"/>
        </w:rPr>
        <w:t>ose</w:t>
      </w:r>
      <w:r w:rsidRPr="002142B8">
        <w:rPr>
          <w:rFonts w:ascii="Georgia" w:hAnsi="Georgia"/>
          <w:sz w:val="20"/>
          <w:szCs w:val="20"/>
          <w:lang w:val="lt-LT"/>
        </w:rPr>
        <w:t xml:space="preserve"> identifikuotu</w:t>
      </w:r>
      <w:r w:rsidR="00086FC2" w:rsidRPr="002142B8">
        <w:rPr>
          <w:rFonts w:ascii="Georgia" w:hAnsi="Georgia"/>
          <w:sz w:val="20"/>
          <w:szCs w:val="20"/>
          <w:lang w:val="lt-LT"/>
        </w:rPr>
        <w:t>s</w:t>
      </w:r>
      <w:r w:rsidRPr="002142B8">
        <w:rPr>
          <w:rFonts w:ascii="Georgia" w:hAnsi="Georgia"/>
          <w:sz w:val="20"/>
          <w:szCs w:val="20"/>
          <w:lang w:val="lt-LT"/>
        </w:rPr>
        <w:t xml:space="preserve"> </w:t>
      </w:r>
      <w:r w:rsidRPr="002142B8">
        <w:rPr>
          <w:rFonts w:ascii="Georgia" w:hAnsi="Georgia" w:cs="Georgia"/>
          <w:sz w:val="20"/>
          <w:szCs w:val="20"/>
          <w:lang w:val="lt-LT"/>
        </w:rPr>
        <w:t>scenarijus</w:t>
      </w:r>
      <w:r w:rsidR="00086FC2" w:rsidRPr="002142B8">
        <w:rPr>
          <w:rFonts w:ascii="Georgia" w:hAnsi="Georgia" w:cs="Georgia"/>
          <w:sz w:val="20"/>
          <w:szCs w:val="20"/>
          <w:lang w:val="lt-LT"/>
        </w:rPr>
        <w:t xml:space="preserve"> </w:t>
      </w:r>
      <w:r w:rsidRPr="002142B8">
        <w:rPr>
          <w:rFonts w:ascii="Georgia" w:hAnsi="Georgia" w:cs="Georgia"/>
          <w:sz w:val="20"/>
          <w:szCs w:val="20"/>
          <w:lang w:val="lt-LT"/>
        </w:rPr>
        <w:t xml:space="preserve">apskaičiuoti sverto efekto rodikliai centrinės valdžios viešiesiems pastatų </w:t>
      </w:r>
      <w:r w:rsidR="00086FC2" w:rsidRPr="002142B8">
        <w:rPr>
          <w:rFonts w:ascii="Georgia" w:hAnsi="Georgia" w:cs="Georgia"/>
          <w:sz w:val="20"/>
          <w:szCs w:val="20"/>
          <w:lang w:val="lt-LT"/>
        </w:rPr>
        <w:t xml:space="preserve">gatvių apšvietimo </w:t>
      </w:r>
      <w:r w:rsidRPr="002142B8">
        <w:rPr>
          <w:rFonts w:ascii="Georgia" w:hAnsi="Georgia" w:cs="Georgia"/>
          <w:sz w:val="20"/>
          <w:szCs w:val="20"/>
          <w:lang w:val="lt-LT"/>
        </w:rPr>
        <w:t>renovacijai pateikiami žemiau esančio</w:t>
      </w:r>
      <w:r w:rsidR="00086FC2" w:rsidRPr="002142B8">
        <w:rPr>
          <w:rFonts w:ascii="Georgia" w:hAnsi="Georgia" w:cs="Georgia"/>
          <w:sz w:val="20"/>
          <w:szCs w:val="20"/>
          <w:lang w:val="lt-LT"/>
        </w:rPr>
        <w:t>se</w:t>
      </w:r>
      <w:r w:rsidRPr="002142B8">
        <w:rPr>
          <w:rFonts w:ascii="Georgia" w:hAnsi="Georgia" w:cs="Georgia"/>
          <w:sz w:val="20"/>
          <w:szCs w:val="20"/>
          <w:lang w:val="lt-LT"/>
        </w:rPr>
        <w:t xml:space="preserve"> lentelė</w:t>
      </w:r>
      <w:r w:rsidR="00086FC2" w:rsidRPr="002142B8">
        <w:rPr>
          <w:rFonts w:ascii="Georgia" w:hAnsi="Georgia" w:cs="Georgia"/>
          <w:sz w:val="20"/>
          <w:szCs w:val="20"/>
          <w:lang w:val="lt-LT"/>
        </w:rPr>
        <w:t>se</w:t>
      </w:r>
      <w:r w:rsidRPr="002142B8">
        <w:rPr>
          <w:rFonts w:ascii="Georgia" w:hAnsi="Georgia" w:cs="Georgia"/>
          <w:sz w:val="20"/>
          <w:szCs w:val="20"/>
          <w:lang w:val="lt-LT"/>
        </w:rPr>
        <w:t>.</w:t>
      </w:r>
    </w:p>
    <w:p w14:paraId="7BAA8BFD" w14:textId="6C70650B" w:rsidR="005A432A" w:rsidRPr="008377C9" w:rsidRDefault="005A432A" w:rsidP="005A432A">
      <w:pPr>
        <w:pStyle w:val="Antrat"/>
        <w:jc w:val="both"/>
        <w:rPr>
          <w:rFonts w:cs="Georgia"/>
          <w:b w:val="0"/>
          <w:i/>
          <w:szCs w:val="20"/>
          <w:lang w:val="lt-LT"/>
        </w:rPr>
      </w:pPr>
      <w:bookmarkStart w:id="274" w:name="_Toc503193925"/>
      <w:bookmarkStart w:id="275" w:name="_Toc507939208"/>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86</w:t>
      </w:r>
      <w:r w:rsidRPr="008377C9">
        <w:rPr>
          <w:b w:val="0"/>
          <w:i/>
          <w:lang w:val="lt-LT"/>
        </w:rPr>
        <w:fldChar w:fldCharType="end"/>
      </w:r>
      <w:r w:rsidRPr="008377C9">
        <w:rPr>
          <w:b w:val="0"/>
          <w:i/>
          <w:lang w:val="lt-LT"/>
        </w:rPr>
        <w:t xml:space="preserve">. </w:t>
      </w:r>
      <w:r w:rsidRPr="008377C9">
        <w:rPr>
          <w:rFonts w:cs="Georgia"/>
          <w:b w:val="0"/>
          <w:i/>
          <w:szCs w:val="20"/>
          <w:lang w:val="lt-LT"/>
        </w:rPr>
        <w:t>Centrinės valdžios pastatų ir gatvių apšvietimo renovacijos finansavimo sverto efekto rodikliai pagal atskirus scenarijus</w:t>
      </w:r>
      <w:bookmarkEnd w:id="274"/>
      <w:bookmarkEnd w:id="275"/>
      <w:r w:rsidRPr="008377C9">
        <w:rPr>
          <w:rFonts w:cs="Georgia"/>
          <w:b w:val="0"/>
          <w:i/>
          <w:szCs w:val="20"/>
          <w:lang w:val="lt-LT"/>
        </w:rPr>
        <w:t xml:space="preserve"> </w:t>
      </w:r>
    </w:p>
    <w:tbl>
      <w:tblPr>
        <w:tblStyle w:val="LightList-Accent21"/>
        <w:tblW w:w="0" w:type="auto"/>
        <w:tblLook w:val="04A0" w:firstRow="1" w:lastRow="0" w:firstColumn="1" w:lastColumn="0" w:noHBand="0" w:noVBand="1"/>
      </w:tblPr>
      <w:tblGrid>
        <w:gridCol w:w="4786"/>
        <w:gridCol w:w="2126"/>
        <w:gridCol w:w="2126"/>
      </w:tblGrid>
      <w:tr w:rsidR="005A432A" w:rsidRPr="00C8226F" w14:paraId="656035EC" w14:textId="77777777" w:rsidTr="005A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hideMark/>
          </w:tcPr>
          <w:p w14:paraId="58C9710E" w14:textId="77777777" w:rsidR="005A432A" w:rsidRPr="00C8226F" w:rsidRDefault="005A432A" w:rsidP="005A432A">
            <w:pPr>
              <w:keepNext/>
              <w:tabs>
                <w:tab w:val="left" w:pos="614"/>
                <w:tab w:val="center" w:pos="3341"/>
              </w:tabs>
              <w:rPr>
                <w:rFonts w:ascii="Georgia" w:hAnsi="Georgia"/>
                <w:sz w:val="20"/>
                <w:szCs w:val="20"/>
              </w:rPr>
            </w:pPr>
            <w:r w:rsidRPr="00C8226F">
              <w:rPr>
                <w:rFonts w:ascii="Georgia" w:hAnsi="Georgia"/>
                <w:sz w:val="20"/>
                <w:szCs w:val="20"/>
              </w:rPr>
              <w:t>Scenarijai</w:t>
            </w:r>
          </w:p>
        </w:tc>
        <w:tc>
          <w:tcPr>
            <w:tcW w:w="4252" w:type="dxa"/>
            <w:gridSpan w:val="2"/>
          </w:tcPr>
          <w:p w14:paraId="43030193" w14:textId="77777777" w:rsidR="005A432A" w:rsidRPr="00C8226F" w:rsidDel="00BF3EBD" w:rsidRDefault="005A432A" w:rsidP="005A432A">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Sverto rodiklis</w:t>
            </w:r>
          </w:p>
        </w:tc>
      </w:tr>
      <w:tr w:rsidR="005A432A" w:rsidRPr="003112C5" w14:paraId="73F4AF5B"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D62E1C"/>
          </w:tcPr>
          <w:p w14:paraId="3701908D" w14:textId="77777777" w:rsidR="005A432A" w:rsidRPr="005B31C6" w:rsidRDefault="005A432A" w:rsidP="005A432A">
            <w:pPr>
              <w:keepNext/>
              <w:tabs>
                <w:tab w:val="left" w:pos="614"/>
                <w:tab w:val="center" w:pos="3341"/>
              </w:tabs>
              <w:rPr>
                <w:rFonts w:ascii="Georgia" w:hAnsi="Georgia"/>
                <w:color w:val="FFFFFF"/>
                <w:sz w:val="20"/>
                <w:szCs w:val="20"/>
              </w:rPr>
            </w:pPr>
          </w:p>
        </w:tc>
        <w:tc>
          <w:tcPr>
            <w:tcW w:w="2126" w:type="dxa"/>
            <w:shd w:val="clear" w:color="auto" w:fill="D62E1C"/>
          </w:tcPr>
          <w:p w14:paraId="521347B0" w14:textId="77777777" w:rsidR="005A432A" w:rsidRPr="005B31C6" w:rsidRDefault="005A432A" w:rsidP="005A432A">
            <w:pPr>
              <w:keepNext/>
              <w:tabs>
                <w:tab w:val="left" w:pos="614"/>
                <w:tab w:val="center" w:pos="3341"/>
              </w:tabs>
              <w:jc w:val="center"/>
              <w:cnfStyle w:val="000000100000" w:firstRow="0" w:lastRow="0" w:firstColumn="0" w:lastColumn="0" w:oddVBand="0" w:evenVBand="0" w:oddHBand="1" w:evenHBand="0" w:firstRowFirstColumn="0" w:firstRowLastColumn="0" w:lastRowFirstColumn="0" w:lastRowLastColumn="0"/>
              <w:rPr>
                <w:rFonts w:ascii="Georgia" w:hAnsi="Georgia"/>
                <w:b/>
                <w:color w:val="FFFFFF" w:themeColor="background1"/>
                <w:sz w:val="20"/>
                <w:szCs w:val="20"/>
              </w:rPr>
            </w:pPr>
            <w:r w:rsidRPr="005B31C6">
              <w:rPr>
                <w:rFonts w:ascii="Georgia" w:hAnsi="Georgia"/>
                <w:b/>
                <w:color w:val="FFFFFF" w:themeColor="background1"/>
                <w:sz w:val="20"/>
                <w:szCs w:val="20"/>
              </w:rPr>
              <w:t>Centrinės valdžios pastatai</w:t>
            </w:r>
          </w:p>
        </w:tc>
        <w:tc>
          <w:tcPr>
            <w:tcW w:w="2126" w:type="dxa"/>
            <w:shd w:val="clear" w:color="auto" w:fill="D62E1C"/>
          </w:tcPr>
          <w:p w14:paraId="48B21C4E" w14:textId="77777777" w:rsidR="005A432A" w:rsidRPr="00DE277E" w:rsidRDefault="005A432A" w:rsidP="005A432A">
            <w:pPr>
              <w:keepNext/>
              <w:tabs>
                <w:tab w:val="left" w:pos="614"/>
                <w:tab w:val="center" w:pos="3341"/>
              </w:tabs>
              <w:jc w:val="center"/>
              <w:cnfStyle w:val="000000100000" w:firstRow="0" w:lastRow="0" w:firstColumn="0" w:lastColumn="0" w:oddVBand="0" w:evenVBand="0" w:oddHBand="1" w:evenHBand="0" w:firstRowFirstColumn="0" w:firstRowLastColumn="0" w:lastRowFirstColumn="0" w:lastRowLastColumn="0"/>
              <w:rPr>
                <w:rFonts w:ascii="Georgia" w:hAnsi="Georgia"/>
                <w:b/>
                <w:color w:val="FFFFFF" w:themeColor="background1"/>
                <w:sz w:val="20"/>
                <w:szCs w:val="20"/>
              </w:rPr>
            </w:pPr>
            <w:r>
              <w:rPr>
                <w:rFonts w:ascii="Georgia" w:hAnsi="Georgia"/>
                <w:b/>
                <w:color w:val="FFFFFF" w:themeColor="background1"/>
                <w:sz w:val="20"/>
                <w:szCs w:val="20"/>
              </w:rPr>
              <w:t>Gatvių apšvietimas</w:t>
            </w:r>
          </w:p>
        </w:tc>
      </w:tr>
      <w:tr w:rsidR="005A432A" w:rsidRPr="00C8226F" w14:paraId="67A2FFBF" w14:textId="77777777" w:rsidTr="005A432A">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0CF819CB" w14:textId="77777777" w:rsidR="005A432A" w:rsidRPr="00E3344C" w:rsidRDefault="005A432A" w:rsidP="005A432A">
            <w:pPr>
              <w:keepNext/>
              <w:rPr>
                <w:rFonts w:ascii="Georgia" w:hAnsi="Georgia"/>
                <w:b w:val="0"/>
                <w:sz w:val="20"/>
                <w:szCs w:val="20"/>
              </w:rPr>
            </w:pPr>
            <w:r w:rsidRPr="00E3344C">
              <w:rPr>
                <w:rFonts w:ascii="Georgia" w:hAnsi="Georgia"/>
                <w:b w:val="0"/>
                <w:sz w:val="20"/>
                <w:szCs w:val="20"/>
              </w:rPr>
              <w:t>Paskola</w:t>
            </w:r>
          </w:p>
        </w:tc>
        <w:tc>
          <w:tcPr>
            <w:tcW w:w="2126" w:type="dxa"/>
            <w:vAlign w:val="center"/>
          </w:tcPr>
          <w:p w14:paraId="25022B3B" w14:textId="77777777" w:rsidR="005A432A" w:rsidRPr="00D45CD8" w:rsidDel="00BF3EBD" w:rsidRDefault="005A432A" w:rsidP="005A432A">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D45CD8">
              <w:rPr>
                <w:rFonts w:ascii="Georgia" w:hAnsi="Georgia"/>
                <w:sz w:val="18"/>
                <w:szCs w:val="18"/>
              </w:rPr>
              <w:t>1,05</w:t>
            </w:r>
          </w:p>
        </w:tc>
        <w:tc>
          <w:tcPr>
            <w:tcW w:w="2126" w:type="dxa"/>
            <w:vAlign w:val="center"/>
          </w:tcPr>
          <w:p w14:paraId="5F414FE5" w14:textId="77777777" w:rsidR="005A432A" w:rsidRPr="00D45CD8" w:rsidRDefault="005A432A" w:rsidP="005A432A">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D45CD8">
              <w:rPr>
                <w:rFonts w:ascii="Georgia" w:hAnsi="Georgia"/>
                <w:sz w:val="18"/>
                <w:szCs w:val="18"/>
              </w:rPr>
              <w:t>1,05</w:t>
            </w:r>
          </w:p>
        </w:tc>
      </w:tr>
      <w:tr w:rsidR="005A432A" w:rsidRPr="00C8226F" w14:paraId="6F5E3F25"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733A3061" w14:textId="77777777" w:rsidR="005A432A" w:rsidRPr="00E3344C" w:rsidRDefault="005A432A" w:rsidP="005A432A">
            <w:pPr>
              <w:keepNext/>
              <w:rPr>
                <w:rFonts w:ascii="Georgia" w:hAnsi="Georgia"/>
                <w:b w:val="0"/>
                <w:sz w:val="20"/>
                <w:szCs w:val="20"/>
              </w:rPr>
            </w:pPr>
            <w:r w:rsidRPr="00E3344C">
              <w:rPr>
                <w:rFonts w:ascii="Georgia" w:hAnsi="Georgia"/>
                <w:b w:val="0"/>
                <w:sz w:val="20"/>
                <w:szCs w:val="20"/>
              </w:rPr>
              <w:t>Paskol</w:t>
            </w:r>
            <w:r>
              <w:rPr>
                <w:rFonts w:ascii="Georgia" w:hAnsi="Georgia"/>
                <w:b w:val="0"/>
                <w:sz w:val="20"/>
                <w:szCs w:val="20"/>
              </w:rPr>
              <w:t>ų teikimas taikant paskolų išpirkimo modelį</w:t>
            </w:r>
          </w:p>
        </w:tc>
        <w:tc>
          <w:tcPr>
            <w:tcW w:w="2126" w:type="dxa"/>
            <w:vAlign w:val="center"/>
          </w:tcPr>
          <w:p w14:paraId="1A5EEBF5" w14:textId="77777777" w:rsidR="005A432A" w:rsidRPr="00D45CD8" w:rsidDel="00BF3EBD" w:rsidRDefault="005A432A" w:rsidP="005A432A">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D45CD8">
              <w:rPr>
                <w:rFonts w:ascii="Georgia" w:hAnsi="Georgia"/>
                <w:sz w:val="18"/>
                <w:szCs w:val="18"/>
              </w:rPr>
              <w:t>2,03</w:t>
            </w:r>
          </w:p>
        </w:tc>
        <w:tc>
          <w:tcPr>
            <w:tcW w:w="2126" w:type="dxa"/>
            <w:vAlign w:val="center"/>
          </w:tcPr>
          <w:p w14:paraId="468ECD13" w14:textId="77777777" w:rsidR="005A432A" w:rsidRPr="00D45CD8" w:rsidRDefault="005A432A" w:rsidP="005A432A">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D45CD8">
              <w:rPr>
                <w:rFonts w:ascii="Georgia" w:hAnsi="Georgia"/>
                <w:sz w:val="18"/>
                <w:szCs w:val="18"/>
              </w:rPr>
              <w:t>1,82</w:t>
            </w:r>
          </w:p>
        </w:tc>
      </w:tr>
      <w:tr w:rsidR="005A432A" w:rsidRPr="00C8226F" w14:paraId="398FC547" w14:textId="77777777" w:rsidTr="005A432A">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0DA96834" w14:textId="77777777" w:rsidR="005A432A" w:rsidRPr="00E3344C" w:rsidRDefault="005A432A" w:rsidP="005A432A">
            <w:pPr>
              <w:rPr>
                <w:rFonts w:ascii="Georgia" w:hAnsi="Georgia"/>
                <w:b w:val="0"/>
                <w:sz w:val="20"/>
                <w:szCs w:val="20"/>
              </w:rPr>
            </w:pPr>
            <w:r w:rsidRPr="00E3344C">
              <w:rPr>
                <w:rFonts w:ascii="Georgia" w:hAnsi="Georgia"/>
                <w:b w:val="0"/>
                <w:sz w:val="20"/>
                <w:szCs w:val="20"/>
              </w:rPr>
              <w:t>Paskol</w:t>
            </w:r>
            <w:r>
              <w:rPr>
                <w:rFonts w:ascii="Georgia" w:hAnsi="Georgia"/>
                <w:b w:val="0"/>
                <w:sz w:val="20"/>
                <w:szCs w:val="20"/>
              </w:rPr>
              <w:t>ų teikimas taikant asimetrinio rizikos pasidalijimo modelį</w:t>
            </w:r>
            <w:r w:rsidRPr="00E3344C">
              <w:rPr>
                <w:rFonts w:ascii="Georgia" w:hAnsi="Georgia"/>
                <w:b w:val="0"/>
                <w:sz w:val="20"/>
                <w:szCs w:val="20"/>
              </w:rPr>
              <w:t xml:space="preserve"> </w:t>
            </w:r>
          </w:p>
        </w:tc>
        <w:tc>
          <w:tcPr>
            <w:tcW w:w="2126" w:type="dxa"/>
            <w:vAlign w:val="center"/>
          </w:tcPr>
          <w:p w14:paraId="370F4CD0" w14:textId="77777777" w:rsidR="005A432A" w:rsidRPr="00D45CD8" w:rsidDel="00BF3EBD" w:rsidRDefault="005A432A" w:rsidP="005A432A">
            <w:pPr>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D45CD8">
              <w:rPr>
                <w:rFonts w:ascii="Georgia" w:hAnsi="Georgia"/>
                <w:sz w:val="18"/>
                <w:szCs w:val="18"/>
              </w:rPr>
              <w:t>1,71</w:t>
            </w:r>
          </w:p>
        </w:tc>
        <w:tc>
          <w:tcPr>
            <w:tcW w:w="2126" w:type="dxa"/>
            <w:vAlign w:val="center"/>
          </w:tcPr>
          <w:p w14:paraId="61028AB2" w14:textId="77777777" w:rsidR="005A432A" w:rsidRPr="00D45CD8" w:rsidRDefault="005A432A" w:rsidP="005A432A">
            <w:pPr>
              <w:jc w:val="cente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D45CD8">
              <w:rPr>
                <w:rFonts w:ascii="Georgia" w:hAnsi="Georgia"/>
                <w:sz w:val="18"/>
                <w:szCs w:val="18"/>
              </w:rPr>
              <w:t>3,26</w:t>
            </w:r>
          </w:p>
        </w:tc>
      </w:tr>
      <w:tr w:rsidR="005A432A" w:rsidRPr="00C8226F" w14:paraId="454BD4B5" w14:textId="77777777" w:rsidTr="005A4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5B8FFCDF" w14:textId="77777777" w:rsidR="005A432A" w:rsidRPr="00E3344C" w:rsidRDefault="005A432A" w:rsidP="005A432A">
            <w:pPr>
              <w:rPr>
                <w:rFonts w:ascii="Georgia" w:hAnsi="Georgia"/>
                <w:b w:val="0"/>
                <w:sz w:val="20"/>
                <w:szCs w:val="20"/>
              </w:rPr>
            </w:pPr>
            <w:r w:rsidRPr="00E3344C">
              <w:rPr>
                <w:rFonts w:ascii="Georgia" w:hAnsi="Georgia"/>
                <w:b w:val="0"/>
                <w:sz w:val="20"/>
                <w:szCs w:val="20"/>
              </w:rPr>
              <w:t>Garantij</w:t>
            </w:r>
            <w:r>
              <w:rPr>
                <w:rFonts w:ascii="Georgia" w:hAnsi="Georgia"/>
                <w:b w:val="0"/>
                <w:sz w:val="20"/>
                <w:szCs w:val="20"/>
              </w:rPr>
              <w:t>a</w:t>
            </w:r>
          </w:p>
        </w:tc>
        <w:tc>
          <w:tcPr>
            <w:tcW w:w="2126" w:type="dxa"/>
            <w:vAlign w:val="center"/>
          </w:tcPr>
          <w:p w14:paraId="3DE4ED2D" w14:textId="77777777" w:rsidR="005A432A" w:rsidRPr="00D45CD8" w:rsidDel="00BF3EBD" w:rsidRDefault="005A432A" w:rsidP="005A432A">
            <w:pPr>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D45CD8">
              <w:rPr>
                <w:rFonts w:ascii="Georgia" w:hAnsi="Georgia"/>
                <w:sz w:val="18"/>
                <w:szCs w:val="18"/>
              </w:rPr>
              <w:t>3,13</w:t>
            </w:r>
          </w:p>
        </w:tc>
        <w:tc>
          <w:tcPr>
            <w:tcW w:w="2126" w:type="dxa"/>
            <w:vAlign w:val="center"/>
          </w:tcPr>
          <w:p w14:paraId="126B9BFC" w14:textId="77777777" w:rsidR="005A432A" w:rsidRPr="00D45CD8" w:rsidRDefault="005A432A" w:rsidP="005A432A">
            <w:pPr>
              <w:jc w:val="cente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D45CD8">
              <w:rPr>
                <w:rFonts w:ascii="Georgia" w:hAnsi="Georgia"/>
                <w:sz w:val="18"/>
                <w:szCs w:val="18"/>
              </w:rPr>
              <w:t>3,42</w:t>
            </w:r>
          </w:p>
        </w:tc>
      </w:tr>
    </w:tbl>
    <w:p w14:paraId="092C0C82" w14:textId="77777777" w:rsidR="005A432A" w:rsidRPr="005A432A" w:rsidRDefault="005A432A" w:rsidP="005A432A">
      <w:pPr>
        <w:spacing w:after="160" w:line="240" w:lineRule="auto"/>
        <w:jc w:val="both"/>
        <w:rPr>
          <w:rFonts w:ascii="Georgia" w:eastAsia="Georgia" w:hAnsi="Georgia" w:cs="Arial Unicode MS"/>
          <w:i/>
          <w:iCs/>
          <w:color w:val="821A1A"/>
          <w:sz w:val="20"/>
          <w:szCs w:val="20"/>
          <w:lang w:val="lt-LT"/>
        </w:rPr>
      </w:pPr>
      <w:r w:rsidRPr="005A432A">
        <w:rPr>
          <w:rFonts w:ascii="Georgia" w:eastAsia="Georgia" w:hAnsi="Georgia" w:cs="Arial Unicode MS"/>
          <w:i/>
          <w:iCs/>
          <w:color w:val="821A1A"/>
          <w:sz w:val="20"/>
          <w:szCs w:val="20"/>
          <w:lang w:val="lt-LT"/>
        </w:rPr>
        <w:t>Šaltinis: sudaryta autorių</w:t>
      </w:r>
    </w:p>
    <w:p w14:paraId="13FD18A0" w14:textId="0C19C089" w:rsidR="0006117A" w:rsidRPr="00D07F95" w:rsidRDefault="0006117A" w:rsidP="0006117A">
      <w:pPr>
        <w:keepNext/>
        <w:autoSpaceDE w:val="0"/>
        <w:autoSpaceDN w:val="0"/>
        <w:adjustRightInd w:val="0"/>
        <w:spacing w:after="120"/>
        <w:jc w:val="both"/>
        <w:rPr>
          <w:rFonts w:ascii="Georgia" w:hAnsi="Georgia" w:cs="Georgia"/>
          <w:sz w:val="20"/>
          <w:szCs w:val="20"/>
          <w:lang w:val="lt-LT"/>
        </w:rPr>
      </w:pPr>
      <w:r w:rsidRPr="00D07F95">
        <w:rPr>
          <w:rFonts w:ascii="Georgia" w:hAnsi="Georgia" w:cs="Georgia"/>
          <w:sz w:val="20"/>
          <w:szCs w:val="20"/>
          <w:lang w:val="lt-LT"/>
        </w:rPr>
        <w:t xml:space="preserve">Pagal </w:t>
      </w:r>
      <w:r>
        <w:rPr>
          <w:rFonts w:ascii="Georgia" w:hAnsi="Georgia"/>
          <w:sz w:val="20"/>
          <w:szCs w:val="20"/>
          <w:lang w:val="lt-LT"/>
        </w:rPr>
        <w:t>4.1.4.3</w:t>
      </w:r>
      <w:r w:rsidRPr="00D07F95">
        <w:rPr>
          <w:rFonts w:ascii="Georgia" w:hAnsi="Georgia"/>
          <w:sz w:val="20"/>
          <w:szCs w:val="20"/>
          <w:lang w:val="lt-LT"/>
        </w:rPr>
        <w:t xml:space="preserve"> skyriuje identifikuotus </w:t>
      </w:r>
      <w:r w:rsidRPr="00D07F95">
        <w:rPr>
          <w:rFonts w:ascii="Georgia" w:hAnsi="Georgia" w:cs="Georgia"/>
          <w:sz w:val="20"/>
          <w:szCs w:val="20"/>
          <w:lang w:val="lt-LT"/>
        </w:rPr>
        <w:t xml:space="preserve">scenarijus apskaičiuoti sverto efekto rodikliai savivaldybių </w:t>
      </w:r>
      <w:r>
        <w:rPr>
          <w:rFonts w:ascii="Georgia" w:hAnsi="Georgia" w:cs="Georgia"/>
          <w:sz w:val="20"/>
          <w:szCs w:val="20"/>
          <w:lang w:val="lt-LT"/>
        </w:rPr>
        <w:t>viešųjų</w:t>
      </w:r>
      <w:r w:rsidRPr="00D07F95">
        <w:rPr>
          <w:rFonts w:ascii="Georgia" w:hAnsi="Georgia" w:cs="Georgia"/>
          <w:sz w:val="20"/>
          <w:szCs w:val="20"/>
          <w:lang w:val="lt-LT"/>
        </w:rPr>
        <w:t xml:space="preserve"> pastatų </w:t>
      </w:r>
      <w:r>
        <w:rPr>
          <w:rFonts w:ascii="Georgia" w:hAnsi="Georgia" w:cs="Georgia"/>
          <w:sz w:val="20"/>
          <w:szCs w:val="20"/>
          <w:lang w:val="lt-LT"/>
        </w:rPr>
        <w:t>modernizavimui</w:t>
      </w:r>
      <w:r w:rsidRPr="00D07F95">
        <w:rPr>
          <w:rFonts w:ascii="Georgia" w:hAnsi="Georgia" w:cs="Georgia"/>
          <w:sz w:val="20"/>
          <w:szCs w:val="20"/>
          <w:lang w:val="lt-LT"/>
        </w:rPr>
        <w:t xml:space="preserve"> pateikiami žemiau esančioje lentelėje.</w:t>
      </w:r>
    </w:p>
    <w:p w14:paraId="6FA66DFD" w14:textId="79989564" w:rsidR="0006117A" w:rsidRPr="008377C9" w:rsidRDefault="0006117A" w:rsidP="0006117A">
      <w:pPr>
        <w:pStyle w:val="Antrat"/>
        <w:jc w:val="both"/>
        <w:rPr>
          <w:rFonts w:cs="Georgia"/>
          <w:b w:val="0"/>
          <w:i/>
          <w:szCs w:val="20"/>
          <w:lang w:val="lt-LT"/>
        </w:rPr>
      </w:pPr>
      <w:bookmarkStart w:id="276" w:name="_Toc459646498"/>
      <w:bookmarkStart w:id="277" w:name="_Toc507939209"/>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87</w:t>
      </w:r>
      <w:r w:rsidRPr="008377C9">
        <w:rPr>
          <w:b w:val="0"/>
          <w:i/>
          <w:lang w:val="lt-LT"/>
        </w:rPr>
        <w:fldChar w:fldCharType="end"/>
      </w:r>
      <w:r w:rsidRPr="008377C9">
        <w:rPr>
          <w:b w:val="0"/>
          <w:i/>
          <w:lang w:val="lt-LT"/>
        </w:rPr>
        <w:t xml:space="preserve">. </w:t>
      </w:r>
      <w:r w:rsidRPr="008377C9">
        <w:rPr>
          <w:rFonts w:cs="Georgia"/>
          <w:b w:val="0"/>
          <w:i/>
          <w:szCs w:val="20"/>
          <w:lang w:val="lt-LT"/>
        </w:rPr>
        <w:t>Savivaldybių viešųjų pastatų modernizavimo finansinio sverto efekto rodikliai pagal atskirus scenarijus</w:t>
      </w:r>
      <w:bookmarkEnd w:id="276"/>
      <w:bookmarkEnd w:id="277"/>
      <w:r w:rsidRPr="008377C9">
        <w:rPr>
          <w:rFonts w:cs="Georgia"/>
          <w:b w:val="0"/>
          <w:i/>
          <w:szCs w:val="20"/>
          <w:lang w:val="lt-LT"/>
        </w:rPr>
        <w:t xml:space="preserve"> </w:t>
      </w:r>
    </w:p>
    <w:tbl>
      <w:tblPr>
        <w:tblStyle w:val="LightList-Accent21"/>
        <w:tblW w:w="0" w:type="auto"/>
        <w:tblLook w:val="04A0" w:firstRow="1" w:lastRow="0" w:firstColumn="1" w:lastColumn="0" w:noHBand="0" w:noVBand="1"/>
      </w:tblPr>
      <w:tblGrid>
        <w:gridCol w:w="6998"/>
        <w:gridCol w:w="2244"/>
      </w:tblGrid>
      <w:tr w:rsidR="0006117A" w:rsidRPr="00C8226F" w14:paraId="6B245E0F"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hideMark/>
          </w:tcPr>
          <w:p w14:paraId="5ED68822" w14:textId="77777777" w:rsidR="0006117A" w:rsidRPr="00C8226F" w:rsidRDefault="0006117A" w:rsidP="007E38FC">
            <w:pPr>
              <w:keepNext/>
              <w:tabs>
                <w:tab w:val="left" w:pos="614"/>
                <w:tab w:val="center" w:pos="3341"/>
              </w:tabs>
              <w:rPr>
                <w:rFonts w:ascii="Georgia" w:hAnsi="Georgia"/>
                <w:sz w:val="20"/>
                <w:szCs w:val="20"/>
              </w:rPr>
            </w:pPr>
            <w:r w:rsidRPr="00C8226F">
              <w:rPr>
                <w:rFonts w:ascii="Georgia" w:hAnsi="Georgia"/>
                <w:sz w:val="20"/>
                <w:szCs w:val="20"/>
              </w:rPr>
              <w:t>Scenarijai</w:t>
            </w:r>
          </w:p>
        </w:tc>
        <w:tc>
          <w:tcPr>
            <w:tcW w:w="2262" w:type="dxa"/>
          </w:tcPr>
          <w:p w14:paraId="673158B1" w14:textId="77777777" w:rsidR="0006117A" w:rsidRPr="00C8226F" w:rsidRDefault="0006117A" w:rsidP="007E38FC">
            <w:pPr>
              <w:keepNext/>
              <w:tabs>
                <w:tab w:val="left" w:pos="614"/>
                <w:tab w:val="center" w:pos="3341"/>
              </w:tabs>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Sverto efektas</w:t>
            </w:r>
          </w:p>
        </w:tc>
      </w:tr>
      <w:tr w:rsidR="0006117A" w:rsidRPr="00C8226F" w14:paraId="2CFAB445"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6D394488" w14:textId="77777777" w:rsidR="0006117A" w:rsidRPr="00E3344C" w:rsidRDefault="0006117A" w:rsidP="007E38FC">
            <w:pPr>
              <w:keepNext/>
              <w:rPr>
                <w:rFonts w:ascii="Georgia" w:hAnsi="Georgia"/>
                <w:b w:val="0"/>
                <w:sz w:val="20"/>
                <w:szCs w:val="20"/>
              </w:rPr>
            </w:pPr>
            <w:r w:rsidRPr="00E3344C">
              <w:rPr>
                <w:rFonts w:ascii="Georgia" w:hAnsi="Georgia"/>
                <w:b w:val="0"/>
                <w:sz w:val="20"/>
                <w:szCs w:val="20"/>
              </w:rPr>
              <w:t>Paskola</w:t>
            </w:r>
          </w:p>
        </w:tc>
        <w:tc>
          <w:tcPr>
            <w:tcW w:w="2262" w:type="dxa"/>
            <w:vAlign w:val="center"/>
          </w:tcPr>
          <w:p w14:paraId="49070294" w14:textId="77777777" w:rsidR="0006117A" w:rsidRPr="00E3344C" w:rsidRDefault="0006117A" w:rsidP="007E38FC">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1,20</w:t>
            </w:r>
          </w:p>
        </w:tc>
      </w:tr>
      <w:tr w:rsidR="0006117A" w:rsidRPr="00C8226F" w14:paraId="2A055789" w14:textId="77777777" w:rsidTr="007E38FC">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28E28001" w14:textId="77777777" w:rsidR="0006117A" w:rsidRPr="00E3344C" w:rsidRDefault="0006117A" w:rsidP="007E38FC">
            <w:pPr>
              <w:keepNext/>
              <w:rPr>
                <w:rFonts w:ascii="Georgia" w:hAnsi="Georgia"/>
                <w:b w:val="0"/>
                <w:sz w:val="20"/>
                <w:szCs w:val="20"/>
              </w:rPr>
            </w:pPr>
            <w:r w:rsidRPr="00E3344C">
              <w:rPr>
                <w:rFonts w:ascii="Georgia" w:hAnsi="Georgia"/>
                <w:b w:val="0"/>
                <w:sz w:val="20"/>
                <w:szCs w:val="20"/>
              </w:rPr>
              <w:t>Paskol</w:t>
            </w:r>
            <w:r>
              <w:rPr>
                <w:rFonts w:ascii="Georgia" w:hAnsi="Georgia"/>
                <w:b w:val="0"/>
                <w:sz w:val="20"/>
                <w:szCs w:val="20"/>
              </w:rPr>
              <w:t>ų teikimas taikant paskolų išpirkimo modelį</w:t>
            </w:r>
          </w:p>
        </w:tc>
        <w:tc>
          <w:tcPr>
            <w:tcW w:w="2262" w:type="dxa"/>
            <w:vAlign w:val="center"/>
          </w:tcPr>
          <w:p w14:paraId="14555E0A" w14:textId="77777777" w:rsidR="0006117A" w:rsidRPr="00E3344C" w:rsidRDefault="0006117A" w:rsidP="007E38FC">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2,04</w:t>
            </w:r>
          </w:p>
        </w:tc>
      </w:tr>
      <w:tr w:rsidR="0006117A" w:rsidRPr="00C8226F" w14:paraId="52B744E3"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29FBFB90" w14:textId="77777777" w:rsidR="0006117A" w:rsidRPr="00E3344C" w:rsidRDefault="0006117A" w:rsidP="007E38FC">
            <w:pPr>
              <w:rPr>
                <w:rFonts w:ascii="Georgia" w:hAnsi="Georgia"/>
                <w:b w:val="0"/>
                <w:sz w:val="20"/>
                <w:szCs w:val="20"/>
              </w:rPr>
            </w:pPr>
            <w:r w:rsidRPr="00E3344C">
              <w:rPr>
                <w:rFonts w:ascii="Georgia" w:hAnsi="Georgia"/>
                <w:b w:val="0"/>
                <w:sz w:val="20"/>
                <w:szCs w:val="20"/>
              </w:rPr>
              <w:t>Paskol</w:t>
            </w:r>
            <w:r>
              <w:rPr>
                <w:rFonts w:ascii="Georgia" w:hAnsi="Georgia"/>
                <w:b w:val="0"/>
                <w:sz w:val="20"/>
                <w:szCs w:val="20"/>
              </w:rPr>
              <w:t>ų teikimas taikant asimetrinio rizikos pasidalijimo modelį</w:t>
            </w:r>
            <w:r w:rsidRPr="00E3344C">
              <w:rPr>
                <w:rFonts w:ascii="Georgia" w:hAnsi="Georgia"/>
                <w:b w:val="0"/>
                <w:sz w:val="20"/>
                <w:szCs w:val="20"/>
              </w:rPr>
              <w:t xml:space="preserve"> </w:t>
            </w:r>
          </w:p>
        </w:tc>
        <w:tc>
          <w:tcPr>
            <w:tcW w:w="2262" w:type="dxa"/>
            <w:vAlign w:val="center"/>
          </w:tcPr>
          <w:p w14:paraId="42EE8028" w14:textId="77777777" w:rsidR="0006117A" w:rsidRPr="00E3344C"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1,60</w:t>
            </w:r>
          </w:p>
        </w:tc>
      </w:tr>
      <w:tr w:rsidR="0006117A" w:rsidRPr="00C8226F" w14:paraId="2197B8BD" w14:textId="77777777" w:rsidTr="007E38FC">
        <w:tc>
          <w:tcPr>
            <w:cnfStyle w:val="001000000000" w:firstRow="0" w:lastRow="0" w:firstColumn="1" w:lastColumn="0" w:oddVBand="0" w:evenVBand="0" w:oddHBand="0" w:evenHBand="0" w:firstRowFirstColumn="0" w:firstRowLastColumn="0" w:lastRowFirstColumn="0" w:lastRowLastColumn="0"/>
            <w:tcW w:w="7078" w:type="dxa"/>
            <w:vAlign w:val="center"/>
            <w:hideMark/>
          </w:tcPr>
          <w:p w14:paraId="5BDAA7CF" w14:textId="77777777" w:rsidR="0006117A" w:rsidRPr="00E3344C" w:rsidRDefault="0006117A" w:rsidP="007E38FC">
            <w:pPr>
              <w:rPr>
                <w:rFonts w:ascii="Georgia" w:hAnsi="Georgia"/>
                <w:b w:val="0"/>
                <w:sz w:val="20"/>
                <w:szCs w:val="20"/>
              </w:rPr>
            </w:pPr>
            <w:r w:rsidRPr="00E3344C">
              <w:rPr>
                <w:rFonts w:ascii="Georgia" w:hAnsi="Georgia"/>
                <w:b w:val="0"/>
                <w:sz w:val="20"/>
                <w:szCs w:val="20"/>
              </w:rPr>
              <w:t>Garantij</w:t>
            </w:r>
            <w:r>
              <w:rPr>
                <w:rFonts w:ascii="Georgia" w:hAnsi="Georgia"/>
                <w:b w:val="0"/>
                <w:sz w:val="20"/>
                <w:szCs w:val="20"/>
              </w:rPr>
              <w:t>a</w:t>
            </w:r>
          </w:p>
        </w:tc>
        <w:tc>
          <w:tcPr>
            <w:tcW w:w="2262" w:type="dxa"/>
            <w:vAlign w:val="center"/>
          </w:tcPr>
          <w:p w14:paraId="6E6486E4" w14:textId="77777777" w:rsidR="0006117A" w:rsidRPr="00E3344C"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3,62</w:t>
            </w:r>
          </w:p>
        </w:tc>
      </w:tr>
    </w:tbl>
    <w:p w14:paraId="5496F151" w14:textId="77777777" w:rsidR="0006117A" w:rsidRPr="00F91954" w:rsidRDefault="0006117A" w:rsidP="00F91954">
      <w:pPr>
        <w:spacing w:after="160" w:line="240" w:lineRule="auto"/>
        <w:jc w:val="both"/>
        <w:rPr>
          <w:rFonts w:ascii="Georgia" w:eastAsia="Georgia" w:hAnsi="Georgia" w:cs="Arial Unicode MS"/>
          <w:i/>
          <w:iCs/>
          <w:color w:val="821A1A"/>
          <w:sz w:val="20"/>
          <w:szCs w:val="20"/>
          <w:lang w:val="lt-LT"/>
        </w:rPr>
      </w:pPr>
      <w:r w:rsidRPr="00F91954">
        <w:rPr>
          <w:rFonts w:ascii="Georgia" w:eastAsia="Georgia" w:hAnsi="Georgia" w:cs="Arial Unicode MS"/>
          <w:i/>
          <w:iCs/>
          <w:color w:val="821A1A"/>
          <w:sz w:val="20"/>
          <w:szCs w:val="20"/>
          <w:lang w:val="lt-LT"/>
        </w:rPr>
        <w:t>Šaltinis: sudaryta autorių</w:t>
      </w:r>
    </w:p>
    <w:p w14:paraId="3DB49548" w14:textId="77777777" w:rsidR="0006117A" w:rsidRPr="00D07F95" w:rsidRDefault="0006117A" w:rsidP="0006117A">
      <w:pPr>
        <w:autoSpaceDE w:val="0"/>
        <w:autoSpaceDN w:val="0"/>
        <w:adjustRightInd w:val="0"/>
        <w:spacing w:after="0" w:line="240" w:lineRule="auto"/>
        <w:jc w:val="both"/>
        <w:rPr>
          <w:rFonts w:ascii="Georgia" w:hAnsi="Georgia" w:cs="Georgia"/>
          <w:sz w:val="20"/>
          <w:szCs w:val="20"/>
          <w:lang w:val="lt-LT"/>
        </w:rPr>
      </w:pPr>
    </w:p>
    <w:p w14:paraId="53CFB15D" w14:textId="2917B7CA" w:rsidR="0006117A" w:rsidRDefault="0006117A" w:rsidP="0006117A">
      <w:pPr>
        <w:autoSpaceDE w:val="0"/>
        <w:autoSpaceDN w:val="0"/>
        <w:adjustRightInd w:val="0"/>
        <w:spacing w:after="120"/>
        <w:jc w:val="both"/>
        <w:rPr>
          <w:rFonts w:ascii="Georgia" w:hAnsi="Georgia" w:cs="Georgia"/>
          <w:sz w:val="20"/>
          <w:szCs w:val="20"/>
          <w:lang w:val="lt-LT"/>
        </w:rPr>
      </w:pPr>
      <w:r w:rsidRPr="00D07F95">
        <w:rPr>
          <w:rFonts w:ascii="Georgia" w:hAnsi="Georgia" w:cs="Georgia"/>
          <w:sz w:val="20"/>
          <w:szCs w:val="20"/>
          <w:lang w:val="lt-LT"/>
        </w:rPr>
        <w:t xml:space="preserve">Skaičiavimai rodo, jog </w:t>
      </w:r>
      <w:r>
        <w:rPr>
          <w:rFonts w:ascii="Georgia" w:hAnsi="Georgia" w:cs="Georgia"/>
          <w:sz w:val="20"/>
          <w:szCs w:val="20"/>
          <w:lang w:val="lt-LT"/>
        </w:rPr>
        <w:t>savivaldybių</w:t>
      </w:r>
      <w:r w:rsidRPr="00D07F95">
        <w:rPr>
          <w:rFonts w:ascii="Georgia" w:hAnsi="Georgia" w:cs="Georgia"/>
          <w:sz w:val="20"/>
          <w:szCs w:val="20"/>
          <w:lang w:val="lt-LT"/>
        </w:rPr>
        <w:t xml:space="preserve"> viešųjų pastatų renovacijos atveju didžiausias sverto efekto rodiklis pasiekiamas visas lėšas nukreipus </w:t>
      </w:r>
      <w:r>
        <w:rPr>
          <w:rFonts w:ascii="Georgia" w:hAnsi="Georgia" w:cs="Georgia"/>
          <w:sz w:val="20"/>
          <w:szCs w:val="20"/>
          <w:lang w:val="lt-LT"/>
        </w:rPr>
        <w:t>garantijų</w:t>
      </w:r>
      <w:r w:rsidRPr="00D07F95">
        <w:rPr>
          <w:rFonts w:ascii="Georgia" w:hAnsi="Georgia" w:cs="Georgia"/>
          <w:sz w:val="20"/>
          <w:szCs w:val="20"/>
          <w:lang w:val="lt-LT"/>
        </w:rPr>
        <w:t xml:space="preserve"> priemon</w:t>
      </w:r>
      <w:r>
        <w:rPr>
          <w:rFonts w:ascii="Georgia" w:hAnsi="Georgia" w:cs="Georgia"/>
          <w:sz w:val="20"/>
          <w:szCs w:val="20"/>
          <w:lang w:val="lt-LT"/>
        </w:rPr>
        <w:t>ės</w:t>
      </w:r>
      <w:r w:rsidRPr="00D07F95">
        <w:rPr>
          <w:rFonts w:ascii="Georgia" w:hAnsi="Georgia" w:cs="Georgia"/>
          <w:sz w:val="20"/>
          <w:szCs w:val="20"/>
          <w:lang w:val="lt-LT"/>
        </w:rPr>
        <w:t xml:space="preserve"> (detalus aprašymas pateikiamas </w:t>
      </w:r>
      <w:r w:rsidRPr="00F91954">
        <w:rPr>
          <w:rFonts w:ascii="Georgia" w:hAnsi="Georgia" w:cs="Georgia"/>
          <w:sz w:val="20"/>
          <w:szCs w:val="20"/>
          <w:lang w:val="lt-LT"/>
        </w:rPr>
        <w:t>4.1.4.3</w:t>
      </w:r>
      <w:r w:rsidRPr="00D07F95">
        <w:rPr>
          <w:rFonts w:ascii="Georgia" w:hAnsi="Georgia" w:cs="Georgia"/>
          <w:sz w:val="20"/>
          <w:szCs w:val="20"/>
          <w:lang w:val="lt-LT"/>
        </w:rPr>
        <w:t xml:space="preserve"> skyriuje – </w:t>
      </w:r>
      <w:r>
        <w:rPr>
          <w:rFonts w:ascii="Georgia" w:hAnsi="Georgia" w:cs="Georgia"/>
          <w:sz w:val="20"/>
          <w:szCs w:val="20"/>
          <w:lang w:val="lt-LT"/>
        </w:rPr>
        <w:t>4 scenarijus) įgyvendinimui</w:t>
      </w:r>
      <w:r w:rsidRPr="00D07F95">
        <w:rPr>
          <w:rFonts w:ascii="Georgia" w:hAnsi="Georgia" w:cs="Georgia"/>
          <w:sz w:val="20"/>
          <w:szCs w:val="20"/>
          <w:lang w:val="lt-LT"/>
        </w:rPr>
        <w:t xml:space="preserve"> (sverto efekto rodiklis </w:t>
      </w:r>
      <w:r>
        <w:rPr>
          <w:rFonts w:ascii="Georgia" w:hAnsi="Georgia" w:cs="Georgia"/>
          <w:sz w:val="20"/>
          <w:szCs w:val="20"/>
          <w:lang w:val="lt-LT"/>
        </w:rPr>
        <w:t>3</w:t>
      </w:r>
      <w:r w:rsidRPr="00D07F95">
        <w:rPr>
          <w:rFonts w:ascii="Georgia" w:hAnsi="Georgia" w:cs="Georgia"/>
          <w:sz w:val="20"/>
          <w:szCs w:val="20"/>
          <w:lang w:val="lt-LT"/>
        </w:rPr>
        <w:t>,</w:t>
      </w:r>
      <w:r>
        <w:rPr>
          <w:rFonts w:ascii="Georgia" w:hAnsi="Georgia" w:cs="Georgia"/>
          <w:sz w:val="20"/>
          <w:szCs w:val="20"/>
          <w:lang w:val="lt-LT"/>
        </w:rPr>
        <w:t>62</w:t>
      </w:r>
      <w:r w:rsidRPr="00D07F95">
        <w:rPr>
          <w:rFonts w:ascii="Georgia" w:hAnsi="Georgia" w:cs="Georgia"/>
          <w:sz w:val="20"/>
          <w:szCs w:val="20"/>
          <w:lang w:val="lt-LT"/>
        </w:rPr>
        <w:t xml:space="preserve">). </w:t>
      </w:r>
      <w:r>
        <w:rPr>
          <w:rFonts w:ascii="Georgia" w:hAnsi="Georgia" w:cs="Georgia"/>
          <w:sz w:val="20"/>
          <w:szCs w:val="20"/>
          <w:lang w:val="lt-LT"/>
        </w:rPr>
        <w:t xml:space="preserve">Antras pagal dydį </w:t>
      </w:r>
      <w:r w:rsidRPr="00D07F95">
        <w:rPr>
          <w:rFonts w:ascii="Georgia" w:hAnsi="Georgia" w:cs="Georgia"/>
          <w:sz w:val="20"/>
          <w:szCs w:val="20"/>
          <w:lang w:val="lt-LT"/>
        </w:rPr>
        <w:t>sverto efekto rodikli</w:t>
      </w:r>
      <w:r>
        <w:rPr>
          <w:rFonts w:ascii="Georgia" w:hAnsi="Georgia" w:cs="Georgia"/>
          <w:sz w:val="20"/>
          <w:szCs w:val="20"/>
          <w:lang w:val="lt-LT"/>
        </w:rPr>
        <w:t>s pasiekiamas</w:t>
      </w:r>
      <w:r w:rsidRPr="00D07F95">
        <w:rPr>
          <w:rFonts w:ascii="Georgia" w:hAnsi="Georgia" w:cs="Georgia"/>
          <w:sz w:val="20"/>
          <w:szCs w:val="20"/>
          <w:lang w:val="lt-LT"/>
        </w:rPr>
        <w:t>, kai</w:t>
      </w:r>
      <w:r>
        <w:rPr>
          <w:rFonts w:ascii="Georgia" w:hAnsi="Georgia" w:cs="Georgia"/>
          <w:sz w:val="20"/>
          <w:szCs w:val="20"/>
          <w:lang w:val="lt-LT"/>
        </w:rPr>
        <w:t xml:space="preserve"> turimos lėšos įnešamos į paskolų išpirkimo modelį</w:t>
      </w:r>
      <w:r w:rsidRPr="00D07F95">
        <w:rPr>
          <w:rFonts w:ascii="Georgia" w:hAnsi="Georgia" w:cs="Georgia"/>
          <w:sz w:val="20"/>
          <w:szCs w:val="20"/>
          <w:lang w:val="lt-LT"/>
        </w:rPr>
        <w:t>.</w:t>
      </w:r>
      <w:r>
        <w:rPr>
          <w:rFonts w:ascii="Georgia" w:hAnsi="Georgia" w:cs="Georgia"/>
          <w:sz w:val="20"/>
          <w:szCs w:val="20"/>
          <w:lang w:val="lt-LT"/>
        </w:rPr>
        <w:t xml:space="preserve"> Pasirinkimas vertinant tik pagal sverto efektą nėra racionalus, todėl vertinamas tik kaip vienas iš kriterijų.</w:t>
      </w:r>
    </w:p>
    <w:p w14:paraId="3281EE9B" w14:textId="743EE397" w:rsidR="007435EC" w:rsidRPr="002142B8" w:rsidRDefault="007435EC" w:rsidP="007435EC">
      <w:pPr>
        <w:pStyle w:val="Antrat2"/>
        <w:numPr>
          <w:ilvl w:val="1"/>
          <w:numId w:val="2"/>
        </w:numPr>
        <w:spacing w:after="240"/>
        <w:ind w:left="709"/>
        <w:rPr>
          <w:lang w:val="lt-LT"/>
        </w:rPr>
      </w:pPr>
      <w:bookmarkStart w:id="278" w:name="_Toc399924067"/>
      <w:bookmarkStart w:id="279" w:name="_Toc402352638"/>
      <w:bookmarkStart w:id="280" w:name="_Toc25589933"/>
      <w:r w:rsidRPr="002142B8">
        <w:rPr>
          <w:lang w:val="lt-LT"/>
        </w:rPr>
        <w:t>Alternatyvų palyginimas</w:t>
      </w:r>
      <w:bookmarkEnd w:id="280"/>
    </w:p>
    <w:p w14:paraId="0777E64D" w14:textId="6BAB25B4" w:rsidR="00247C5A" w:rsidRPr="002142B8" w:rsidRDefault="00247C5A" w:rsidP="00242D25">
      <w:pPr>
        <w:pStyle w:val="Antrat2"/>
        <w:numPr>
          <w:ilvl w:val="2"/>
          <w:numId w:val="2"/>
        </w:numPr>
        <w:spacing w:after="240"/>
        <w:ind w:left="993" w:hanging="993"/>
        <w:rPr>
          <w:lang w:val="lt-LT"/>
        </w:rPr>
      </w:pPr>
      <w:bookmarkStart w:id="281" w:name="_Toc25589934"/>
      <w:r w:rsidRPr="002142B8">
        <w:rPr>
          <w:lang w:val="lt-LT"/>
        </w:rPr>
        <w:t xml:space="preserve">Daugiabučių </w:t>
      </w:r>
      <w:r w:rsidR="00CB0800" w:rsidRPr="002142B8">
        <w:rPr>
          <w:lang w:val="lt-LT"/>
        </w:rPr>
        <w:t xml:space="preserve">namų </w:t>
      </w:r>
      <w:r w:rsidR="00100995" w:rsidRPr="002142B8">
        <w:rPr>
          <w:lang w:val="lt-LT"/>
        </w:rPr>
        <w:t>modernizacijos</w:t>
      </w:r>
      <w:r w:rsidRPr="002142B8">
        <w:rPr>
          <w:lang w:val="lt-LT"/>
        </w:rPr>
        <w:t xml:space="preserve"> scenarijų palyginimas</w:t>
      </w:r>
      <w:bookmarkEnd w:id="281"/>
    </w:p>
    <w:p w14:paraId="7C3C1BF4" w14:textId="4663979E" w:rsidR="005225B2" w:rsidRPr="002142B8" w:rsidRDefault="00E81E8F" w:rsidP="00E81E8F">
      <w:pPr>
        <w:jc w:val="both"/>
        <w:rPr>
          <w:rFonts w:ascii="Georgia" w:hAnsi="Georgia"/>
          <w:sz w:val="20"/>
          <w:szCs w:val="20"/>
          <w:lang w:val="lt-LT"/>
        </w:rPr>
      </w:pPr>
      <w:r w:rsidRPr="002142B8">
        <w:rPr>
          <w:rFonts w:ascii="Georgia" w:hAnsi="Georgia"/>
          <w:sz w:val="20"/>
          <w:szCs w:val="20"/>
          <w:lang w:val="lt-LT"/>
        </w:rPr>
        <w:t xml:space="preserve">Lentelėje pateikiamas 4.1. dalyje apskaičiuotas </w:t>
      </w:r>
      <w:r w:rsidR="00100995" w:rsidRPr="002142B8">
        <w:rPr>
          <w:rFonts w:ascii="Georgia" w:hAnsi="Georgia"/>
          <w:sz w:val="20"/>
          <w:szCs w:val="20"/>
          <w:lang w:val="lt-LT"/>
        </w:rPr>
        <w:t xml:space="preserve">daugiabučių modernizacijos </w:t>
      </w:r>
      <w:r w:rsidRPr="002142B8">
        <w:rPr>
          <w:rFonts w:ascii="Georgia" w:hAnsi="Georgia"/>
          <w:sz w:val="20"/>
          <w:szCs w:val="20"/>
          <w:lang w:val="lt-LT"/>
        </w:rPr>
        <w:t xml:space="preserve"> scenarijų palyginimas. </w:t>
      </w:r>
    </w:p>
    <w:p w14:paraId="717A2815" w14:textId="77777777" w:rsidR="004329EE" w:rsidRPr="002142B8" w:rsidRDefault="004329EE" w:rsidP="004329EE">
      <w:pPr>
        <w:jc w:val="both"/>
        <w:rPr>
          <w:rFonts w:ascii="Georgia" w:hAnsi="Georgia"/>
          <w:sz w:val="20"/>
          <w:szCs w:val="20"/>
          <w:lang w:val="lt-LT"/>
        </w:rPr>
      </w:pPr>
      <w:r w:rsidRPr="002142B8">
        <w:rPr>
          <w:rFonts w:ascii="Georgia" w:hAnsi="Georgia"/>
          <w:sz w:val="20"/>
          <w:szCs w:val="20"/>
          <w:lang w:val="lt-LT"/>
        </w:rPr>
        <w:t>Lentelėje pateikiamas 4.1. dalyje apskaičiuotų daugiabučių scenarijų rezultatų palyginimas. Taip pat palyginimui nurodoma alternatyva, kai visos ESI fondų lėšos būtų skiriamos subsidijų forma.</w:t>
      </w:r>
    </w:p>
    <w:p w14:paraId="637EA673" w14:textId="77777777" w:rsidR="007B305E" w:rsidRDefault="007B305E">
      <w:pPr>
        <w:rPr>
          <w:rFonts w:ascii="Georgia" w:eastAsia="PMingLiU" w:hAnsi="Georgia" w:cs="Times New Roman"/>
          <w:bCs/>
          <w:i/>
          <w:color w:val="A32020"/>
          <w:sz w:val="20"/>
          <w:szCs w:val="18"/>
          <w:lang w:val="lt-LT"/>
        </w:rPr>
      </w:pPr>
      <w:r>
        <w:rPr>
          <w:b/>
          <w:i/>
          <w:lang w:val="lt-LT"/>
        </w:rPr>
        <w:br w:type="page"/>
      </w:r>
    </w:p>
    <w:p w14:paraId="7660A057" w14:textId="1A8C289F" w:rsidR="004329EE" w:rsidRPr="008377C9" w:rsidRDefault="004329EE" w:rsidP="004329EE">
      <w:pPr>
        <w:pStyle w:val="Antrat"/>
        <w:rPr>
          <w:b w:val="0"/>
          <w:i/>
          <w:szCs w:val="20"/>
          <w:lang w:val="lt-LT"/>
        </w:rPr>
      </w:pPr>
      <w:bookmarkStart w:id="282" w:name="_Toc507939210"/>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88</w:t>
      </w:r>
      <w:r w:rsidRPr="008377C9">
        <w:rPr>
          <w:b w:val="0"/>
          <w:i/>
          <w:lang w:val="lt-LT"/>
        </w:rPr>
        <w:fldChar w:fldCharType="end"/>
      </w:r>
      <w:r w:rsidRPr="008377C9">
        <w:rPr>
          <w:b w:val="0"/>
          <w:i/>
          <w:lang w:val="lt-LT"/>
        </w:rPr>
        <w:t xml:space="preserve">. </w:t>
      </w:r>
      <w:r w:rsidRPr="008377C9">
        <w:rPr>
          <w:b w:val="0"/>
          <w:i/>
          <w:szCs w:val="20"/>
          <w:lang w:val="lt-LT"/>
        </w:rPr>
        <w:t>Skirtingų scenarijų palyginimas</w:t>
      </w:r>
      <w:bookmarkEnd w:id="282"/>
    </w:p>
    <w:tbl>
      <w:tblPr>
        <w:tblStyle w:val="LightList-Accent21"/>
        <w:tblW w:w="5000" w:type="pct"/>
        <w:tblLayout w:type="fixed"/>
        <w:tblLook w:val="04A0" w:firstRow="1" w:lastRow="0" w:firstColumn="1" w:lastColumn="0" w:noHBand="0" w:noVBand="1"/>
      </w:tblPr>
      <w:tblGrid>
        <w:gridCol w:w="1788"/>
        <w:gridCol w:w="1243"/>
        <w:gridCol w:w="1243"/>
        <w:gridCol w:w="1242"/>
        <w:gridCol w:w="1242"/>
        <w:gridCol w:w="1242"/>
        <w:gridCol w:w="1242"/>
      </w:tblGrid>
      <w:tr w:rsidR="003333A4" w:rsidRPr="002142B8" w14:paraId="4A8F671F" w14:textId="77777777" w:rsidTr="00CB0D4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67" w:type="pct"/>
          </w:tcPr>
          <w:p w14:paraId="73F42D67" w14:textId="77777777" w:rsidR="00BC5B4B" w:rsidRPr="002142B8" w:rsidRDefault="00BC5B4B" w:rsidP="00A3268D">
            <w:pPr>
              <w:ind w:right="-109"/>
              <w:rPr>
                <w:rFonts w:ascii="Georgia" w:hAnsi="Georgia"/>
                <w:b w:val="0"/>
                <w:sz w:val="20"/>
                <w:szCs w:val="20"/>
              </w:rPr>
            </w:pPr>
          </w:p>
        </w:tc>
        <w:tc>
          <w:tcPr>
            <w:tcW w:w="672" w:type="pct"/>
            <w:hideMark/>
          </w:tcPr>
          <w:p w14:paraId="797EB5BC" w14:textId="77777777"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2142B8">
              <w:rPr>
                <w:rFonts w:ascii="Georgia" w:hAnsi="Georgia"/>
                <w:sz w:val="18"/>
                <w:szCs w:val="18"/>
              </w:rPr>
              <w:t>Nr. 1</w:t>
            </w:r>
          </w:p>
        </w:tc>
        <w:tc>
          <w:tcPr>
            <w:tcW w:w="672" w:type="pct"/>
            <w:hideMark/>
          </w:tcPr>
          <w:p w14:paraId="10D11837" w14:textId="50145219"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2142B8">
              <w:rPr>
                <w:rFonts w:ascii="Georgia" w:hAnsi="Georgia"/>
                <w:sz w:val="18"/>
                <w:szCs w:val="18"/>
              </w:rPr>
              <w:t xml:space="preserve">Nr. </w:t>
            </w:r>
            <w:r w:rsidR="008B2CF9" w:rsidRPr="002142B8">
              <w:rPr>
                <w:rFonts w:ascii="Georgia" w:hAnsi="Georgia"/>
                <w:sz w:val="18"/>
                <w:szCs w:val="18"/>
                <w:lang w:val="en-US"/>
              </w:rPr>
              <w:t>2</w:t>
            </w:r>
            <w:r w:rsidRPr="002142B8">
              <w:rPr>
                <w:rFonts w:ascii="Georgia" w:hAnsi="Georgia"/>
                <w:sz w:val="18"/>
                <w:szCs w:val="18"/>
              </w:rPr>
              <w:t>*</w:t>
            </w:r>
          </w:p>
        </w:tc>
        <w:tc>
          <w:tcPr>
            <w:tcW w:w="672" w:type="pct"/>
            <w:hideMark/>
          </w:tcPr>
          <w:p w14:paraId="409AB55F" w14:textId="369E7787"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2142B8">
              <w:rPr>
                <w:rFonts w:ascii="Georgia" w:hAnsi="Georgia"/>
                <w:sz w:val="18"/>
                <w:szCs w:val="18"/>
              </w:rPr>
              <w:t xml:space="preserve">Nr. </w:t>
            </w:r>
            <w:r w:rsidR="008B2CF9" w:rsidRPr="002142B8">
              <w:rPr>
                <w:rFonts w:ascii="Georgia" w:hAnsi="Georgia"/>
                <w:sz w:val="18"/>
                <w:szCs w:val="18"/>
              </w:rPr>
              <w:t>3</w:t>
            </w:r>
          </w:p>
        </w:tc>
        <w:tc>
          <w:tcPr>
            <w:tcW w:w="672" w:type="pct"/>
            <w:hideMark/>
          </w:tcPr>
          <w:p w14:paraId="0A2CCA9E" w14:textId="785C45D7"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2142B8">
              <w:rPr>
                <w:rFonts w:ascii="Georgia" w:hAnsi="Georgia"/>
                <w:sz w:val="18"/>
                <w:szCs w:val="18"/>
              </w:rPr>
              <w:t xml:space="preserve">Nr. </w:t>
            </w:r>
            <w:r w:rsidR="008B2CF9" w:rsidRPr="002142B8">
              <w:rPr>
                <w:rFonts w:ascii="Georgia" w:hAnsi="Georgia"/>
                <w:sz w:val="18"/>
                <w:szCs w:val="18"/>
              </w:rPr>
              <w:t>4</w:t>
            </w:r>
          </w:p>
        </w:tc>
        <w:tc>
          <w:tcPr>
            <w:tcW w:w="672" w:type="pct"/>
            <w:hideMark/>
          </w:tcPr>
          <w:p w14:paraId="7365BF5A" w14:textId="06F0341B"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2142B8">
              <w:rPr>
                <w:rFonts w:ascii="Georgia" w:hAnsi="Georgia"/>
                <w:sz w:val="18"/>
                <w:szCs w:val="18"/>
              </w:rPr>
              <w:t xml:space="preserve">Nr. </w:t>
            </w:r>
            <w:r w:rsidR="008B2CF9" w:rsidRPr="002142B8">
              <w:rPr>
                <w:rFonts w:ascii="Georgia" w:hAnsi="Georgia"/>
                <w:sz w:val="18"/>
                <w:szCs w:val="18"/>
              </w:rPr>
              <w:t>5</w:t>
            </w:r>
          </w:p>
        </w:tc>
        <w:tc>
          <w:tcPr>
            <w:tcW w:w="672" w:type="pct"/>
            <w:hideMark/>
          </w:tcPr>
          <w:p w14:paraId="1B093052" w14:textId="77777777" w:rsidR="00BC5B4B" w:rsidRPr="002142B8" w:rsidRDefault="00BC5B4B" w:rsidP="00A3268D">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2142B8">
              <w:rPr>
                <w:rFonts w:ascii="Georgia" w:hAnsi="Georgia"/>
                <w:sz w:val="20"/>
                <w:szCs w:val="20"/>
              </w:rPr>
              <w:t>Subsidija</w:t>
            </w:r>
          </w:p>
        </w:tc>
      </w:tr>
      <w:tr w:rsidR="00BC5B4B" w:rsidRPr="002142B8" w14:paraId="5F29C3F6" w14:textId="77777777" w:rsidTr="00CB0D4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67" w:type="pct"/>
            <w:hideMark/>
          </w:tcPr>
          <w:p w14:paraId="7A73E5FA" w14:textId="77777777" w:rsidR="00BC5B4B" w:rsidRPr="002142B8" w:rsidRDefault="00BC5B4B" w:rsidP="00A3268D">
            <w:pPr>
              <w:ind w:right="-109"/>
              <w:rPr>
                <w:rFonts w:ascii="Georgia" w:hAnsi="Georgia"/>
                <w:b w:val="0"/>
                <w:sz w:val="18"/>
                <w:szCs w:val="18"/>
              </w:rPr>
            </w:pPr>
            <w:r w:rsidRPr="002142B8">
              <w:rPr>
                <w:rFonts w:ascii="Georgia" w:hAnsi="Georgia"/>
                <w:sz w:val="18"/>
                <w:szCs w:val="18"/>
              </w:rPr>
              <w:t>Turimos lėšos (mln. eurų)</w:t>
            </w:r>
          </w:p>
        </w:tc>
        <w:tc>
          <w:tcPr>
            <w:tcW w:w="672" w:type="pct"/>
            <w:hideMark/>
          </w:tcPr>
          <w:p w14:paraId="4B4AA03B"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c>
          <w:tcPr>
            <w:tcW w:w="672" w:type="pct"/>
            <w:hideMark/>
          </w:tcPr>
          <w:p w14:paraId="3F60C2D4"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c>
          <w:tcPr>
            <w:tcW w:w="672" w:type="pct"/>
            <w:hideMark/>
          </w:tcPr>
          <w:p w14:paraId="7E1F0884"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c>
          <w:tcPr>
            <w:tcW w:w="672" w:type="pct"/>
            <w:hideMark/>
          </w:tcPr>
          <w:p w14:paraId="0796B76D"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c>
          <w:tcPr>
            <w:tcW w:w="672" w:type="pct"/>
            <w:hideMark/>
          </w:tcPr>
          <w:p w14:paraId="3C0793A9"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c>
          <w:tcPr>
            <w:tcW w:w="672" w:type="pct"/>
            <w:hideMark/>
          </w:tcPr>
          <w:p w14:paraId="4F2BD225"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r>
      <w:tr w:rsidR="0063781D" w:rsidRPr="002142B8" w14:paraId="78A687B6" w14:textId="77777777" w:rsidTr="00CB0D45">
        <w:trPr>
          <w:trHeight w:val="608"/>
        </w:trPr>
        <w:tc>
          <w:tcPr>
            <w:cnfStyle w:val="001000000000" w:firstRow="0" w:lastRow="0" w:firstColumn="1" w:lastColumn="0" w:oddVBand="0" w:evenVBand="0" w:oddHBand="0" w:evenHBand="0" w:firstRowFirstColumn="0" w:firstRowLastColumn="0" w:lastRowFirstColumn="0" w:lastRowLastColumn="0"/>
            <w:tcW w:w="967" w:type="pct"/>
            <w:hideMark/>
          </w:tcPr>
          <w:p w14:paraId="604F8B22" w14:textId="77777777" w:rsidR="00BC5B4B" w:rsidRPr="002142B8" w:rsidRDefault="00BC5B4B" w:rsidP="00A3268D">
            <w:pPr>
              <w:ind w:right="-109"/>
              <w:rPr>
                <w:rFonts w:ascii="Georgia" w:hAnsi="Georgia"/>
                <w:b w:val="0"/>
                <w:sz w:val="18"/>
                <w:szCs w:val="18"/>
              </w:rPr>
            </w:pPr>
            <w:r w:rsidRPr="002142B8">
              <w:rPr>
                <w:rFonts w:ascii="Georgia" w:hAnsi="Georgia"/>
                <w:sz w:val="18"/>
                <w:szCs w:val="18"/>
              </w:rPr>
              <w:t>Finansinė priemonė</w:t>
            </w:r>
          </w:p>
        </w:tc>
        <w:tc>
          <w:tcPr>
            <w:tcW w:w="672" w:type="pct"/>
            <w:hideMark/>
          </w:tcPr>
          <w:p w14:paraId="66997E3A" w14:textId="29B244FB" w:rsidR="00BC5B4B" w:rsidRPr="002142B8" w:rsidRDefault="008B2CF9"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 xml:space="preserve">Paskola </w:t>
            </w:r>
          </w:p>
          <w:p w14:paraId="298C5FF9" w14:textId="3648EBD8"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w:t>
            </w:r>
            <w:r w:rsidR="00986114" w:rsidRPr="002142B8">
              <w:rPr>
                <w:rFonts w:ascii="Georgia" w:hAnsi="Georgia"/>
                <w:sz w:val="16"/>
                <w:szCs w:val="16"/>
              </w:rPr>
              <w:t xml:space="preserve">iki </w:t>
            </w:r>
            <w:r w:rsidRPr="002142B8">
              <w:rPr>
                <w:rFonts w:ascii="Georgia" w:hAnsi="Georgia"/>
                <w:sz w:val="16"/>
                <w:szCs w:val="16"/>
              </w:rPr>
              <w:t>3 proc. palūkanų)</w:t>
            </w:r>
          </w:p>
        </w:tc>
        <w:tc>
          <w:tcPr>
            <w:tcW w:w="672" w:type="pct"/>
            <w:hideMark/>
          </w:tcPr>
          <w:p w14:paraId="7816D0E7" w14:textId="03B75FD9" w:rsidR="00BC5B4B" w:rsidRPr="002142B8" w:rsidRDefault="008B2CF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P</w:t>
            </w:r>
            <w:r w:rsidR="00BC5B4B" w:rsidRPr="002142B8">
              <w:rPr>
                <w:rFonts w:ascii="Georgia" w:hAnsi="Georgia"/>
                <w:sz w:val="16"/>
                <w:szCs w:val="16"/>
              </w:rPr>
              <w:t>askola + garantijos bankams</w:t>
            </w:r>
          </w:p>
        </w:tc>
        <w:tc>
          <w:tcPr>
            <w:tcW w:w="672" w:type="pct"/>
            <w:hideMark/>
          </w:tcPr>
          <w:p w14:paraId="1E593517"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Garantijos bankams</w:t>
            </w:r>
          </w:p>
        </w:tc>
        <w:tc>
          <w:tcPr>
            <w:tcW w:w="672" w:type="pct"/>
            <w:hideMark/>
          </w:tcPr>
          <w:p w14:paraId="5F5680E8" w14:textId="5D90DBC4" w:rsidR="00BC5B4B" w:rsidRPr="002142B8" w:rsidRDefault="00BC5B4B" w:rsidP="00A3268D">
            <w:pPr>
              <w:ind w:left="-108" w:right="-121"/>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Paskolų teikimas taikant asimetrinį rizikos pasidalijimo modelį</w:t>
            </w:r>
          </w:p>
        </w:tc>
        <w:tc>
          <w:tcPr>
            <w:tcW w:w="672" w:type="pct"/>
            <w:hideMark/>
          </w:tcPr>
          <w:p w14:paraId="149C1E0C" w14:textId="194BE09F"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Lengvatinė paskola + garantijos bankams + paskolų / piniginių reikalavimų pardavimas</w:t>
            </w:r>
          </w:p>
        </w:tc>
        <w:tc>
          <w:tcPr>
            <w:tcW w:w="672" w:type="pct"/>
            <w:hideMark/>
          </w:tcPr>
          <w:p w14:paraId="7902BA00" w14:textId="17BD2A6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100 proc. subsidija</w:t>
            </w:r>
          </w:p>
        </w:tc>
      </w:tr>
      <w:tr w:rsidR="00BC5B4B" w:rsidRPr="002142B8" w14:paraId="45503DEE" w14:textId="77777777" w:rsidTr="00CB0D45">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967" w:type="pct"/>
            <w:hideMark/>
          </w:tcPr>
          <w:p w14:paraId="27B138BF" w14:textId="77777777" w:rsidR="00BC5B4B" w:rsidRPr="002142B8" w:rsidRDefault="00BC5B4B" w:rsidP="00A3268D">
            <w:pPr>
              <w:ind w:right="-109"/>
              <w:rPr>
                <w:rFonts w:ascii="Georgia" w:hAnsi="Georgia"/>
                <w:b w:val="0"/>
                <w:sz w:val="18"/>
                <w:szCs w:val="18"/>
              </w:rPr>
            </w:pPr>
            <w:r w:rsidRPr="002142B8">
              <w:rPr>
                <w:rFonts w:ascii="Georgia" w:hAnsi="Georgia"/>
                <w:sz w:val="18"/>
                <w:szCs w:val="18"/>
              </w:rPr>
              <w:t>Galutinius naudos gavėjus pasiekusios lėšos (mln. eurų)</w:t>
            </w:r>
          </w:p>
        </w:tc>
        <w:tc>
          <w:tcPr>
            <w:tcW w:w="672" w:type="pct"/>
            <w:hideMark/>
          </w:tcPr>
          <w:p w14:paraId="54DAB2F4"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417,7</w:t>
            </w:r>
          </w:p>
        </w:tc>
        <w:tc>
          <w:tcPr>
            <w:tcW w:w="672" w:type="pct"/>
          </w:tcPr>
          <w:p w14:paraId="37418996" w14:textId="0F5094BE"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741,6</w:t>
            </w:r>
          </w:p>
        </w:tc>
        <w:tc>
          <w:tcPr>
            <w:tcW w:w="672" w:type="pct"/>
            <w:hideMark/>
          </w:tcPr>
          <w:p w14:paraId="68480FD0"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629,1</w:t>
            </w:r>
          </w:p>
        </w:tc>
        <w:tc>
          <w:tcPr>
            <w:tcW w:w="672" w:type="pct"/>
            <w:hideMark/>
          </w:tcPr>
          <w:p w14:paraId="2F9393FA"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832,0</w:t>
            </w:r>
          </w:p>
        </w:tc>
        <w:tc>
          <w:tcPr>
            <w:tcW w:w="672" w:type="pct"/>
            <w:hideMark/>
          </w:tcPr>
          <w:p w14:paraId="4BA0A97F"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664,1</w:t>
            </w:r>
          </w:p>
        </w:tc>
        <w:tc>
          <w:tcPr>
            <w:tcW w:w="672" w:type="pct"/>
            <w:hideMark/>
          </w:tcPr>
          <w:p w14:paraId="3CC0A394"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280,9</w:t>
            </w:r>
          </w:p>
        </w:tc>
      </w:tr>
      <w:tr w:rsidR="0063781D" w:rsidRPr="002142B8" w14:paraId="4331D7CE" w14:textId="77777777" w:rsidTr="00CB0D45">
        <w:trPr>
          <w:trHeight w:val="757"/>
        </w:trPr>
        <w:tc>
          <w:tcPr>
            <w:cnfStyle w:val="001000000000" w:firstRow="0" w:lastRow="0" w:firstColumn="1" w:lastColumn="0" w:oddVBand="0" w:evenVBand="0" w:oddHBand="0" w:evenHBand="0" w:firstRowFirstColumn="0" w:firstRowLastColumn="0" w:lastRowFirstColumn="0" w:lastRowLastColumn="0"/>
            <w:tcW w:w="967" w:type="pct"/>
            <w:hideMark/>
          </w:tcPr>
          <w:p w14:paraId="3264B325" w14:textId="77777777" w:rsidR="00BC5B4B" w:rsidRPr="002142B8" w:rsidRDefault="00BC5B4B" w:rsidP="00A3268D">
            <w:pPr>
              <w:ind w:right="-109"/>
              <w:rPr>
                <w:rFonts w:ascii="Georgia" w:hAnsi="Georgia"/>
                <w:b w:val="0"/>
                <w:sz w:val="18"/>
                <w:szCs w:val="18"/>
              </w:rPr>
            </w:pPr>
            <w:r w:rsidRPr="002142B8">
              <w:rPr>
                <w:rFonts w:ascii="Georgia" w:hAnsi="Georgia"/>
                <w:sz w:val="18"/>
                <w:szCs w:val="18"/>
              </w:rPr>
              <w:t>Renovuotų pastatų skaičius iki 2022 metų (vnt.)</w:t>
            </w:r>
          </w:p>
        </w:tc>
        <w:tc>
          <w:tcPr>
            <w:tcW w:w="672" w:type="pct"/>
          </w:tcPr>
          <w:p w14:paraId="5C396A8E" w14:textId="0439BF16" w:rsidR="00BC5B4B" w:rsidRPr="002142B8" w:rsidRDefault="00A00383"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1 264</w:t>
            </w:r>
          </w:p>
        </w:tc>
        <w:tc>
          <w:tcPr>
            <w:tcW w:w="672" w:type="pct"/>
          </w:tcPr>
          <w:p w14:paraId="6D4035EB" w14:textId="36646F82" w:rsidR="00BC5B4B" w:rsidRPr="002142B8" w:rsidRDefault="008E477E"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 xml:space="preserve"> 2 247</w:t>
            </w:r>
          </w:p>
        </w:tc>
        <w:tc>
          <w:tcPr>
            <w:tcW w:w="672" w:type="pct"/>
          </w:tcPr>
          <w:p w14:paraId="53616458" w14:textId="461690C3" w:rsidR="00BC5B4B" w:rsidRPr="002142B8" w:rsidRDefault="00A00383"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 xml:space="preserve"> 1 907</w:t>
            </w:r>
          </w:p>
        </w:tc>
        <w:tc>
          <w:tcPr>
            <w:tcW w:w="672" w:type="pct"/>
          </w:tcPr>
          <w:p w14:paraId="5A535411" w14:textId="6ABC6E11" w:rsidR="00BC5B4B" w:rsidRPr="002142B8" w:rsidRDefault="00A00383"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2 522</w:t>
            </w:r>
          </w:p>
        </w:tc>
        <w:tc>
          <w:tcPr>
            <w:tcW w:w="672" w:type="pct"/>
          </w:tcPr>
          <w:p w14:paraId="49CCF0AF" w14:textId="59D76B39" w:rsidR="00BC5B4B" w:rsidRPr="002142B8" w:rsidRDefault="003028C4"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2013</w:t>
            </w:r>
          </w:p>
        </w:tc>
        <w:tc>
          <w:tcPr>
            <w:tcW w:w="672" w:type="pct"/>
          </w:tcPr>
          <w:p w14:paraId="14D4CFBA" w14:textId="38395CDF" w:rsidR="00BC5B4B" w:rsidRPr="002142B8" w:rsidRDefault="003028C4"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851</w:t>
            </w:r>
          </w:p>
        </w:tc>
      </w:tr>
      <w:tr w:rsidR="00BC5B4B" w:rsidRPr="002142B8" w14:paraId="2ABE4A75" w14:textId="77777777" w:rsidTr="00CB0D4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67" w:type="pct"/>
            <w:hideMark/>
          </w:tcPr>
          <w:p w14:paraId="6A30CD61" w14:textId="77777777" w:rsidR="00BC5B4B" w:rsidRPr="002142B8" w:rsidRDefault="00BC5B4B" w:rsidP="00A3268D">
            <w:pPr>
              <w:ind w:right="-109"/>
              <w:rPr>
                <w:rFonts w:ascii="Georgia" w:hAnsi="Georgia"/>
                <w:b w:val="0"/>
                <w:sz w:val="18"/>
                <w:szCs w:val="18"/>
              </w:rPr>
            </w:pPr>
            <w:r w:rsidRPr="002142B8">
              <w:rPr>
                <w:rFonts w:ascii="Georgia" w:hAnsi="Georgia"/>
                <w:sz w:val="18"/>
                <w:szCs w:val="18"/>
              </w:rPr>
              <w:t>Projektų multiplikatorius</w:t>
            </w:r>
          </w:p>
        </w:tc>
        <w:tc>
          <w:tcPr>
            <w:tcW w:w="672" w:type="pct"/>
            <w:hideMark/>
          </w:tcPr>
          <w:p w14:paraId="6D43F061"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1,49</w:t>
            </w:r>
          </w:p>
        </w:tc>
        <w:tc>
          <w:tcPr>
            <w:tcW w:w="672" w:type="pct"/>
          </w:tcPr>
          <w:p w14:paraId="0D0D3506" w14:textId="3D39049E"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2,64</w:t>
            </w:r>
          </w:p>
        </w:tc>
        <w:tc>
          <w:tcPr>
            <w:tcW w:w="672" w:type="pct"/>
            <w:hideMark/>
          </w:tcPr>
          <w:p w14:paraId="4EB7EED0"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2,24</w:t>
            </w:r>
          </w:p>
        </w:tc>
        <w:tc>
          <w:tcPr>
            <w:tcW w:w="672" w:type="pct"/>
            <w:hideMark/>
          </w:tcPr>
          <w:p w14:paraId="01516DEB"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2,96</w:t>
            </w:r>
          </w:p>
        </w:tc>
        <w:tc>
          <w:tcPr>
            <w:tcW w:w="672" w:type="pct"/>
            <w:hideMark/>
          </w:tcPr>
          <w:p w14:paraId="2BF2875F"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2,36</w:t>
            </w:r>
          </w:p>
        </w:tc>
        <w:tc>
          <w:tcPr>
            <w:tcW w:w="672" w:type="pct"/>
            <w:hideMark/>
          </w:tcPr>
          <w:p w14:paraId="1D824C85" w14:textId="77777777" w:rsidR="00BC5B4B" w:rsidRPr="002142B8" w:rsidRDefault="00BC5B4B" w:rsidP="00A3268D">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2142B8">
              <w:rPr>
                <w:rFonts w:ascii="Georgia" w:hAnsi="Georgia"/>
                <w:sz w:val="16"/>
                <w:szCs w:val="16"/>
              </w:rPr>
              <w:t>nėra</w:t>
            </w:r>
          </w:p>
        </w:tc>
      </w:tr>
      <w:tr w:rsidR="0063781D" w:rsidRPr="002142B8" w14:paraId="1C629FEC" w14:textId="77777777" w:rsidTr="00CB0D45">
        <w:trPr>
          <w:trHeight w:val="513"/>
        </w:trPr>
        <w:tc>
          <w:tcPr>
            <w:cnfStyle w:val="001000000000" w:firstRow="0" w:lastRow="0" w:firstColumn="1" w:lastColumn="0" w:oddVBand="0" w:evenVBand="0" w:oddHBand="0" w:evenHBand="0" w:firstRowFirstColumn="0" w:firstRowLastColumn="0" w:lastRowFirstColumn="0" w:lastRowLastColumn="0"/>
            <w:tcW w:w="967" w:type="pct"/>
            <w:hideMark/>
          </w:tcPr>
          <w:p w14:paraId="613B308F" w14:textId="77777777" w:rsidR="00BC5B4B" w:rsidRPr="002142B8" w:rsidRDefault="00BC5B4B" w:rsidP="00A3268D">
            <w:pPr>
              <w:ind w:right="-109"/>
              <w:rPr>
                <w:rFonts w:ascii="Georgia" w:hAnsi="Georgia"/>
                <w:sz w:val="18"/>
                <w:szCs w:val="18"/>
              </w:rPr>
            </w:pPr>
            <w:r w:rsidRPr="002142B8">
              <w:rPr>
                <w:rFonts w:ascii="Georgia" w:hAnsi="Georgia"/>
                <w:sz w:val="18"/>
                <w:szCs w:val="18"/>
              </w:rPr>
              <w:t>Sverto rodiklis</w:t>
            </w:r>
          </w:p>
        </w:tc>
        <w:tc>
          <w:tcPr>
            <w:tcW w:w="672" w:type="pct"/>
            <w:hideMark/>
          </w:tcPr>
          <w:p w14:paraId="36C2D7C9"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1,24</w:t>
            </w:r>
          </w:p>
        </w:tc>
        <w:tc>
          <w:tcPr>
            <w:tcW w:w="672" w:type="pct"/>
          </w:tcPr>
          <w:p w14:paraId="178F9BCB" w14:textId="27EEAF0D"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2,64</w:t>
            </w:r>
          </w:p>
        </w:tc>
        <w:tc>
          <w:tcPr>
            <w:tcW w:w="672" w:type="pct"/>
            <w:hideMark/>
          </w:tcPr>
          <w:p w14:paraId="7B586920"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3,14</w:t>
            </w:r>
          </w:p>
        </w:tc>
        <w:tc>
          <w:tcPr>
            <w:tcW w:w="672" w:type="pct"/>
            <w:hideMark/>
          </w:tcPr>
          <w:p w14:paraId="09C5DB2D"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3,57</w:t>
            </w:r>
          </w:p>
        </w:tc>
        <w:tc>
          <w:tcPr>
            <w:tcW w:w="672" w:type="pct"/>
            <w:hideMark/>
          </w:tcPr>
          <w:p w14:paraId="06760C37"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bCs/>
                <w:color w:val="000000"/>
                <w:sz w:val="16"/>
                <w:szCs w:val="16"/>
              </w:rPr>
              <w:t>2,59</w:t>
            </w:r>
          </w:p>
        </w:tc>
        <w:tc>
          <w:tcPr>
            <w:tcW w:w="672" w:type="pct"/>
            <w:hideMark/>
          </w:tcPr>
          <w:p w14:paraId="2E58B69E" w14:textId="77777777" w:rsidR="00BC5B4B" w:rsidRPr="002142B8" w:rsidRDefault="00BC5B4B" w:rsidP="00A3268D">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2142B8">
              <w:rPr>
                <w:rFonts w:ascii="Georgia" w:hAnsi="Georgia"/>
                <w:sz w:val="16"/>
                <w:szCs w:val="16"/>
              </w:rPr>
              <w:t>nėra</w:t>
            </w:r>
          </w:p>
        </w:tc>
      </w:tr>
    </w:tbl>
    <w:p w14:paraId="0E9DD004" w14:textId="0C48C270" w:rsidR="004329EE" w:rsidRDefault="00501286" w:rsidP="004329EE">
      <w:pPr>
        <w:rPr>
          <w:rFonts w:ascii="Georgia" w:hAnsi="Georgia"/>
          <w:sz w:val="16"/>
          <w:szCs w:val="16"/>
          <w:lang w:val="lt-LT"/>
        </w:rPr>
      </w:pPr>
      <w:r w:rsidRPr="002142B8">
        <w:rPr>
          <w:rFonts w:ascii="Georgia" w:hAnsi="Georgia"/>
          <w:sz w:val="16"/>
          <w:szCs w:val="16"/>
          <w:lang w:val="lt-LT"/>
        </w:rPr>
        <w:t>*- perskaičiuota pagal prielaidas naudotas Pradinėje ataskaitoje.</w:t>
      </w:r>
    </w:p>
    <w:p w14:paraId="5E57FA22" w14:textId="300BB974" w:rsidR="007B305E" w:rsidRPr="00F91954" w:rsidRDefault="007B305E" w:rsidP="00F91954">
      <w:pPr>
        <w:spacing w:after="160" w:line="240" w:lineRule="auto"/>
        <w:jc w:val="both"/>
        <w:rPr>
          <w:rFonts w:ascii="Georgia" w:hAnsi="Georgia"/>
          <w:sz w:val="18"/>
          <w:szCs w:val="18"/>
          <w:lang w:val="lt-LT"/>
        </w:rPr>
      </w:pPr>
      <w:r w:rsidRPr="00F91954">
        <w:rPr>
          <w:rFonts w:ascii="Georgia" w:eastAsia="Georgia" w:hAnsi="Georgia" w:cs="Arial Unicode MS"/>
          <w:i/>
          <w:iCs/>
          <w:color w:val="821A1A"/>
          <w:sz w:val="18"/>
          <w:szCs w:val="18"/>
          <w:lang w:val="lt-LT"/>
        </w:rPr>
        <w:t>Šaltinis: sudaryta autorių</w:t>
      </w:r>
    </w:p>
    <w:p w14:paraId="75BC66BB" w14:textId="0C392292" w:rsidR="004329EE" w:rsidRPr="002142B8" w:rsidRDefault="00833EEC" w:rsidP="00E81E8F">
      <w:pPr>
        <w:jc w:val="both"/>
        <w:rPr>
          <w:rFonts w:ascii="Georgia" w:hAnsi="Georgia"/>
          <w:sz w:val="20"/>
          <w:szCs w:val="20"/>
          <w:lang w:val="lt-LT"/>
        </w:rPr>
      </w:pPr>
      <w:r w:rsidRPr="002142B8">
        <w:rPr>
          <w:rFonts w:ascii="Georgia" w:hAnsi="Georgia"/>
          <w:sz w:val="20"/>
          <w:szCs w:val="20"/>
          <w:lang w:val="lt-LT"/>
        </w:rPr>
        <w:t>Skaičiavimai rodo, kad didžiausi sverto rodikliai pasiekiami kai yra</w:t>
      </w:r>
      <w:r w:rsidR="009731B9" w:rsidRPr="002142B8">
        <w:rPr>
          <w:rFonts w:ascii="Georgia" w:hAnsi="Georgia"/>
          <w:sz w:val="20"/>
          <w:szCs w:val="20"/>
          <w:lang w:val="lt-LT"/>
        </w:rPr>
        <w:t xml:space="preserve"> taikomos papildomos rizikos mažinimo priemonės (asimetrinio rizikos pasidalijimo modelis – </w:t>
      </w:r>
      <w:r w:rsidR="00EC6FDF" w:rsidRPr="002142B8">
        <w:rPr>
          <w:rFonts w:ascii="Georgia" w:hAnsi="Georgia"/>
          <w:sz w:val="20"/>
          <w:szCs w:val="20"/>
          <w:lang w:val="lt-LT"/>
        </w:rPr>
        <w:t>ketvirtasis</w:t>
      </w:r>
      <w:r w:rsidR="009731B9" w:rsidRPr="002142B8">
        <w:rPr>
          <w:rFonts w:ascii="Georgia" w:hAnsi="Georgia"/>
          <w:sz w:val="20"/>
          <w:szCs w:val="20"/>
          <w:lang w:val="lt-LT"/>
        </w:rPr>
        <w:t xml:space="preserve"> scenarijus ir garantijos</w:t>
      </w:r>
      <w:r w:rsidR="00EC6FDF" w:rsidRPr="002142B8">
        <w:rPr>
          <w:rFonts w:ascii="Georgia" w:hAnsi="Georgia"/>
          <w:sz w:val="20"/>
          <w:szCs w:val="20"/>
          <w:lang w:val="lt-LT"/>
        </w:rPr>
        <w:t>- antrasis</w:t>
      </w:r>
      <w:r w:rsidR="009731B9" w:rsidRPr="002142B8">
        <w:rPr>
          <w:rFonts w:ascii="Georgia" w:hAnsi="Georgia"/>
          <w:sz w:val="20"/>
          <w:szCs w:val="20"/>
          <w:lang w:val="lt-LT"/>
        </w:rPr>
        <w:t xml:space="preserve">  scenarij</w:t>
      </w:r>
      <w:r w:rsidR="00CD5FB1" w:rsidRPr="002142B8">
        <w:rPr>
          <w:rFonts w:ascii="Georgia" w:hAnsi="Georgia"/>
          <w:sz w:val="20"/>
          <w:szCs w:val="20"/>
          <w:lang w:val="lt-LT"/>
        </w:rPr>
        <w:t>us</w:t>
      </w:r>
      <w:r w:rsidR="009731B9" w:rsidRPr="002142B8">
        <w:rPr>
          <w:rFonts w:ascii="Georgia" w:hAnsi="Georgia"/>
          <w:sz w:val="20"/>
          <w:szCs w:val="20"/>
          <w:lang w:val="lt-LT"/>
        </w:rPr>
        <w:t>) arba greitinamas pinigų gražinimas, greičiau grįžusias lėšas vėl naudojant toms pačioms reikmėms (</w:t>
      </w:r>
      <w:r w:rsidR="00EC6FDF" w:rsidRPr="002142B8">
        <w:rPr>
          <w:rFonts w:ascii="Georgia" w:hAnsi="Georgia"/>
          <w:sz w:val="20"/>
          <w:szCs w:val="20"/>
          <w:lang w:val="lt-LT"/>
        </w:rPr>
        <w:t>penktasis</w:t>
      </w:r>
      <w:r w:rsidR="009731B9" w:rsidRPr="002142B8">
        <w:rPr>
          <w:rFonts w:ascii="Georgia" w:hAnsi="Georgia"/>
          <w:sz w:val="20"/>
          <w:szCs w:val="20"/>
          <w:lang w:val="lt-LT"/>
        </w:rPr>
        <w:t xml:space="preserve"> scenarijus). </w:t>
      </w:r>
      <w:r w:rsidRPr="002142B8">
        <w:rPr>
          <w:rFonts w:ascii="Georgia" w:hAnsi="Georgia"/>
          <w:sz w:val="20"/>
          <w:szCs w:val="20"/>
          <w:lang w:val="lt-LT"/>
        </w:rPr>
        <w:t xml:space="preserve"> </w:t>
      </w:r>
    </w:p>
    <w:p w14:paraId="5BDFC9F3" w14:textId="57921B15" w:rsidR="004C583F" w:rsidRPr="002142B8" w:rsidRDefault="009731B9" w:rsidP="00AA1DCF">
      <w:pPr>
        <w:jc w:val="both"/>
        <w:rPr>
          <w:rFonts w:ascii="Georgia" w:hAnsi="Georgia"/>
          <w:sz w:val="20"/>
          <w:szCs w:val="20"/>
          <w:lang w:val="lt-LT"/>
        </w:rPr>
      </w:pPr>
      <w:r w:rsidRPr="002142B8">
        <w:rPr>
          <w:rFonts w:ascii="Georgia" w:hAnsi="Georgia"/>
          <w:sz w:val="20"/>
          <w:szCs w:val="20"/>
          <w:lang w:val="lt-LT"/>
        </w:rPr>
        <w:t xml:space="preserve">Renkantis scenarijus reikia įvertinti </w:t>
      </w:r>
      <w:r w:rsidR="00AA1DCF" w:rsidRPr="002142B8">
        <w:rPr>
          <w:rFonts w:ascii="Georgia" w:hAnsi="Georgia"/>
          <w:sz w:val="20"/>
          <w:szCs w:val="20"/>
          <w:lang w:val="lt-LT"/>
        </w:rPr>
        <w:t>rink</w:t>
      </w:r>
      <w:r w:rsidRPr="002142B8">
        <w:rPr>
          <w:rFonts w:ascii="Georgia" w:hAnsi="Georgia"/>
          <w:sz w:val="20"/>
          <w:szCs w:val="20"/>
          <w:lang w:val="lt-LT"/>
        </w:rPr>
        <w:t>os pasirengimą naudoti vieną ar kitą scenarijų</w:t>
      </w:r>
      <w:r w:rsidR="00835F39" w:rsidRPr="002142B8">
        <w:rPr>
          <w:rFonts w:ascii="Georgia" w:hAnsi="Georgia"/>
          <w:sz w:val="20"/>
          <w:szCs w:val="20"/>
          <w:lang w:val="lt-LT"/>
        </w:rPr>
        <w:t>, nes nepaisant empirinių skaičiavimų, paremtų statistinėmis prielaidomis, jie ne visada atspindi realią rinkos situaciją ir potencialą dalyvauti jų įgyvendinime.</w:t>
      </w:r>
      <w:r w:rsidRPr="002142B8">
        <w:rPr>
          <w:rFonts w:ascii="Georgia" w:hAnsi="Georgia"/>
          <w:sz w:val="20"/>
          <w:szCs w:val="20"/>
          <w:lang w:val="lt-LT"/>
        </w:rPr>
        <w:t xml:space="preserve"> Šiuo metu veikiantis modelis</w:t>
      </w:r>
      <w:r w:rsidR="004C583F" w:rsidRPr="002142B8">
        <w:rPr>
          <w:rFonts w:ascii="Georgia" w:hAnsi="Georgia"/>
          <w:sz w:val="20"/>
          <w:szCs w:val="20"/>
          <w:lang w:val="lt-LT"/>
        </w:rPr>
        <w:t>, t.y.</w:t>
      </w:r>
      <w:r w:rsidR="005D62ED" w:rsidRPr="002142B8">
        <w:rPr>
          <w:rFonts w:ascii="Georgia" w:hAnsi="Georgia"/>
          <w:sz w:val="20"/>
          <w:szCs w:val="20"/>
          <w:lang w:val="lt-LT"/>
        </w:rPr>
        <w:t xml:space="preserve"> JESSICA II ir DNMF </w:t>
      </w:r>
      <w:r w:rsidR="00835F39" w:rsidRPr="002142B8">
        <w:rPr>
          <w:rFonts w:ascii="Georgia" w:hAnsi="Georgia"/>
          <w:sz w:val="20"/>
          <w:szCs w:val="20"/>
          <w:lang w:val="lt-LT"/>
        </w:rPr>
        <w:t xml:space="preserve">fondų </w:t>
      </w:r>
      <w:r w:rsidR="005D62ED" w:rsidRPr="002142B8">
        <w:rPr>
          <w:rFonts w:ascii="Georgia" w:hAnsi="Georgia"/>
          <w:sz w:val="20"/>
          <w:szCs w:val="20"/>
          <w:lang w:val="lt-LT"/>
        </w:rPr>
        <w:t>veiklos, atitinka</w:t>
      </w:r>
      <w:r w:rsidR="004C583F" w:rsidRPr="002142B8">
        <w:rPr>
          <w:rFonts w:ascii="Georgia" w:hAnsi="Georgia"/>
          <w:sz w:val="20"/>
          <w:szCs w:val="20"/>
          <w:lang w:val="lt-LT"/>
        </w:rPr>
        <w:t xml:space="preserve"> ex ante </w:t>
      </w:r>
      <w:r w:rsidR="00986114" w:rsidRPr="002142B8">
        <w:rPr>
          <w:rFonts w:ascii="Georgia" w:hAnsi="Georgia"/>
          <w:sz w:val="20"/>
          <w:szCs w:val="20"/>
          <w:lang w:val="lt-LT"/>
        </w:rPr>
        <w:t>reikalavimus</w:t>
      </w:r>
      <w:r w:rsidR="004C583F" w:rsidRPr="002142B8">
        <w:rPr>
          <w:rFonts w:ascii="Georgia" w:hAnsi="Georgia"/>
          <w:sz w:val="20"/>
          <w:szCs w:val="20"/>
          <w:lang w:val="lt-LT"/>
        </w:rPr>
        <w:t>, kadangi abejais atvejais yra teikiamos paskolos naudojant asimetrinės rizikos pasidalijimo modelius</w:t>
      </w:r>
      <w:r w:rsidR="00835F39" w:rsidRPr="002142B8">
        <w:rPr>
          <w:rFonts w:ascii="Georgia" w:hAnsi="Georgia"/>
          <w:sz w:val="20"/>
          <w:szCs w:val="20"/>
          <w:lang w:val="lt-LT"/>
        </w:rPr>
        <w:t xml:space="preserve"> sėkmingai </w:t>
      </w:r>
      <w:r w:rsidR="004C583F" w:rsidRPr="002142B8">
        <w:rPr>
          <w:rFonts w:ascii="Georgia" w:hAnsi="Georgia"/>
          <w:sz w:val="20"/>
          <w:szCs w:val="20"/>
          <w:lang w:val="lt-LT"/>
        </w:rPr>
        <w:t xml:space="preserve"> pritraukiant papildomas</w:t>
      </w:r>
      <w:r w:rsidR="00986114" w:rsidRPr="002142B8">
        <w:rPr>
          <w:rFonts w:ascii="Georgia" w:hAnsi="Georgia"/>
          <w:sz w:val="20"/>
          <w:szCs w:val="20"/>
          <w:lang w:val="lt-LT"/>
        </w:rPr>
        <w:t xml:space="preserve"> privačias</w:t>
      </w:r>
      <w:r w:rsidR="00835F39" w:rsidRPr="002142B8">
        <w:rPr>
          <w:rFonts w:ascii="Georgia" w:hAnsi="Georgia"/>
          <w:sz w:val="20"/>
          <w:szCs w:val="20"/>
          <w:lang w:val="lt-LT"/>
        </w:rPr>
        <w:t xml:space="preserve"> bankų</w:t>
      </w:r>
      <w:r w:rsidR="004C583F" w:rsidRPr="002142B8">
        <w:rPr>
          <w:rFonts w:ascii="Georgia" w:hAnsi="Georgia"/>
          <w:sz w:val="20"/>
          <w:szCs w:val="20"/>
          <w:lang w:val="lt-LT"/>
        </w:rPr>
        <w:t xml:space="preserve"> lėšas. </w:t>
      </w:r>
      <w:r w:rsidR="005D62ED" w:rsidRPr="002142B8">
        <w:rPr>
          <w:rFonts w:ascii="Georgia" w:hAnsi="Georgia"/>
          <w:sz w:val="20"/>
          <w:szCs w:val="20"/>
          <w:lang w:val="lt-LT"/>
        </w:rPr>
        <w:t>Taip pat paraleliai sukurtas R</w:t>
      </w:r>
      <w:r w:rsidR="004C583F" w:rsidRPr="002142B8">
        <w:rPr>
          <w:rFonts w:ascii="Georgia" w:hAnsi="Georgia"/>
          <w:sz w:val="20"/>
          <w:szCs w:val="20"/>
          <w:lang w:val="lt-LT"/>
        </w:rPr>
        <w:t>izikos pasidalijimo fondas</w:t>
      </w:r>
      <w:r w:rsidR="005D62ED" w:rsidRPr="002142B8">
        <w:rPr>
          <w:rFonts w:ascii="Georgia" w:hAnsi="Georgia"/>
          <w:sz w:val="20"/>
          <w:szCs w:val="20"/>
          <w:lang w:val="lt-LT"/>
        </w:rPr>
        <w:t>,</w:t>
      </w:r>
      <w:r w:rsidR="004C583F" w:rsidRPr="002142B8">
        <w:rPr>
          <w:rFonts w:ascii="Georgia" w:hAnsi="Georgia"/>
          <w:sz w:val="20"/>
          <w:szCs w:val="20"/>
          <w:lang w:val="lt-LT"/>
        </w:rPr>
        <w:t xml:space="preserve"> kuris </w:t>
      </w:r>
      <w:r w:rsidR="00835F39" w:rsidRPr="002142B8">
        <w:rPr>
          <w:rFonts w:ascii="Georgia" w:hAnsi="Georgia"/>
          <w:sz w:val="20"/>
          <w:szCs w:val="20"/>
          <w:lang w:val="lt-LT"/>
        </w:rPr>
        <w:t xml:space="preserve">teiks  </w:t>
      </w:r>
      <w:r w:rsidR="00986114" w:rsidRPr="002142B8">
        <w:rPr>
          <w:rFonts w:ascii="Georgia" w:hAnsi="Georgia"/>
          <w:sz w:val="20"/>
          <w:szCs w:val="20"/>
          <w:lang w:val="lt-LT"/>
        </w:rPr>
        <w:t xml:space="preserve">pirmojo nuostolio </w:t>
      </w:r>
      <w:r w:rsidR="004C583F" w:rsidRPr="002142B8">
        <w:rPr>
          <w:rFonts w:ascii="Georgia" w:hAnsi="Georgia"/>
          <w:sz w:val="20"/>
          <w:szCs w:val="20"/>
          <w:lang w:val="lt-LT"/>
        </w:rPr>
        <w:t>garantijas</w:t>
      </w:r>
      <w:r w:rsidR="00986114" w:rsidRPr="002142B8">
        <w:rPr>
          <w:rFonts w:ascii="Georgia" w:hAnsi="Georgia"/>
          <w:sz w:val="20"/>
          <w:szCs w:val="20"/>
          <w:lang w:val="lt-LT"/>
        </w:rPr>
        <w:t xml:space="preserve"> bankams už jų nuosavomis lėšomis teikiamas paskolas daugiabučių namų renovacijai</w:t>
      </w:r>
      <w:r w:rsidR="00835F39" w:rsidRPr="002142B8">
        <w:rPr>
          <w:rFonts w:ascii="Georgia" w:hAnsi="Georgia"/>
          <w:sz w:val="20"/>
          <w:szCs w:val="20"/>
          <w:lang w:val="lt-LT"/>
        </w:rPr>
        <w:t>, taip sudarant galimybę pritraukti dar daugiau privataus finansavimo.</w:t>
      </w:r>
      <w:r w:rsidR="004C583F" w:rsidRPr="002142B8">
        <w:rPr>
          <w:rFonts w:ascii="Georgia" w:hAnsi="Georgia"/>
          <w:sz w:val="20"/>
          <w:szCs w:val="20"/>
          <w:lang w:val="lt-LT"/>
        </w:rPr>
        <w:t xml:space="preserve"> </w:t>
      </w:r>
    </w:p>
    <w:p w14:paraId="04A188FA" w14:textId="09606280" w:rsidR="004C583F" w:rsidRPr="002142B8" w:rsidRDefault="00B67A8E" w:rsidP="00AA1DCF">
      <w:pPr>
        <w:jc w:val="both"/>
        <w:rPr>
          <w:rFonts w:ascii="Georgia" w:hAnsi="Georgia"/>
          <w:sz w:val="20"/>
          <w:szCs w:val="20"/>
        </w:rPr>
      </w:pPr>
      <w:r w:rsidRPr="002142B8">
        <w:rPr>
          <w:rFonts w:ascii="Georgia" w:hAnsi="Georgia"/>
          <w:sz w:val="20"/>
          <w:szCs w:val="20"/>
        </w:rPr>
        <w:t>Teisės aktuose numatytas daugiabučių namų programos tęstinumas, todėl reikalingas</w:t>
      </w:r>
      <w:r w:rsidRPr="002142B8" w:rsidDel="00B67A8E">
        <w:rPr>
          <w:rFonts w:ascii="Georgia" w:hAnsi="Georgia"/>
          <w:sz w:val="20"/>
          <w:szCs w:val="20"/>
        </w:rPr>
        <w:t xml:space="preserve"> </w:t>
      </w:r>
      <w:r w:rsidR="004C583F" w:rsidRPr="002142B8">
        <w:rPr>
          <w:rFonts w:ascii="Georgia" w:hAnsi="Georgia"/>
          <w:sz w:val="20"/>
          <w:szCs w:val="20"/>
        </w:rPr>
        <w:t>paskolų priemonės tęstinumas</w:t>
      </w:r>
      <w:r w:rsidR="00633FDB" w:rsidRPr="002142B8">
        <w:rPr>
          <w:rFonts w:ascii="Georgia" w:hAnsi="Georgia"/>
          <w:sz w:val="20"/>
          <w:szCs w:val="20"/>
        </w:rPr>
        <w:t>,</w:t>
      </w:r>
      <w:r w:rsidR="00835F39" w:rsidRPr="002142B8">
        <w:rPr>
          <w:rFonts w:ascii="Georgia" w:hAnsi="Georgia"/>
          <w:sz w:val="20"/>
          <w:szCs w:val="20"/>
        </w:rPr>
        <w:t xml:space="preserve"> užtikrinantis finansavimą projektams </w:t>
      </w:r>
      <w:r w:rsidR="004C583F" w:rsidRPr="002142B8">
        <w:rPr>
          <w:rFonts w:ascii="Georgia" w:hAnsi="Georgia"/>
          <w:sz w:val="20"/>
          <w:szCs w:val="20"/>
        </w:rPr>
        <w:t xml:space="preserve"> </w:t>
      </w:r>
      <w:r w:rsidR="00633FDB" w:rsidRPr="002142B8">
        <w:rPr>
          <w:rFonts w:ascii="Georgia" w:hAnsi="Georgia"/>
          <w:sz w:val="20"/>
          <w:szCs w:val="20"/>
        </w:rPr>
        <w:t>,</w:t>
      </w:r>
      <w:r w:rsidR="006B3B6E" w:rsidRPr="002142B8">
        <w:rPr>
          <w:rFonts w:ascii="Georgia" w:hAnsi="Georgia"/>
          <w:sz w:val="20"/>
          <w:szCs w:val="20"/>
        </w:rPr>
        <w:t xml:space="preserve"> siekiant pasiekti veiks</w:t>
      </w:r>
      <w:r w:rsidR="004C583F" w:rsidRPr="002142B8">
        <w:rPr>
          <w:rFonts w:ascii="Georgia" w:hAnsi="Georgia"/>
          <w:sz w:val="20"/>
          <w:szCs w:val="20"/>
        </w:rPr>
        <w:t xml:space="preserve">mų programoje nustatytus rezultatus. Garantijos priemonė kurta paraleliai </w:t>
      </w:r>
      <w:r w:rsidR="00835F39" w:rsidRPr="002142B8">
        <w:rPr>
          <w:rFonts w:ascii="Georgia" w:hAnsi="Georgia"/>
          <w:sz w:val="20"/>
          <w:szCs w:val="20"/>
        </w:rPr>
        <w:t>įvertinus</w:t>
      </w:r>
      <w:r w:rsidR="005D62ED" w:rsidRPr="002142B8">
        <w:rPr>
          <w:rFonts w:ascii="Georgia" w:hAnsi="Georgia"/>
          <w:sz w:val="20"/>
          <w:szCs w:val="20"/>
        </w:rPr>
        <w:t>,</w:t>
      </w:r>
      <w:r w:rsidR="004C583F" w:rsidRPr="002142B8">
        <w:rPr>
          <w:rFonts w:ascii="Georgia" w:hAnsi="Georgia"/>
          <w:sz w:val="20"/>
          <w:szCs w:val="20"/>
        </w:rPr>
        <w:t xml:space="preserve"> jog priemonei reikalingas bankų pasitikėjimas ir tam tikra paskolų grąžinimo istorija. Pažymėtina</w:t>
      </w:r>
      <w:r w:rsidR="005D62ED" w:rsidRPr="002142B8">
        <w:rPr>
          <w:rFonts w:ascii="Georgia" w:hAnsi="Georgia"/>
          <w:sz w:val="20"/>
          <w:szCs w:val="20"/>
        </w:rPr>
        <w:t>,</w:t>
      </w:r>
      <w:r w:rsidR="004C583F" w:rsidRPr="002142B8">
        <w:rPr>
          <w:rFonts w:ascii="Georgia" w:hAnsi="Georgia"/>
          <w:sz w:val="20"/>
          <w:szCs w:val="20"/>
        </w:rPr>
        <w:t xml:space="preserve"> jog atsiradus garantijų priemonei</w:t>
      </w:r>
      <w:r w:rsidR="005D62ED" w:rsidRPr="002142B8">
        <w:rPr>
          <w:rFonts w:ascii="Georgia" w:hAnsi="Georgia"/>
          <w:sz w:val="20"/>
          <w:szCs w:val="20"/>
        </w:rPr>
        <w:t>,</w:t>
      </w:r>
      <w:r w:rsidR="004C583F" w:rsidRPr="002142B8">
        <w:rPr>
          <w:rFonts w:ascii="Georgia" w:hAnsi="Georgia"/>
          <w:sz w:val="20"/>
          <w:szCs w:val="20"/>
        </w:rPr>
        <w:t xml:space="preserve"> paskolų priemonė gali egzistuoti paraleliai</w:t>
      </w:r>
      <w:r w:rsidR="005D62ED" w:rsidRPr="002142B8">
        <w:rPr>
          <w:rFonts w:ascii="Georgia" w:hAnsi="Georgia"/>
          <w:sz w:val="20"/>
          <w:szCs w:val="20"/>
        </w:rPr>
        <w:t>, tokiu būdu, atsižvelgiat į va</w:t>
      </w:r>
      <w:r w:rsidR="004C583F" w:rsidRPr="002142B8">
        <w:rPr>
          <w:rFonts w:ascii="Georgia" w:hAnsi="Georgia"/>
          <w:sz w:val="20"/>
          <w:szCs w:val="20"/>
        </w:rPr>
        <w:t>l</w:t>
      </w:r>
      <w:r w:rsidR="005D62ED" w:rsidRPr="002142B8">
        <w:rPr>
          <w:rFonts w:ascii="Georgia" w:hAnsi="Georgia"/>
          <w:sz w:val="20"/>
          <w:szCs w:val="20"/>
        </w:rPr>
        <w:t>s</w:t>
      </w:r>
      <w:r w:rsidR="004C583F" w:rsidRPr="002142B8">
        <w:rPr>
          <w:rFonts w:ascii="Georgia" w:hAnsi="Georgia"/>
          <w:sz w:val="20"/>
          <w:szCs w:val="20"/>
        </w:rPr>
        <w:t xml:space="preserve">tybės galimybes, suteikiant valstybei pasirinkimo alternatyvą </w:t>
      </w:r>
      <w:r w:rsidR="005D62ED" w:rsidRPr="002142B8">
        <w:rPr>
          <w:rFonts w:ascii="Georgia" w:hAnsi="Georgia"/>
          <w:sz w:val="20"/>
          <w:szCs w:val="20"/>
        </w:rPr>
        <w:t>įgyvendinti tą priemonę,</w:t>
      </w:r>
      <w:r w:rsidR="004C583F" w:rsidRPr="002142B8">
        <w:rPr>
          <w:rFonts w:ascii="Georgia" w:hAnsi="Georgia"/>
          <w:sz w:val="20"/>
          <w:szCs w:val="20"/>
        </w:rPr>
        <w:t xml:space="preserve"> kuri labiau atitinka tuo metu esančius</w:t>
      </w:r>
      <w:r w:rsidR="00835F39" w:rsidRPr="002142B8">
        <w:rPr>
          <w:rFonts w:ascii="Georgia" w:hAnsi="Georgia"/>
          <w:sz w:val="20"/>
          <w:szCs w:val="20"/>
        </w:rPr>
        <w:t xml:space="preserve"> rinkos</w:t>
      </w:r>
      <w:r w:rsidR="004C583F" w:rsidRPr="002142B8">
        <w:rPr>
          <w:rFonts w:ascii="Georgia" w:hAnsi="Georgia"/>
          <w:sz w:val="20"/>
          <w:szCs w:val="20"/>
        </w:rPr>
        <w:t xml:space="preserve"> interesus.</w:t>
      </w:r>
    </w:p>
    <w:p w14:paraId="6D4D77B1" w14:textId="7A088200" w:rsidR="009731B9" w:rsidRPr="002142B8" w:rsidRDefault="004C583F">
      <w:pPr>
        <w:jc w:val="both"/>
        <w:rPr>
          <w:rFonts w:ascii="Georgia" w:hAnsi="Georgia"/>
          <w:sz w:val="20"/>
          <w:szCs w:val="20"/>
          <w:lang w:val="lt-LT"/>
        </w:rPr>
      </w:pPr>
      <w:r w:rsidRPr="002142B8">
        <w:rPr>
          <w:rFonts w:ascii="Georgia" w:hAnsi="Georgia"/>
          <w:sz w:val="20"/>
          <w:szCs w:val="20"/>
          <w:lang w:val="lt-LT"/>
        </w:rPr>
        <w:t xml:space="preserve">Reikėtų atkreipti dėmesį, kad modeliuojant scenarijus buvo siekiama nustatyti maksimalų lėšų panaudojimo efektą, tačiau taikant </w:t>
      </w:r>
      <w:r w:rsidR="005D62ED" w:rsidRPr="002142B8">
        <w:rPr>
          <w:rFonts w:ascii="Georgia" w:hAnsi="Georgia"/>
          <w:sz w:val="20"/>
          <w:szCs w:val="20"/>
          <w:lang w:val="lt-LT"/>
        </w:rPr>
        <w:t>subsidiją,</w:t>
      </w:r>
      <w:r w:rsidRPr="002142B8">
        <w:rPr>
          <w:rFonts w:ascii="Georgia" w:hAnsi="Georgia"/>
          <w:sz w:val="20"/>
          <w:szCs w:val="20"/>
          <w:lang w:val="lt-LT"/>
        </w:rPr>
        <w:t xml:space="preserve"> potencialiai valstybė negalėt</w:t>
      </w:r>
      <w:r w:rsidR="005D62ED" w:rsidRPr="002142B8">
        <w:rPr>
          <w:rFonts w:ascii="Georgia" w:hAnsi="Georgia"/>
          <w:sz w:val="20"/>
          <w:szCs w:val="20"/>
          <w:lang w:val="lt-LT"/>
        </w:rPr>
        <w:t>ų</w:t>
      </w:r>
      <w:r w:rsidRPr="002142B8">
        <w:rPr>
          <w:rFonts w:ascii="Georgia" w:hAnsi="Georgia"/>
          <w:sz w:val="20"/>
          <w:szCs w:val="20"/>
          <w:lang w:val="lt-LT"/>
        </w:rPr>
        <w:t xml:space="preserve"> renovuoti modeliuojamo skaičiaus </w:t>
      </w:r>
      <w:r w:rsidR="00646DA6" w:rsidRPr="002142B8">
        <w:rPr>
          <w:rFonts w:ascii="Georgia" w:hAnsi="Georgia"/>
          <w:sz w:val="20"/>
          <w:szCs w:val="20"/>
          <w:lang w:val="lt-LT"/>
        </w:rPr>
        <w:t>projektų, dėl lėšų subsidijai poreikio. Tačiau pasikeitus situacijai (pvz. atsiradus papildomų lėšų, paskeitus prog</w:t>
      </w:r>
      <w:r w:rsidR="005D62ED" w:rsidRPr="002142B8">
        <w:rPr>
          <w:rFonts w:ascii="Georgia" w:hAnsi="Georgia"/>
          <w:sz w:val="20"/>
          <w:szCs w:val="20"/>
          <w:lang w:val="lt-LT"/>
        </w:rPr>
        <w:t>ramos sąlygoms ar pan.), keleto pasirinkimo variantų egzistavimas valstybei leistų lanksčiai rea</w:t>
      </w:r>
      <w:r w:rsidR="00646DA6" w:rsidRPr="002142B8">
        <w:rPr>
          <w:rFonts w:ascii="Georgia" w:hAnsi="Georgia"/>
          <w:sz w:val="20"/>
          <w:szCs w:val="20"/>
          <w:lang w:val="lt-LT"/>
        </w:rPr>
        <w:t>guoti.</w:t>
      </w:r>
      <w:r w:rsidRPr="002142B8" w:rsidDel="009731B9">
        <w:rPr>
          <w:rFonts w:ascii="Georgia" w:hAnsi="Georgia"/>
          <w:sz w:val="20"/>
          <w:szCs w:val="20"/>
          <w:lang w:val="lt-LT"/>
        </w:rPr>
        <w:t xml:space="preserve"> </w:t>
      </w:r>
    </w:p>
    <w:p w14:paraId="42664564" w14:textId="311E01B3" w:rsidR="00646DA6" w:rsidRPr="002142B8" w:rsidRDefault="00646DA6" w:rsidP="00AA1DCF">
      <w:pPr>
        <w:jc w:val="both"/>
        <w:rPr>
          <w:rFonts w:ascii="Georgia" w:hAnsi="Georgia"/>
          <w:sz w:val="20"/>
          <w:szCs w:val="20"/>
          <w:lang w:val="lt-LT"/>
        </w:rPr>
      </w:pPr>
      <w:r w:rsidRPr="002142B8">
        <w:rPr>
          <w:rFonts w:ascii="Georgia" w:hAnsi="Georgia"/>
          <w:sz w:val="20"/>
          <w:szCs w:val="20"/>
          <w:lang w:val="lt-LT"/>
        </w:rPr>
        <w:lastRenderedPageBreak/>
        <w:t>Atsižvelgus į visų alternatyvų kiekybinės ir kokybinės analizės aspektus, ir siekiant maksimaliai suderinti alternatyvų privalumus ir minimizuoti jų trūkumus, rekomenduojama taikyti vieno ar kelių mo</w:t>
      </w:r>
      <w:r w:rsidR="005D62ED" w:rsidRPr="002142B8">
        <w:rPr>
          <w:rFonts w:ascii="Georgia" w:hAnsi="Georgia"/>
          <w:sz w:val="20"/>
          <w:szCs w:val="20"/>
          <w:lang w:val="lt-LT"/>
        </w:rPr>
        <w:t>delių derinį, t.y. atsižvelgdamos</w:t>
      </w:r>
      <w:r w:rsidRPr="002142B8">
        <w:rPr>
          <w:rFonts w:ascii="Georgia" w:hAnsi="Georgia"/>
          <w:sz w:val="20"/>
          <w:szCs w:val="20"/>
          <w:lang w:val="lt-LT"/>
        </w:rPr>
        <w:t xml:space="preserve"> į besikeičiančią situaciją atsakingos institucijos galėtų taikyti:</w:t>
      </w:r>
    </w:p>
    <w:p w14:paraId="1D8C4815" w14:textId="232EC233" w:rsidR="00646DA6" w:rsidRPr="002142B8" w:rsidRDefault="00646DA6" w:rsidP="00DC3EB6">
      <w:pPr>
        <w:pStyle w:val="Sraopastraipa"/>
        <w:numPr>
          <w:ilvl w:val="0"/>
          <w:numId w:val="78"/>
        </w:numPr>
        <w:jc w:val="both"/>
        <w:rPr>
          <w:rFonts w:ascii="Georgia" w:hAnsi="Georgia"/>
          <w:sz w:val="20"/>
          <w:szCs w:val="20"/>
          <w:lang w:val="lt-LT"/>
        </w:rPr>
      </w:pPr>
      <w:r w:rsidRPr="002142B8">
        <w:rPr>
          <w:rFonts w:ascii="Georgia" w:hAnsi="Georgia"/>
          <w:sz w:val="20"/>
          <w:szCs w:val="20"/>
          <w:lang w:val="lt-LT"/>
        </w:rPr>
        <w:t>paskolų finansines priemones taikant asimetrinės rizikos pasidalijimo modelį</w:t>
      </w:r>
      <w:r w:rsidR="005D62ED" w:rsidRPr="002142B8">
        <w:rPr>
          <w:rFonts w:ascii="Georgia" w:hAnsi="Georgia"/>
          <w:sz w:val="20"/>
          <w:szCs w:val="20"/>
          <w:lang w:val="lt-LT"/>
        </w:rPr>
        <w:t xml:space="preserve"> (a</w:t>
      </w:r>
      <w:r w:rsidRPr="002142B8">
        <w:rPr>
          <w:rFonts w:ascii="Georgia" w:hAnsi="Georgia"/>
          <w:sz w:val="20"/>
          <w:szCs w:val="20"/>
          <w:lang w:val="lt-LT"/>
        </w:rPr>
        <w:t>tsiradus galimybei taip pat turėtų būti vetinama alternatyva parduoti pinigų srautu ar paskolas</w:t>
      </w:r>
      <w:r w:rsidR="005D62ED" w:rsidRPr="002142B8">
        <w:rPr>
          <w:rFonts w:ascii="Georgia" w:hAnsi="Georgia"/>
          <w:sz w:val="20"/>
          <w:szCs w:val="20"/>
          <w:lang w:val="lt-LT"/>
        </w:rPr>
        <w:t>)</w:t>
      </w:r>
      <w:r w:rsidRPr="002142B8">
        <w:rPr>
          <w:rFonts w:ascii="Georgia" w:hAnsi="Georgia"/>
          <w:sz w:val="20"/>
          <w:szCs w:val="20"/>
          <w:lang w:val="lt-LT"/>
        </w:rPr>
        <w:t>;</w:t>
      </w:r>
    </w:p>
    <w:p w14:paraId="321661DA" w14:textId="5AC752A5" w:rsidR="00DC3EB6" w:rsidRPr="002142B8" w:rsidRDefault="00646DA6" w:rsidP="00DC3EB6">
      <w:pPr>
        <w:pStyle w:val="Sraopastraipa"/>
        <w:numPr>
          <w:ilvl w:val="0"/>
          <w:numId w:val="78"/>
        </w:numPr>
        <w:jc w:val="both"/>
        <w:rPr>
          <w:rFonts w:ascii="Georgia" w:hAnsi="Georgia"/>
          <w:sz w:val="20"/>
          <w:szCs w:val="20"/>
          <w:lang w:val="lt-LT"/>
        </w:rPr>
      </w:pPr>
      <w:r w:rsidRPr="002142B8">
        <w:rPr>
          <w:rFonts w:ascii="Georgia" w:hAnsi="Georgia"/>
          <w:sz w:val="20"/>
          <w:szCs w:val="20"/>
          <w:lang w:val="lt-LT"/>
        </w:rPr>
        <w:t>susidarius tinkamoms aplinkybėms taikyti garantijų modelį</w:t>
      </w:r>
      <w:r w:rsidR="005D62ED" w:rsidRPr="002142B8">
        <w:rPr>
          <w:rFonts w:ascii="Georgia" w:hAnsi="Georgia"/>
          <w:sz w:val="20"/>
          <w:szCs w:val="20"/>
          <w:lang w:val="lt-LT"/>
        </w:rPr>
        <w:t>.</w:t>
      </w:r>
    </w:p>
    <w:p w14:paraId="69215CC4" w14:textId="680A04CF" w:rsidR="00DC3EB6" w:rsidRPr="002142B8" w:rsidRDefault="00917895" w:rsidP="0063781D">
      <w:pPr>
        <w:jc w:val="both"/>
        <w:rPr>
          <w:rFonts w:ascii="Georgia" w:hAnsi="Georgia"/>
          <w:sz w:val="20"/>
          <w:szCs w:val="20"/>
          <w:lang w:val="lt-LT"/>
        </w:rPr>
      </w:pPr>
      <w:r w:rsidRPr="002142B8">
        <w:rPr>
          <w:rFonts w:ascii="Georgia" w:hAnsi="Georgia"/>
          <w:sz w:val="20"/>
          <w:szCs w:val="20"/>
          <w:lang w:val="lt-LT"/>
        </w:rPr>
        <w:t>P</w:t>
      </w:r>
      <w:r w:rsidR="00DC3EB6" w:rsidRPr="002142B8">
        <w:rPr>
          <w:rFonts w:ascii="Georgia" w:hAnsi="Georgia"/>
          <w:sz w:val="20"/>
          <w:szCs w:val="20"/>
          <w:lang w:val="lt-LT"/>
        </w:rPr>
        <w:t xml:space="preserve">ažymėtina, kad </w:t>
      </w:r>
      <w:r w:rsidR="005D62ED" w:rsidRPr="002142B8">
        <w:rPr>
          <w:rFonts w:ascii="Georgia" w:hAnsi="Georgia"/>
          <w:sz w:val="20"/>
          <w:szCs w:val="20"/>
          <w:lang w:val="lt-LT"/>
        </w:rPr>
        <w:t xml:space="preserve">nekeičiant šio ex ante vertinimo </w:t>
      </w:r>
      <w:r w:rsidR="00DC3EB6" w:rsidRPr="002142B8">
        <w:rPr>
          <w:rFonts w:ascii="Georgia" w:hAnsi="Georgia"/>
          <w:sz w:val="20"/>
          <w:szCs w:val="20"/>
          <w:lang w:val="lt-LT"/>
        </w:rPr>
        <w:t>ministerijos</w:t>
      </w:r>
      <w:r w:rsidR="005D62ED" w:rsidRPr="002142B8">
        <w:rPr>
          <w:rFonts w:ascii="Georgia" w:hAnsi="Georgia"/>
          <w:sz w:val="20"/>
          <w:szCs w:val="20"/>
          <w:lang w:val="lt-LT"/>
        </w:rPr>
        <w:t xml:space="preserve"> galėtų</w:t>
      </w:r>
      <w:r w:rsidR="00DC3EB6" w:rsidRPr="002142B8">
        <w:rPr>
          <w:rFonts w:ascii="Georgia" w:hAnsi="Georgia"/>
          <w:sz w:val="20"/>
          <w:szCs w:val="20"/>
          <w:lang w:val="lt-LT"/>
        </w:rPr>
        <w:t xml:space="preserve"> taikyti </w:t>
      </w:r>
      <w:r w:rsidR="005D62ED" w:rsidRPr="002142B8">
        <w:rPr>
          <w:rFonts w:ascii="Georgia" w:hAnsi="Georgia"/>
          <w:sz w:val="20"/>
          <w:szCs w:val="20"/>
          <w:lang w:val="lt-LT"/>
        </w:rPr>
        <w:t xml:space="preserve">ir </w:t>
      </w:r>
      <w:r w:rsidR="00DC3EB6" w:rsidRPr="002142B8">
        <w:rPr>
          <w:rFonts w:ascii="Georgia" w:hAnsi="Georgia"/>
          <w:sz w:val="20"/>
          <w:szCs w:val="20"/>
          <w:lang w:val="lt-LT"/>
        </w:rPr>
        <w:t>kitas pri</w:t>
      </w:r>
      <w:r w:rsidR="005D62ED" w:rsidRPr="002142B8">
        <w:rPr>
          <w:rFonts w:ascii="Georgia" w:hAnsi="Georgia"/>
          <w:sz w:val="20"/>
          <w:szCs w:val="20"/>
          <w:lang w:val="lt-LT"/>
        </w:rPr>
        <w:t>emones, kurios leistų</w:t>
      </w:r>
      <w:r w:rsidR="00DC3EB6" w:rsidRPr="002142B8">
        <w:rPr>
          <w:rFonts w:ascii="Georgia" w:hAnsi="Georgia"/>
          <w:sz w:val="20"/>
          <w:szCs w:val="20"/>
          <w:lang w:val="lt-LT"/>
        </w:rPr>
        <w:t xml:space="preserve"> pasiekti panašius rezultatus</w:t>
      </w:r>
      <w:r w:rsidR="00DC3EB6" w:rsidRPr="002142B8">
        <w:rPr>
          <w:rStyle w:val="Puslapioinaosnuoroda"/>
          <w:rFonts w:ascii="Georgia" w:hAnsi="Georgia"/>
          <w:sz w:val="20"/>
          <w:szCs w:val="20"/>
          <w:lang w:val="lt-LT"/>
        </w:rPr>
        <w:footnoteReference w:id="139"/>
      </w:r>
      <w:r w:rsidR="00DC3EB6" w:rsidRPr="002142B8">
        <w:rPr>
          <w:rFonts w:ascii="Georgia" w:hAnsi="Georgia"/>
          <w:sz w:val="20"/>
          <w:szCs w:val="20"/>
          <w:lang w:val="lt-LT"/>
        </w:rPr>
        <w:t>.</w:t>
      </w:r>
    </w:p>
    <w:p w14:paraId="6A57504D" w14:textId="77777777" w:rsidR="00DC3EB6" w:rsidRPr="002142B8" w:rsidRDefault="00DC3EB6">
      <w:pPr>
        <w:jc w:val="both"/>
        <w:rPr>
          <w:rFonts w:ascii="Georgia" w:hAnsi="Georgia"/>
          <w:sz w:val="20"/>
          <w:szCs w:val="20"/>
          <w:lang w:val="lt-LT"/>
        </w:rPr>
      </w:pPr>
    </w:p>
    <w:p w14:paraId="16FCC5E1" w14:textId="18CAE0D8" w:rsidR="00FD5FAE" w:rsidRPr="002142B8" w:rsidRDefault="00FD5FAE" w:rsidP="00242D25">
      <w:pPr>
        <w:pStyle w:val="Antrat2"/>
        <w:numPr>
          <w:ilvl w:val="2"/>
          <w:numId w:val="2"/>
        </w:numPr>
        <w:spacing w:after="240"/>
        <w:ind w:left="993" w:hanging="993"/>
        <w:rPr>
          <w:lang w:val="lt-LT"/>
        </w:rPr>
      </w:pPr>
      <w:bookmarkStart w:id="283" w:name="_Toc25589935"/>
      <w:r w:rsidRPr="002142B8">
        <w:rPr>
          <w:lang w:val="lt-LT"/>
        </w:rPr>
        <w:t>Centrinės valdžios pastatų renovavimo modelių palyginimas</w:t>
      </w:r>
      <w:bookmarkEnd w:id="278"/>
      <w:bookmarkEnd w:id="279"/>
      <w:bookmarkEnd w:id="283"/>
    </w:p>
    <w:p w14:paraId="0E6A4B17" w14:textId="77777777" w:rsidR="005A432A" w:rsidRPr="00C8226F" w:rsidRDefault="005A432A" w:rsidP="005A432A">
      <w:pPr>
        <w:jc w:val="both"/>
        <w:rPr>
          <w:rFonts w:ascii="Georgia" w:hAnsi="Georgia"/>
          <w:sz w:val="20"/>
          <w:szCs w:val="20"/>
          <w:lang w:val="lt-LT"/>
        </w:rPr>
      </w:pPr>
      <w:r w:rsidRPr="00C8226F">
        <w:rPr>
          <w:rFonts w:ascii="Georgia" w:hAnsi="Georgia"/>
          <w:sz w:val="20"/>
          <w:szCs w:val="20"/>
          <w:lang w:val="lt-LT"/>
        </w:rPr>
        <w:t xml:space="preserve">Lentelėje pateikiamas 4.1. dalyje apskaičiuotas centrinės valdžios viešųjų pastatų renovacijos scenarijų palyginimas. </w:t>
      </w:r>
    </w:p>
    <w:p w14:paraId="1ECF7611" w14:textId="090A7A6A" w:rsidR="005A432A" w:rsidRPr="008377C9" w:rsidRDefault="005A432A" w:rsidP="005A432A">
      <w:pPr>
        <w:pStyle w:val="Antrat"/>
        <w:rPr>
          <w:b w:val="0"/>
          <w:i/>
          <w:szCs w:val="20"/>
          <w:lang w:val="lt-LT"/>
        </w:rPr>
      </w:pPr>
      <w:bookmarkStart w:id="284" w:name="_Toc503193927"/>
      <w:bookmarkStart w:id="285" w:name="_Toc507939211"/>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89</w:t>
      </w:r>
      <w:r w:rsidRPr="008377C9">
        <w:rPr>
          <w:b w:val="0"/>
          <w:i/>
          <w:lang w:val="lt-LT"/>
        </w:rPr>
        <w:fldChar w:fldCharType="end"/>
      </w:r>
      <w:r w:rsidRPr="008377C9">
        <w:rPr>
          <w:b w:val="0"/>
          <w:i/>
          <w:lang w:val="lt-LT"/>
        </w:rPr>
        <w:t xml:space="preserve">. </w:t>
      </w:r>
      <w:r w:rsidRPr="008377C9">
        <w:rPr>
          <w:b w:val="0"/>
          <w:i/>
          <w:szCs w:val="20"/>
          <w:lang w:val="lt-LT"/>
        </w:rPr>
        <w:t>Skirtingų finansinių priemonių kiekybinių rezultatų palyginimas</w:t>
      </w:r>
      <w:bookmarkEnd w:id="284"/>
      <w:bookmarkEnd w:id="285"/>
    </w:p>
    <w:tbl>
      <w:tblPr>
        <w:tblW w:w="9026" w:type="dxa"/>
        <w:tblInd w:w="108" w:type="dxa"/>
        <w:tblLayout w:type="fixed"/>
        <w:tblLook w:val="04A0" w:firstRow="1" w:lastRow="0" w:firstColumn="1" w:lastColumn="0" w:noHBand="0" w:noVBand="1"/>
      </w:tblPr>
      <w:tblGrid>
        <w:gridCol w:w="4395"/>
        <w:gridCol w:w="931"/>
        <w:gridCol w:w="1337"/>
        <w:gridCol w:w="1480"/>
        <w:gridCol w:w="883"/>
      </w:tblGrid>
      <w:tr w:rsidR="005A432A" w:rsidRPr="005F7F46" w14:paraId="634E9492" w14:textId="77777777" w:rsidTr="005A432A">
        <w:trPr>
          <w:trHeight w:val="261"/>
        </w:trPr>
        <w:tc>
          <w:tcPr>
            <w:tcW w:w="4395" w:type="dxa"/>
            <w:tcBorders>
              <w:top w:val="single" w:sz="8" w:space="0" w:color="D62E1C"/>
              <w:left w:val="single" w:sz="8" w:space="0" w:color="D62E1C"/>
              <w:bottom w:val="nil"/>
              <w:right w:val="nil"/>
            </w:tcBorders>
            <w:shd w:val="clear" w:color="000000" w:fill="D62E1C"/>
            <w:vAlign w:val="center"/>
            <w:hideMark/>
          </w:tcPr>
          <w:p w14:paraId="17F1334F" w14:textId="77777777" w:rsidR="005A432A" w:rsidRPr="005F7F46" w:rsidRDefault="005A432A" w:rsidP="005A432A">
            <w:pPr>
              <w:spacing w:after="0" w:line="240" w:lineRule="auto"/>
              <w:rPr>
                <w:rFonts w:ascii="Georgia" w:eastAsia="Times New Roman" w:hAnsi="Georgia" w:cs="Arial"/>
                <w:color w:val="FFFFFF"/>
                <w:sz w:val="20"/>
                <w:szCs w:val="20"/>
              </w:rPr>
            </w:pPr>
            <w:r w:rsidRPr="005F7F46">
              <w:rPr>
                <w:rFonts w:ascii="Georgia" w:eastAsia="Times New Roman" w:hAnsi="Georgia" w:cs="Arial"/>
                <w:color w:val="FFFFFF"/>
                <w:sz w:val="20"/>
                <w:szCs w:val="20"/>
              </w:rPr>
              <w:t> </w:t>
            </w:r>
          </w:p>
        </w:tc>
        <w:tc>
          <w:tcPr>
            <w:tcW w:w="931" w:type="dxa"/>
            <w:tcBorders>
              <w:top w:val="single" w:sz="8" w:space="0" w:color="D62E1C"/>
              <w:left w:val="nil"/>
              <w:bottom w:val="nil"/>
              <w:right w:val="nil"/>
            </w:tcBorders>
            <w:shd w:val="clear" w:color="000000" w:fill="D62E1C"/>
            <w:vAlign w:val="center"/>
            <w:hideMark/>
          </w:tcPr>
          <w:p w14:paraId="1B4A1BF8" w14:textId="77777777" w:rsidR="005A432A" w:rsidRPr="005F7F46" w:rsidRDefault="005A432A" w:rsidP="005A432A">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1 </w:t>
            </w:r>
          </w:p>
        </w:tc>
        <w:tc>
          <w:tcPr>
            <w:tcW w:w="1337" w:type="dxa"/>
            <w:tcBorders>
              <w:top w:val="single" w:sz="8" w:space="0" w:color="D62E1C"/>
              <w:left w:val="nil"/>
              <w:bottom w:val="nil"/>
              <w:right w:val="nil"/>
            </w:tcBorders>
            <w:shd w:val="clear" w:color="000000" w:fill="D62E1C"/>
            <w:vAlign w:val="center"/>
            <w:hideMark/>
          </w:tcPr>
          <w:p w14:paraId="051FAA67" w14:textId="77777777" w:rsidR="005A432A" w:rsidRPr="005F7F46" w:rsidRDefault="005A432A" w:rsidP="005A432A">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2 </w:t>
            </w:r>
          </w:p>
        </w:tc>
        <w:tc>
          <w:tcPr>
            <w:tcW w:w="1480" w:type="dxa"/>
            <w:tcBorders>
              <w:top w:val="single" w:sz="8" w:space="0" w:color="D62E1C"/>
              <w:left w:val="nil"/>
              <w:bottom w:val="nil"/>
              <w:right w:val="nil"/>
            </w:tcBorders>
            <w:shd w:val="clear" w:color="000000" w:fill="D62E1C"/>
            <w:vAlign w:val="center"/>
            <w:hideMark/>
          </w:tcPr>
          <w:p w14:paraId="2AD8D277" w14:textId="77777777" w:rsidR="005A432A" w:rsidRPr="005F7F46" w:rsidRDefault="005A432A" w:rsidP="005A432A">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3 </w:t>
            </w:r>
          </w:p>
        </w:tc>
        <w:tc>
          <w:tcPr>
            <w:tcW w:w="883" w:type="dxa"/>
            <w:tcBorders>
              <w:top w:val="single" w:sz="8" w:space="0" w:color="D62E1C"/>
              <w:left w:val="nil"/>
              <w:bottom w:val="nil"/>
              <w:right w:val="nil"/>
            </w:tcBorders>
            <w:shd w:val="clear" w:color="000000" w:fill="D62E1C"/>
            <w:vAlign w:val="center"/>
            <w:hideMark/>
          </w:tcPr>
          <w:p w14:paraId="5B0ED6AD" w14:textId="77777777" w:rsidR="005A432A" w:rsidRPr="005F7F46" w:rsidRDefault="005A432A" w:rsidP="005A432A">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Nr.4 </w:t>
            </w:r>
          </w:p>
        </w:tc>
      </w:tr>
      <w:tr w:rsidR="005A432A" w:rsidRPr="005F7F46" w14:paraId="46EEFE0C" w14:textId="77777777" w:rsidTr="005A432A">
        <w:trPr>
          <w:trHeight w:val="1102"/>
        </w:trPr>
        <w:tc>
          <w:tcPr>
            <w:tcW w:w="4395" w:type="dxa"/>
            <w:tcBorders>
              <w:top w:val="single" w:sz="8" w:space="0" w:color="D62E1C"/>
              <w:left w:val="single" w:sz="8" w:space="0" w:color="D62E1C"/>
              <w:bottom w:val="single" w:sz="8" w:space="0" w:color="D62E1C"/>
              <w:right w:val="nil"/>
            </w:tcBorders>
            <w:shd w:val="clear" w:color="auto" w:fill="auto"/>
            <w:vAlign w:val="center"/>
            <w:hideMark/>
          </w:tcPr>
          <w:p w14:paraId="58A68A31" w14:textId="77777777" w:rsidR="005A432A" w:rsidRPr="005F7F46" w:rsidRDefault="005A432A" w:rsidP="005A432A">
            <w:pPr>
              <w:spacing w:after="0" w:line="240" w:lineRule="auto"/>
              <w:rPr>
                <w:rFonts w:ascii="Georgia" w:eastAsia="Times New Roman" w:hAnsi="Georgia" w:cs="Arial"/>
                <w:b/>
                <w:bCs/>
                <w:color w:val="000000"/>
                <w:sz w:val="18"/>
                <w:szCs w:val="18"/>
              </w:rPr>
            </w:pPr>
            <w:r w:rsidRPr="005F7F46">
              <w:rPr>
                <w:rFonts w:ascii="Georgia" w:eastAsia="Times New Roman" w:hAnsi="Georgia" w:cs="Arial"/>
                <w:b/>
                <w:bCs/>
                <w:color w:val="000000"/>
                <w:sz w:val="18"/>
                <w:szCs w:val="18"/>
              </w:rPr>
              <w:t xml:space="preserve">Finansinė priemonė </w:t>
            </w:r>
          </w:p>
        </w:tc>
        <w:tc>
          <w:tcPr>
            <w:tcW w:w="931" w:type="dxa"/>
            <w:tcBorders>
              <w:top w:val="single" w:sz="8" w:space="0" w:color="D62E1C"/>
              <w:left w:val="nil"/>
              <w:bottom w:val="single" w:sz="8" w:space="0" w:color="D62E1C"/>
              <w:right w:val="nil"/>
            </w:tcBorders>
            <w:shd w:val="clear" w:color="auto" w:fill="auto"/>
            <w:vAlign w:val="center"/>
            <w:hideMark/>
          </w:tcPr>
          <w:p w14:paraId="08105BE3"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 xml:space="preserve">askola </w:t>
            </w:r>
          </w:p>
        </w:tc>
        <w:tc>
          <w:tcPr>
            <w:tcW w:w="1337" w:type="dxa"/>
            <w:tcBorders>
              <w:top w:val="single" w:sz="8" w:space="0" w:color="D62E1C"/>
              <w:left w:val="nil"/>
              <w:bottom w:val="single" w:sz="8" w:space="0" w:color="D62E1C"/>
              <w:right w:val="nil"/>
            </w:tcBorders>
            <w:shd w:val="clear" w:color="auto" w:fill="auto"/>
            <w:vAlign w:val="center"/>
            <w:hideMark/>
          </w:tcPr>
          <w:p w14:paraId="76A1BE05"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askol</w:t>
            </w:r>
            <w:r>
              <w:rPr>
                <w:rFonts w:ascii="Georgia" w:eastAsia="Times New Roman" w:hAnsi="Georgia" w:cs="Arial"/>
                <w:color w:val="000000"/>
                <w:sz w:val="16"/>
                <w:szCs w:val="16"/>
              </w:rPr>
              <w:t>ų teikimas taikant paskolų išpirkimo modelį</w:t>
            </w:r>
            <w:r w:rsidRPr="005F7F46">
              <w:rPr>
                <w:rFonts w:ascii="Georgia" w:eastAsia="Times New Roman" w:hAnsi="Georgia" w:cs="Arial"/>
                <w:color w:val="000000"/>
                <w:sz w:val="16"/>
                <w:szCs w:val="16"/>
              </w:rPr>
              <w:t xml:space="preserve">  </w:t>
            </w:r>
          </w:p>
        </w:tc>
        <w:tc>
          <w:tcPr>
            <w:tcW w:w="1480" w:type="dxa"/>
            <w:tcBorders>
              <w:top w:val="single" w:sz="8" w:space="0" w:color="D62E1C"/>
              <w:left w:val="nil"/>
              <w:bottom w:val="single" w:sz="8" w:space="0" w:color="D62E1C"/>
              <w:right w:val="nil"/>
            </w:tcBorders>
            <w:shd w:val="clear" w:color="auto" w:fill="auto"/>
            <w:vAlign w:val="center"/>
            <w:hideMark/>
          </w:tcPr>
          <w:p w14:paraId="3603CC9D"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 xml:space="preserve">Paskolų teikimas taikant </w:t>
            </w:r>
            <w:r w:rsidRPr="005F7F46">
              <w:rPr>
                <w:rFonts w:ascii="Georgia" w:eastAsia="Times New Roman" w:hAnsi="Georgia" w:cs="Arial"/>
                <w:color w:val="000000"/>
                <w:sz w:val="16"/>
                <w:szCs w:val="16"/>
              </w:rPr>
              <w:t xml:space="preserve"> </w:t>
            </w:r>
            <w:r>
              <w:rPr>
                <w:rFonts w:ascii="Georgia" w:eastAsia="Times New Roman" w:hAnsi="Georgia" w:cs="Arial"/>
                <w:color w:val="000000"/>
                <w:sz w:val="16"/>
                <w:szCs w:val="16"/>
              </w:rPr>
              <w:t>asimetrinio rizikos pasidalijimo modelį</w:t>
            </w:r>
            <w:r w:rsidRPr="005F7F46">
              <w:rPr>
                <w:rFonts w:ascii="Georgia" w:eastAsia="Times New Roman" w:hAnsi="Georgia" w:cs="Arial"/>
                <w:color w:val="000000"/>
                <w:sz w:val="16"/>
                <w:szCs w:val="16"/>
              </w:rPr>
              <w:t xml:space="preserve"> </w:t>
            </w:r>
          </w:p>
        </w:tc>
        <w:tc>
          <w:tcPr>
            <w:tcW w:w="883" w:type="dxa"/>
            <w:tcBorders>
              <w:top w:val="single" w:sz="8" w:space="0" w:color="D62E1C"/>
              <w:left w:val="nil"/>
              <w:bottom w:val="single" w:sz="8" w:space="0" w:color="D62E1C"/>
              <w:right w:val="single" w:sz="8" w:space="0" w:color="E0301E"/>
            </w:tcBorders>
            <w:shd w:val="clear" w:color="auto" w:fill="auto"/>
            <w:vAlign w:val="center"/>
            <w:hideMark/>
          </w:tcPr>
          <w:p w14:paraId="4ACD742F"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F7F46">
              <w:rPr>
                <w:rFonts w:ascii="Georgia" w:eastAsia="Times New Roman" w:hAnsi="Georgia" w:cs="Arial"/>
                <w:color w:val="000000"/>
                <w:sz w:val="16"/>
                <w:szCs w:val="16"/>
              </w:rPr>
              <w:t xml:space="preserve">Garantija </w:t>
            </w:r>
          </w:p>
        </w:tc>
      </w:tr>
      <w:tr w:rsidR="005A432A" w:rsidRPr="005F7F46" w14:paraId="333A30C7" w14:textId="77777777" w:rsidTr="005A432A">
        <w:trPr>
          <w:trHeight w:val="261"/>
        </w:trPr>
        <w:tc>
          <w:tcPr>
            <w:tcW w:w="4395" w:type="dxa"/>
            <w:tcBorders>
              <w:top w:val="nil"/>
              <w:left w:val="single" w:sz="8" w:space="0" w:color="D62E1C"/>
              <w:bottom w:val="nil"/>
              <w:right w:val="nil"/>
            </w:tcBorders>
            <w:shd w:val="clear" w:color="auto" w:fill="auto"/>
            <w:vAlign w:val="center"/>
            <w:hideMark/>
          </w:tcPr>
          <w:p w14:paraId="5994FD6E"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Į fondą įmokėtos lėšos (mln. eurų): </w:t>
            </w:r>
          </w:p>
        </w:tc>
        <w:tc>
          <w:tcPr>
            <w:tcW w:w="931" w:type="dxa"/>
            <w:tcBorders>
              <w:top w:val="nil"/>
              <w:left w:val="nil"/>
              <w:bottom w:val="nil"/>
              <w:right w:val="nil"/>
            </w:tcBorders>
            <w:shd w:val="clear" w:color="auto" w:fill="auto"/>
            <w:vAlign w:val="center"/>
            <w:hideMark/>
          </w:tcPr>
          <w:p w14:paraId="43CB547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65 </w:t>
            </w:r>
          </w:p>
        </w:tc>
        <w:tc>
          <w:tcPr>
            <w:tcW w:w="1337" w:type="dxa"/>
            <w:tcBorders>
              <w:top w:val="nil"/>
              <w:left w:val="nil"/>
              <w:bottom w:val="nil"/>
              <w:right w:val="nil"/>
            </w:tcBorders>
            <w:shd w:val="clear" w:color="auto" w:fill="auto"/>
            <w:vAlign w:val="center"/>
            <w:hideMark/>
          </w:tcPr>
          <w:p w14:paraId="6A73CAC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65 </w:t>
            </w:r>
          </w:p>
        </w:tc>
        <w:tc>
          <w:tcPr>
            <w:tcW w:w="1480" w:type="dxa"/>
            <w:tcBorders>
              <w:top w:val="nil"/>
              <w:left w:val="nil"/>
              <w:bottom w:val="nil"/>
              <w:right w:val="nil"/>
            </w:tcBorders>
            <w:shd w:val="clear" w:color="auto" w:fill="auto"/>
            <w:vAlign w:val="center"/>
            <w:hideMark/>
          </w:tcPr>
          <w:p w14:paraId="7736BF3B"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91 </w:t>
            </w:r>
          </w:p>
        </w:tc>
        <w:tc>
          <w:tcPr>
            <w:tcW w:w="883" w:type="dxa"/>
            <w:tcBorders>
              <w:top w:val="nil"/>
              <w:left w:val="nil"/>
              <w:bottom w:val="nil"/>
              <w:right w:val="single" w:sz="8" w:space="0" w:color="E0301E"/>
            </w:tcBorders>
            <w:shd w:val="clear" w:color="auto" w:fill="auto"/>
            <w:vAlign w:val="center"/>
          </w:tcPr>
          <w:p w14:paraId="0A532835"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65 </w:t>
            </w:r>
          </w:p>
        </w:tc>
      </w:tr>
      <w:tr w:rsidR="005A432A" w:rsidRPr="005F7F46" w14:paraId="2860DEDA" w14:textId="77777777" w:rsidTr="005A432A">
        <w:trPr>
          <w:trHeight w:val="261"/>
        </w:trPr>
        <w:tc>
          <w:tcPr>
            <w:tcW w:w="4395" w:type="dxa"/>
            <w:tcBorders>
              <w:top w:val="single" w:sz="8" w:space="0" w:color="D62E1C"/>
              <w:left w:val="single" w:sz="8" w:space="0" w:color="D62E1C"/>
              <w:bottom w:val="single" w:sz="8" w:space="0" w:color="D62E1C"/>
              <w:right w:val="nil"/>
            </w:tcBorders>
            <w:shd w:val="clear" w:color="auto" w:fill="auto"/>
            <w:vAlign w:val="center"/>
            <w:hideMark/>
          </w:tcPr>
          <w:p w14:paraId="5A6E0C9F"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Galutinius naudos gavėjus pasiekusios lėšos (mln. eurų) </w:t>
            </w:r>
          </w:p>
        </w:tc>
        <w:tc>
          <w:tcPr>
            <w:tcW w:w="931" w:type="dxa"/>
            <w:tcBorders>
              <w:top w:val="single" w:sz="8" w:space="0" w:color="D62E1C"/>
              <w:left w:val="nil"/>
              <w:bottom w:val="single" w:sz="8" w:space="0" w:color="D62E1C"/>
              <w:right w:val="nil"/>
            </w:tcBorders>
            <w:shd w:val="clear" w:color="auto" w:fill="auto"/>
            <w:vAlign w:val="center"/>
            <w:hideMark/>
          </w:tcPr>
          <w:p w14:paraId="4AE710CB"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62 </w:t>
            </w:r>
          </w:p>
        </w:tc>
        <w:tc>
          <w:tcPr>
            <w:tcW w:w="1337" w:type="dxa"/>
            <w:tcBorders>
              <w:top w:val="single" w:sz="8" w:space="0" w:color="D62E1C"/>
              <w:left w:val="nil"/>
              <w:bottom w:val="single" w:sz="8" w:space="0" w:color="D62E1C"/>
              <w:right w:val="nil"/>
            </w:tcBorders>
            <w:shd w:val="clear" w:color="auto" w:fill="auto"/>
            <w:vAlign w:val="center"/>
            <w:hideMark/>
          </w:tcPr>
          <w:p w14:paraId="1D7C1E3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125 </w:t>
            </w:r>
          </w:p>
        </w:tc>
        <w:tc>
          <w:tcPr>
            <w:tcW w:w="1480" w:type="dxa"/>
            <w:tcBorders>
              <w:top w:val="single" w:sz="8" w:space="0" w:color="D62E1C"/>
              <w:left w:val="nil"/>
              <w:bottom w:val="single" w:sz="8" w:space="0" w:color="D62E1C"/>
              <w:right w:val="nil"/>
            </w:tcBorders>
            <w:shd w:val="clear" w:color="auto" w:fill="auto"/>
            <w:vAlign w:val="center"/>
            <w:hideMark/>
          </w:tcPr>
          <w:p w14:paraId="3D9F7E4B"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87 </w:t>
            </w:r>
          </w:p>
        </w:tc>
        <w:tc>
          <w:tcPr>
            <w:tcW w:w="883" w:type="dxa"/>
            <w:tcBorders>
              <w:top w:val="single" w:sz="8" w:space="0" w:color="D62E1C"/>
              <w:left w:val="nil"/>
              <w:bottom w:val="single" w:sz="8" w:space="0" w:color="D62E1C"/>
              <w:right w:val="single" w:sz="8" w:space="0" w:color="E0301E"/>
            </w:tcBorders>
            <w:shd w:val="clear" w:color="auto" w:fill="auto"/>
            <w:vAlign w:val="center"/>
          </w:tcPr>
          <w:p w14:paraId="2ABCCF13"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139 </w:t>
            </w:r>
          </w:p>
        </w:tc>
      </w:tr>
      <w:tr w:rsidR="005A432A" w:rsidRPr="005F7F46" w14:paraId="6034C997" w14:textId="77777777" w:rsidTr="005A432A">
        <w:trPr>
          <w:trHeight w:val="261"/>
        </w:trPr>
        <w:tc>
          <w:tcPr>
            <w:tcW w:w="4395" w:type="dxa"/>
            <w:tcBorders>
              <w:top w:val="nil"/>
              <w:left w:val="single" w:sz="8" w:space="0" w:color="D62E1C"/>
              <w:bottom w:val="nil"/>
              <w:right w:val="nil"/>
            </w:tcBorders>
            <w:shd w:val="clear" w:color="auto" w:fill="auto"/>
            <w:vAlign w:val="center"/>
            <w:hideMark/>
          </w:tcPr>
          <w:p w14:paraId="27520798"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Iki 2023 m. renovuotų pastatų skaičius </w:t>
            </w:r>
          </w:p>
        </w:tc>
        <w:tc>
          <w:tcPr>
            <w:tcW w:w="931" w:type="dxa"/>
            <w:tcBorders>
              <w:top w:val="nil"/>
              <w:left w:val="nil"/>
              <w:bottom w:val="nil"/>
              <w:right w:val="nil"/>
            </w:tcBorders>
            <w:shd w:val="clear" w:color="auto" w:fill="auto"/>
            <w:vAlign w:val="center"/>
            <w:hideMark/>
          </w:tcPr>
          <w:p w14:paraId="10FA271E"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200 </w:t>
            </w:r>
          </w:p>
        </w:tc>
        <w:tc>
          <w:tcPr>
            <w:tcW w:w="1337" w:type="dxa"/>
            <w:tcBorders>
              <w:top w:val="nil"/>
              <w:left w:val="nil"/>
              <w:bottom w:val="nil"/>
              <w:right w:val="nil"/>
            </w:tcBorders>
            <w:shd w:val="clear" w:color="auto" w:fill="auto"/>
            <w:vAlign w:val="center"/>
            <w:hideMark/>
          </w:tcPr>
          <w:p w14:paraId="67BB55A8"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493 </w:t>
            </w:r>
          </w:p>
        </w:tc>
        <w:tc>
          <w:tcPr>
            <w:tcW w:w="1480" w:type="dxa"/>
            <w:tcBorders>
              <w:top w:val="nil"/>
              <w:left w:val="nil"/>
              <w:bottom w:val="nil"/>
              <w:right w:val="nil"/>
            </w:tcBorders>
            <w:shd w:val="clear" w:color="auto" w:fill="auto"/>
            <w:vAlign w:val="center"/>
            <w:hideMark/>
          </w:tcPr>
          <w:p w14:paraId="18D1EADF"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281 </w:t>
            </w:r>
          </w:p>
        </w:tc>
        <w:tc>
          <w:tcPr>
            <w:tcW w:w="883" w:type="dxa"/>
            <w:tcBorders>
              <w:top w:val="nil"/>
              <w:left w:val="nil"/>
              <w:bottom w:val="nil"/>
              <w:right w:val="single" w:sz="8" w:space="0" w:color="E0301E"/>
            </w:tcBorders>
            <w:shd w:val="clear" w:color="auto" w:fill="auto"/>
            <w:vAlign w:val="center"/>
          </w:tcPr>
          <w:p w14:paraId="482C2283"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570 </w:t>
            </w:r>
          </w:p>
        </w:tc>
      </w:tr>
      <w:tr w:rsidR="005A432A" w:rsidRPr="005F7F46" w14:paraId="11BCA796" w14:textId="77777777" w:rsidTr="005A432A">
        <w:trPr>
          <w:trHeight w:val="261"/>
        </w:trPr>
        <w:tc>
          <w:tcPr>
            <w:tcW w:w="4395" w:type="dxa"/>
            <w:tcBorders>
              <w:top w:val="single" w:sz="8" w:space="0" w:color="D62E1C"/>
              <w:left w:val="single" w:sz="8" w:space="0" w:color="D62E1C"/>
              <w:bottom w:val="single" w:sz="8" w:space="0" w:color="D62E1C"/>
              <w:right w:val="nil"/>
            </w:tcBorders>
            <w:shd w:val="clear" w:color="auto" w:fill="auto"/>
            <w:vAlign w:val="center"/>
            <w:hideMark/>
          </w:tcPr>
          <w:p w14:paraId="64268310"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Iki 2023 m. Renovuotų pastatų plotas, tūkst. kv. m. </w:t>
            </w:r>
          </w:p>
        </w:tc>
        <w:tc>
          <w:tcPr>
            <w:tcW w:w="931" w:type="dxa"/>
            <w:tcBorders>
              <w:top w:val="single" w:sz="8" w:space="0" w:color="D62E1C"/>
              <w:left w:val="nil"/>
              <w:bottom w:val="single" w:sz="8" w:space="0" w:color="D62E1C"/>
              <w:right w:val="nil"/>
            </w:tcBorders>
            <w:shd w:val="clear" w:color="auto" w:fill="auto"/>
            <w:vAlign w:val="center"/>
            <w:hideMark/>
          </w:tcPr>
          <w:p w14:paraId="347EFB8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242 </w:t>
            </w:r>
          </w:p>
        </w:tc>
        <w:tc>
          <w:tcPr>
            <w:tcW w:w="1337" w:type="dxa"/>
            <w:tcBorders>
              <w:top w:val="single" w:sz="8" w:space="0" w:color="D62E1C"/>
              <w:left w:val="nil"/>
              <w:bottom w:val="single" w:sz="8" w:space="0" w:color="D62E1C"/>
              <w:right w:val="nil"/>
            </w:tcBorders>
            <w:shd w:val="clear" w:color="auto" w:fill="auto"/>
            <w:vAlign w:val="center"/>
            <w:hideMark/>
          </w:tcPr>
          <w:p w14:paraId="0683D6B7"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596 </w:t>
            </w:r>
          </w:p>
        </w:tc>
        <w:tc>
          <w:tcPr>
            <w:tcW w:w="1480" w:type="dxa"/>
            <w:tcBorders>
              <w:top w:val="single" w:sz="8" w:space="0" w:color="D62E1C"/>
              <w:left w:val="nil"/>
              <w:bottom w:val="single" w:sz="8" w:space="0" w:color="D62E1C"/>
              <w:right w:val="nil"/>
            </w:tcBorders>
            <w:shd w:val="clear" w:color="auto" w:fill="auto"/>
            <w:vAlign w:val="center"/>
            <w:hideMark/>
          </w:tcPr>
          <w:p w14:paraId="0AD0E33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340 </w:t>
            </w:r>
          </w:p>
        </w:tc>
        <w:tc>
          <w:tcPr>
            <w:tcW w:w="883" w:type="dxa"/>
            <w:tcBorders>
              <w:top w:val="single" w:sz="8" w:space="0" w:color="D62E1C"/>
              <w:left w:val="nil"/>
              <w:bottom w:val="single" w:sz="8" w:space="0" w:color="D62E1C"/>
              <w:right w:val="single" w:sz="8" w:space="0" w:color="E0301E"/>
            </w:tcBorders>
            <w:shd w:val="clear" w:color="auto" w:fill="auto"/>
            <w:vAlign w:val="center"/>
          </w:tcPr>
          <w:p w14:paraId="0AA908A0"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689 </w:t>
            </w:r>
          </w:p>
        </w:tc>
      </w:tr>
      <w:tr w:rsidR="005A432A" w:rsidRPr="005F7F46" w14:paraId="7540E95A" w14:textId="77777777" w:rsidTr="005A432A">
        <w:trPr>
          <w:trHeight w:val="261"/>
        </w:trPr>
        <w:tc>
          <w:tcPr>
            <w:tcW w:w="4395" w:type="dxa"/>
            <w:tcBorders>
              <w:top w:val="nil"/>
              <w:left w:val="single" w:sz="8" w:space="0" w:color="D62E1C"/>
              <w:bottom w:val="single" w:sz="8" w:space="0" w:color="D62E1C"/>
              <w:right w:val="nil"/>
            </w:tcBorders>
            <w:shd w:val="clear" w:color="auto" w:fill="auto"/>
            <w:vAlign w:val="center"/>
            <w:hideMark/>
          </w:tcPr>
          <w:p w14:paraId="0D75E795"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Projektų multiplikatorius </w:t>
            </w:r>
          </w:p>
        </w:tc>
        <w:tc>
          <w:tcPr>
            <w:tcW w:w="931" w:type="dxa"/>
            <w:tcBorders>
              <w:top w:val="nil"/>
              <w:left w:val="nil"/>
              <w:bottom w:val="single" w:sz="8" w:space="0" w:color="D62E1C"/>
              <w:right w:val="nil"/>
            </w:tcBorders>
            <w:shd w:val="clear" w:color="auto" w:fill="auto"/>
            <w:vAlign w:val="center"/>
            <w:hideMark/>
          </w:tcPr>
          <w:p w14:paraId="7F41FA8B"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0,95 </w:t>
            </w:r>
          </w:p>
        </w:tc>
        <w:tc>
          <w:tcPr>
            <w:tcW w:w="1337" w:type="dxa"/>
            <w:tcBorders>
              <w:top w:val="nil"/>
              <w:left w:val="nil"/>
              <w:bottom w:val="single" w:sz="8" w:space="0" w:color="D62E1C"/>
              <w:right w:val="nil"/>
            </w:tcBorders>
            <w:shd w:val="clear" w:color="auto" w:fill="auto"/>
            <w:vAlign w:val="center"/>
            <w:hideMark/>
          </w:tcPr>
          <w:p w14:paraId="2135A846"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1,93 </w:t>
            </w:r>
          </w:p>
        </w:tc>
        <w:tc>
          <w:tcPr>
            <w:tcW w:w="1480" w:type="dxa"/>
            <w:tcBorders>
              <w:top w:val="nil"/>
              <w:left w:val="nil"/>
              <w:bottom w:val="single" w:sz="8" w:space="0" w:color="D62E1C"/>
              <w:right w:val="nil"/>
            </w:tcBorders>
            <w:shd w:val="clear" w:color="auto" w:fill="auto"/>
            <w:vAlign w:val="center"/>
            <w:hideMark/>
          </w:tcPr>
          <w:p w14:paraId="22854FFC"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1,33 </w:t>
            </w:r>
          </w:p>
        </w:tc>
        <w:tc>
          <w:tcPr>
            <w:tcW w:w="883" w:type="dxa"/>
            <w:tcBorders>
              <w:top w:val="nil"/>
              <w:left w:val="nil"/>
              <w:bottom w:val="single" w:sz="8" w:space="0" w:color="D62E1C"/>
              <w:right w:val="single" w:sz="8" w:space="0" w:color="E0301E"/>
            </w:tcBorders>
            <w:shd w:val="clear" w:color="auto" w:fill="auto"/>
            <w:vAlign w:val="center"/>
          </w:tcPr>
          <w:p w14:paraId="6F5A461E"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2,13 </w:t>
            </w:r>
          </w:p>
        </w:tc>
      </w:tr>
      <w:tr w:rsidR="005A432A" w:rsidRPr="005F7F46" w14:paraId="0B4AE257" w14:textId="77777777" w:rsidTr="005A432A">
        <w:trPr>
          <w:trHeight w:val="261"/>
        </w:trPr>
        <w:tc>
          <w:tcPr>
            <w:tcW w:w="4395" w:type="dxa"/>
            <w:tcBorders>
              <w:top w:val="nil"/>
              <w:left w:val="single" w:sz="8" w:space="0" w:color="D62E1C"/>
              <w:bottom w:val="single" w:sz="8" w:space="0" w:color="D62E1C"/>
              <w:right w:val="nil"/>
            </w:tcBorders>
            <w:shd w:val="clear" w:color="auto" w:fill="auto"/>
            <w:vAlign w:val="center"/>
            <w:hideMark/>
          </w:tcPr>
          <w:p w14:paraId="564516A8" w14:textId="77777777" w:rsidR="005A432A" w:rsidRPr="005F7F46" w:rsidRDefault="005A432A" w:rsidP="005A432A">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Sverto efektas </w:t>
            </w:r>
          </w:p>
        </w:tc>
        <w:tc>
          <w:tcPr>
            <w:tcW w:w="931" w:type="dxa"/>
            <w:tcBorders>
              <w:top w:val="nil"/>
              <w:left w:val="nil"/>
              <w:bottom w:val="single" w:sz="8" w:space="0" w:color="D62E1C"/>
              <w:right w:val="nil"/>
            </w:tcBorders>
            <w:shd w:val="clear" w:color="auto" w:fill="auto"/>
            <w:vAlign w:val="center"/>
            <w:hideMark/>
          </w:tcPr>
          <w:p w14:paraId="338319B4"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1,05 </w:t>
            </w:r>
          </w:p>
        </w:tc>
        <w:tc>
          <w:tcPr>
            <w:tcW w:w="1337" w:type="dxa"/>
            <w:tcBorders>
              <w:top w:val="nil"/>
              <w:left w:val="nil"/>
              <w:bottom w:val="single" w:sz="8" w:space="0" w:color="D62E1C"/>
              <w:right w:val="nil"/>
            </w:tcBorders>
            <w:shd w:val="clear" w:color="auto" w:fill="auto"/>
            <w:vAlign w:val="center"/>
            <w:hideMark/>
          </w:tcPr>
          <w:p w14:paraId="477DCCBB"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2,03 </w:t>
            </w:r>
          </w:p>
        </w:tc>
        <w:tc>
          <w:tcPr>
            <w:tcW w:w="1480" w:type="dxa"/>
            <w:tcBorders>
              <w:top w:val="nil"/>
              <w:left w:val="nil"/>
              <w:bottom w:val="single" w:sz="8" w:space="0" w:color="D62E1C"/>
              <w:right w:val="nil"/>
            </w:tcBorders>
            <w:shd w:val="clear" w:color="auto" w:fill="auto"/>
            <w:vAlign w:val="center"/>
            <w:hideMark/>
          </w:tcPr>
          <w:p w14:paraId="40240091"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1,71 </w:t>
            </w:r>
          </w:p>
        </w:tc>
        <w:tc>
          <w:tcPr>
            <w:tcW w:w="883" w:type="dxa"/>
            <w:tcBorders>
              <w:top w:val="nil"/>
              <w:left w:val="nil"/>
              <w:bottom w:val="single" w:sz="8" w:space="0" w:color="D62E1C"/>
              <w:right w:val="single" w:sz="8" w:space="0" w:color="E0301E"/>
            </w:tcBorders>
            <w:shd w:val="clear" w:color="auto" w:fill="auto"/>
            <w:vAlign w:val="center"/>
          </w:tcPr>
          <w:p w14:paraId="4036A453" w14:textId="77777777" w:rsidR="005A432A" w:rsidRPr="005F7F46" w:rsidRDefault="005A432A" w:rsidP="005A432A">
            <w:pPr>
              <w:spacing w:after="0" w:line="240" w:lineRule="auto"/>
              <w:jc w:val="center"/>
              <w:rPr>
                <w:rFonts w:ascii="Georgia" w:eastAsia="Times New Roman" w:hAnsi="Georgia" w:cs="Arial"/>
                <w:color w:val="000000"/>
                <w:sz w:val="16"/>
                <w:szCs w:val="16"/>
              </w:rPr>
            </w:pPr>
            <w:r w:rsidRPr="005B31C6">
              <w:rPr>
                <w:rFonts w:ascii="Georgia" w:eastAsia="Times New Roman" w:hAnsi="Georgia" w:cs="Arial"/>
                <w:color w:val="000000"/>
                <w:sz w:val="16"/>
                <w:szCs w:val="16"/>
              </w:rPr>
              <w:t xml:space="preserve">3,13 </w:t>
            </w:r>
          </w:p>
        </w:tc>
      </w:tr>
    </w:tbl>
    <w:p w14:paraId="6549ED0C" w14:textId="77777777" w:rsidR="007B305E" w:rsidRPr="00F91954" w:rsidRDefault="007B305E" w:rsidP="007B305E">
      <w:pPr>
        <w:spacing w:after="160" w:line="240" w:lineRule="auto"/>
        <w:jc w:val="both"/>
        <w:rPr>
          <w:rFonts w:ascii="Georgia" w:eastAsia="Georgia" w:hAnsi="Georgia" w:cs="Arial Unicode MS"/>
          <w:i/>
          <w:iCs/>
          <w:color w:val="821A1A"/>
          <w:sz w:val="18"/>
          <w:szCs w:val="18"/>
          <w:lang w:val="lt-LT"/>
        </w:rPr>
      </w:pPr>
      <w:r w:rsidRPr="00F91954">
        <w:rPr>
          <w:rFonts w:ascii="Georgia" w:eastAsia="Georgia" w:hAnsi="Georgia" w:cs="Arial Unicode MS"/>
          <w:i/>
          <w:iCs/>
          <w:color w:val="821A1A"/>
          <w:sz w:val="18"/>
          <w:szCs w:val="18"/>
          <w:lang w:val="lt-LT"/>
        </w:rPr>
        <w:t>Šaltinis: sudaryta autorių</w:t>
      </w:r>
    </w:p>
    <w:p w14:paraId="5D5B0429" w14:textId="77777777" w:rsidR="007B305E" w:rsidRDefault="007B305E" w:rsidP="005A432A">
      <w:pPr>
        <w:spacing w:after="0"/>
        <w:jc w:val="both"/>
        <w:rPr>
          <w:rFonts w:ascii="Georgia" w:hAnsi="Georgia"/>
          <w:sz w:val="20"/>
          <w:szCs w:val="20"/>
          <w:lang w:val="lt-LT"/>
        </w:rPr>
      </w:pPr>
    </w:p>
    <w:p w14:paraId="0BF75CF7" w14:textId="77777777" w:rsidR="005A432A" w:rsidRDefault="005A432A" w:rsidP="005A432A">
      <w:pPr>
        <w:pStyle w:val="Sraopastraipa"/>
        <w:numPr>
          <w:ilvl w:val="1"/>
          <w:numId w:val="89"/>
        </w:numPr>
        <w:ind w:left="425" w:hanging="357"/>
        <w:contextualSpacing w:val="0"/>
        <w:jc w:val="both"/>
        <w:rPr>
          <w:rFonts w:ascii="Georgia" w:hAnsi="Georgia"/>
          <w:sz w:val="20"/>
          <w:szCs w:val="20"/>
          <w:lang w:val="lt-LT"/>
        </w:rPr>
      </w:pPr>
      <w:r w:rsidRPr="005B31C6">
        <w:rPr>
          <w:rFonts w:ascii="Georgia" w:hAnsi="Georgia"/>
          <w:sz w:val="20"/>
          <w:szCs w:val="20"/>
          <w:lang w:val="lt-LT"/>
        </w:rPr>
        <w:t>Apibendrinus kiekybinius rezultatus, galima teigti, jog kiekybiškai naudingiausios pagal renovuotų pastatų skaičių ir sverto efektą yra paskolų teikimo taikant paskolų išpirkimo modelį (Nr.</w:t>
      </w:r>
      <w:r w:rsidRPr="005B31C6">
        <w:rPr>
          <w:rFonts w:ascii="Georgia" w:hAnsi="Georgia"/>
          <w:sz w:val="20"/>
          <w:szCs w:val="20"/>
        </w:rPr>
        <w:t>2</w:t>
      </w:r>
      <w:r w:rsidRPr="005B31C6">
        <w:rPr>
          <w:rFonts w:ascii="Georgia" w:hAnsi="Georgia"/>
          <w:sz w:val="20"/>
          <w:szCs w:val="20"/>
          <w:lang w:val="lt-LT"/>
        </w:rPr>
        <w:t>), paskolų teikimas taikant asimetrinio rizikos pasidalijimo modelį (Nr.3) bei garantijos (Nr.4) alternatyvos. Prasčiausius rezultatus demonstruoja paskolos finansinė priemonė (Nr.</w:t>
      </w:r>
      <w:r w:rsidRPr="005B31C6">
        <w:rPr>
          <w:rFonts w:ascii="Georgia" w:hAnsi="Georgia"/>
          <w:sz w:val="20"/>
          <w:szCs w:val="20"/>
        </w:rPr>
        <w:t>1), tod</w:t>
      </w:r>
      <w:r w:rsidRPr="005B31C6">
        <w:rPr>
          <w:rFonts w:ascii="Georgia" w:hAnsi="Georgia"/>
          <w:sz w:val="20"/>
          <w:szCs w:val="20"/>
          <w:lang w:val="lt-LT"/>
        </w:rPr>
        <w:t xml:space="preserve">ėl šios alternatyvos toliau neanalizuojame. </w:t>
      </w:r>
    </w:p>
    <w:p w14:paraId="2BB62D53" w14:textId="77777777" w:rsidR="005A432A" w:rsidRDefault="005A432A" w:rsidP="005A432A">
      <w:pPr>
        <w:pStyle w:val="Sraopastraipa"/>
        <w:numPr>
          <w:ilvl w:val="1"/>
          <w:numId w:val="89"/>
        </w:numPr>
        <w:ind w:left="425" w:hanging="357"/>
        <w:contextualSpacing w:val="0"/>
        <w:jc w:val="both"/>
        <w:rPr>
          <w:rFonts w:ascii="Georgia" w:hAnsi="Georgia"/>
          <w:sz w:val="20"/>
          <w:szCs w:val="20"/>
          <w:lang w:val="lt-LT"/>
        </w:rPr>
      </w:pPr>
      <w:r>
        <w:rPr>
          <w:rFonts w:ascii="Georgia" w:hAnsi="Georgia"/>
          <w:sz w:val="20"/>
          <w:szCs w:val="20"/>
          <w:lang w:val="lt-LT"/>
        </w:rPr>
        <w:t>Geriausius kiekybinius rezultatus demonstruoja garantijų priemonė. Vis dėlto v</w:t>
      </w:r>
      <w:r w:rsidRPr="005B31C6">
        <w:rPr>
          <w:rFonts w:ascii="Georgia" w:hAnsi="Georgia"/>
          <w:sz w:val="20"/>
          <w:szCs w:val="20"/>
          <w:lang w:val="lt-LT"/>
        </w:rPr>
        <w:t xml:space="preserve">ienas svarbiausių kokybinių aspektų yra priemonės patrauklumas bankams. Garantijų teikimo priemonę bankai vertina skeptiškai, atsižvelgiant į tai, jog šios priemonės įgyvendinimas būtų imlus resursų atžvilgiu ir sudėtingas dėl kokybiškos tokio tipo projektų istorijos prieinamumo. Atsirastų poreikis pertvarkyti vidinius procesus, įsivertinti riziką bei nustatyti garantijos dydžius. Daugeliu atvejų centrinės valdžios institucijos </w:t>
      </w:r>
      <w:r>
        <w:rPr>
          <w:rFonts w:ascii="Georgia" w:hAnsi="Georgia"/>
          <w:sz w:val="20"/>
          <w:szCs w:val="20"/>
          <w:lang w:val="lt-LT"/>
        </w:rPr>
        <w:t>įgyvendintų renovacijos projektus per</w:t>
      </w:r>
      <w:r w:rsidRPr="005B31C6">
        <w:rPr>
          <w:rFonts w:ascii="Georgia" w:hAnsi="Georgia"/>
          <w:sz w:val="20"/>
          <w:szCs w:val="20"/>
          <w:lang w:val="lt-LT"/>
        </w:rPr>
        <w:t xml:space="preserve"> ESCO</w:t>
      </w:r>
      <w:r>
        <w:rPr>
          <w:rFonts w:ascii="Georgia" w:hAnsi="Georgia"/>
          <w:sz w:val="20"/>
          <w:szCs w:val="20"/>
          <w:lang w:val="lt-LT"/>
        </w:rPr>
        <w:t xml:space="preserve"> įmones</w:t>
      </w:r>
      <w:r w:rsidRPr="005B31C6">
        <w:rPr>
          <w:rFonts w:ascii="Georgia" w:hAnsi="Georgia"/>
          <w:sz w:val="20"/>
          <w:szCs w:val="20"/>
          <w:lang w:val="lt-LT"/>
        </w:rPr>
        <w:t xml:space="preserve">, </w:t>
      </w:r>
      <w:r>
        <w:rPr>
          <w:rFonts w:ascii="Georgia" w:hAnsi="Georgia"/>
          <w:sz w:val="20"/>
          <w:szCs w:val="20"/>
          <w:lang w:val="lt-LT"/>
        </w:rPr>
        <w:t>o</w:t>
      </w:r>
      <w:r w:rsidRPr="005B31C6">
        <w:rPr>
          <w:rFonts w:ascii="Georgia" w:hAnsi="Georgia"/>
          <w:sz w:val="20"/>
          <w:szCs w:val="20"/>
          <w:lang w:val="lt-LT"/>
        </w:rPr>
        <w:t xml:space="preserve"> bankai joms skolinti šiuo metu dar nėra pasiruošę dėl aukščiau išvardintų priežasčių. </w:t>
      </w:r>
      <w:r>
        <w:rPr>
          <w:rFonts w:ascii="Georgia" w:hAnsi="Georgia"/>
          <w:sz w:val="20"/>
          <w:szCs w:val="20"/>
          <w:lang w:val="lt-LT"/>
        </w:rPr>
        <w:t xml:space="preserve">Todėl atsižvelgiant į esamą rinkos situaciją garantijų teikimo alternatyvos reikėtų atsisakyti, o </w:t>
      </w:r>
      <w:r>
        <w:rPr>
          <w:rFonts w:ascii="Georgia" w:hAnsi="Georgia"/>
          <w:sz w:val="20"/>
          <w:szCs w:val="20"/>
          <w:lang w:val="lt-LT"/>
        </w:rPr>
        <w:lastRenderedPageBreak/>
        <w:t>pasikeitus bankų požiūriui ir atsiradus priimtinai istorijai - rekomenduojama dar kartą paanalizuoti šį scenarijų.</w:t>
      </w:r>
    </w:p>
    <w:p w14:paraId="06F58878" w14:textId="77777777" w:rsidR="005A432A" w:rsidRDefault="005A432A" w:rsidP="005A432A">
      <w:pPr>
        <w:pStyle w:val="Sraopastraipa"/>
        <w:numPr>
          <w:ilvl w:val="1"/>
          <w:numId w:val="89"/>
        </w:numPr>
        <w:ind w:left="425" w:hanging="357"/>
        <w:contextualSpacing w:val="0"/>
        <w:jc w:val="both"/>
        <w:rPr>
          <w:rFonts w:ascii="Georgia" w:hAnsi="Georgia"/>
          <w:sz w:val="20"/>
          <w:szCs w:val="20"/>
          <w:lang w:val="lt-LT"/>
        </w:rPr>
      </w:pPr>
      <w:r>
        <w:rPr>
          <w:rFonts w:ascii="Georgia" w:hAnsi="Georgia"/>
          <w:sz w:val="20"/>
          <w:szCs w:val="20"/>
          <w:lang w:val="lt-LT"/>
        </w:rPr>
        <w:t xml:space="preserve">Patraukliausia alternatyva įvertinus kiekybinius ir kokybinius rezultatus yra paskolų teikimas taikant paskolų išpirkimo modelį. Ši alternatyva ne tik leidžia pasiekti didžiausią renovuotų centrinės valdžios pastatų skaičių, bet ir užtikrina spartų lėšų reinvestavimą ir sumažina bankų riziką išperkant geriausių paskolų pinigų srautus. Šiam modeliui įgyvendinti yra būtinas projektų srautas, nes kitu atveju bankams nebūtų ką išpirkti. Vis dėlto kaip jau buvo minėta anksčiau, taikant </w:t>
      </w:r>
      <w:r>
        <w:rPr>
          <w:rFonts w:ascii="Georgia" w:hAnsi="Georgia"/>
          <w:sz w:val="20"/>
          <w:szCs w:val="20"/>
        </w:rPr>
        <w:t>40 proc. subsidij</w:t>
      </w:r>
      <w:r>
        <w:rPr>
          <w:rFonts w:ascii="Georgia" w:hAnsi="Georgia"/>
          <w:sz w:val="20"/>
          <w:szCs w:val="20"/>
          <w:lang w:val="lt-LT"/>
        </w:rPr>
        <w:t>ą ir įvedus tam tikrus įpareigojimus centrinės valdžios pastatų valdytojams (kas šiuo metu yra svarstoma), tikėtina, jog toks projektų srautas susiformuos.</w:t>
      </w:r>
    </w:p>
    <w:p w14:paraId="148129BB" w14:textId="77777777" w:rsidR="005A432A" w:rsidRDefault="005A432A" w:rsidP="005A432A">
      <w:pPr>
        <w:pStyle w:val="Sraopastraipa"/>
        <w:numPr>
          <w:ilvl w:val="1"/>
          <w:numId w:val="89"/>
        </w:numPr>
        <w:ind w:left="425" w:hanging="357"/>
        <w:contextualSpacing w:val="0"/>
        <w:jc w:val="both"/>
        <w:rPr>
          <w:rFonts w:ascii="Georgia" w:hAnsi="Georgia"/>
          <w:sz w:val="20"/>
          <w:szCs w:val="20"/>
          <w:lang w:val="lt-LT"/>
        </w:rPr>
      </w:pPr>
      <w:r>
        <w:rPr>
          <w:rFonts w:ascii="Georgia" w:hAnsi="Georgia"/>
          <w:sz w:val="20"/>
          <w:szCs w:val="20"/>
          <w:lang w:val="lt-LT"/>
        </w:rPr>
        <w:t>Paskolų teikimas taikant asimetrinio rizikos pasidalijimo modelį taip pat demonstruoja patenkinamus kiekybinius rezultatus, tačiau turi daug kitų kokybinių privalumų. Skatinant asimetrinį rizikų pasidalijimą (pvz. naudojant ESI lėšas pirmajam nuostolių kapitalui dengti), lengviau pritraukti privačias lėšas, nes viešosiomis lėšomis sumažinama bankų prisiimama rizika. Lietuvoje yra sėkmingų tokio modelio įgyvendinimo pavyzdžių (Invega, Jessica). Galiausiai lyginant su paskolų teikimu taikant paskolų išpirkimo modelį, bankai prisiimtų įsipareigojimą skolinti lėšas nuo pat pradžių. Vis dėlto didžiausios rizikos susijusios su šios alternatyvos taikymu yra didelis valstybės projektų rizikos prisiėmimas, dėl ko didėjant neveiksnių ar blogų paskolų kiekiu mažėtų valstybės lėšų dydis, bei santykinai lėtas procesas įgyvendinant patį modelį (ruošiant dokumentaciją, sudarant sutartis su bankais, valstybės ir bankų interesų derinimas dėl renovacijos politikos įgyvendinimo ir pan.).</w:t>
      </w:r>
    </w:p>
    <w:p w14:paraId="3A2A9F02" w14:textId="77777777" w:rsidR="005A432A" w:rsidRPr="005B31C6" w:rsidRDefault="005A432A" w:rsidP="005A432A">
      <w:pPr>
        <w:pStyle w:val="Sraopastraipa"/>
        <w:numPr>
          <w:ilvl w:val="1"/>
          <w:numId w:val="89"/>
        </w:numPr>
        <w:ind w:left="425" w:hanging="357"/>
        <w:contextualSpacing w:val="0"/>
        <w:jc w:val="both"/>
        <w:rPr>
          <w:rFonts w:ascii="Georgia" w:hAnsi="Georgia"/>
          <w:sz w:val="20"/>
          <w:szCs w:val="20"/>
          <w:lang w:val="lt-LT"/>
        </w:rPr>
      </w:pPr>
      <w:r w:rsidRPr="005B31C6">
        <w:rPr>
          <w:rFonts w:ascii="Georgia" w:hAnsi="Georgia"/>
          <w:sz w:val="20"/>
          <w:szCs w:val="20"/>
          <w:lang w:val="lt-LT"/>
        </w:rPr>
        <w:t xml:space="preserve">Atsižvelgus į visų alternatyvų kiekybinės ir kokybinės analizės aspektus, ir siekiant maksimaliai suderinti alternatyvų privalumus ir minimizuoti jų trūkumus,  </w:t>
      </w:r>
      <w:r w:rsidRPr="002866CF">
        <w:rPr>
          <w:rFonts w:ascii="Georgia" w:hAnsi="Georgia"/>
          <w:b/>
          <w:sz w:val="20"/>
          <w:szCs w:val="20"/>
          <w:lang w:val="lt-LT"/>
        </w:rPr>
        <w:t xml:space="preserve">rekomenduojama pasirinkti lengvatinių paskolų teikimą </w:t>
      </w:r>
      <w:r>
        <w:rPr>
          <w:rFonts w:ascii="Georgia" w:hAnsi="Georgia"/>
          <w:b/>
          <w:sz w:val="20"/>
          <w:szCs w:val="20"/>
          <w:lang w:val="lt-LT"/>
        </w:rPr>
        <w:t xml:space="preserve">vėliau </w:t>
      </w:r>
      <w:r w:rsidRPr="002866CF">
        <w:rPr>
          <w:rFonts w:ascii="Georgia" w:hAnsi="Georgia"/>
          <w:b/>
          <w:sz w:val="20"/>
          <w:szCs w:val="20"/>
          <w:lang w:val="lt-LT"/>
        </w:rPr>
        <w:t xml:space="preserve">taikant paskolų išpirkimo modelį </w:t>
      </w:r>
      <w:r>
        <w:rPr>
          <w:rFonts w:ascii="Georgia" w:hAnsi="Georgia"/>
          <w:b/>
          <w:sz w:val="20"/>
          <w:szCs w:val="20"/>
          <w:lang w:val="lt-LT"/>
        </w:rPr>
        <w:t>ir (ar)</w:t>
      </w:r>
      <w:r w:rsidRPr="002866CF">
        <w:rPr>
          <w:rFonts w:ascii="Georgia" w:hAnsi="Georgia"/>
          <w:b/>
          <w:sz w:val="20"/>
          <w:szCs w:val="20"/>
          <w:lang w:val="lt-LT"/>
        </w:rPr>
        <w:t xml:space="preserve"> paskolų teikimą taikant asimetrinį rizikos pasidalijimo modelį.</w:t>
      </w:r>
      <w:r w:rsidRPr="00DE277E">
        <w:rPr>
          <w:rFonts w:ascii="Georgia" w:hAnsi="Georgia"/>
          <w:sz w:val="20"/>
          <w:szCs w:val="20"/>
          <w:lang w:val="lt-LT"/>
        </w:rPr>
        <w:t xml:space="preserve"> </w:t>
      </w:r>
      <w:r>
        <w:rPr>
          <w:rFonts w:ascii="Georgia" w:hAnsi="Georgia"/>
          <w:sz w:val="20"/>
          <w:szCs w:val="20"/>
          <w:lang w:val="lt-LT"/>
        </w:rPr>
        <w:t>Toks sprendimas leis įvertinus esamą rinkos situaciją ateityje priimti optimalius alternatyvos pasirinkimo sprendimus.</w:t>
      </w:r>
      <w:r w:rsidRPr="00DE277E">
        <w:rPr>
          <w:rFonts w:ascii="Georgia" w:hAnsi="Georgia"/>
          <w:sz w:val="20"/>
          <w:szCs w:val="20"/>
          <w:lang w:val="lt-LT"/>
        </w:rPr>
        <w:t xml:space="preserve"> </w:t>
      </w:r>
      <w:r w:rsidRPr="003112C5">
        <w:rPr>
          <w:rFonts w:ascii="Georgia" w:hAnsi="Georgia"/>
          <w:sz w:val="20"/>
          <w:szCs w:val="20"/>
          <w:lang w:val="lt-LT"/>
        </w:rPr>
        <w:t xml:space="preserve"> </w:t>
      </w:r>
      <w:r w:rsidRPr="003112C5" w:rsidDel="00BF3EBD">
        <w:rPr>
          <w:rFonts w:ascii="Georgia" w:hAnsi="Georgia"/>
          <w:sz w:val="20"/>
          <w:szCs w:val="20"/>
          <w:lang w:val="lt-LT"/>
        </w:rPr>
        <w:t xml:space="preserve"> </w:t>
      </w:r>
    </w:p>
    <w:p w14:paraId="1022F2C9" w14:textId="77777777" w:rsidR="005A432A" w:rsidRDefault="005A432A" w:rsidP="005A432A">
      <w:pPr>
        <w:jc w:val="both"/>
        <w:rPr>
          <w:rFonts w:ascii="Georgia" w:hAnsi="Georgia"/>
          <w:sz w:val="20"/>
          <w:szCs w:val="20"/>
          <w:lang w:val="lt-LT"/>
        </w:rPr>
      </w:pPr>
      <w:r>
        <w:rPr>
          <w:rFonts w:ascii="Georgia" w:hAnsi="Georgia"/>
          <w:sz w:val="20"/>
          <w:szCs w:val="20"/>
          <w:lang w:val="lt-LT"/>
        </w:rPr>
        <w:t xml:space="preserve">Svarbu pabrėžti, jog </w:t>
      </w:r>
      <w:r w:rsidRPr="00932B67">
        <w:rPr>
          <w:rFonts w:ascii="Georgia" w:hAnsi="Georgia"/>
          <w:sz w:val="20"/>
          <w:szCs w:val="20"/>
          <w:lang w:val="lt-LT"/>
        </w:rPr>
        <w:t xml:space="preserve">neišsprendus projektų srautų problemos iš esmės nei vienas </w:t>
      </w:r>
      <w:r>
        <w:rPr>
          <w:rFonts w:ascii="Georgia" w:hAnsi="Georgia"/>
          <w:sz w:val="20"/>
          <w:szCs w:val="20"/>
          <w:lang w:val="lt-LT"/>
        </w:rPr>
        <w:t xml:space="preserve">aukščiau analizuotas </w:t>
      </w:r>
      <w:r w:rsidRPr="00932B67">
        <w:rPr>
          <w:rFonts w:ascii="Georgia" w:hAnsi="Georgia"/>
          <w:sz w:val="20"/>
          <w:szCs w:val="20"/>
          <w:lang w:val="lt-LT"/>
        </w:rPr>
        <w:t>scenarijus neveiktų</w:t>
      </w:r>
      <w:r>
        <w:rPr>
          <w:rFonts w:ascii="Georgia" w:hAnsi="Georgia"/>
          <w:sz w:val="20"/>
          <w:szCs w:val="20"/>
          <w:lang w:val="lt-LT"/>
        </w:rPr>
        <w:t>, nes nesant masto ekonomijai, negrąžinant lėšų reinvesticijoms bei esant mažam centrinės valdžios pastatų renovacijos žinomumui nebūtų galimybių išnaudoti FP privalumus.</w:t>
      </w:r>
    </w:p>
    <w:p w14:paraId="1D3FFA97" w14:textId="01515685" w:rsidR="00C812CA" w:rsidRPr="002142B8" w:rsidRDefault="00C812CA" w:rsidP="00FD5FAE">
      <w:pPr>
        <w:jc w:val="both"/>
        <w:rPr>
          <w:rFonts w:ascii="Georgia" w:hAnsi="Georgia"/>
          <w:sz w:val="20"/>
          <w:szCs w:val="20"/>
          <w:lang w:val="lt-LT"/>
        </w:rPr>
      </w:pPr>
    </w:p>
    <w:p w14:paraId="029D4D69" w14:textId="5A8521F7" w:rsidR="0098376F" w:rsidRDefault="0098376F" w:rsidP="00C57355">
      <w:pPr>
        <w:pStyle w:val="Antrat2"/>
        <w:numPr>
          <w:ilvl w:val="2"/>
          <w:numId w:val="2"/>
        </w:numPr>
        <w:spacing w:after="240"/>
        <w:ind w:left="851" w:hanging="851"/>
        <w:rPr>
          <w:lang w:val="lt-LT"/>
        </w:rPr>
      </w:pPr>
      <w:bookmarkStart w:id="286" w:name="_Toc399924068"/>
      <w:bookmarkStart w:id="287" w:name="_Toc402352639"/>
      <w:bookmarkStart w:id="288" w:name="_Toc25589936"/>
      <w:r w:rsidRPr="002142B8">
        <w:rPr>
          <w:lang w:val="lt-LT"/>
        </w:rPr>
        <w:t>Savivaldybių pastatų modernizavimo modelių palyginimas</w:t>
      </w:r>
      <w:bookmarkEnd w:id="288"/>
    </w:p>
    <w:p w14:paraId="44B035DC" w14:textId="0F614085" w:rsidR="0006117A" w:rsidRPr="00C8226F" w:rsidRDefault="0006117A" w:rsidP="0006117A">
      <w:pPr>
        <w:jc w:val="both"/>
        <w:rPr>
          <w:rFonts w:ascii="Georgia" w:hAnsi="Georgia"/>
          <w:sz w:val="20"/>
          <w:szCs w:val="20"/>
          <w:lang w:val="lt-LT"/>
        </w:rPr>
      </w:pPr>
      <w:r w:rsidRPr="00C8226F">
        <w:rPr>
          <w:rFonts w:ascii="Georgia" w:hAnsi="Georgia"/>
          <w:sz w:val="20"/>
          <w:szCs w:val="20"/>
          <w:lang w:val="lt-LT"/>
        </w:rPr>
        <w:t xml:space="preserve">Lentelėje pateikiamas </w:t>
      </w:r>
      <w:r w:rsidRPr="005B69FE">
        <w:rPr>
          <w:rFonts w:ascii="Georgia" w:hAnsi="Georgia"/>
          <w:sz w:val="20"/>
          <w:szCs w:val="20"/>
          <w:lang w:val="lt-LT"/>
        </w:rPr>
        <w:t>4.1</w:t>
      </w:r>
      <w:r w:rsidR="005B69FE" w:rsidRPr="005B69FE">
        <w:rPr>
          <w:rFonts w:ascii="Georgia" w:hAnsi="Georgia"/>
          <w:sz w:val="20"/>
          <w:szCs w:val="20"/>
          <w:lang w:val="lt-LT"/>
        </w:rPr>
        <w:t>.4.3</w:t>
      </w:r>
      <w:r w:rsidRPr="00C8226F">
        <w:rPr>
          <w:rFonts w:ascii="Georgia" w:hAnsi="Georgia"/>
          <w:sz w:val="20"/>
          <w:szCs w:val="20"/>
          <w:lang w:val="lt-LT"/>
        </w:rPr>
        <w:t xml:space="preserve"> dalyje apskaičiuotas </w:t>
      </w:r>
      <w:r>
        <w:rPr>
          <w:rFonts w:ascii="Georgia" w:hAnsi="Georgia"/>
          <w:sz w:val="20"/>
          <w:szCs w:val="20"/>
          <w:lang w:val="lt-LT"/>
        </w:rPr>
        <w:t>savivaldybių</w:t>
      </w:r>
      <w:r w:rsidRPr="00C8226F">
        <w:rPr>
          <w:rFonts w:ascii="Georgia" w:hAnsi="Georgia"/>
          <w:sz w:val="20"/>
          <w:szCs w:val="20"/>
          <w:lang w:val="lt-LT"/>
        </w:rPr>
        <w:t xml:space="preserve"> viešųjų pastatų </w:t>
      </w:r>
      <w:r>
        <w:rPr>
          <w:rFonts w:ascii="Georgia" w:hAnsi="Georgia"/>
          <w:sz w:val="20"/>
          <w:szCs w:val="20"/>
          <w:lang w:val="lt-LT"/>
        </w:rPr>
        <w:t>modernizavimo</w:t>
      </w:r>
      <w:r w:rsidRPr="00C8226F">
        <w:rPr>
          <w:rFonts w:ascii="Georgia" w:hAnsi="Georgia"/>
          <w:sz w:val="20"/>
          <w:szCs w:val="20"/>
          <w:lang w:val="lt-LT"/>
        </w:rPr>
        <w:t xml:space="preserve"> scenarijų palyginimas. </w:t>
      </w:r>
    </w:p>
    <w:p w14:paraId="370F1456" w14:textId="7F9E93D9" w:rsidR="0006117A" w:rsidRPr="008377C9" w:rsidRDefault="0006117A" w:rsidP="0006117A">
      <w:pPr>
        <w:pStyle w:val="Antrat"/>
        <w:rPr>
          <w:b w:val="0"/>
          <w:i/>
          <w:szCs w:val="20"/>
          <w:lang w:val="lt-LT"/>
        </w:rPr>
      </w:pPr>
      <w:bookmarkStart w:id="289" w:name="_Toc459646502"/>
      <w:bookmarkStart w:id="290" w:name="_Toc507939212"/>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90</w:t>
      </w:r>
      <w:r w:rsidRPr="008377C9">
        <w:rPr>
          <w:b w:val="0"/>
          <w:i/>
          <w:lang w:val="lt-LT"/>
        </w:rPr>
        <w:fldChar w:fldCharType="end"/>
      </w:r>
      <w:r w:rsidRPr="008377C9">
        <w:rPr>
          <w:b w:val="0"/>
          <w:i/>
          <w:lang w:val="lt-LT"/>
        </w:rPr>
        <w:t xml:space="preserve">. </w:t>
      </w:r>
      <w:r w:rsidRPr="008377C9">
        <w:rPr>
          <w:b w:val="0"/>
          <w:i/>
          <w:szCs w:val="20"/>
          <w:lang w:val="lt-LT"/>
        </w:rPr>
        <w:t>Skirtingų scenarijų palyginimas</w:t>
      </w:r>
      <w:bookmarkEnd w:id="289"/>
      <w:bookmarkEnd w:id="290"/>
    </w:p>
    <w:tbl>
      <w:tblPr>
        <w:tblW w:w="9190" w:type="dxa"/>
        <w:tblInd w:w="-10" w:type="dxa"/>
        <w:tblLayout w:type="fixed"/>
        <w:tblLook w:val="04A0" w:firstRow="1" w:lastRow="0" w:firstColumn="1" w:lastColumn="0" w:noHBand="0" w:noVBand="1"/>
      </w:tblPr>
      <w:tblGrid>
        <w:gridCol w:w="4513"/>
        <w:gridCol w:w="931"/>
        <w:gridCol w:w="1337"/>
        <w:gridCol w:w="1480"/>
        <w:gridCol w:w="929"/>
      </w:tblGrid>
      <w:tr w:rsidR="0006117A" w:rsidRPr="005F7F46" w14:paraId="078D1089" w14:textId="77777777" w:rsidTr="00F91954">
        <w:trPr>
          <w:trHeight w:val="261"/>
        </w:trPr>
        <w:tc>
          <w:tcPr>
            <w:tcW w:w="4513" w:type="dxa"/>
            <w:tcBorders>
              <w:top w:val="single" w:sz="8" w:space="0" w:color="D62E1C"/>
              <w:left w:val="single" w:sz="8" w:space="0" w:color="D62E1C"/>
              <w:bottom w:val="nil"/>
              <w:right w:val="nil"/>
            </w:tcBorders>
            <w:shd w:val="clear" w:color="000000" w:fill="D62E1C"/>
            <w:vAlign w:val="center"/>
            <w:hideMark/>
          </w:tcPr>
          <w:p w14:paraId="588BF1CB" w14:textId="77777777" w:rsidR="0006117A" w:rsidRPr="005F7F46" w:rsidRDefault="0006117A" w:rsidP="007E38FC">
            <w:pPr>
              <w:spacing w:after="0" w:line="240" w:lineRule="auto"/>
              <w:rPr>
                <w:rFonts w:ascii="Georgia" w:eastAsia="Times New Roman" w:hAnsi="Georgia" w:cs="Arial"/>
                <w:color w:val="FFFFFF"/>
                <w:sz w:val="20"/>
                <w:szCs w:val="20"/>
              </w:rPr>
            </w:pPr>
            <w:r w:rsidRPr="005F7F46">
              <w:rPr>
                <w:rFonts w:ascii="Georgia" w:eastAsia="Times New Roman" w:hAnsi="Georgia" w:cs="Arial"/>
                <w:color w:val="FFFFFF"/>
                <w:sz w:val="20"/>
                <w:szCs w:val="20"/>
              </w:rPr>
              <w:t> </w:t>
            </w:r>
          </w:p>
        </w:tc>
        <w:tc>
          <w:tcPr>
            <w:tcW w:w="931" w:type="dxa"/>
            <w:tcBorders>
              <w:top w:val="single" w:sz="8" w:space="0" w:color="D62E1C"/>
              <w:left w:val="nil"/>
              <w:bottom w:val="nil"/>
              <w:right w:val="nil"/>
            </w:tcBorders>
            <w:shd w:val="clear" w:color="000000" w:fill="D62E1C"/>
            <w:vAlign w:val="center"/>
            <w:hideMark/>
          </w:tcPr>
          <w:p w14:paraId="0BC7EEB0" w14:textId="77777777" w:rsidR="0006117A" w:rsidRPr="005F7F46" w:rsidRDefault="0006117A" w:rsidP="007E38FC">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1 </w:t>
            </w:r>
          </w:p>
        </w:tc>
        <w:tc>
          <w:tcPr>
            <w:tcW w:w="1337" w:type="dxa"/>
            <w:tcBorders>
              <w:top w:val="single" w:sz="8" w:space="0" w:color="D62E1C"/>
              <w:left w:val="nil"/>
              <w:bottom w:val="nil"/>
              <w:right w:val="nil"/>
            </w:tcBorders>
            <w:shd w:val="clear" w:color="000000" w:fill="D62E1C"/>
            <w:vAlign w:val="center"/>
            <w:hideMark/>
          </w:tcPr>
          <w:p w14:paraId="101C85AC" w14:textId="77777777" w:rsidR="0006117A" w:rsidRPr="005F7F46" w:rsidRDefault="0006117A" w:rsidP="007E38FC">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2 </w:t>
            </w:r>
          </w:p>
        </w:tc>
        <w:tc>
          <w:tcPr>
            <w:tcW w:w="1480" w:type="dxa"/>
            <w:tcBorders>
              <w:top w:val="single" w:sz="8" w:space="0" w:color="D62E1C"/>
              <w:left w:val="nil"/>
              <w:bottom w:val="nil"/>
              <w:right w:val="nil"/>
            </w:tcBorders>
            <w:shd w:val="clear" w:color="000000" w:fill="D62E1C"/>
            <w:vAlign w:val="center"/>
            <w:hideMark/>
          </w:tcPr>
          <w:p w14:paraId="3140BFA6" w14:textId="77777777" w:rsidR="0006117A" w:rsidRPr="005F7F46" w:rsidRDefault="0006117A" w:rsidP="007E38FC">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 3 </w:t>
            </w:r>
          </w:p>
        </w:tc>
        <w:tc>
          <w:tcPr>
            <w:tcW w:w="929" w:type="dxa"/>
            <w:tcBorders>
              <w:top w:val="single" w:sz="8" w:space="0" w:color="D62E1C"/>
              <w:left w:val="nil"/>
              <w:bottom w:val="nil"/>
              <w:right w:val="nil"/>
            </w:tcBorders>
            <w:shd w:val="clear" w:color="000000" w:fill="D62E1C"/>
            <w:vAlign w:val="center"/>
            <w:hideMark/>
          </w:tcPr>
          <w:p w14:paraId="1C050492" w14:textId="77777777" w:rsidR="0006117A" w:rsidRPr="005F7F46" w:rsidRDefault="0006117A" w:rsidP="007E38FC">
            <w:pPr>
              <w:spacing w:after="0" w:line="240" w:lineRule="auto"/>
              <w:jc w:val="center"/>
              <w:rPr>
                <w:rFonts w:ascii="Georgia" w:eastAsia="Times New Roman" w:hAnsi="Georgia" w:cs="Arial"/>
                <w:b/>
                <w:bCs/>
                <w:color w:val="FFFFFF"/>
                <w:sz w:val="18"/>
                <w:szCs w:val="18"/>
              </w:rPr>
            </w:pPr>
            <w:r w:rsidRPr="005F7F46">
              <w:rPr>
                <w:rFonts w:ascii="Georgia" w:eastAsia="Times New Roman" w:hAnsi="Georgia" w:cs="Arial"/>
                <w:b/>
                <w:bCs/>
                <w:color w:val="FFFFFF"/>
                <w:sz w:val="18"/>
                <w:szCs w:val="18"/>
              </w:rPr>
              <w:t xml:space="preserve">Nr.4 </w:t>
            </w:r>
          </w:p>
        </w:tc>
      </w:tr>
      <w:tr w:rsidR="0006117A" w:rsidRPr="005F7F46" w14:paraId="0DC46DAB" w14:textId="77777777" w:rsidTr="00F91954">
        <w:trPr>
          <w:trHeight w:val="1102"/>
        </w:trPr>
        <w:tc>
          <w:tcPr>
            <w:tcW w:w="4513" w:type="dxa"/>
            <w:tcBorders>
              <w:top w:val="single" w:sz="8" w:space="0" w:color="D62E1C"/>
              <w:left w:val="single" w:sz="8" w:space="0" w:color="D62E1C"/>
              <w:bottom w:val="single" w:sz="8" w:space="0" w:color="D62E1C"/>
              <w:right w:val="nil"/>
            </w:tcBorders>
            <w:shd w:val="clear" w:color="auto" w:fill="auto"/>
            <w:vAlign w:val="center"/>
            <w:hideMark/>
          </w:tcPr>
          <w:p w14:paraId="49C013C9" w14:textId="77777777" w:rsidR="0006117A" w:rsidRPr="005F7F46" w:rsidRDefault="0006117A" w:rsidP="007E38FC">
            <w:pPr>
              <w:spacing w:after="0" w:line="240" w:lineRule="auto"/>
              <w:rPr>
                <w:rFonts w:ascii="Georgia" w:eastAsia="Times New Roman" w:hAnsi="Georgia" w:cs="Arial"/>
                <w:b/>
                <w:bCs/>
                <w:color w:val="000000"/>
                <w:sz w:val="18"/>
                <w:szCs w:val="18"/>
              </w:rPr>
            </w:pPr>
            <w:r w:rsidRPr="005F7F46">
              <w:rPr>
                <w:rFonts w:ascii="Georgia" w:eastAsia="Times New Roman" w:hAnsi="Georgia" w:cs="Arial"/>
                <w:b/>
                <w:bCs/>
                <w:color w:val="000000"/>
                <w:sz w:val="18"/>
                <w:szCs w:val="18"/>
              </w:rPr>
              <w:t xml:space="preserve">Finansinė priemonė </w:t>
            </w:r>
          </w:p>
        </w:tc>
        <w:tc>
          <w:tcPr>
            <w:tcW w:w="931" w:type="dxa"/>
            <w:tcBorders>
              <w:top w:val="single" w:sz="8" w:space="0" w:color="D62E1C"/>
              <w:left w:val="nil"/>
              <w:bottom w:val="single" w:sz="8" w:space="0" w:color="D62E1C"/>
              <w:right w:val="nil"/>
            </w:tcBorders>
            <w:shd w:val="clear" w:color="auto" w:fill="auto"/>
            <w:vAlign w:val="center"/>
            <w:hideMark/>
          </w:tcPr>
          <w:p w14:paraId="68C3F2D0"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 xml:space="preserve">askola </w:t>
            </w:r>
          </w:p>
        </w:tc>
        <w:tc>
          <w:tcPr>
            <w:tcW w:w="1337" w:type="dxa"/>
            <w:tcBorders>
              <w:top w:val="single" w:sz="8" w:space="0" w:color="D62E1C"/>
              <w:left w:val="nil"/>
              <w:bottom w:val="single" w:sz="8" w:space="0" w:color="D62E1C"/>
              <w:right w:val="nil"/>
            </w:tcBorders>
            <w:shd w:val="clear" w:color="auto" w:fill="auto"/>
            <w:vAlign w:val="center"/>
            <w:hideMark/>
          </w:tcPr>
          <w:p w14:paraId="40470BE0"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askol</w:t>
            </w:r>
            <w:r>
              <w:rPr>
                <w:rFonts w:ascii="Georgia" w:eastAsia="Times New Roman" w:hAnsi="Georgia" w:cs="Arial"/>
                <w:color w:val="000000"/>
                <w:sz w:val="16"/>
                <w:szCs w:val="16"/>
              </w:rPr>
              <w:t>ų teikimas taikant paskolų išpirkimo modelį</w:t>
            </w:r>
            <w:r w:rsidRPr="005F7F46">
              <w:rPr>
                <w:rFonts w:ascii="Georgia" w:eastAsia="Times New Roman" w:hAnsi="Georgia" w:cs="Arial"/>
                <w:color w:val="000000"/>
                <w:sz w:val="16"/>
                <w:szCs w:val="16"/>
              </w:rPr>
              <w:t xml:space="preserve">  </w:t>
            </w:r>
          </w:p>
        </w:tc>
        <w:tc>
          <w:tcPr>
            <w:tcW w:w="1480" w:type="dxa"/>
            <w:tcBorders>
              <w:top w:val="single" w:sz="8" w:space="0" w:color="D62E1C"/>
              <w:left w:val="nil"/>
              <w:bottom w:val="single" w:sz="8" w:space="0" w:color="D62E1C"/>
              <w:right w:val="nil"/>
            </w:tcBorders>
            <w:shd w:val="clear" w:color="auto" w:fill="auto"/>
            <w:vAlign w:val="center"/>
            <w:hideMark/>
          </w:tcPr>
          <w:p w14:paraId="009F62F3"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 xml:space="preserve">Paskolų teikimas taikant </w:t>
            </w:r>
            <w:r w:rsidRPr="005F7F46">
              <w:rPr>
                <w:rFonts w:ascii="Georgia" w:eastAsia="Times New Roman" w:hAnsi="Georgia" w:cs="Arial"/>
                <w:color w:val="000000"/>
                <w:sz w:val="16"/>
                <w:szCs w:val="16"/>
              </w:rPr>
              <w:t xml:space="preserve"> </w:t>
            </w:r>
            <w:r>
              <w:rPr>
                <w:rFonts w:ascii="Georgia" w:eastAsia="Times New Roman" w:hAnsi="Georgia" w:cs="Arial"/>
                <w:color w:val="000000"/>
                <w:sz w:val="16"/>
                <w:szCs w:val="16"/>
              </w:rPr>
              <w:t>asimetrinio rizikos pasidalijimo modelį</w:t>
            </w:r>
            <w:r w:rsidRPr="005F7F46">
              <w:rPr>
                <w:rFonts w:ascii="Georgia" w:eastAsia="Times New Roman" w:hAnsi="Georgia" w:cs="Arial"/>
                <w:color w:val="000000"/>
                <w:sz w:val="16"/>
                <w:szCs w:val="16"/>
              </w:rPr>
              <w:t xml:space="preserve"> </w:t>
            </w:r>
          </w:p>
        </w:tc>
        <w:tc>
          <w:tcPr>
            <w:tcW w:w="929" w:type="dxa"/>
            <w:tcBorders>
              <w:top w:val="single" w:sz="8" w:space="0" w:color="D62E1C"/>
              <w:left w:val="nil"/>
              <w:bottom w:val="single" w:sz="8" w:space="0" w:color="D62E1C"/>
              <w:right w:val="single" w:sz="8" w:space="0" w:color="E0301E"/>
            </w:tcBorders>
            <w:shd w:val="clear" w:color="auto" w:fill="auto"/>
            <w:vAlign w:val="center"/>
            <w:hideMark/>
          </w:tcPr>
          <w:p w14:paraId="7DA3BE32"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sidRPr="005F7F46">
              <w:rPr>
                <w:rFonts w:ascii="Georgia" w:eastAsia="Times New Roman" w:hAnsi="Georgia" w:cs="Arial"/>
                <w:color w:val="000000"/>
                <w:sz w:val="16"/>
                <w:szCs w:val="16"/>
              </w:rPr>
              <w:t xml:space="preserve">Garantija </w:t>
            </w:r>
          </w:p>
        </w:tc>
      </w:tr>
      <w:tr w:rsidR="0006117A" w:rsidRPr="005F7F46" w14:paraId="3C5B2638" w14:textId="77777777" w:rsidTr="00F91954">
        <w:trPr>
          <w:trHeight w:val="261"/>
        </w:trPr>
        <w:tc>
          <w:tcPr>
            <w:tcW w:w="4513" w:type="dxa"/>
            <w:tcBorders>
              <w:top w:val="nil"/>
              <w:left w:val="single" w:sz="8" w:space="0" w:color="D62E1C"/>
              <w:bottom w:val="nil"/>
              <w:right w:val="nil"/>
            </w:tcBorders>
            <w:shd w:val="clear" w:color="auto" w:fill="auto"/>
            <w:vAlign w:val="center"/>
            <w:hideMark/>
          </w:tcPr>
          <w:p w14:paraId="43AFEE8C" w14:textId="77777777"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Į fondą įmokėtos lėšos (mln. eurų): </w:t>
            </w:r>
          </w:p>
        </w:tc>
        <w:tc>
          <w:tcPr>
            <w:tcW w:w="931" w:type="dxa"/>
            <w:tcBorders>
              <w:top w:val="nil"/>
              <w:left w:val="nil"/>
              <w:bottom w:val="nil"/>
              <w:right w:val="nil"/>
            </w:tcBorders>
            <w:shd w:val="clear" w:color="auto" w:fill="auto"/>
            <w:vAlign w:val="center"/>
          </w:tcPr>
          <w:p w14:paraId="4F5F37E4"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50</w:t>
            </w:r>
          </w:p>
        </w:tc>
        <w:tc>
          <w:tcPr>
            <w:tcW w:w="1337" w:type="dxa"/>
            <w:tcBorders>
              <w:top w:val="nil"/>
              <w:left w:val="nil"/>
              <w:bottom w:val="nil"/>
              <w:right w:val="nil"/>
            </w:tcBorders>
            <w:shd w:val="clear" w:color="auto" w:fill="auto"/>
            <w:vAlign w:val="center"/>
          </w:tcPr>
          <w:p w14:paraId="12F0072A"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50</w:t>
            </w:r>
          </w:p>
        </w:tc>
        <w:tc>
          <w:tcPr>
            <w:tcW w:w="1480" w:type="dxa"/>
            <w:tcBorders>
              <w:top w:val="nil"/>
              <w:left w:val="nil"/>
              <w:bottom w:val="nil"/>
              <w:right w:val="nil"/>
            </w:tcBorders>
            <w:shd w:val="clear" w:color="auto" w:fill="auto"/>
            <w:vAlign w:val="center"/>
          </w:tcPr>
          <w:p w14:paraId="1D4F87DD"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50</w:t>
            </w:r>
          </w:p>
        </w:tc>
        <w:tc>
          <w:tcPr>
            <w:tcW w:w="929" w:type="dxa"/>
            <w:tcBorders>
              <w:top w:val="nil"/>
              <w:left w:val="nil"/>
              <w:bottom w:val="nil"/>
              <w:right w:val="single" w:sz="8" w:space="0" w:color="E0301E"/>
            </w:tcBorders>
            <w:shd w:val="clear" w:color="auto" w:fill="auto"/>
            <w:vAlign w:val="center"/>
          </w:tcPr>
          <w:p w14:paraId="0F1BE635"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50</w:t>
            </w:r>
          </w:p>
        </w:tc>
      </w:tr>
      <w:tr w:rsidR="0006117A" w:rsidRPr="005F7F46" w14:paraId="3E9092B7" w14:textId="77777777" w:rsidTr="00F91954">
        <w:trPr>
          <w:trHeight w:val="261"/>
        </w:trPr>
        <w:tc>
          <w:tcPr>
            <w:tcW w:w="4513" w:type="dxa"/>
            <w:tcBorders>
              <w:top w:val="single" w:sz="8" w:space="0" w:color="D62E1C"/>
              <w:left w:val="single" w:sz="8" w:space="0" w:color="D62E1C"/>
              <w:bottom w:val="single" w:sz="8" w:space="0" w:color="D62E1C"/>
              <w:right w:val="nil"/>
            </w:tcBorders>
            <w:shd w:val="clear" w:color="auto" w:fill="auto"/>
            <w:vAlign w:val="center"/>
            <w:hideMark/>
          </w:tcPr>
          <w:p w14:paraId="0FD5F735" w14:textId="77777777"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Galutinius naudos gavėjus pasiekusios lėšos (mln. eurų) </w:t>
            </w:r>
          </w:p>
        </w:tc>
        <w:tc>
          <w:tcPr>
            <w:tcW w:w="931" w:type="dxa"/>
            <w:tcBorders>
              <w:top w:val="single" w:sz="8" w:space="0" w:color="D62E1C"/>
              <w:left w:val="nil"/>
              <w:bottom w:val="single" w:sz="8" w:space="0" w:color="D62E1C"/>
              <w:right w:val="nil"/>
            </w:tcBorders>
            <w:shd w:val="clear" w:color="auto" w:fill="auto"/>
            <w:vAlign w:val="center"/>
          </w:tcPr>
          <w:p w14:paraId="1E795CF6"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53,0</w:t>
            </w:r>
          </w:p>
        </w:tc>
        <w:tc>
          <w:tcPr>
            <w:tcW w:w="1337" w:type="dxa"/>
            <w:tcBorders>
              <w:top w:val="single" w:sz="8" w:space="0" w:color="D62E1C"/>
              <w:left w:val="nil"/>
              <w:bottom w:val="single" w:sz="8" w:space="0" w:color="D62E1C"/>
              <w:right w:val="nil"/>
            </w:tcBorders>
            <w:shd w:val="clear" w:color="auto" w:fill="auto"/>
            <w:vAlign w:val="center"/>
          </w:tcPr>
          <w:p w14:paraId="30EFFF64"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84,4</w:t>
            </w:r>
          </w:p>
        </w:tc>
        <w:tc>
          <w:tcPr>
            <w:tcW w:w="1480" w:type="dxa"/>
            <w:tcBorders>
              <w:top w:val="single" w:sz="8" w:space="0" w:color="D62E1C"/>
              <w:left w:val="nil"/>
              <w:bottom w:val="single" w:sz="8" w:space="0" w:color="D62E1C"/>
              <w:right w:val="nil"/>
            </w:tcBorders>
            <w:shd w:val="clear" w:color="auto" w:fill="auto"/>
            <w:vAlign w:val="center"/>
          </w:tcPr>
          <w:p w14:paraId="022577BF"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71,5</w:t>
            </w:r>
          </w:p>
        </w:tc>
        <w:tc>
          <w:tcPr>
            <w:tcW w:w="929" w:type="dxa"/>
            <w:tcBorders>
              <w:top w:val="single" w:sz="8" w:space="0" w:color="D62E1C"/>
              <w:left w:val="nil"/>
              <w:bottom w:val="single" w:sz="8" w:space="0" w:color="D62E1C"/>
              <w:right w:val="single" w:sz="8" w:space="0" w:color="E0301E"/>
            </w:tcBorders>
            <w:shd w:val="clear" w:color="auto" w:fill="auto"/>
            <w:vAlign w:val="center"/>
          </w:tcPr>
          <w:p w14:paraId="726F9ABF"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131,0</w:t>
            </w:r>
          </w:p>
        </w:tc>
      </w:tr>
      <w:tr w:rsidR="0006117A" w:rsidRPr="005F7F46" w14:paraId="06F4713D" w14:textId="77777777" w:rsidTr="00F91954">
        <w:trPr>
          <w:trHeight w:val="261"/>
        </w:trPr>
        <w:tc>
          <w:tcPr>
            <w:tcW w:w="4513" w:type="dxa"/>
            <w:tcBorders>
              <w:top w:val="nil"/>
              <w:left w:val="single" w:sz="8" w:space="0" w:color="D62E1C"/>
              <w:bottom w:val="nil"/>
              <w:right w:val="nil"/>
            </w:tcBorders>
            <w:shd w:val="clear" w:color="auto" w:fill="auto"/>
            <w:vAlign w:val="center"/>
            <w:hideMark/>
          </w:tcPr>
          <w:p w14:paraId="4B5954AA" w14:textId="77777777"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Iki 202</w:t>
            </w:r>
            <w:r>
              <w:rPr>
                <w:rFonts w:ascii="Georgia" w:eastAsia="Times New Roman" w:hAnsi="Georgia" w:cs="Arial"/>
                <w:color w:val="000000"/>
                <w:sz w:val="18"/>
                <w:szCs w:val="18"/>
              </w:rPr>
              <w:t>2</w:t>
            </w:r>
            <w:r w:rsidRPr="005F7F46">
              <w:rPr>
                <w:rFonts w:ascii="Georgia" w:eastAsia="Times New Roman" w:hAnsi="Georgia" w:cs="Arial"/>
                <w:color w:val="000000"/>
                <w:sz w:val="18"/>
                <w:szCs w:val="18"/>
              </w:rPr>
              <w:t xml:space="preserve"> m.</w:t>
            </w:r>
            <w:r>
              <w:rPr>
                <w:rFonts w:ascii="Georgia" w:eastAsia="Times New Roman" w:hAnsi="Georgia" w:cs="Arial"/>
                <w:color w:val="000000"/>
                <w:sz w:val="18"/>
                <w:szCs w:val="18"/>
              </w:rPr>
              <w:t xml:space="preserve"> pabaigos</w:t>
            </w:r>
            <w:r w:rsidRPr="005F7F46">
              <w:rPr>
                <w:rFonts w:ascii="Georgia" w:eastAsia="Times New Roman" w:hAnsi="Georgia" w:cs="Arial"/>
                <w:color w:val="000000"/>
                <w:sz w:val="18"/>
                <w:szCs w:val="18"/>
              </w:rPr>
              <w:t xml:space="preserve"> renovuotų pastatų skaičius </w:t>
            </w:r>
          </w:p>
        </w:tc>
        <w:tc>
          <w:tcPr>
            <w:tcW w:w="931" w:type="dxa"/>
            <w:tcBorders>
              <w:top w:val="nil"/>
              <w:left w:val="nil"/>
              <w:bottom w:val="nil"/>
              <w:right w:val="nil"/>
            </w:tcBorders>
            <w:shd w:val="clear" w:color="auto" w:fill="auto"/>
            <w:vAlign w:val="center"/>
          </w:tcPr>
          <w:p w14:paraId="3D11E3F6"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172</w:t>
            </w:r>
          </w:p>
        </w:tc>
        <w:tc>
          <w:tcPr>
            <w:tcW w:w="1337" w:type="dxa"/>
            <w:tcBorders>
              <w:top w:val="nil"/>
              <w:left w:val="nil"/>
              <w:bottom w:val="nil"/>
              <w:right w:val="nil"/>
            </w:tcBorders>
            <w:shd w:val="clear" w:color="auto" w:fill="auto"/>
            <w:vAlign w:val="center"/>
          </w:tcPr>
          <w:p w14:paraId="726324EA"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274</w:t>
            </w:r>
          </w:p>
        </w:tc>
        <w:tc>
          <w:tcPr>
            <w:tcW w:w="1480" w:type="dxa"/>
            <w:tcBorders>
              <w:top w:val="nil"/>
              <w:left w:val="nil"/>
              <w:bottom w:val="nil"/>
              <w:right w:val="nil"/>
            </w:tcBorders>
            <w:shd w:val="clear" w:color="auto" w:fill="auto"/>
            <w:vAlign w:val="center"/>
          </w:tcPr>
          <w:p w14:paraId="608C08F6"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257</w:t>
            </w:r>
          </w:p>
        </w:tc>
        <w:tc>
          <w:tcPr>
            <w:tcW w:w="929" w:type="dxa"/>
            <w:tcBorders>
              <w:top w:val="nil"/>
              <w:left w:val="nil"/>
              <w:bottom w:val="nil"/>
              <w:right w:val="single" w:sz="8" w:space="0" w:color="E0301E"/>
            </w:tcBorders>
            <w:shd w:val="clear" w:color="auto" w:fill="auto"/>
            <w:vAlign w:val="center"/>
          </w:tcPr>
          <w:p w14:paraId="7740AB31"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425</w:t>
            </w:r>
          </w:p>
        </w:tc>
      </w:tr>
      <w:tr w:rsidR="0006117A" w:rsidRPr="005F7F46" w14:paraId="13C07B07" w14:textId="77777777" w:rsidTr="00F91954">
        <w:trPr>
          <w:trHeight w:val="261"/>
        </w:trPr>
        <w:tc>
          <w:tcPr>
            <w:tcW w:w="4513" w:type="dxa"/>
            <w:tcBorders>
              <w:top w:val="single" w:sz="8" w:space="0" w:color="D62E1C"/>
              <w:left w:val="single" w:sz="8" w:space="0" w:color="D62E1C"/>
              <w:bottom w:val="single" w:sz="8" w:space="0" w:color="D62E1C"/>
              <w:right w:val="nil"/>
            </w:tcBorders>
            <w:shd w:val="clear" w:color="auto" w:fill="auto"/>
            <w:vAlign w:val="center"/>
            <w:hideMark/>
          </w:tcPr>
          <w:p w14:paraId="6AA8DD24" w14:textId="6DFB15EE"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Iki 202</w:t>
            </w:r>
            <w:r>
              <w:rPr>
                <w:rFonts w:ascii="Georgia" w:eastAsia="Times New Roman" w:hAnsi="Georgia" w:cs="Arial"/>
                <w:color w:val="000000"/>
                <w:sz w:val="18"/>
                <w:szCs w:val="18"/>
              </w:rPr>
              <w:t>2</w:t>
            </w:r>
            <w:r w:rsidRPr="005F7F46">
              <w:rPr>
                <w:rFonts w:ascii="Georgia" w:eastAsia="Times New Roman" w:hAnsi="Georgia" w:cs="Arial"/>
                <w:color w:val="000000"/>
                <w:sz w:val="18"/>
                <w:szCs w:val="18"/>
              </w:rPr>
              <w:t xml:space="preserve"> m. </w:t>
            </w:r>
            <w:r>
              <w:rPr>
                <w:rFonts w:ascii="Georgia" w:eastAsia="Times New Roman" w:hAnsi="Georgia" w:cs="Arial"/>
                <w:color w:val="000000"/>
                <w:sz w:val="18"/>
                <w:szCs w:val="18"/>
              </w:rPr>
              <w:t xml:space="preserve"> pabaigos</w:t>
            </w:r>
            <w:r w:rsidR="00591E4C">
              <w:rPr>
                <w:rFonts w:ascii="Georgia" w:eastAsia="Times New Roman" w:hAnsi="Georgia" w:cs="Arial"/>
                <w:color w:val="000000"/>
                <w:sz w:val="18"/>
                <w:szCs w:val="18"/>
              </w:rPr>
              <w:t xml:space="preserve"> </w:t>
            </w:r>
            <w:r>
              <w:rPr>
                <w:rFonts w:ascii="Georgia" w:eastAsia="Times New Roman" w:hAnsi="Georgia" w:cs="Arial"/>
                <w:color w:val="000000"/>
                <w:sz w:val="18"/>
                <w:szCs w:val="18"/>
              </w:rPr>
              <w:t>r</w:t>
            </w:r>
            <w:r w:rsidRPr="005F7F46">
              <w:rPr>
                <w:rFonts w:ascii="Georgia" w:eastAsia="Times New Roman" w:hAnsi="Georgia" w:cs="Arial"/>
                <w:color w:val="000000"/>
                <w:sz w:val="18"/>
                <w:szCs w:val="18"/>
              </w:rPr>
              <w:t xml:space="preserve">enovuotų pastatų plotas, tūkst. kv. m. </w:t>
            </w:r>
          </w:p>
        </w:tc>
        <w:tc>
          <w:tcPr>
            <w:tcW w:w="931" w:type="dxa"/>
            <w:tcBorders>
              <w:top w:val="single" w:sz="8" w:space="0" w:color="D62E1C"/>
              <w:left w:val="nil"/>
              <w:bottom w:val="single" w:sz="8" w:space="0" w:color="D62E1C"/>
              <w:right w:val="nil"/>
            </w:tcBorders>
            <w:shd w:val="clear" w:color="auto" w:fill="auto"/>
            <w:vAlign w:val="center"/>
          </w:tcPr>
          <w:p w14:paraId="6B389FD1"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208</w:t>
            </w:r>
          </w:p>
        </w:tc>
        <w:tc>
          <w:tcPr>
            <w:tcW w:w="1337" w:type="dxa"/>
            <w:tcBorders>
              <w:top w:val="single" w:sz="8" w:space="0" w:color="D62E1C"/>
              <w:left w:val="nil"/>
              <w:bottom w:val="single" w:sz="8" w:space="0" w:color="D62E1C"/>
              <w:right w:val="nil"/>
            </w:tcBorders>
            <w:shd w:val="clear" w:color="auto" w:fill="auto"/>
            <w:vAlign w:val="center"/>
          </w:tcPr>
          <w:p w14:paraId="76580AC9"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331</w:t>
            </w:r>
          </w:p>
        </w:tc>
        <w:tc>
          <w:tcPr>
            <w:tcW w:w="1480" w:type="dxa"/>
            <w:tcBorders>
              <w:top w:val="single" w:sz="8" w:space="0" w:color="D62E1C"/>
              <w:left w:val="nil"/>
              <w:bottom w:val="single" w:sz="8" w:space="0" w:color="D62E1C"/>
              <w:right w:val="nil"/>
            </w:tcBorders>
            <w:shd w:val="clear" w:color="auto" w:fill="auto"/>
            <w:vAlign w:val="center"/>
          </w:tcPr>
          <w:p w14:paraId="2AA2B695"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311</w:t>
            </w:r>
          </w:p>
        </w:tc>
        <w:tc>
          <w:tcPr>
            <w:tcW w:w="929" w:type="dxa"/>
            <w:tcBorders>
              <w:top w:val="single" w:sz="8" w:space="0" w:color="D62E1C"/>
              <w:left w:val="nil"/>
              <w:bottom w:val="single" w:sz="8" w:space="0" w:color="D62E1C"/>
              <w:right w:val="single" w:sz="8" w:space="0" w:color="E0301E"/>
            </w:tcBorders>
            <w:shd w:val="clear" w:color="auto" w:fill="auto"/>
            <w:vAlign w:val="center"/>
          </w:tcPr>
          <w:p w14:paraId="3F434BD2"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514</w:t>
            </w:r>
          </w:p>
        </w:tc>
      </w:tr>
      <w:tr w:rsidR="0006117A" w:rsidRPr="005F7F46" w14:paraId="6CC796E7" w14:textId="77777777" w:rsidTr="00F91954">
        <w:trPr>
          <w:trHeight w:val="261"/>
        </w:trPr>
        <w:tc>
          <w:tcPr>
            <w:tcW w:w="4513" w:type="dxa"/>
            <w:tcBorders>
              <w:top w:val="nil"/>
              <w:left w:val="single" w:sz="8" w:space="0" w:color="D62E1C"/>
              <w:bottom w:val="single" w:sz="8" w:space="0" w:color="D62E1C"/>
              <w:right w:val="nil"/>
            </w:tcBorders>
            <w:shd w:val="clear" w:color="auto" w:fill="auto"/>
            <w:vAlign w:val="center"/>
            <w:hideMark/>
          </w:tcPr>
          <w:p w14:paraId="5A3C76CF" w14:textId="77777777"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lastRenderedPageBreak/>
              <w:t xml:space="preserve">Projektų multiplikatorius </w:t>
            </w:r>
          </w:p>
        </w:tc>
        <w:tc>
          <w:tcPr>
            <w:tcW w:w="931" w:type="dxa"/>
            <w:tcBorders>
              <w:top w:val="nil"/>
              <w:left w:val="nil"/>
              <w:bottom w:val="single" w:sz="8" w:space="0" w:color="D62E1C"/>
              <w:right w:val="nil"/>
            </w:tcBorders>
            <w:shd w:val="clear" w:color="auto" w:fill="auto"/>
            <w:vAlign w:val="center"/>
          </w:tcPr>
          <w:p w14:paraId="5CA6D709"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1,06</w:t>
            </w:r>
          </w:p>
        </w:tc>
        <w:tc>
          <w:tcPr>
            <w:tcW w:w="1337" w:type="dxa"/>
            <w:tcBorders>
              <w:top w:val="nil"/>
              <w:left w:val="nil"/>
              <w:bottom w:val="single" w:sz="8" w:space="0" w:color="D62E1C"/>
              <w:right w:val="nil"/>
            </w:tcBorders>
            <w:shd w:val="clear" w:color="auto" w:fill="auto"/>
            <w:vAlign w:val="center"/>
          </w:tcPr>
          <w:p w14:paraId="07946D6F"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1,69</w:t>
            </w:r>
          </w:p>
        </w:tc>
        <w:tc>
          <w:tcPr>
            <w:tcW w:w="1480" w:type="dxa"/>
            <w:tcBorders>
              <w:top w:val="nil"/>
              <w:left w:val="nil"/>
              <w:bottom w:val="single" w:sz="8" w:space="0" w:color="D62E1C"/>
              <w:right w:val="nil"/>
            </w:tcBorders>
            <w:shd w:val="clear" w:color="auto" w:fill="auto"/>
            <w:vAlign w:val="center"/>
          </w:tcPr>
          <w:p w14:paraId="6436E3C9"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1,43</w:t>
            </w:r>
          </w:p>
        </w:tc>
        <w:tc>
          <w:tcPr>
            <w:tcW w:w="929" w:type="dxa"/>
            <w:tcBorders>
              <w:top w:val="nil"/>
              <w:left w:val="nil"/>
              <w:bottom w:val="single" w:sz="8" w:space="0" w:color="D62E1C"/>
              <w:right w:val="single" w:sz="8" w:space="0" w:color="E0301E"/>
            </w:tcBorders>
            <w:shd w:val="clear" w:color="auto" w:fill="auto"/>
            <w:vAlign w:val="center"/>
          </w:tcPr>
          <w:p w14:paraId="28CD7328"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2,62</w:t>
            </w:r>
          </w:p>
        </w:tc>
      </w:tr>
      <w:tr w:rsidR="0006117A" w:rsidRPr="005F7F46" w14:paraId="2FA1CE71" w14:textId="77777777" w:rsidTr="00F91954">
        <w:trPr>
          <w:trHeight w:val="261"/>
        </w:trPr>
        <w:tc>
          <w:tcPr>
            <w:tcW w:w="4513" w:type="dxa"/>
            <w:tcBorders>
              <w:top w:val="nil"/>
              <w:left w:val="single" w:sz="8" w:space="0" w:color="D62E1C"/>
              <w:bottom w:val="single" w:sz="8" w:space="0" w:color="D62E1C"/>
              <w:right w:val="nil"/>
            </w:tcBorders>
            <w:shd w:val="clear" w:color="auto" w:fill="auto"/>
            <w:vAlign w:val="center"/>
            <w:hideMark/>
          </w:tcPr>
          <w:p w14:paraId="3FF4FFCC" w14:textId="77777777" w:rsidR="0006117A" w:rsidRPr="005F7F46" w:rsidRDefault="0006117A" w:rsidP="007E38FC">
            <w:pPr>
              <w:spacing w:after="0" w:line="240" w:lineRule="auto"/>
              <w:rPr>
                <w:rFonts w:ascii="Georgia" w:eastAsia="Times New Roman" w:hAnsi="Georgia" w:cs="Arial"/>
                <w:color w:val="000000"/>
                <w:sz w:val="18"/>
                <w:szCs w:val="18"/>
              </w:rPr>
            </w:pPr>
            <w:r w:rsidRPr="005F7F46">
              <w:rPr>
                <w:rFonts w:ascii="Georgia" w:eastAsia="Times New Roman" w:hAnsi="Georgia" w:cs="Arial"/>
                <w:color w:val="000000"/>
                <w:sz w:val="18"/>
                <w:szCs w:val="18"/>
              </w:rPr>
              <w:t xml:space="preserve">Sverto efektas </w:t>
            </w:r>
          </w:p>
        </w:tc>
        <w:tc>
          <w:tcPr>
            <w:tcW w:w="931" w:type="dxa"/>
            <w:tcBorders>
              <w:top w:val="nil"/>
              <w:left w:val="nil"/>
              <w:bottom w:val="single" w:sz="8" w:space="0" w:color="D62E1C"/>
              <w:right w:val="nil"/>
            </w:tcBorders>
            <w:shd w:val="clear" w:color="auto" w:fill="auto"/>
            <w:vAlign w:val="center"/>
          </w:tcPr>
          <w:p w14:paraId="350613E5"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1,20</w:t>
            </w:r>
          </w:p>
        </w:tc>
        <w:tc>
          <w:tcPr>
            <w:tcW w:w="1337" w:type="dxa"/>
            <w:tcBorders>
              <w:top w:val="nil"/>
              <w:left w:val="nil"/>
              <w:bottom w:val="single" w:sz="8" w:space="0" w:color="D62E1C"/>
              <w:right w:val="nil"/>
            </w:tcBorders>
            <w:shd w:val="clear" w:color="auto" w:fill="auto"/>
            <w:vAlign w:val="center"/>
          </w:tcPr>
          <w:p w14:paraId="4536096A"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2,04</w:t>
            </w:r>
          </w:p>
        </w:tc>
        <w:tc>
          <w:tcPr>
            <w:tcW w:w="1480" w:type="dxa"/>
            <w:tcBorders>
              <w:top w:val="nil"/>
              <w:left w:val="nil"/>
              <w:bottom w:val="single" w:sz="8" w:space="0" w:color="D62E1C"/>
              <w:right w:val="nil"/>
            </w:tcBorders>
            <w:shd w:val="clear" w:color="auto" w:fill="auto"/>
            <w:vAlign w:val="center"/>
          </w:tcPr>
          <w:p w14:paraId="4513FD73"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1,60</w:t>
            </w:r>
          </w:p>
        </w:tc>
        <w:tc>
          <w:tcPr>
            <w:tcW w:w="929" w:type="dxa"/>
            <w:tcBorders>
              <w:top w:val="nil"/>
              <w:left w:val="nil"/>
              <w:bottom w:val="single" w:sz="8" w:space="0" w:color="D62E1C"/>
              <w:right w:val="single" w:sz="8" w:space="0" w:color="E0301E"/>
            </w:tcBorders>
            <w:shd w:val="clear" w:color="auto" w:fill="auto"/>
            <w:vAlign w:val="center"/>
          </w:tcPr>
          <w:p w14:paraId="2AEF0BBB" w14:textId="77777777" w:rsidR="0006117A" w:rsidRPr="005F7F46" w:rsidRDefault="0006117A" w:rsidP="007E38FC">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3,62</w:t>
            </w:r>
          </w:p>
        </w:tc>
      </w:tr>
    </w:tbl>
    <w:p w14:paraId="6D797FCB" w14:textId="77777777" w:rsidR="0006117A" w:rsidRPr="00F91954" w:rsidRDefault="0006117A" w:rsidP="00F91954">
      <w:pPr>
        <w:spacing w:after="160" w:line="240" w:lineRule="auto"/>
        <w:jc w:val="both"/>
        <w:rPr>
          <w:rFonts w:ascii="Georgia" w:eastAsia="Georgia" w:hAnsi="Georgia" w:cs="Arial Unicode MS"/>
          <w:i/>
          <w:iCs/>
          <w:color w:val="821A1A"/>
          <w:sz w:val="18"/>
          <w:szCs w:val="18"/>
          <w:lang w:val="lt-LT"/>
        </w:rPr>
      </w:pPr>
      <w:r w:rsidRPr="00F91954">
        <w:rPr>
          <w:rFonts w:ascii="Georgia" w:eastAsia="Georgia" w:hAnsi="Georgia" w:cs="Arial Unicode MS"/>
          <w:i/>
          <w:iCs/>
          <w:color w:val="821A1A"/>
          <w:sz w:val="18"/>
          <w:szCs w:val="18"/>
          <w:lang w:val="lt-LT"/>
        </w:rPr>
        <w:t>Šaltinis: sudaryta autorių</w:t>
      </w:r>
    </w:p>
    <w:p w14:paraId="6928782B" w14:textId="77777777" w:rsidR="0006117A" w:rsidRDefault="0006117A" w:rsidP="0006117A">
      <w:pPr>
        <w:spacing w:after="0"/>
        <w:rPr>
          <w:lang w:val="lt-LT"/>
        </w:rPr>
      </w:pPr>
    </w:p>
    <w:p w14:paraId="5096F957" w14:textId="294AA8D3" w:rsidR="0006117A" w:rsidRDefault="0006117A" w:rsidP="0006117A">
      <w:pPr>
        <w:pStyle w:val="Sraopastraipa"/>
        <w:numPr>
          <w:ilvl w:val="0"/>
          <w:numId w:val="97"/>
        </w:numPr>
        <w:jc w:val="both"/>
        <w:rPr>
          <w:rFonts w:ascii="Georgia" w:hAnsi="Georgia"/>
          <w:sz w:val="20"/>
          <w:szCs w:val="20"/>
          <w:lang w:val="lt-LT"/>
        </w:rPr>
      </w:pPr>
      <w:r>
        <w:rPr>
          <w:rFonts w:ascii="Georgia" w:hAnsi="Georgia"/>
          <w:sz w:val="20"/>
          <w:szCs w:val="20"/>
          <w:lang w:val="lt-LT"/>
        </w:rPr>
        <w:t>Apibendrinus kiekybinius rezultatus galima teigti, jog kiekybiškai naudingiausios alternatyvos pagal renovuotų pastatų skaičių ir plotą yra paskolų teikimo taikant paskolų išpirkimo modelį scenarijus (Nr.</w:t>
      </w:r>
      <w:r>
        <w:rPr>
          <w:rFonts w:ascii="Georgia" w:hAnsi="Georgia"/>
          <w:sz w:val="20"/>
          <w:szCs w:val="20"/>
        </w:rPr>
        <w:t xml:space="preserve">2), </w:t>
      </w:r>
      <w:r>
        <w:rPr>
          <w:rFonts w:ascii="Georgia" w:hAnsi="Georgia"/>
          <w:sz w:val="20"/>
          <w:szCs w:val="20"/>
          <w:lang w:val="lt-LT"/>
        </w:rPr>
        <w:t>paskolų teikimo taikant asimetrinio rizikos pasidalijimo modelį scenarijus (Nr.3) ir garantijų teikimo (Nr.4) scenarij</w:t>
      </w:r>
      <w:r w:rsidR="00A777F0">
        <w:rPr>
          <w:rFonts w:ascii="Georgia" w:hAnsi="Georgia"/>
          <w:sz w:val="20"/>
          <w:szCs w:val="20"/>
          <w:lang w:val="lt-LT"/>
        </w:rPr>
        <w:t>us</w:t>
      </w:r>
      <w:r>
        <w:rPr>
          <w:rFonts w:ascii="Georgia" w:hAnsi="Georgia"/>
          <w:sz w:val="20"/>
          <w:szCs w:val="20"/>
          <w:lang w:val="lt-LT"/>
        </w:rPr>
        <w:t xml:space="preserve">. </w:t>
      </w:r>
      <w:r w:rsidRPr="005D3A7A">
        <w:rPr>
          <w:rFonts w:ascii="Georgia" w:hAnsi="Georgia"/>
          <w:sz w:val="20"/>
          <w:szCs w:val="20"/>
          <w:lang w:val="lt-LT"/>
        </w:rPr>
        <w:t>Prasčiausius rezultatus demonstruoja paskolos finan</w:t>
      </w:r>
      <w:r>
        <w:rPr>
          <w:rFonts w:ascii="Georgia" w:hAnsi="Georgia"/>
          <w:sz w:val="20"/>
          <w:szCs w:val="20"/>
          <w:lang w:val="lt-LT"/>
        </w:rPr>
        <w:t>sinė priemonė (Nr.1), todėl ši</w:t>
      </w:r>
      <w:r w:rsidRPr="005D3A7A">
        <w:rPr>
          <w:rFonts w:ascii="Georgia" w:hAnsi="Georgia"/>
          <w:sz w:val="20"/>
          <w:szCs w:val="20"/>
          <w:lang w:val="lt-LT"/>
        </w:rPr>
        <w:t xml:space="preserve"> alternatyv</w:t>
      </w:r>
      <w:r>
        <w:rPr>
          <w:rFonts w:ascii="Georgia" w:hAnsi="Georgia"/>
          <w:sz w:val="20"/>
          <w:szCs w:val="20"/>
          <w:lang w:val="lt-LT"/>
        </w:rPr>
        <w:t>a</w:t>
      </w:r>
      <w:r w:rsidRPr="005D3A7A">
        <w:rPr>
          <w:rFonts w:ascii="Georgia" w:hAnsi="Georgia"/>
          <w:sz w:val="20"/>
          <w:szCs w:val="20"/>
          <w:lang w:val="lt-LT"/>
        </w:rPr>
        <w:t xml:space="preserve"> toliau neanalizuojam</w:t>
      </w:r>
      <w:r>
        <w:rPr>
          <w:rFonts w:ascii="Georgia" w:hAnsi="Georgia"/>
          <w:sz w:val="20"/>
          <w:szCs w:val="20"/>
          <w:lang w:val="lt-LT"/>
        </w:rPr>
        <w:t>a</w:t>
      </w:r>
      <w:r w:rsidRPr="005D3A7A">
        <w:rPr>
          <w:rFonts w:ascii="Georgia" w:hAnsi="Georgia"/>
          <w:sz w:val="20"/>
          <w:szCs w:val="20"/>
          <w:lang w:val="lt-LT"/>
        </w:rPr>
        <w:t>.</w:t>
      </w:r>
    </w:p>
    <w:p w14:paraId="4AE851C7" w14:textId="77777777" w:rsidR="0006117A" w:rsidRDefault="0006117A" w:rsidP="0006117A">
      <w:pPr>
        <w:pStyle w:val="Sraopastraipa"/>
        <w:numPr>
          <w:ilvl w:val="0"/>
          <w:numId w:val="97"/>
        </w:numPr>
        <w:jc w:val="both"/>
        <w:rPr>
          <w:rFonts w:ascii="Georgia" w:hAnsi="Georgia"/>
          <w:sz w:val="20"/>
          <w:szCs w:val="20"/>
          <w:lang w:val="lt-LT"/>
        </w:rPr>
      </w:pPr>
      <w:r>
        <w:rPr>
          <w:rFonts w:ascii="Georgia" w:hAnsi="Georgia"/>
          <w:sz w:val="20"/>
          <w:szCs w:val="20"/>
          <w:lang w:val="lt-LT"/>
        </w:rPr>
        <w:t>Geriausius rezultatus demonstruoja garantijų teikimo priemonė, tačiau komercinių bankų apklausų metu buvo identifikuota, jog garantijų priemonės patrauklumas bankams yra ribotas dėl keleto veiksnių:</w:t>
      </w:r>
    </w:p>
    <w:p w14:paraId="4D960A98" w14:textId="77777777" w:rsidR="0006117A" w:rsidRDefault="0006117A" w:rsidP="0006117A">
      <w:pPr>
        <w:pStyle w:val="Sraopastraipa"/>
        <w:numPr>
          <w:ilvl w:val="1"/>
          <w:numId w:val="97"/>
        </w:numPr>
        <w:jc w:val="both"/>
        <w:rPr>
          <w:rFonts w:ascii="Georgia" w:hAnsi="Georgia"/>
          <w:sz w:val="20"/>
          <w:szCs w:val="20"/>
          <w:lang w:val="lt-LT"/>
        </w:rPr>
      </w:pPr>
      <w:r>
        <w:rPr>
          <w:rFonts w:ascii="Georgia" w:hAnsi="Georgia"/>
          <w:sz w:val="20"/>
          <w:szCs w:val="20"/>
          <w:lang w:val="lt-LT"/>
        </w:rPr>
        <w:t>Garantijos pridėtinė vertė bankui gali smarkiai priklausyti nuo jos teikėjo. Pavyzdžiui vienas aktyviausiai dalyvaujančių bankų renovacijos projektuose pažymėjo, kad jei garantija bus teikiama su EIB reitingu, tai yra labai patraukli. Tuo tarpu ribota piniginė garantija be valstybės užtikrinimo – nelabai, nes iš banko perspektyvų nesumažina jų rizikos.</w:t>
      </w:r>
    </w:p>
    <w:p w14:paraId="1021581E" w14:textId="77777777" w:rsidR="0006117A" w:rsidRDefault="0006117A" w:rsidP="0006117A">
      <w:pPr>
        <w:pStyle w:val="Sraopastraipa"/>
        <w:numPr>
          <w:ilvl w:val="1"/>
          <w:numId w:val="97"/>
        </w:numPr>
        <w:jc w:val="both"/>
        <w:rPr>
          <w:rFonts w:ascii="Georgia" w:hAnsi="Georgia"/>
          <w:sz w:val="20"/>
          <w:szCs w:val="20"/>
          <w:lang w:val="lt-LT"/>
        </w:rPr>
      </w:pPr>
      <w:r>
        <w:rPr>
          <w:rFonts w:ascii="Georgia" w:hAnsi="Georgia"/>
          <w:sz w:val="20"/>
          <w:szCs w:val="20"/>
          <w:lang w:val="lt-LT"/>
        </w:rPr>
        <w:t>P</w:t>
      </w:r>
      <w:r w:rsidRPr="00F97798">
        <w:rPr>
          <w:rFonts w:ascii="Georgia" w:hAnsi="Georgia"/>
          <w:sz w:val="20"/>
          <w:szCs w:val="20"/>
          <w:lang w:val="lt-LT"/>
        </w:rPr>
        <w:t>askolos viešųjų pastatų renovacijos projektams, teikiamos iš komercinių bankų, o ne iš ESI fondų lėšų, būtų traktuojamos kaip finansinis produktas, kuriam banko viduje reikalinga sukurti ir pritaikyti visus vidinius banko procesus</w:t>
      </w:r>
      <w:r>
        <w:rPr>
          <w:rFonts w:ascii="Georgia" w:hAnsi="Georgia"/>
          <w:sz w:val="20"/>
          <w:szCs w:val="20"/>
          <w:lang w:val="lt-LT"/>
        </w:rPr>
        <w:t>.</w:t>
      </w:r>
    </w:p>
    <w:p w14:paraId="6A3E23C7" w14:textId="77777777" w:rsidR="0006117A" w:rsidRDefault="0006117A" w:rsidP="0006117A">
      <w:pPr>
        <w:pStyle w:val="Sraopastraipa"/>
        <w:numPr>
          <w:ilvl w:val="1"/>
          <w:numId w:val="97"/>
        </w:numPr>
        <w:jc w:val="both"/>
        <w:rPr>
          <w:rFonts w:ascii="Georgia" w:hAnsi="Georgia"/>
          <w:sz w:val="20"/>
          <w:szCs w:val="20"/>
          <w:lang w:val="lt-LT"/>
        </w:rPr>
      </w:pPr>
      <w:r>
        <w:rPr>
          <w:rFonts w:ascii="Georgia" w:hAnsi="Georgia"/>
          <w:sz w:val="20"/>
          <w:szCs w:val="20"/>
          <w:lang w:val="lt-LT"/>
        </w:rPr>
        <w:t>N</w:t>
      </w:r>
      <w:r w:rsidRPr="002B1201">
        <w:rPr>
          <w:rFonts w:ascii="Georgia" w:hAnsi="Georgia"/>
          <w:sz w:val="20"/>
          <w:szCs w:val="20"/>
          <w:lang w:val="lt-LT"/>
        </w:rPr>
        <w:t xml:space="preserve">aujai sukurta garantijų priemonė būtų nepatraukli dėl </w:t>
      </w:r>
      <w:r>
        <w:rPr>
          <w:rFonts w:ascii="Georgia" w:hAnsi="Georgia"/>
          <w:sz w:val="20"/>
          <w:szCs w:val="20"/>
          <w:lang w:val="lt-LT"/>
        </w:rPr>
        <w:t xml:space="preserve">tam tikrų </w:t>
      </w:r>
      <w:r w:rsidRPr="002B1201">
        <w:rPr>
          <w:rFonts w:ascii="Georgia" w:hAnsi="Georgia"/>
          <w:sz w:val="20"/>
          <w:szCs w:val="20"/>
          <w:lang w:val="lt-LT"/>
        </w:rPr>
        <w:t xml:space="preserve">projektų paskolų istorijos trūkumo bei dėl žemo projektų atsiperkamumo. </w:t>
      </w:r>
      <w:r>
        <w:rPr>
          <w:rFonts w:ascii="Georgia" w:hAnsi="Georgia"/>
          <w:sz w:val="20"/>
          <w:szCs w:val="20"/>
          <w:lang w:val="lt-LT"/>
        </w:rPr>
        <w:t>Bankai</w:t>
      </w:r>
      <w:r w:rsidRPr="002B1201">
        <w:rPr>
          <w:rFonts w:ascii="Georgia" w:hAnsi="Georgia"/>
          <w:sz w:val="20"/>
          <w:szCs w:val="20"/>
          <w:lang w:val="lt-LT"/>
        </w:rPr>
        <w:t xml:space="preserve"> savivaldybių viešųjų pastatų renovacijos srityje neturi patirties,</w:t>
      </w:r>
      <w:r>
        <w:rPr>
          <w:rFonts w:ascii="Georgia" w:hAnsi="Georgia"/>
          <w:sz w:val="20"/>
          <w:szCs w:val="20"/>
          <w:lang w:val="lt-LT"/>
        </w:rPr>
        <w:t xml:space="preserve"> o</w:t>
      </w:r>
      <w:r w:rsidRPr="002B1201">
        <w:rPr>
          <w:rFonts w:ascii="Georgia" w:hAnsi="Georgia"/>
          <w:sz w:val="20"/>
          <w:szCs w:val="20"/>
          <w:lang w:val="lt-LT"/>
        </w:rPr>
        <w:t xml:space="preserve"> apsisprendus viešųjų pastatų renovaciją vykdyti per ESCO modelį</w:t>
      </w:r>
      <w:r>
        <w:rPr>
          <w:rFonts w:ascii="Georgia" w:hAnsi="Georgia"/>
          <w:sz w:val="20"/>
          <w:szCs w:val="20"/>
          <w:lang w:val="lt-LT"/>
        </w:rPr>
        <w:t xml:space="preserve"> -</w:t>
      </w:r>
      <w:r w:rsidRPr="002B1201">
        <w:rPr>
          <w:rFonts w:ascii="Georgia" w:hAnsi="Georgia"/>
          <w:sz w:val="20"/>
          <w:szCs w:val="20"/>
          <w:lang w:val="lt-LT"/>
        </w:rPr>
        <w:t xml:space="preserve"> šis modelis bankams </w:t>
      </w:r>
      <w:r>
        <w:rPr>
          <w:rFonts w:ascii="Georgia" w:hAnsi="Georgia"/>
          <w:sz w:val="20"/>
          <w:szCs w:val="20"/>
          <w:lang w:val="lt-LT"/>
        </w:rPr>
        <w:t>yra</w:t>
      </w:r>
      <w:r w:rsidRPr="002B1201">
        <w:rPr>
          <w:rFonts w:ascii="Georgia" w:hAnsi="Georgia"/>
          <w:sz w:val="20"/>
          <w:szCs w:val="20"/>
          <w:lang w:val="lt-LT"/>
        </w:rPr>
        <w:t xml:space="preserve"> nepažįstamas ir reikalautų daug laiko sąnaudų siekiant jį išsinagrinėti bei </w:t>
      </w:r>
      <w:r>
        <w:rPr>
          <w:rFonts w:ascii="Georgia" w:hAnsi="Georgia"/>
          <w:sz w:val="20"/>
          <w:szCs w:val="20"/>
          <w:lang w:val="lt-LT"/>
        </w:rPr>
        <w:t>tiksliai įvertinti jo rizikas</w:t>
      </w:r>
      <w:r w:rsidRPr="002B1201">
        <w:rPr>
          <w:rFonts w:ascii="Georgia" w:hAnsi="Georgia"/>
          <w:sz w:val="20"/>
          <w:szCs w:val="20"/>
          <w:lang w:val="lt-LT"/>
        </w:rPr>
        <w:t>.</w:t>
      </w:r>
    </w:p>
    <w:p w14:paraId="6CEF81ED" w14:textId="77777777" w:rsidR="0006117A" w:rsidRDefault="0006117A" w:rsidP="0006117A">
      <w:pPr>
        <w:pStyle w:val="Sraopastraipa"/>
        <w:numPr>
          <w:ilvl w:val="1"/>
          <w:numId w:val="97"/>
        </w:numPr>
        <w:jc w:val="both"/>
        <w:rPr>
          <w:rFonts w:ascii="Georgia" w:hAnsi="Georgia"/>
          <w:sz w:val="20"/>
          <w:szCs w:val="20"/>
          <w:lang w:val="lt-LT"/>
        </w:rPr>
      </w:pPr>
      <w:r>
        <w:rPr>
          <w:rFonts w:ascii="Georgia" w:hAnsi="Georgia"/>
          <w:sz w:val="20"/>
          <w:szCs w:val="20"/>
          <w:lang w:val="lt-LT"/>
        </w:rPr>
        <w:t xml:space="preserve">Lietuvos Bankas reikalauja iš bankų rezervuoti iki </w:t>
      </w:r>
      <w:r>
        <w:rPr>
          <w:rFonts w:ascii="Georgia" w:hAnsi="Georgia"/>
          <w:sz w:val="20"/>
          <w:szCs w:val="20"/>
        </w:rPr>
        <w:t xml:space="preserve">80 proc. </w:t>
      </w:r>
      <w:r>
        <w:rPr>
          <w:rFonts w:ascii="Georgia" w:hAnsi="Georgia"/>
          <w:sz w:val="20"/>
          <w:szCs w:val="20"/>
          <w:lang w:val="lt-LT"/>
        </w:rPr>
        <w:t>kapitalo blogoms paskoloms, kas reikštų santykinai aukštą skolinimo kainą.</w:t>
      </w:r>
    </w:p>
    <w:p w14:paraId="3B584BDF" w14:textId="77777777" w:rsidR="0006117A" w:rsidRPr="002A2E90" w:rsidRDefault="0006117A" w:rsidP="0006117A">
      <w:pPr>
        <w:ind w:left="720"/>
        <w:jc w:val="both"/>
        <w:rPr>
          <w:rFonts w:ascii="Georgia" w:hAnsi="Georgia"/>
          <w:sz w:val="20"/>
          <w:szCs w:val="20"/>
          <w:lang w:val="lt-LT"/>
        </w:rPr>
      </w:pPr>
      <w:r>
        <w:rPr>
          <w:rFonts w:ascii="Georgia" w:hAnsi="Georgia"/>
          <w:sz w:val="20"/>
          <w:szCs w:val="20"/>
          <w:lang w:val="lt-LT"/>
        </w:rPr>
        <w:t>Atsižvelgiant į aukščiau įvardintas kliūtis siekiant pritraukti papildomų komercinių bankų lėšų, rekomenduojama garantijos priemonės esamoms rinkos sąlygoms netaikyti.</w:t>
      </w:r>
      <w:r w:rsidRPr="002A2E90">
        <w:rPr>
          <w:rFonts w:ascii="Georgia" w:hAnsi="Georgia"/>
          <w:sz w:val="20"/>
          <w:szCs w:val="20"/>
          <w:lang w:val="lt-LT"/>
        </w:rPr>
        <w:t xml:space="preserve">   </w:t>
      </w:r>
    </w:p>
    <w:p w14:paraId="45637DB5" w14:textId="77777777" w:rsidR="0006117A" w:rsidRPr="004940FA" w:rsidRDefault="0006117A" w:rsidP="0006117A">
      <w:pPr>
        <w:pStyle w:val="Sraopastraipa"/>
        <w:numPr>
          <w:ilvl w:val="0"/>
          <w:numId w:val="97"/>
        </w:numPr>
        <w:jc w:val="both"/>
        <w:rPr>
          <w:rFonts w:ascii="Georgia" w:hAnsi="Georgia"/>
          <w:sz w:val="20"/>
          <w:szCs w:val="20"/>
          <w:lang w:val="lt-LT"/>
        </w:rPr>
      </w:pPr>
      <w:r w:rsidRPr="004940FA">
        <w:rPr>
          <w:rFonts w:ascii="Georgia" w:hAnsi="Georgia"/>
          <w:sz w:val="20"/>
          <w:szCs w:val="20"/>
          <w:lang w:val="lt-LT"/>
        </w:rPr>
        <w:t>Paskolų teikimo taikant paskolų išpirkimo modelį scenarijaus atveju sverto efektas yra 0,44 ger</w:t>
      </w:r>
      <w:r>
        <w:rPr>
          <w:rFonts w:ascii="Georgia" w:hAnsi="Georgia"/>
          <w:sz w:val="20"/>
          <w:szCs w:val="20"/>
          <w:lang w:val="lt-LT"/>
        </w:rPr>
        <w:t>e</w:t>
      </w:r>
      <w:r w:rsidRPr="004940FA">
        <w:rPr>
          <w:rFonts w:ascii="Georgia" w:hAnsi="Georgia"/>
          <w:sz w:val="20"/>
          <w:szCs w:val="20"/>
          <w:lang w:val="lt-LT"/>
        </w:rPr>
        <w:t xml:space="preserve">snis nei taikant asimetrinio rizikos pasidalijimo modelį, o įgyvendintų projektų skaičius didesnis 17 projektų. </w:t>
      </w:r>
      <w:r>
        <w:rPr>
          <w:rFonts w:ascii="Georgia" w:hAnsi="Georgia"/>
          <w:sz w:val="20"/>
          <w:szCs w:val="20"/>
          <w:lang w:val="lt-LT"/>
        </w:rPr>
        <w:t>Tačiau p</w:t>
      </w:r>
      <w:r w:rsidRPr="004940FA">
        <w:rPr>
          <w:rFonts w:ascii="Georgia" w:hAnsi="Georgia"/>
          <w:sz w:val="20"/>
          <w:szCs w:val="20"/>
          <w:lang w:val="lt-LT"/>
        </w:rPr>
        <w:t xml:space="preserve">ažymėtina, kad paskolų išpirkimo modelis gali sėkmingai veikti tik susiformavus pakankamam projektų srautui ir tik išpirkus ženklesnę tų paskolų dalį, kas gali užtrukti </w:t>
      </w:r>
      <w:r w:rsidRPr="002A2E90">
        <w:rPr>
          <w:rFonts w:ascii="Georgia" w:hAnsi="Georgia"/>
          <w:sz w:val="20"/>
          <w:szCs w:val="20"/>
          <w:lang w:val="lt-LT"/>
        </w:rPr>
        <w:t xml:space="preserve">pakankamai ilgą laiko tarpą. </w:t>
      </w:r>
      <w:r>
        <w:rPr>
          <w:rFonts w:ascii="Georgia" w:hAnsi="Georgia"/>
          <w:sz w:val="20"/>
          <w:szCs w:val="20"/>
          <w:lang w:val="lt-LT"/>
        </w:rPr>
        <w:t>Modeliuojant</w:t>
      </w:r>
      <w:r w:rsidRPr="002A2E90">
        <w:rPr>
          <w:rFonts w:ascii="Georgia" w:hAnsi="Georgia"/>
          <w:sz w:val="20"/>
          <w:szCs w:val="20"/>
          <w:lang w:val="lt-LT"/>
        </w:rPr>
        <w:t xml:space="preserve"> alternatyvų rezultatus buvo padaryta prielaida, kad paskolos bus pradėtos išpirkti 2020 m</w:t>
      </w:r>
      <w:r>
        <w:rPr>
          <w:rStyle w:val="Puslapioinaosnuoroda"/>
          <w:rFonts w:ascii="Georgia" w:hAnsi="Georgia"/>
          <w:sz w:val="20"/>
          <w:szCs w:val="20"/>
          <w:lang w:val="lt-LT"/>
        </w:rPr>
        <w:footnoteReference w:id="140"/>
      </w:r>
      <w:r w:rsidRPr="002A2E90">
        <w:rPr>
          <w:rFonts w:ascii="Georgia" w:hAnsi="Georgia"/>
          <w:sz w:val="20"/>
          <w:szCs w:val="20"/>
          <w:lang w:val="lt-LT"/>
        </w:rPr>
        <w:t xml:space="preserve">. </w:t>
      </w:r>
      <w:r w:rsidRPr="004940FA">
        <w:rPr>
          <w:rFonts w:ascii="Georgia" w:hAnsi="Georgia"/>
          <w:sz w:val="20"/>
          <w:szCs w:val="20"/>
          <w:lang w:val="lt-LT"/>
        </w:rPr>
        <w:t xml:space="preserve">Tuo tarpu paskolų teikimas taikant asimetrinio rizikos pasidalijimo modelį pritraukia lėšas iš pat pradžių. </w:t>
      </w:r>
    </w:p>
    <w:p w14:paraId="14DA5E7A" w14:textId="77777777" w:rsidR="0006117A" w:rsidRDefault="0006117A" w:rsidP="0006117A">
      <w:pPr>
        <w:pStyle w:val="Sraopastraipa"/>
        <w:numPr>
          <w:ilvl w:val="0"/>
          <w:numId w:val="97"/>
        </w:numPr>
        <w:jc w:val="both"/>
        <w:rPr>
          <w:rFonts w:ascii="Georgia" w:hAnsi="Georgia"/>
          <w:sz w:val="20"/>
          <w:szCs w:val="20"/>
          <w:lang w:val="lt-LT"/>
        </w:rPr>
      </w:pPr>
      <w:r>
        <w:rPr>
          <w:rFonts w:ascii="Georgia" w:hAnsi="Georgia"/>
          <w:sz w:val="20"/>
          <w:szCs w:val="20"/>
          <w:lang w:val="lt-LT"/>
        </w:rPr>
        <w:t>Kokybinėje analizėje buvo identifikuoti ir asimetrinio rizikos pasidalijimo pagrindiniai trūkumai, įskaitant valstybės prisiimamą didesnę riziką dėl ko gali sumažėti viešųjų lėšų apimtis, sudėtingesnis valstybės pagalbos derinimas, daugiau laiko reikalaujantis procesas nuo pat pradžių, nes būtina suderinti rizikos pasiskirstymą tarp viešojo ir privataus sektorių, kai pavyzdžiui paskolų išpirkimo modelyje tai galima padaryti vėliau, jau atsiradus projektų srautui.</w:t>
      </w:r>
    </w:p>
    <w:p w14:paraId="18671A02" w14:textId="77777777" w:rsidR="0006117A" w:rsidRDefault="0006117A" w:rsidP="0006117A">
      <w:pPr>
        <w:pStyle w:val="Sraopastraipa"/>
        <w:numPr>
          <w:ilvl w:val="0"/>
          <w:numId w:val="97"/>
        </w:numPr>
        <w:jc w:val="both"/>
        <w:rPr>
          <w:rFonts w:ascii="Georgia" w:hAnsi="Georgia"/>
          <w:sz w:val="20"/>
          <w:szCs w:val="20"/>
          <w:lang w:val="lt-LT"/>
        </w:rPr>
      </w:pPr>
      <w:r>
        <w:rPr>
          <w:rFonts w:ascii="Georgia" w:hAnsi="Georgia"/>
          <w:sz w:val="20"/>
          <w:szCs w:val="20"/>
          <w:lang w:val="lt-LT"/>
        </w:rPr>
        <w:t>Pabrėžtina, jog siekiant taikyti paskolų išpirkimo modelį privalo susiformuoti tokių paskolų portfelis. Šis procesas gali ilgai užtrukti. Taip pat yra būtinas išankstinis investuotojų įtraukimas.</w:t>
      </w:r>
    </w:p>
    <w:p w14:paraId="465D6E3B" w14:textId="77777777" w:rsidR="0006117A" w:rsidRPr="002A2E90" w:rsidRDefault="0006117A" w:rsidP="0006117A">
      <w:pPr>
        <w:pStyle w:val="Sraopastraipa"/>
        <w:numPr>
          <w:ilvl w:val="0"/>
          <w:numId w:val="97"/>
        </w:numPr>
        <w:jc w:val="both"/>
        <w:rPr>
          <w:rFonts w:ascii="Georgia" w:hAnsi="Georgia"/>
          <w:sz w:val="20"/>
          <w:szCs w:val="20"/>
          <w:lang w:val="lt-LT"/>
        </w:rPr>
      </w:pPr>
      <w:r>
        <w:rPr>
          <w:rFonts w:ascii="Georgia" w:hAnsi="Georgia"/>
          <w:sz w:val="20"/>
          <w:szCs w:val="20"/>
          <w:lang w:val="lt-LT"/>
        </w:rPr>
        <w:lastRenderedPageBreak/>
        <w:t xml:space="preserve">Vienu ir kitu atveju siūlomas tas pats finansinis produktas – paskolos – kuris yra gerai pažįstamas vadovaujančiai institucijai ir su kuriuo yra gerai susipažinusi rinka. Tuo tarpu įvertinus kiekybinius skirtumus ir kokybinius privalumus bei trūkumus, </w:t>
      </w:r>
      <w:r w:rsidRPr="00776D82">
        <w:rPr>
          <w:rFonts w:ascii="Georgia" w:hAnsi="Georgia"/>
          <w:b/>
          <w:sz w:val="20"/>
          <w:szCs w:val="20"/>
          <w:lang w:val="lt-LT"/>
        </w:rPr>
        <w:t xml:space="preserve">rekomenduojama pasirinkti paskolų teikimą </w:t>
      </w:r>
      <w:r>
        <w:rPr>
          <w:rFonts w:ascii="Georgia" w:hAnsi="Georgia"/>
          <w:b/>
          <w:sz w:val="20"/>
          <w:szCs w:val="20"/>
          <w:lang w:val="lt-LT"/>
        </w:rPr>
        <w:t xml:space="preserve">taikant </w:t>
      </w:r>
      <w:r w:rsidRPr="00776D82">
        <w:rPr>
          <w:rFonts w:ascii="Georgia" w:hAnsi="Georgia"/>
          <w:b/>
          <w:sz w:val="20"/>
          <w:szCs w:val="20"/>
          <w:lang w:val="lt-LT"/>
        </w:rPr>
        <w:t>asimetrinį rizikos pasidalijimo modelį</w:t>
      </w:r>
      <w:r>
        <w:rPr>
          <w:rFonts w:ascii="Georgia" w:hAnsi="Georgia"/>
          <w:b/>
          <w:sz w:val="20"/>
          <w:szCs w:val="20"/>
          <w:lang w:val="lt-LT"/>
        </w:rPr>
        <w:t xml:space="preserve">, </w:t>
      </w:r>
      <w:r w:rsidRPr="002A2E90">
        <w:rPr>
          <w:rFonts w:ascii="Georgia" w:hAnsi="Georgia"/>
          <w:bCs/>
          <w:sz w:val="20"/>
          <w:szCs w:val="20"/>
          <w:lang w:val="lt-LT"/>
        </w:rPr>
        <w:t xml:space="preserve">o </w:t>
      </w:r>
      <w:r>
        <w:rPr>
          <w:rFonts w:ascii="Georgia" w:hAnsi="Georgia"/>
          <w:sz w:val="20"/>
          <w:szCs w:val="20"/>
          <w:lang w:val="lt-LT"/>
        </w:rPr>
        <w:t xml:space="preserve">susiformavus pakankamam projektų srautui ar kitoms galimybėms fondų fondo (ar finansinės priemonės valdytojui) ieškoti galimybių taikyti </w:t>
      </w:r>
      <w:r w:rsidRPr="00776D82">
        <w:rPr>
          <w:rFonts w:ascii="Georgia" w:hAnsi="Georgia"/>
          <w:b/>
          <w:sz w:val="20"/>
          <w:szCs w:val="20"/>
          <w:lang w:val="lt-LT"/>
        </w:rPr>
        <w:t xml:space="preserve"> paskolų išpirkimo modelį</w:t>
      </w:r>
      <w:r w:rsidRPr="002A2E90">
        <w:rPr>
          <w:rFonts w:ascii="Georgia" w:hAnsi="Georgia"/>
          <w:b/>
          <w:sz w:val="20"/>
          <w:szCs w:val="20"/>
          <w:lang w:val="lt-LT"/>
        </w:rPr>
        <w:t>.</w:t>
      </w:r>
      <w:r>
        <w:rPr>
          <w:rFonts w:ascii="Georgia" w:hAnsi="Georgia"/>
          <w:sz w:val="20"/>
          <w:szCs w:val="20"/>
          <w:lang w:val="lt-LT"/>
        </w:rPr>
        <w:t xml:space="preserve"> </w:t>
      </w:r>
    </w:p>
    <w:p w14:paraId="095AAD6C" w14:textId="77777777" w:rsidR="0006117A" w:rsidRDefault="0006117A" w:rsidP="0006117A">
      <w:pPr>
        <w:jc w:val="both"/>
        <w:rPr>
          <w:rFonts w:ascii="Georgia" w:hAnsi="Georgia"/>
          <w:sz w:val="20"/>
          <w:szCs w:val="20"/>
          <w:lang w:val="lt-LT"/>
        </w:rPr>
      </w:pPr>
      <w:r w:rsidRPr="00C8226F">
        <w:rPr>
          <w:rFonts w:ascii="Georgia" w:hAnsi="Georgia"/>
          <w:sz w:val="20"/>
          <w:szCs w:val="20"/>
          <w:lang w:val="lt-LT"/>
        </w:rPr>
        <w:t>Tuo atveju jei bus nuspręsta pasirinkti finansinius tarpininkus, rekomenduojama, atrenkant finansinius tarpininkus, juos skatinti</w:t>
      </w:r>
      <w:r>
        <w:rPr>
          <w:rFonts w:ascii="Georgia" w:hAnsi="Georgia"/>
          <w:sz w:val="20"/>
          <w:szCs w:val="20"/>
          <w:lang w:val="lt-LT"/>
        </w:rPr>
        <w:t xml:space="preserve"> (arba įpareigoti)</w:t>
      </w:r>
      <w:r w:rsidRPr="00C8226F">
        <w:rPr>
          <w:rFonts w:ascii="Georgia" w:hAnsi="Georgia"/>
          <w:sz w:val="20"/>
          <w:szCs w:val="20"/>
          <w:lang w:val="lt-LT"/>
        </w:rPr>
        <w:t xml:space="preserve"> prisidėti savo lėšomis.</w:t>
      </w:r>
      <w:r w:rsidRPr="00F8724F">
        <w:rPr>
          <w:rFonts w:ascii="Georgia" w:hAnsi="Georgia"/>
          <w:sz w:val="20"/>
          <w:szCs w:val="20"/>
          <w:lang w:val="lt-LT"/>
        </w:rPr>
        <w:t xml:space="preserve"> </w:t>
      </w:r>
    </w:p>
    <w:p w14:paraId="76BBAF7E" w14:textId="04AC7E58" w:rsidR="0006117A" w:rsidRDefault="0006117A" w:rsidP="0006117A">
      <w:pPr>
        <w:autoSpaceDE w:val="0"/>
        <w:autoSpaceDN w:val="0"/>
        <w:adjustRightInd w:val="0"/>
        <w:spacing w:after="120"/>
        <w:jc w:val="both"/>
        <w:rPr>
          <w:rFonts w:ascii="Georgia" w:hAnsi="Georgia"/>
          <w:sz w:val="20"/>
          <w:szCs w:val="20"/>
          <w:lang w:val="lt-LT"/>
        </w:rPr>
      </w:pPr>
      <w:r>
        <w:rPr>
          <w:rFonts w:ascii="Georgia" w:hAnsi="Georgia"/>
          <w:sz w:val="20"/>
          <w:szCs w:val="20"/>
          <w:lang w:val="lt-LT"/>
        </w:rPr>
        <w:t xml:space="preserve">Pažymėtina, kad, esant galimybei, jautrumo analizėje identifikuota subsidija projektams galėtų būti teikiama iš </w:t>
      </w:r>
      <w:r w:rsidR="0063653E">
        <w:rPr>
          <w:rFonts w:ascii="Georgia" w:hAnsi="Georgia"/>
          <w:sz w:val="20"/>
          <w:szCs w:val="20"/>
          <w:lang w:val="lt-LT"/>
        </w:rPr>
        <w:t xml:space="preserve">kitų </w:t>
      </w:r>
      <w:r>
        <w:rPr>
          <w:rFonts w:ascii="Georgia" w:hAnsi="Georgia"/>
          <w:sz w:val="20"/>
          <w:szCs w:val="20"/>
          <w:lang w:val="lt-LT"/>
        </w:rPr>
        <w:t>priemon</w:t>
      </w:r>
      <w:r w:rsidR="0063653E">
        <w:rPr>
          <w:rFonts w:ascii="Georgia" w:hAnsi="Georgia"/>
          <w:sz w:val="20"/>
          <w:szCs w:val="20"/>
          <w:lang w:val="lt-LT"/>
        </w:rPr>
        <w:t>ių</w:t>
      </w:r>
      <w:r>
        <w:rPr>
          <w:rFonts w:ascii="Georgia" w:hAnsi="Georgia"/>
          <w:sz w:val="20"/>
          <w:szCs w:val="20"/>
          <w:lang w:val="lt-LT"/>
        </w:rPr>
        <w:t xml:space="preserve"> (pvz. techninei paramai ar kitiems Bendrųjų nuostatų reglamente numatytiems tikslams) </w:t>
      </w:r>
      <w:r w:rsidR="007B305E">
        <w:rPr>
          <w:rFonts w:ascii="Georgia" w:hAnsi="Georgia"/>
          <w:sz w:val="20"/>
          <w:szCs w:val="20"/>
          <w:lang w:val="lt-LT"/>
        </w:rPr>
        <w:t xml:space="preserve">ar </w:t>
      </w:r>
      <w:r>
        <w:rPr>
          <w:rFonts w:ascii="Georgia" w:hAnsi="Georgia"/>
          <w:sz w:val="20"/>
          <w:szCs w:val="20"/>
          <w:lang w:val="lt-LT"/>
        </w:rPr>
        <w:t>iš kitų šaltinių (pvz. nacionalinių lėšų) ir tai nedarytų jokios įtakos scenarijų vertinimui bei optimalaus scenarijaus pasirinkimui, tačiau darytų įtaką konkretiems kiekybinių rodiklių rezultatams.</w:t>
      </w:r>
    </w:p>
    <w:p w14:paraId="3B45BD55" w14:textId="77777777" w:rsidR="00C27103" w:rsidRPr="002142B8" w:rsidRDefault="00C27103" w:rsidP="00C27103">
      <w:pPr>
        <w:rPr>
          <w:lang w:val="lt-LT"/>
        </w:rPr>
      </w:pPr>
    </w:p>
    <w:p w14:paraId="3A7D2642" w14:textId="3EC40FC2" w:rsidR="00FD5FAE" w:rsidRPr="002142B8" w:rsidRDefault="00FD5FAE" w:rsidP="00C57355">
      <w:pPr>
        <w:pStyle w:val="Antrat2"/>
        <w:numPr>
          <w:ilvl w:val="2"/>
          <w:numId w:val="2"/>
        </w:numPr>
        <w:spacing w:after="240"/>
        <w:ind w:left="851" w:hanging="851"/>
        <w:rPr>
          <w:lang w:val="lt-LT"/>
        </w:rPr>
      </w:pPr>
      <w:bookmarkStart w:id="291" w:name="_Toc25589937"/>
      <w:r w:rsidRPr="002142B8">
        <w:rPr>
          <w:lang w:val="lt-LT"/>
        </w:rPr>
        <w:t>Gatvių apšvietimo modernizavimo scenarijų palyginimas</w:t>
      </w:r>
      <w:bookmarkEnd w:id="286"/>
      <w:bookmarkEnd w:id="287"/>
      <w:bookmarkEnd w:id="291"/>
    </w:p>
    <w:p w14:paraId="16E5DF8C" w14:textId="77777777" w:rsidR="005A432A" w:rsidRDefault="005A432A" w:rsidP="005A432A">
      <w:pPr>
        <w:jc w:val="both"/>
        <w:rPr>
          <w:rFonts w:ascii="Georgia" w:hAnsi="Georgia"/>
          <w:sz w:val="20"/>
          <w:szCs w:val="20"/>
          <w:lang w:val="lt-LT"/>
        </w:rPr>
      </w:pPr>
      <w:r w:rsidRPr="00C8226F">
        <w:rPr>
          <w:rFonts w:ascii="Georgia" w:hAnsi="Georgia"/>
          <w:sz w:val="20"/>
          <w:szCs w:val="20"/>
          <w:lang w:val="lt-LT"/>
        </w:rPr>
        <w:t xml:space="preserve">Lentelėje pateikiamas 4.1. dalyje apskaičiuotas gatvių apšvietimo modernizavimo scenarijų rezultatų palyginimas. </w:t>
      </w:r>
    </w:p>
    <w:p w14:paraId="0BBDAB0B" w14:textId="66839E20" w:rsidR="005A432A" w:rsidRPr="008377C9" w:rsidRDefault="005A432A" w:rsidP="005A432A">
      <w:pPr>
        <w:pStyle w:val="Antrat"/>
        <w:rPr>
          <w:b w:val="0"/>
          <w:i/>
          <w:szCs w:val="20"/>
          <w:lang w:val="lt-LT"/>
        </w:rPr>
      </w:pPr>
      <w:bookmarkStart w:id="292" w:name="_Toc503193929"/>
      <w:bookmarkStart w:id="293" w:name="_Toc507939213"/>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91</w:t>
      </w:r>
      <w:r w:rsidRPr="008377C9">
        <w:rPr>
          <w:b w:val="0"/>
          <w:i/>
          <w:lang w:val="lt-LT"/>
        </w:rPr>
        <w:fldChar w:fldCharType="end"/>
      </w:r>
      <w:r w:rsidRPr="008377C9">
        <w:rPr>
          <w:b w:val="0"/>
          <w:i/>
          <w:lang w:val="lt-LT"/>
        </w:rPr>
        <w:t xml:space="preserve">. </w:t>
      </w:r>
      <w:r w:rsidRPr="008377C9">
        <w:rPr>
          <w:b w:val="0"/>
          <w:i/>
          <w:szCs w:val="20"/>
          <w:lang w:val="lt-LT"/>
        </w:rPr>
        <w:t>Skirtingų scenarijų palyginimas</w:t>
      </w:r>
      <w:bookmarkEnd w:id="292"/>
      <w:bookmarkEnd w:id="293"/>
    </w:p>
    <w:tbl>
      <w:tblPr>
        <w:tblW w:w="9041" w:type="dxa"/>
        <w:tblInd w:w="108" w:type="dxa"/>
        <w:tblLayout w:type="fixed"/>
        <w:tblLook w:val="04A0" w:firstRow="1" w:lastRow="0" w:firstColumn="1" w:lastColumn="0" w:noHBand="0" w:noVBand="1"/>
      </w:tblPr>
      <w:tblGrid>
        <w:gridCol w:w="4253"/>
        <w:gridCol w:w="1134"/>
        <w:gridCol w:w="1276"/>
        <w:gridCol w:w="1495"/>
        <w:gridCol w:w="883"/>
      </w:tblGrid>
      <w:tr w:rsidR="005A432A" w:rsidRPr="00517E65" w14:paraId="384E2CAC" w14:textId="77777777" w:rsidTr="005A432A">
        <w:trPr>
          <w:trHeight w:val="287"/>
        </w:trPr>
        <w:tc>
          <w:tcPr>
            <w:tcW w:w="4253" w:type="dxa"/>
            <w:tcBorders>
              <w:top w:val="single" w:sz="8" w:space="0" w:color="D62E1C"/>
              <w:left w:val="single" w:sz="8" w:space="0" w:color="D62E1C"/>
              <w:bottom w:val="nil"/>
              <w:right w:val="nil"/>
            </w:tcBorders>
            <w:shd w:val="clear" w:color="000000" w:fill="D62E1C"/>
            <w:vAlign w:val="center"/>
            <w:hideMark/>
          </w:tcPr>
          <w:p w14:paraId="06578CC8" w14:textId="77777777" w:rsidR="005A432A" w:rsidRPr="00517E65" w:rsidRDefault="005A432A" w:rsidP="005A432A">
            <w:pPr>
              <w:spacing w:after="0" w:line="240" w:lineRule="auto"/>
              <w:rPr>
                <w:rFonts w:ascii="Georgia" w:eastAsia="Times New Roman" w:hAnsi="Georgia" w:cs="Arial"/>
                <w:color w:val="FFFFFF"/>
                <w:sz w:val="20"/>
                <w:szCs w:val="20"/>
              </w:rPr>
            </w:pPr>
            <w:r w:rsidRPr="00517E65">
              <w:rPr>
                <w:rFonts w:ascii="Georgia" w:eastAsia="Times New Roman" w:hAnsi="Georgia" w:cs="Arial"/>
                <w:color w:val="FFFFFF"/>
                <w:sz w:val="20"/>
                <w:szCs w:val="20"/>
              </w:rPr>
              <w:t> </w:t>
            </w:r>
          </w:p>
        </w:tc>
        <w:tc>
          <w:tcPr>
            <w:tcW w:w="1134" w:type="dxa"/>
            <w:tcBorders>
              <w:top w:val="single" w:sz="8" w:space="0" w:color="D62E1C"/>
              <w:left w:val="nil"/>
              <w:bottom w:val="nil"/>
              <w:right w:val="nil"/>
            </w:tcBorders>
            <w:shd w:val="clear" w:color="000000" w:fill="D62E1C"/>
            <w:vAlign w:val="center"/>
            <w:hideMark/>
          </w:tcPr>
          <w:p w14:paraId="67C08894" w14:textId="77777777" w:rsidR="005A432A" w:rsidRPr="00517E65" w:rsidRDefault="005A432A" w:rsidP="005A432A">
            <w:pPr>
              <w:spacing w:after="0" w:line="240" w:lineRule="auto"/>
              <w:jc w:val="center"/>
              <w:rPr>
                <w:rFonts w:ascii="Georgia" w:eastAsia="Times New Roman" w:hAnsi="Georgia" w:cs="Arial"/>
                <w:b/>
                <w:bCs/>
                <w:color w:val="FFFFFF"/>
                <w:sz w:val="18"/>
                <w:szCs w:val="18"/>
              </w:rPr>
            </w:pPr>
            <w:r w:rsidRPr="00517E65">
              <w:rPr>
                <w:rFonts w:ascii="Georgia" w:eastAsia="Times New Roman" w:hAnsi="Georgia" w:cs="Arial"/>
                <w:b/>
                <w:bCs/>
                <w:color w:val="FFFFFF"/>
                <w:sz w:val="18"/>
                <w:szCs w:val="18"/>
              </w:rPr>
              <w:t xml:space="preserve">Nr. 1 </w:t>
            </w:r>
          </w:p>
        </w:tc>
        <w:tc>
          <w:tcPr>
            <w:tcW w:w="1276" w:type="dxa"/>
            <w:tcBorders>
              <w:top w:val="single" w:sz="8" w:space="0" w:color="D62E1C"/>
              <w:left w:val="nil"/>
              <w:bottom w:val="nil"/>
              <w:right w:val="nil"/>
            </w:tcBorders>
            <w:shd w:val="clear" w:color="000000" w:fill="D62E1C"/>
            <w:vAlign w:val="center"/>
            <w:hideMark/>
          </w:tcPr>
          <w:p w14:paraId="6044913F" w14:textId="77777777" w:rsidR="005A432A" w:rsidRPr="00517E65" w:rsidRDefault="005A432A" w:rsidP="005A432A">
            <w:pPr>
              <w:spacing w:after="0" w:line="240" w:lineRule="auto"/>
              <w:jc w:val="center"/>
              <w:rPr>
                <w:rFonts w:ascii="Georgia" w:eastAsia="Times New Roman" w:hAnsi="Georgia" w:cs="Arial"/>
                <w:b/>
                <w:bCs/>
                <w:color w:val="FFFFFF"/>
                <w:sz w:val="18"/>
                <w:szCs w:val="18"/>
              </w:rPr>
            </w:pPr>
            <w:r w:rsidRPr="00517E65">
              <w:rPr>
                <w:rFonts w:ascii="Georgia" w:eastAsia="Times New Roman" w:hAnsi="Georgia" w:cs="Arial"/>
                <w:b/>
                <w:bCs/>
                <w:color w:val="FFFFFF"/>
                <w:sz w:val="18"/>
                <w:szCs w:val="18"/>
              </w:rPr>
              <w:t xml:space="preserve">Nr. 2 </w:t>
            </w:r>
          </w:p>
        </w:tc>
        <w:tc>
          <w:tcPr>
            <w:tcW w:w="1495" w:type="dxa"/>
            <w:tcBorders>
              <w:top w:val="single" w:sz="8" w:space="0" w:color="D62E1C"/>
              <w:left w:val="nil"/>
              <w:bottom w:val="nil"/>
              <w:right w:val="nil"/>
            </w:tcBorders>
            <w:shd w:val="clear" w:color="000000" w:fill="D62E1C"/>
            <w:vAlign w:val="center"/>
            <w:hideMark/>
          </w:tcPr>
          <w:p w14:paraId="418504EA" w14:textId="77777777" w:rsidR="005A432A" w:rsidRPr="00517E65" w:rsidRDefault="005A432A" w:rsidP="005A432A">
            <w:pPr>
              <w:spacing w:after="0" w:line="240" w:lineRule="auto"/>
              <w:jc w:val="center"/>
              <w:rPr>
                <w:rFonts w:ascii="Georgia" w:eastAsia="Times New Roman" w:hAnsi="Georgia" w:cs="Arial"/>
                <w:b/>
                <w:bCs/>
                <w:color w:val="FFFFFF"/>
                <w:sz w:val="18"/>
                <w:szCs w:val="18"/>
              </w:rPr>
            </w:pPr>
            <w:r w:rsidRPr="00517E65">
              <w:rPr>
                <w:rFonts w:ascii="Georgia" w:eastAsia="Times New Roman" w:hAnsi="Georgia" w:cs="Arial"/>
                <w:b/>
                <w:bCs/>
                <w:color w:val="FFFFFF"/>
                <w:sz w:val="18"/>
                <w:szCs w:val="18"/>
              </w:rPr>
              <w:t xml:space="preserve">Nr. 3 </w:t>
            </w:r>
          </w:p>
        </w:tc>
        <w:tc>
          <w:tcPr>
            <w:tcW w:w="883" w:type="dxa"/>
            <w:tcBorders>
              <w:top w:val="single" w:sz="8" w:space="0" w:color="D62E1C"/>
              <w:left w:val="nil"/>
              <w:bottom w:val="nil"/>
              <w:right w:val="nil"/>
            </w:tcBorders>
            <w:shd w:val="clear" w:color="000000" w:fill="D62E1C"/>
            <w:vAlign w:val="center"/>
            <w:hideMark/>
          </w:tcPr>
          <w:p w14:paraId="271A557C" w14:textId="77777777" w:rsidR="005A432A" w:rsidRPr="00517E65" w:rsidRDefault="005A432A" w:rsidP="005A432A">
            <w:pPr>
              <w:spacing w:after="0" w:line="240" w:lineRule="auto"/>
              <w:jc w:val="center"/>
              <w:rPr>
                <w:rFonts w:ascii="Georgia" w:eastAsia="Times New Roman" w:hAnsi="Georgia" w:cs="Arial"/>
                <w:b/>
                <w:bCs/>
                <w:color w:val="FFFFFF"/>
                <w:sz w:val="18"/>
                <w:szCs w:val="18"/>
              </w:rPr>
            </w:pPr>
            <w:r w:rsidRPr="00517E65">
              <w:rPr>
                <w:rFonts w:ascii="Georgia" w:eastAsia="Times New Roman" w:hAnsi="Georgia" w:cs="Arial"/>
                <w:b/>
                <w:bCs/>
                <w:color w:val="FFFFFF"/>
                <w:sz w:val="18"/>
                <w:szCs w:val="18"/>
              </w:rPr>
              <w:t xml:space="preserve">Nr.4 </w:t>
            </w:r>
          </w:p>
        </w:tc>
      </w:tr>
      <w:tr w:rsidR="005A432A" w:rsidRPr="00517E65" w14:paraId="15C4509A" w14:textId="77777777" w:rsidTr="005A432A">
        <w:trPr>
          <w:trHeight w:val="1211"/>
        </w:trPr>
        <w:tc>
          <w:tcPr>
            <w:tcW w:w="4253" w:type="dxa"/>
            <w:tcBorders>
              <w:top w:val="single" w:sz="8" w:space="0" w:color="D62E1C"/>
              <w:left w:val="single" w:sz="8" w:space="0" w:color="D62E1C"/>
              <w:bottom w:val="single" w:sz="8" w:space="0" w:color="D62E1C"/>
              <w:right w:val="nil"/>
            </w:tcBorders>
            <w:shd w:val="clear" w:color="auto" w:fill="auto"/>
            <w:vAlign w:val="center"/>
            <w:hideMark/>
          </w:tcPr>
          <w:p w14:paraId="2A1485EC" w14:textId="77777777" w:rsidR="005A432A" w:rsidRPr="00517E65" w:rsidRDefault="005A432A" w:rsidP="005A432A">
            <w:pPr>
              <w:spacing w:after="0" w:line="240" w:lineRule="auto"/>
              <w:rPr>
                <w:rFonts w:ascii="Georgia" w:eastAsia="Times New Roman" w:hAnsi="Georgia" w:cs="Arial"/>
                <w:b/>
                <w:bCs/>
                <w:color w:val="000000"/>
                <w:sz w:val="18"/>
                <w:szCs w:val="18"/>
              </w:rPr>
            </w:pPr>
            <w:r w:rsidRPr="00517E65">
              <w:rPr>
                <w:rFonts w:ascii="Georgia" w:eastAsia="Times New Roman" w:hAnsi="Georgia" w:cs="Arial"/>
                <w:b/>
                <w:bCs/>
                <w:color w:val="000000"/>
                <w:sz w:val="18"/>
                <w:szCs w:val="18"/>
              </w:rPr>
              <w:t xml:space="preserve">Finansinė priemonė </w:t>
            </w:r>
          </w:p>
        </w:tc>
        <w:tc>
          <w:tcPr>
            <w:tcW w:w="1134" w:type="dxa"/>
            <w:tcBorders>
              <w:top w:val="single" w:sz="8" w:space="0" w:color="D62E1C"/>
              <w:left w:val="nil"/>
              <w:bottom w:val="single" w:sz="8" w:space="0" w:color="D62E1C"/>
              <w:right w:val="nil"/>
            </w:tcBorders>
            <w:shd w:val="clear" w:color="auto" w:fill="auto"/>
            <w:vAlign w:val="center"/>
            <w:hideMark/>
          </w:tcPr>
          <w:p w14:paraId="7062747D"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 xml:space="preserve">askola </w:t>
            </w:r>
          </w:p>
        </w:tc>
        <w:tc>
          <w:tcPr>
            <w:tcW w:w="1276" w:type="dxa"/>
            <w:tcBorders>
              <w:top w:val="single" w:sz="8" w:space="0" w:color="D62E1C"/>
              <w:left w:val="nil"/>
              <w:bottom w:val="single" w:sz="8" w:space="0" w:color="D62E1C"/>
              <w:right w:val="nil"/>
            </w:tcBorders>
            <w:shd w:val="clear" w:color="auto" w:fill="auto"/>
            <w:vAlign w:val="center"/>
            <w:hideMark/>
          </w:tcPr>
          <w:p w14:paraId="0C1BE3BD"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w:t>
            </w:r>
            <w:r w:rsidRPr="005F7F46">
              <w:rPr>
                <w:rFonts w:ascii="Georgia" w:eastAsia="Times New Roman" w:hAnsi="Georgia" w:cs="Arial"/>
                <w:color w:val="000000"/>
                <w:sz w:val="16"/>
                <w:szCs w:val="16"/>
              </w:rPr>
              <w:t>askol</w:t>
            </w:r>
            <w:r>
              <w:rPr>
                <w:rFonts w:ascii="Georgia" w:eastAsia="Times New Roman" w:hAnsi="Georgia" w:cs="Arial"/>
                <w:color w:val="000000"/>
                <w:sz w:val="16"/>
                <w:szCs w:val="16"/>
              </w:rPr>
              <w:t>ų teikimas taikant paskolų išpirkimo modelį</w:t>
            </w:r>
            <w:r w:rsidRPr="005F7F46">
              <w:rPr>
                <w:rFonts w:ascii="Georgia" w:eastAsia="Times New Roman" w:hAnsi="Georgia" w:cs="Arial"/>
                <w:color w:val="000000"/>
                <w:sz w:val="16"/>
                <w:szCs w:val="16"/>
              </w:rPr>
              <w:t xml:space="preserve">  </w:t>
            </w:r>
          </w:p>
        </w:tc>
        <w:tc>
          <w:tcPr>
            <w:tcW w:w="1495" w:type="dxa"/>
            <w:tcBorders>
              <w:top w:val="single" w:sz="8" w:space="0" w:color="D62E1C"/>
              <w:left w:val="nil"/>
              <w:bottom w:val="single" w:sz="8" w:space="0" w:color="D62E1C"/>
              <w:right w:val="nil"/>
            </w:tcBorders>
            <w:shd w:val="clear" w:color="auto" w:fill="auto"/>
            <w:vAlign w:val="center"/>
            <w:hideMark/>
          </w:tcPr>
          <w:p w14:paraId="24FC74BF"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Paskol</w:t>
            </w:r>
            <w:r>
              <w:rPr>
                <w:rFonts w:ascii="Georgia" w:eastAsia="Times New Roman" w:hAnsi="Georgia" w:cs="Arial"/>
                <w:color w:val="000000"/>
                <w:sz w:val="16"/>
                <w:szCs w:val="16"/>
                <w:lang w:val="lt-LT"/>
              </w:rPr>
              <w:t>ų teikimas</w:t>
            </w:r>
            <w:r>
              <w:rPr>
                <w:rFonts w:ascii="Georgia" w:eastAsia="Times New Roman" w:hAnsi="Georgia" w:cs="Arial"/>
                <w:color w:val="000000"/>
                <w:sz w:val="16"/>
                <w:szCs w:val="16"/>
              </w:rPr>
              <w:t xml:space="preserve"> taikant </w:t>
            </w:r>
            <w:r w:rsidRPr="005F7F46">
              <w:rPr>
                <w:rFonts w:ascii="Georgia" w:eastAsia="Times New Roman" w:hAnsi="Georgia" w:cs="Arial"/>
                <w:color w:val="000000"/>
                <w:sz w:val="16"/>
                <w:szCs w:val="16"/>
              </w:rPr>
              <w:t xml:space="preserve"> </w:t>
            </w:r>
            <w:r>
              <w:rPr>
                <w:rFonts w:ascii="Georgia" w:eastAsia="Times New Roman" w:hAnsi="Georgia" w:cs="Arial"/>
                <w:color w:val="000000"/>
                <w:sz w:val="16"/>
                <w:szCs w:val="16"/>
              </w:rPr>
              <w:t>asimetrinio rizikos pasidalijimo modelį</w:t>
            </w:r>
            <w:r w:rsidRPr="005F7F46">
              <w:rPr>
                <w:rFonts w:ascii="Georgia" w:eastAsia="Times New Roman" w:hAnsi="Georgia" w:cs="Arial"/>
                <w:color w:val="000000"/>
                <w:sz w:val="16"/>
                <w:szCs w:val="16"/>
              </w:rPr>
              <w:t xml:space="preserve"> </w:t>
            </w:r>
          </w:p>
        </w:tc>
        <w:tc>
          <w:tcPr>
            <w:tcW w:w="883" w:type="dxa"/>
            <w:tcBorders>
              <w:top w:val="single" w:sz="8" w:space="0" w:color="D62E1C"/>
              <w:left w:val="nil"/>
              <w:bottom w:val="single" w:sz="8" w:space="0" w:color="D62E1C"/>
              <w:right w:val="single" w:sz="8" w:space="0" w:color="E0301E"/>
            </w:tcBorders>
            <w:shd w:val="clear" w:color="auto" w:fill="auto"/>
            <w:vAlign w:val="center"/>
            <w:hideMark/>
          </w:tcPr>
          <w:p w14:paraId="041787E0"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F7F46">
              <w:rPr>
                <w:rFonts w:ascii="Georgia" w:eastAsia="Times New Roman" w:hAnsi="Georgia" w:cs="Arial"/>
                <w:color w:val="000000"/>
                <w:sz w:val="16"/>
                <w:szCs w:val="16"/>
              </w:rPr>
              <w:t xml:space="preserve">Garantija </w:t>
            </w:r>
          </w:p>
        </w:tc>
      </w:tr>
      <w:tr w:rsidR="005A432A" w:rsidRPr="00517E65" w14:paraId="52195D3F" w14:textId="77777777" w:rsidTr="005A432A">
        <w:trPr>
          <w:trHeight w:val="287"/>
        </w:trPr>
        <w:tc>
          <w:tcPr>
            <w:tcW w:w="4253" w:type="dxa"/>
            <w:tcBorders>
              <w:top w:val="nil"/>
              <w:left w:val="single" w:sz="8" w:space="0" w:color="D62E1C"/>
              <w:bottom w:val="nil"/>
              <w:right w:val="nil"/>
            </w:tcBorders>
            <w:shd w:val="clear" w:color="auto" w:fill="auto"/>
            <w:vAlign w:val="center"/>
            <w:hideMark/>
          </w:tcPr>
          <w:p w14:paraId="2754EE93" w14:textId="77777777" w:rsidR="005A432A" w:rsidRPr="00517E65" w:rsidRDefault="005A432A" w:rsidP="005A432A">
            <w:pPr>
              <w:spacing w:after="0" w:line="240" w:lineRule="auto"/>
              <w:rPr>
                <w:rFonts w:ascii="Georgia" w:eastAsia="Times New Roman" w:hAnsi="Georgia" w:cs="Arial"/>
                <w:color w:val="000000"/>
                <w:sz w:val="18"/>
                <w:szCs w:val="18"/>
              </w:rPr>
            </w:pPr>
            <w:r w:rsidRPr="00517E65">
              <w:rPr>
                <w:rFonts w:ascii="Georgia" w:eastAsia="Times New Roman" w:hAnsi="Georgia" w:cs="Arial"/>
                <w:color w:val="000000"/>
                <w:sz w:val="18"/>
                <w:szCs w:val="18"/>
              </w:rPr>
              <w:t xml:space="preserve">Į fondą įmokėtos lėšos (mln. eurų): </w:t>
            </w:r>
          </w:p>
        </w:tc>
        <w:tc>
          <w:tcPr>
            <w:tcW w:w="1134" w:type="dxa"/>
            <w:tcBorders>
              <w:top w:val="nil"/>
              <w:left w:val="nil"/>
              <w:bottom w:val="nil"/>
              <w:right w:val="nil"/>
            </w:tcBorders>
            <w:shd w:val="clear" w:color="auto" w:fill="auto"/>
            <w:vAlign w:val="center"/>
            <w:hideMark/>
          </w:tcPr>
          <w:p w14:paraId="005153F3"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15</w:t>
            </w:r>
          </w:p>
        </w:tc>
        <w:tc>
          <w:tcPr>
            <w:tcW w:w="1276" w:type="dxa"/>
            <w:tcBorders>
              <w:top w:val="nil"/>
              <w:left w:val="nil"/>
              <w:bottom w:val="single" w:sz="8" w:space="0" w:color="E0301E"/>
              <w:right w:val="nil"/>
            </w:tcBorders>
            <w:shd w:val="clear" w:color="auto" w:fill="auto"/>
            <w:vAlign w:val="center"/>
            <w:hideMark/>
          </w:tcPr>
          <w:p w14:paraId="4B0E3CE3"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15</w:t>
            </w:r>
          </w:p>
        </w:tc>
        <w:tc>
          <w:tcPr>
            <w:tcW w:w="1495" w:type="dxa"/>
            <w:tcBorders>
              <w:top w:val="nil"/>
              <w:left w:val="nil"/>
              <w:bottom w:val="nil"/>
              <w:right w:val="nil"/>
            </w:tcBorders>
            <w:shd w:val="clear" w:color="auto" w:fill="auto"/>
            <w:vAlign w:val="center"/>
            <w:hideMark/>
          </w:tcPr>
          <w:p w14:paraId="7C429F5D"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34</w:t>
            </w:r>
          </w:p>
        </w:tc>
        <w:tc>
          <w:tcPr>
            <w:tcW w:w="883" w:type="dxa"/>
            <w:tcBorders>
              <w:top w:val="nil"/>
              <w:left w:val="nil"/>
              <w:bottom w:val="nil"/>
              <w:right w:val="single" w:sz="8" w:space="0" w:color="E0301E"/>
            </w:tcBorders>
            <w:shd w:val="clear" w:color="auto" w:fill="auto"/>
            <w:vAlign w:val="center"/>
            <w:hideMark/>
          </w:tcPr>
          <w:p w14:paraId="22E8A547"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15</w:t>
            </w:r>
          </w:p>
        </w:tc>
      </w:tr>
      <w:tr w:rsidR="005A432A" w:rsidRPr="00517E65" w14:paraId="618E523B" w14:textId="77777777" w:rsidTr="005A432A">
        <w:trPr>
          <w:trHeight w:val="287"/>
        </w:trPr>
        <w:tc>
          <w:tcPr>
            <w:tcW w:w="4253" w:type="dxa"/>
            <w:tcBorders>
              <w:top w:val="single" w:sz="8" w:space="0" w:color="D62E1C"/>
              <w:left w:val="single" w:sz="8" w:space="0" w:color="D62E1C"/>
              <w:bottom w:val="single" w:sz="8" w:space="0" w:color="D62E1C"/>
              <w:right w:val="nil"/>
            </w:tcBorders>
            <w:shd w:val="clear" w:color="auto" w:fill="auto"/>
            <w:vAlign w:val="center"/>
            <w:hideMark/>
          </w:tcPr>
          <w:p w14:paraId="321B2C87" w14:textId="77777777" w:rsidR="005A432A" w:rsidRPr="00517E65" w:rsidRDefault="005A432A" w:rsidP="005A432A">
            <w:pPr>
              <w:spacing w:after="0" w:line="240" w:lineRule="auto"/>
              <w:rPr>
                <w:rFonts w:ascii="Georgia" w:eastAsia="Times New Roman" w:hAnsi="Georgia" w:cs="Arial"/>
                <w:color w:val="000000"/>
                <w:sz w:val="18"/>
                <w:szCs w:val="18"/>
              </w:rPr>
            </w:pPr>
            <w:r w:rsidRPr="00517E65">
              <w:rPr>
                <w:rFonts w:ascii="Georgia" w:eastAsia="Times New Roman" w:hAnsi="Georgia" w:cs="Arial"/>
                <w:color w:val="000000"/>
                <w:sz w:val="18"/>
                <w:szCs w:val="18"/>
              </w:rPr>
              <w:t xml:space="preserve">Galutinius naudos gavėjus pasiekusios lėšos (mln. eurų) </w:t>
            </w:r>
          </w:p>
        </w:tc>
        <w:tc>
          <w:tcPr>
            <w:tcW w:w="1134" w:type="dxa"/>
            <w:tcBorders>
              <w:top w:val="single" w:sz="8" w:space="0" w:color="D62E1C"/>
              <w:left w:val="nil"/>
              <w:bottom w:val="single" w:sz="8" w:space="0" w:color="D62E1C"/>
              <w:right w:val="nil"/>
            </w:tcBorders>
            <w:shd w:val="clear" w:color="auto" w:fill="auto"/>
            <w:vAlign w:val="center"/>
            <w:hideMark/>
          </w:tcPr>
          <w:p w14:paraId="57880D6F"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13</w:t>
            </w:r>
          </w:p>
        </w:tc>
        <w:tc>
          <w:tcPr>
            <w:tcW w:w="1276" w:type="dxa"/>
            <w:tcBorders>
              <w:top w:val="single" w:sz="8" w:space="0" w:color="D62E1C"/>
              <w:left w:val="nil"/>
              <w:bottom w:val="single" w:sz="8" w:space="0" w:color="D62E1C"/>
              <w:right w:val="nil"/>
            </w:tcBorders>
            <w:shd w:val="clear" w:color="auto" w:fill="auto"/>
            <w:vAlign w:val="center"/>
            <w:hideMark/>
          </w:tcPr>
          <w:p w14:paraId="197845BA"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20</w:t>
            </w:r>
          </w:p>
        </w:tc>
        <w:tc>
          <w:tcPr>
            <w:tcW w:w="1495" w:type="dxa"/>
            <w:tcBorders>
              <w:top w:val="single" w:sz="8" w:space="0" w:color="D62E1C"/>
              <w:left w:val="nil"/>
              <w:bottom w:val="single" w:sz="8" w:space="0" w:color="D62E1C"/>
              <w:right w:val="nil"/>
            </w:tcBorders>
            <w:shd w:val="clear" w:color="auto" w:fill="auto"/>
            <w:vAlign w:val="center"/>
            <w:hideMark/>
          </w:tcPr>
          <w:p w14:paraId="3617A159"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32</w:t>
            </w:r>
          </w:p>
        </w:tc>
        <w:tc>
          <w:tcPr>
            <w:tcW w:w="883" w:type="dxa"/>
            <w:tcBorders>
              <w:top w:val="single" w:sz="8" w:space="0" w:color="D62E1C"/>
              <w:left w:val="nil"/>
              <w:bottom w:val="single" w:sz="8" w:space="0" w:color="D62E1C"/>
              <w:right w:val="single" w:sz="8" w:space="0" w:color="E0301E"/>
            </w:tcBorders>
            <w:shd w:val="clear" w:color="auto" w:fill="auto"/>
            <w:vAlign w:val="center"/>
            <w:hideMark/>
          </w:tcPr>
          <w:p w14:paraId="4395B6B0"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3</w:t>
            </w:r>
            <w:r>
              <w:rPr>
                <w:rFonts w:ascii="Georgia" w:eastAsia="Times New Roman" w:hAnsi="Georgia" w:cs="Arial"/>
                <w:color w:val="000000"/>
                <w:sz w:val="16"/>
                <w:szCs w:val="16"/>
              </w:rPr>
              <w:t>5</w:t>
            </w:r>
          </w:p>
        </w:tc>
      </w:tr>
      <w:tr w:rsidR="005A432A" w:rsidRPr="00517E65" w14:paraId="746EBF3F" w14:textId="77777777" w:rsidTr="005A432A">
        <w:trPr>
          <w:trHeight w:val="287"/>
        </w:trPr>
        <w:tc>
          <w:tcPr>
            <w:tcW w:w="4253" w:type="dxa"/>
            <w:tcBorders>
              <w:top w:val="nil"/>
              <w:left w:val="single" w:sz="8" w:space="0" w:color="D62E1C"/>
              <w:bottom w:val="nil"/>
              <w:right w:val="nil"/>
            </w:tcBorders>
            <w:shd w:val="clear" w:color="auto" w:fill="auto"/>
            <w:vAlign w:val="center"/>
            <w:hideMark/>
          </w:tcPr>
          <w:p w14:paraId="2BF58889" w14:textId="77777777" w:rsidR="005A432A" w:rsidRPr="00517E65" w:rsidRDefault="005A432A" w:rsidP="005A432A">
            <w:pPr>
              <w:spacing w:after="0" w:line="240" w:lineRule="auto"/>
              <w:rPr>
                <w:rFonts w:ascii="Georgia" w:eastAsia="Times New Roman" w:hAnsi="Georgia" w:cs="Arial"/>
                <w:color w:val="000000"/>
                <w:sz w:val="18"/>
                <w:szCs w:val="18"/>
              </w:rPr>
            </w:pPr>
            <w:r w:rsidRPr="00517E65">
              <w:rPr>
                <w:rFonts w:ascii="Georgia" w:eastAsia="Times New Roman" w:hAnsi="Georgia" w:cs="Arial"/>
                <w:color w:val="000000"/>
                <w:sz w:val="18"/>
                <w:szCs w:val="18"/>
              </w:rPr>
              <w:t xml:space="preserve">Iki 2023 m. renovuotų šviestuvų skaičius, vnt. </w:t>
            </w:r>
          </w:p>
        </w:tc>
        <w:tc>
          <w:tcPr>
            <w:tcW w:w="1134" w:type="dxa"/>
            <w:tcBorders>
              <w:top w:val="nil"/>
              <w:left w:val="nil"/>
              <w:bottom w:val="single" w:sz="8" w:space="0" w:color="E0301E"/>
              <w:right w:val="nil"/>
            </w:tcBorders>
            <w:shd w:val="clear" w:color="auto" w:fill="auto"/>
            <w:vAlign w:val="center"/>
            <w:hideMark/>
          </w:tcPr>
          <w:p w14:paraId="0583C737"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19 356</w:t>
            </w:r>
          </w:p>
        </w:tc>
        <w:tc>
          <w:tcPr>
            <w:tcW w:w="1276" w:type="dxa"/>
            <w:tcBorders>
              <w:top w:val="nil"/>
              <w:left w:val="nil"/>
              <w:bottom w:val="single" w:sz="8" w:space="0" w:color="D62E1C"/>
              <w:right w:val="nil"/>
            </w:tcBorders>
            <w:shd w:val="clear" w:color="auto" w:fill="auto"/>
            <w:vAlign w:val="center"/>
            <w:hideMark/>
          </w:tcPr>
          <w:p w14:paraId="2B7E3B7C"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3</w:t>
            </w:r>
            <w:r>
              <w:rPr>
                <w:rFonts w:ascii="Georgia" w:eastAsia="Times New Roman" w:hAnsi="Georgia" w:cs="Arial"/>
                <w:color w:val="000000"/>
                <w:sz w:val="16"/>
                <w:szCs w:val="16"/>
              </w:rPr>
              <w:t>4 356</w:t>
            </w:r>
          </w:p>
        </w:tc>
        <w:tc>
          <w:tcPr>
            <w:tcW w:w="1495" w:type="dxa"/>
            <w:tcBorders>
              <w:top w:val="nil"/>
              <w:left w:val="nil"/>
              <w:bottom w:val="nil"/>
              <w:right w:val="nil"/>
            </w:tcBorders>
            <w:shd w:val="clear" w:color="auto" w:fill="auto"/>
            <w:vAlign w:val="center"/>
            <w:hideMark/>
          </w:tcPr>
          <w:p w14:paraId="24BCC7DC"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46 753</w:t>
            </w:r>
          </w:p>
        </w:tc>
        <w:tc>
          <w:tcPr>
            <w:tcW w:w="883" w:type="dxa"/>
            <w:tcBorders>
              <w:top w:val="nil"/>
              <w:left w:val="nil"/>
              <w:bottom w:val="nil"/>
              <w:right w:val="single" w:sz="8" w:space="0" w:color="E0301E"/>
            </w:tcBorders>
            <w:shd w:val="clear" w:color="auto" w:fill="auto"/>
            <w:vAlign w:val="center"/>
            <w:hideMark/>
          </w:tcPr>
          <w:p w14:paraId="794C0528"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6</w:t>
            </w:r>
            <w:r>
              <w:rPr>
                <w:rFonts w:ascii="Georgia" w:eastAsia="Times New Roman" w:hAnsi="Georgia" w:cs="Arial"/>
                <w:color w:val="000000"/>
                <w:sz w:val="16"/>
                <w:szCs w:val="16"/>
              </w:rPr>
              <w:t>1 245</w:t>
            </w:r>
          </w:p>
        </w:tc>
      </w:tr>
      <w:tr w:rsidR="005A432A" w:rsidRPr="00517E65" w14:paraId="35D8DDD5" w14:textId="77777777" w:rsidTr="005A432A">
        <w:trPr>
          <w:trHeight w:val="287"/>
        </w:trPr>
        <w:tc>
          <w:tcPr>
            <w:tcW w:w="4253" w:type="dxa"/>
            <w:tcBorders>
              <w:top w:val="single" w:sz="8" w:space="0" w:color="D62E1C"/>
              <w:left w:val="single" w:sz="8" w:space="0" w:color="D62E1C"/>
              <w:bottom w:val="single" w:sz="8" w:space="0" w:color="D62E1C"/>
              <w:right w:val="nil"/>
            </w:tcBorders>
            <w:shd w:val="clear" w:color="auto" w:fill="auto"/>
            <w:vAlign w:val="center"/>
            <w:hideMark/>
          </w:tcPr>
          <w:p w14:paraId="57ABCD7F" w14:textId="77777777" w:rsidR="005A432A" w:rsidRPr="00517E65" w:rsidRDefault="005A432A" w:rsidP="005A432A">
            <w:pPr>
              <w:spacing w:after="0" w:line="240" w:lineRule="auto"/>
              <w:rPr>
                <w:rFonts w:ascii="Georgia" w:eastAsia="Times New Roman" w:hAnsi="Georgia" w:cs="Arial"/>
                <w:color w:val="000000"/>
                <w:sz w:val="18"/>
                <w:szCs w:val="18"/>
              </w:rPr>
            </w:pPr>
            <w:r w:rsidRPr="00517E65">
              <w:rPr>
                <w:rFonts w:ascii="Georgia" w:eastAsia="Times New Roman" w:hAnsi="Georgia" w:cs="Arial"/>
                <w:color w:val="000000"/>
                <w:sz w:val="18"/>
                <w:szCs w:val="18"/>
              </w:rPr>
              <w:t xml:space="preserve">Projektų multiplikatorius </w:t>
            </w:r>
          </w:p>
        </w:tc>
        <w:tc>
          <w:tcPr>
            <w:tcW w:w="1134" w:type="dxa"/>
            <w:tcBorders>
              <w:top w:val="single" w:sz="8" w:space="0" w:color="D62E1C"/>
              <w:left w:val="nil"/>
              <w:bottom w:val="single" w:sz="8" w:space="0" w:color="D62E1C"/>
              <w:right w:val="nil"/>
            </w:tcBorders>
            <w:shd w:val="clear" w:color="auto" w:fill="auto"/>
            <w:vAlign w:val="center"/>
            <w:hideMark/>
          </w:tcPr>
          <w:p w14:paraId="74F7537B"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0,91</w:t>
            </w:r>
          </w:p>
        </w:tc>
        <w:tc>
          <w:tcPr>
            <w:tcW w:w="1276" w:type="dxa"/>
            <w:tcBorders>
              <w:top w:val="nil"/>
              <w:left w:val="nil"/>
              <w:bottom w:val="single" w:sz="8" w:space="0" w:color="D62E1C"/>
              <w:right w:val="nil"/>
            </w:tcBorders>
            <w:shd w:val="clear" w:color="auto" w:fill="auto"/>
            <w:vAlign w:val="center"/>
            <w:hideMark/>
          </w:tcPr>
          <w:p w14:paraId="4F4A876D"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w:t>
            </w:r>
            <w:r>
              <w:rPr>
                <w:rFonts w:ascii="Georgia" w:eastAsia="Times New Roman" w:hAnsi="Georgia" w:cs="Arial"/>
                <w:color w:val="000000"/>
                <w:sz w:val="16"/>
                <w:szCs w:val="16"/>
              </w:rPr>
              <w:t>38</w:t>
            </w:r>
          </w:p>
        </w:tc>
        <w:tc>
          <w:tcPr>
            <w:tcW w:w="1495" w:type="dxa"/>
            <w:tcBorders>
              <w:top w:val="single" w:sz="8" w:space="0" w:color="D62E1C"/>
              <w:left w:val="nil"/>
              <w:bottom w:val="single" w:sz="8" w:space="0" w:color="D62E1C"/>
              <w:right w:val="nil"/>
            </w:tcBorders>
            <w:shd w:val="clear" w:color="auto" w:fill="auto"/>
            <w:vAlign w:val="center"/>
            <w:hideMark/>
          </w:tcPr>
          <w:p w14:paraId="793A303E"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0,9</w:t>
            </w:r>
            <w:r>
              <w:rPr>
                <w:rFonts w:ascii="Georgia" w:eastAsia="Times New Roman" w:hAnsi="Georgia" w:cs="Arial"/>
                <w:color w:val="000000"/>
                <w:sz w:val="16"/>
                <w:szCs w:val="16"/>
              </w:rPr>
              <w:t>5</w:t>
            </w:r>
          </w:p>
        </w:tc>
        <w:tc>
          <w:tcPr>
            <w:tcW w:w="883" w:type="dxa"/>
            <w:tcBorders>
              <w:top w:val="single" w:sz="8" w:space="0" w:color="D62E1C"/>
              <w:left w:val="nil"/>
              <w:bottom w:val="single" w:sz="8" w:space="0" w:color="D62E1C"/>
              <w:right w:val="single" w:sz="8" w:space="0" w:color="E0301E"/>
            </w:tcBorders>
            <w:shd w:val="clear" w:color="auto" w:fill="auto"/>
            <w:vAlign w:val="center"/>
            <w:hideMark/>
          </w:tcPr>
          <w:p w14:paraId="4859BDF3"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2,</w:t>
            </w:r>
            <w:r>
              <w:rPr>
                <w:rFonts w:ascii="Georgia" w:eastAsia="Times New Roman" w:hAnsi="Georgia" w:cs="Arial"/>
                <w:color w:val="000000"/>
                <w:sz w:val="16"/>
                <w:szCs w:val="16"/>
              </w:rPr>
              <w:t>42</w:t>
            </w:r>
          </w:p>
        </w:tc>
      </w:tr>
      <w:tr w:rsidR="005A432A" w:rsidRPr="00517E65" w14:paraId="32B770AB" w14:textId="77777777" w:rsidTr="005A432A">
        <w:trPr>
          <w:trHeight w:val="287"/>
        </w:trPr>
        <w:tc>
          <w:tcPr>
            <w:tcW w:w="4253" w:type="dxa"/>
            <w:tcBorders>
              <w:top w:val="nil"/>
              <w:left w:val="single" w:sz="8" w:space="0" w:color="D62E1C"/>
              <w:bottom w:val="single" w:sz="8" w:space="0" w:color="D62E1C"/>
              <w:right w:val="nil"/>
            </w:tcBorders>
            <w:shd w:val="clear" w:color="auto" w:fill="auto"/>
            <w:vAlign w:val="center"/>
            <w:hideMark/>
          </w:tcPr>
          <w:p w14:paraId="5BC303F4" w14:textId="77777777" w:rsidR="005A432A" w:rsidRPr="00517E65" w:rsidRDefault="005A432A" w:rsidP="005A432A">
            <w:pPr>
              <w:spacing w:after="0" w:line="240" w:lineRule="auto"/>
              <w:rPr>
                <w:rFonts w:ascii="Georgia" w:eastAsia="Times New Roman" w:hAnsi="Georgia" w:cs="Arial"/>
                <w:color w:val="000000"/>
                <w:sz w:val="18"/>
                <w:szCs w:val="18"/>
              </w:rPr>
            </w:pPr>
            <w:r w:rsidRPr="00517E65">
              <w:rPr>
                <w:rFonts w:ascii="Georgia" w:eastAsia="Times New Roman" w:hAnsi="Georgia" w:cs="Arial"/>
                <w:color w:val="000000"/>
                <w:sz w:val="18"/>
                <w:szCs w:val="18"/>
              </w:rPr>
              <w:t xml:space="preserve">Sverto efektas </w:t>
            </w:r>
          </w:p>
        </w:tc>
        <w:tc>
          <w:tcPr>
            <w:tcW w:w="1134" w:type="dxa"/>
            <w:tcBorders>
              <w:top w:val="nil"/>
              <w:left w:val="nil"/>
              <w:bottom w:val="single" w:sz="8" w:space="0" w:color="D62E1C"/>
              <w:right w:val="nil"/>
            </w:tcBorders>
            <w:shd w:val="clear" w:color="auto" w:fill="auto"/>
            <w:vAlign w:val="center"/>
            <w:hideMark/>
          </w:tcPr>
          <w:p w14:paraId="637B7DBB"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1,05</w:t>
            </w:r>
          </w:p>
        </w:tc>
        <w:tc>
          <w:tcPr>
            <w:tcW w:w="1276" w:type="dxa"/>
            <w:tcBorders>
              <w:top w:val="nil"/>
              <w:left w:val="nil"/>
              <w:bottom w:val="single" w:sz="8" w:space="0" w:color="D62E1C"/>
              <w:right w:val="nil"/>
            </w:tcBorders>
            <w:shd w:val="clear" w:color="auto" w:fill="auto"/>
            <w:vAlign w:val="center"/>
            <w:hideMark/>
          </w:tcPr>
          <w:p w14:paraId="139363D3"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1,</w:t>
            </w:r>
            <w:r>
              <w:rPr>
                <w:rFonts w:ascii="Georgia" w:eastAsia="Times New Roman" w:hAnsi="Georgia" w:cs="Arial"/>
                <w:color w:val="000000"/>
                <w:sz w:val="16"/>
                <w:szCs w:val="16"/>
              </w:rPr>
              <w:t>82</w:t>
            </w:r>
          </w:p>
        </w:tc>
        <w:tc>
          <w:tcPr>
            <w:tcW w:w="1495" w:type="dxa"/>
            <w:tcBorders>
              <w:top w:val="nil"/>
              <w:left w:val="nil"/>
              <w:bottom w:val="single" w:sz="8" w:space="0" w:color="D62E1C"/>
              <w:right w:val="nil"/>
            </w:tcBorders>
            <w:shd w:val="clear" w:color="auto" w:fill="auto"/>
            <w:vAlign w:val="center"/>
            <w:hideMark/>
          </w:tcPr>
          <w:p w14:paraId="186956EB"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Pr>
                <w:rFonts w:ascii="Georgia" w:eastAsia="Times New Roman" w:hAnsi="Georgia" w:cs="Arial"/>
                <w:color w:val="000000"/>
                <w:sz w:val="16"/>
                <w:szCs w:val="16"/>
              </w:rPr>
              <w:t>3</w:t>
            </w:r>
            <w:r w:rsidRPr="00517E65">
              <w:rPr>
                <w:rFonts w:ascii="Georgia" w:eastAsia="Times New Roman" w:hAnsi="Georgia" w:cs="Arial"/>
                <w:color w:val="000000"/>
                <w:sz w:val="16"/>
                <w:szCs w:val="16"/>
              </w:rPr>
              <w:t>,</w:t>
            </w:r>
            <w:r>
              <w:rPr>
                <w:rFonts w:ascii="Georgia" w:eastAsia="Times New Roman" w:hAnsi="Georgia" w:cs="Arial"/>
                <w:color w:val="000000"/>
                <w:sz w:val="16"/>
                <w:szCs w:val="16"/>
              </w:rPr>
              <w:t>26</w:t>
            </w:r>
          </w:p>
        </w:tc>
        <w:tc>
          <w:tcPr>
            <w:tcW w:w="883" w:type="dxa"/>
            <w:tcBorders>
              <w:top w:val="nil"/>
              <w:left w:val="nil"/>
              <w:bottom w:val="single" w:sz="8" w:space="0" w:color="D62E1C"/>
              <w:right w:val="single" w:sz="8" w:space="0" w:color="E0301E"/>
            </w:tcBorders>
            <w:shd w:val="clear" w:color="auto" w:fill="auto"/>
            <w:vAlign w:val="center"/>
            <w:hideMark/>
          </w:tcPr>
          <w:p w14:paraId="1C3830DE" w14:textId="77777777" w:rsidR="005A432A" w:rsidRPr="00517E65" w:rsidRDefault="005A432A" w:rsidP="005A432A">
            <w:pPr>
              <w:spacing w:after="0" w:line="240" w:lineRule="auto"/>
              <w:jc w:val="center"/>
              <w:rPr>
                <w:rFonts w:ascii="Georgia" w:eastAsia="Times New Roman" w:hAnsi="Georgia" w:cs="Arial"/>
                <w:color w:val="000000"/>
                <w:sz w:val="16"/>
                <w:szCs w:val="16"/>
              </w:rPr>
            </w:pPr>
            <w:r w:rsidRPr="00517E65">
              <w:rPr>
                <w:rFonts w:ascii="Georgia" w:eastAsia="Times New Roman" w:hAnsi="Georgia" w:cs="Arial"/>
                <w:color w:val="000000"/>
                <w:sz w:val="16"/>
                <w:szCs w:val="16"/>
              </w:rPr>
              <w:t>3,</w:t>
            </w:r>
            <w:r>
              <w:rPr>
                <w:rFonts w:ascii="Georgia" w:eastAsia="Times New Roman" w:hAnsi="Georgia" w:cs="Arial"/>
                <w:color w:val="000000"/>
                <w:sz w:val="16"/>
                <w:szCs w:val="16"/>
              </w:rPr>
              <w:t>42</w:t>
            </w:r>
          </w:p>
        </w:tc>
      </w:tr>
    </w:tbl>
    <w:p w14:paraId="426A168E" w14:textId="77777777" w:rsidR="005A432A" w:rsidRPr="00EE34B0" w:rsidRDefault="005A432A" w:rsidP="00EE34B0">
      <w:pPr>
        <w:spacing w:after="160" w:line="240" w:lineRule="auto"/>
        <w:jc w:val="both"/>
        <w:rPr>
          <w:rFonts w:ascii="Georgia" w:eastAsia="Georgia" w:hAnsi="Georgia" w:cs="Arial Unicode MS"/>
          <w:i/>
          <w:iCs/>
          <w:color w:val="821A1A"/>
          <w:sz w:val="18"/>
          <w:szCs w:val="18"/>
          <w:lang w:val="lt-LT"/>
        </w:rPr>
      </w:pPr>
      <w:r w:rsidRPr="00EE34B0">
        <w:rPr>
          <w:rFonts w:ascii="Georgia" w:eastAsia="Georgia" w:hAnsi="Georgia" w:cs="Arial Unicode MS"/>
          <w:i/>
          <w:iCs/>
          <w:color w:val="821A1A"/>
          <w:sz w:val="18"/>
          <w:szCs w:val="18"/>
          <w:lang w:val="lt-LT"/>
        </w:rPr>
        <w:t>Šaltinis: sudaryta autorių</w:t>
      </w:r>
    </w:p>
    <w:p w14:paraId="7AF01588" w14:textId="77777777" w:rsidR="005A432A" w:rsidRDefault="005A432A" w:rsidP="005A432A">
      <w:pPr>
        <w:pStyle w:val="Sraopastraipa"/>
        <w:numPr>
          <w:ilvl w:val="1"/>
          <w:numId w:val="91"/>
        </w:numPr>
        <w:ind w:left="425" w:hanging="357"/>
        <w:contextualSpacing w:val="0"/>
        <w:jc w:val="both"/>
        <w:rPr>
          <w:rFonts w:ascii="Georgia" w:hAnsi="Georgia"/>
          <w:sz w:val="20"/>
          <w:szCs w:val="20"/>
          <w:lang w:val="lt-LT"/>
        </w:rPr>
      </w:pPr>
      <w:r>
        <w:rPr>
          <w:rFonts w:ascii="Georgia" w:hAnsi="Georgia"/>
          <w:sz w:val="20"/>
          <w:szCs w:val="20"/>
          <w:lang w:val="lt-LT"/>
        </w:rPr>
        <w:t>K</w:t>
      </w:r>
      <w:r w:rsidRPr="005B31C6">
        <w:rPr>
          <w:rFonts w:ascii="Georgia" w:hAnsi="Georgia"/>
          <w:sz w:val="20"/>
          <w:szCs w:val="20"/>
          <w:lang w:val="lt-LT"/>
        </w:rPr>
        <w:t xml:space="preserve">aip ir centrinės valdžios pastatų taip ir gatvės apšvietimo kiekybinės analizės apibendrinimas rodo, jog </w:t>
      </w:r>
      <w:r>
        <w:rPr>
          <w:rFonts w:ascii="Georgia" w:hAnsi="Georgia"/>
          <w:sz w:val="20"/>
          <w:szCs w:val="20"/>
          <w:lang w:val="lt-LT"/>
        </w:rPr>
        <w:t>p</w:t>
      </w:r>
      <w:r w:rsidRPr="005B31C6">
        <w:rPr>
          <w:rFonts w:ascii="Georgia" w:hAnsi="Georgia"/>
          <w:sz w:val="20"/>
          <w:szCs w:val="20"/>
          <w:lang w:val="lt-LT"/>
        </w:rPr>
        <w:t>askol</w:t>
      </w:r>
      <w:r>
        <w:rPr>
          <w:rFonts w:ascii="Georgia" w:hAnsi="Georgia"/>
          <w:sz w:val="20"/>
          <w:szCs w:val="20"/>
          <w:lang w:val="lt-LT"/>
        </w:rPr>
        <w:t>ų teikimo alternatyva (Nr.</w:t>
      </w:r>
      <w:r>
        <w:rPr>
          <w:rFonts w:ascii="Georgia" w:hAnsi="Georgia"/>
          <w:sz w:val="20"/>
          <w:szCs w:val="20"/>
        </w:rPr>
        <w:t>1)</w:t>
      </w:r>
      <w:r w:rsidRPr="005B31C6">
        <w:rPr>
          <w:rFonts w:ascii="Georgia" w:hAnsi="Georgia"/>
          <w:sz w:val="20"/>
          <w:szCs w:val="20"/>
          <w:lang w:val="lt-LT"/>
        </w:rPr>
        <w:t xml:space="preserve"> yra pat</w:t>
      </w:r>
      <w:r>
        <w:rPr>
          <w:rFonts w:ascii="Georgia" w:hAnsi="Georgia"/>
          <w:sz w:val="20"/>
          <w:szCs w:val="20"/>
          <w:lang w:val="lt-LT"/>
        </w:rPr>
        <w:t>i</w:t>
      </w:r>
      <w:r w:rsidRPr="005B31C6">
        <w:rPr>
          <w:rFonts w:ascii="Georgia" w:hAnsi="Georgia"/>
          <w:sz w:val="20"/>
          <w:szCs w:val="20"/>
          <w:lang w:val="lt-LT"/>
        </w:rPr>
        <w:t xml:space="preserve"> prasčiausi</w:t>
      </w:r>
      <w:r>
        <w:rPr>
          <w:rFonts w:ascii="Georgia" w:hAnsi="Georgia"/>
          <w:sz w:val="20"/>
          <w:szCs w:val="20"/>
          <w:lang w:val="lt-LT"/>
        </w:rPr>
        <w:t>a</w:t>
      </w:r>
      <w:r w:rsidRPr="005B31C6">
        <w:rPr>
          <w:rFonts w:ascii="Georgia" w:hAnsi="Georgia"/>
          <w:sz w:val="20"/>
          <w:szCs w:val="20"/>
          <w:lang w:val="lt-LT"/>
        </w:rPr>
        <w:t xml:space="preserve">. </w:t>
      </w:r>
      <w:r>
        <w:rPr>
          <w:rFonts w:ascii="Georgia" w:hAnsi="Georgia"/>
          <w:sz w:val="20"/>
          <w:szCs w:val="20"/>
          <w:lang w:val="lt-LT"/>
        </w:rPr>
        <w:t>Šios alternatyvos</w:t>
      </w:r>
      <w:r w:rsidRPr="005B31C6">
        <w:rPr>
          <w:rFonts w:ascii="Georgia" w:hAnsi="Georgia"/>
          <w:sz w:val="20"/>
          <w:szCs w:val="20"/>
          <w:lang w:val="lt-LT"/>
        </w:rPr>
        <w:t xml:space="preserve"> atveju ir sverto efektas ir renovuotų šviestuvų skaičius yra patys žemiausi, todėl </w:t>
      </w:r>
      <w:r>
        <w:rPr>
          <w:rFonts w:ascii="Georgia" w:hAnsi="Georgia"/>
          <w:sz w:val="20"/>
          <w:szCs w:val="20"/>
          <w:lang w:val="lt-LT"/>
        </w:rPr>
        <w:t>ji</w:t>
      </w:r>
      <w:r w:rsidRPr="005B31C6">
        <w:rPr>
          <w:rFonts w:ascii="Georgia" w:hAnsi="Georgia"/>
          <w:sz w:val="20"/>
          <w:szCs w:val="20"/>
          <w:lang w:val="lt-LT"/>
        </w:rPr>
        <w:t xml:space="preserve"> nėra toliau analizuojama.</w:t>
      </w:r>
    </w:p>
    <w:p w14:paraId="6776FB57" w14:textId="77777777" w:rsidR="005A432A" w:rsidRDefault="005A432A" w:rsidP="005A432A">
      <w:pPr>
        <w:pStyle w:val="Sraopastraipa"/>
        <w:numPr>
          <w:ilvl w:val="1"/>
          <w:numId w:val="91"/>
        </w:numPr>
        <w:ind w:left="425" w:hanging="357"/>
        <w:contextualSpacing w:val="0"/>
        <w:jc w:val="both"/>
        <w:rPr>
          <w:rFonts w:ascii="Georgia" w:hAnsi="Georgia"/>
          <w:sz w:val="20"/>
          <w:szCs w:val="20"/>
          <w:lang w:val="lt-LT"/>
        </w:rPr>
      </w:pPr>
      <w:r>
        <w:rPr>
          <w:rFonts w:ascii="Georgia" w:hAnsi="Georgia"/>
          <w:sz w:val="20"/>
          <w:szCs w:val="20"/>
          <w:lang w:val="lt-LT"/>
        </w:rPr>
        <w:t>Paskolų teikimas taikant paskolų išpirkimo modelį demonstruoja taip pat prastus rezultatus, nepaisant šio modelio privalumų, aptartų kokybinės</w:t>
      </w:r>
      <w:r w:rsidRPr="005B31C6">
        <w:rPr>
          <w:rFonts w:ascii="Georgia" w:hAnsi="Georgia"/>
          <w:sz w:val="20"/>
          <w:szCs w:val="20"/>
          <w:lang w:val="lt-LT"/>
        </w:rPr>
        <w:t xml:space="preserve"> </w:t>
      </w:r>
      <w:r>
        <w:rPr>
          <w:rFonts w:ascii="Georgia" w:hAnsi="Georgia"/>
          <w:sz w:val="20"/>
          <w:szCs w:val="20"/>
          <w:lang w:val="lt-LT"/>
        </w:rPr>
        <w:t>analizės metu, pvz. paspartintas lėšų reinvestavimas naudojant išpirktų paskolų lėšas ar sumažinta rizika bankams parduodant tik geriausių paskolų ateities pinigų srautus. Vis dėlto šio modelio prasti kiekybiniai rezultatai atsiremia į santykinai mažą fondo dydį, kuris neleidžia pritraukti pakankamai daug privačių lėšų (lyginant su asimetrinio rizikos pasidalijimo modeliu arba garantijos priemone) kas stabdytų spartų projektų srauto ir masto įsibėgėjimą. Dėl šių priežasčių ši alternatyva nėra toliau analizuojama.</w:t>
      </w:r>
    </w:p>
    <w:p w14:paraId="5A951909" w14:textId="77777777" w:rsidR="005A432A" w:rsidRDefault="005A432A" w:rsidP="005A432A">
      <w:pPr>
        <w:pStyle w:val="Sraopastraipa"/>
        <w:numPr>
          <w:ilvl w:val="1"/>
          <w:numId w:val="91"/>
        </w:numPr>
        <w:ind w:left="426"/>
        <w:contextualSpacing w:val="0"/>
        <w:jc w:val="both"/>
        <w:rPr>
          <w:rFonts w:ascii="Georgia" w:hAnsi="Georgia"/>
          <w:sz w:val="20"/>
          <w:szCs w:val="20"/>
          <w:lang w:val="lt-LT"/>
        </w:rPr>
      </w:pPr>
      <w:r>
        <w:rPr>
          <w:rFonts w:ascii="Georgia" w:hAnsi="Georgia"/>
          <w:sz w:val="20"/>
          <w:szCs w:val="20"/>
          <w:lang w:val="lt-LT"/>
        </w:rPr>
        <w:lastRenderedPageBreak/>
        <w:t xml:space="preserve">Paskolų teikimas taikant asimetrinio rizikos pasidalijmo modelį demonstruoja labai gerus kiekybinius rezultatus. Visų pirma dėl to, kad taikant šį modelį </w:t>
      </w:r>
      <w:r>
        <w:rPr>
          <w:rFonts w:ascii="Georgia" w:hAnsi="Georgia"/>
          <w:sz w:val="20"/>
          <w:szCs w:val="20"/>
        </w:rPr>
        <w:t>ESI fondų lėšos b</w:t>
      </w:r>
      <w:r>
        <w:rPr>
          <w:rFonts w:ascii="Georgia" w:hAnsi="Georgia"/>
          <w:sz w:val="20"/>
          <w:szCs w:val="20"/>
          <w:lang w:val="lt-LT"/>
        </w:rPr>
        <w:t xml:space="preserve">ūtų naudojamos kaip įnašas pirmojo nuostolio kapitalui padengti. Dėl šios priežasties sverto efektas siektų net </w:t>
      </w:r>
      <w:r>
        <w:rPr>
          <w:rFonts w:ascii="Georgia" w:hAnsi="Georgia"/>
          <w:sz w:val="20"/>
          <w:szCs w:val="20"/>
        </w:rPr>
        <w:t xml:space="preserve">3,26. Antra, </w:t>
      </w:r>
      <w:r>
        <w:rPr>
          <w:rFonts w:ascii="Georgia" w:hAnsi="Georgia"/>
          <w:sz w:val="20"/>
          <w:szCs w:val="20"/>
          <w:lang w:val="lt-LT"/>
        </w:rPr>
        <w:t>šio modelio naudojimas kaip ir centrinės valdžios pastatų atveju skatina geresnių rezultatų pasiekimą, nes viešosiomis lėšomis prisiimama pirmo nuostolio rizika. Pagrindiniai šio modelio trūkumai yra susiję su valstybės prisiimama rizika, kuri potencialiai gali sumažint lėšų apimtis, bei laiko sąnaudomis, reikalingomis įgyvendinant šį modelį (</w:t>
      </w:r>
      <w:r w:rsidRPr="00436E30">
        <w:rPr>
          <w:rFonts w:ascii="Georgia" w:hAnsi="Georgia"/>
          <w:sz w:val="20"/>
          <w:szCs w:val="20"/>
          <w:lang w:val="lt-LT"/>
        </w:rPr>
        <w:t xml:space="preserve">ruošiant dokumentaciją, sudarant sutartis su bankais, </w:t>
      </w:r>
      <w:r>
        <w:rPr>
          <w:rFonts w:ascii="Georgia" w:hAnsi="Georgia"/>
          <w:sz w:val="20"/>
          <w:szCs w:val="20"/>
          <w:lang w:val="lt-LT"/>
        </w:rPr>
        <w:t xml:space="preserve">derinant </w:t>
      </w:r>
      <w:r w:rsidRPr="00436E30">
        <w:rPr>
          <w:rFonts w:ascii="Georgia" w:hAnsi="Georgia"/>
          <w:sz w:val="20"/>
          <w:szCs w:val="20"/>
          <w:lang w:val="lt-LT"/>
        </w:rPr>
        <w:t>valstybės ir bankų interes</w:t>
      </w:r>
      <w:r>
        <w:rPr>
          <w:rFonts w:ascii="Georgia" w:hAnsi="Georgia"/>
          <w:sz w:val="20"/>
          <w:szCs w:val="20"/>
          <w:lang w:val="lt-LT"/>
        </w:rPr>
        <w:t>us</w:t>
      </w:r>
      <w:r w:rsidRPr="00436E30">
        <w:rPr>
          <w:rFonts w:ascii="Georgia" w:hAnsi="Georgia"/>
          <w:sz w:val="20"/>
          <w:szCs w:val="20"/>
          <w:lang w:val="lt-LT"/>
        </w:rPr>
        <w:t>dėl renovacijos politikos įgyvendinimo</w:t>
      </w:r>
      <w:r>
        <w:rPr>
          <w:rFonts w:ascii="Georgia" w:hAnsi="Georgia"/>
          <w:sz w:val="20"/>
          <w:szCs w:val="20"/>
          <w:lang w:val="lt-LT"/>
        </w:rPr>
        <w:t>, derinant sudėtingus valstybės pagalbos elementus ir pan.).</w:t>
      </w:r>
    </w:p>
    <w:p w14:paraId="24EE65B5" w14:textId="77777777" w:rsidR="005A432A" w:rsidRDefault="005A432A" w:rsidP="005A432A">
      <w:pPr>
        <w:pStyle w:val="Sraopastraipa"/>
        <w:numPr>
          <w:ilvl w:val="1"/>
          <w:numId w:val="91"/>
        </w:numPr>
        <w:ind w:left="426"/>
        <w:contextualSpacing w:val="0"/>
        <w:jc w:val="both"/>
        <w:rPr>
          <w:rFonts w:ascii="Georgia" w:hAnsi="Georgia"/>
          <w:sz w:val="20"/>
          <w:szCs w:val="20"/>
          <w:lang w:val="lt-LT"/>
        </w:rPr>
      </w:pPr>
      <w:r>
        <w:rPr>
          <w:rFonts w:ascii="Georgia" w:hAnsi="Georgia"/>
          <w:sz w:val="20"/>
          <w:szCs w:val="20"/>
          <w:lang w:val="lt-LT"/>
        </w:rPr>
        <w:t>Antra ir trečia alternatyvos turi vieną esminį trūkumą - reikalavimą</w:t>
      </w:r>
      <w:r w:rsidRPr="005B31C6">
        <w:rPr>
          <w:rFonts w:ascii="Georgia" w:hAnsi="Georgia"/>
          <w:sz w:val="20"/>
          <w:szCs w:val="20"/>
          <w:lang w:val="lt-LT"/>
        </w:rPr>
        <w:t>, jog būtų susidaręs projektų srautas ir istorija, kuria remiantis būtų galima nustatyti toki</w:t>
      </w:r>
      <w:r>
        <w:rPr>
          <w:rFonts w:ascii="Georgia" w:hAnsi="Georgia"/>
          <w:sz w:val="20"/>
          <w:szCs w:val="20"/>
          <w:lang w:val="lt-LT"/>
        </w:rPr>
        <w:t>ų</w:t>
      </w:r>
      <w:r w:rsidRPr="005B31C6">
        <w:rPr>
          <w:rFonts w:ascii="Georgia" w:hAnsi="Georgia"/>
          <w:sz w:val="20"/>
          <w:szCs w:val="20"/>
          <w:lang w:val="lt-LT"/>
        </w:rPr>
        <w:t xml:space="preserve"> modeli</w:t>
      </w:r>
      <w:r>
        <w:rPr>
          <w:rFonts w:ascii="Georgia" w:hAnsi="Georgia"/>
          <w:sz w:val="20"/>
          <w:szCs w:val="20"/>
          <w:lang w:val="lt-LT"/>
        </w:rPr>
        <w:t>ų</w:t>
      </w:r>
      <w:r w:rsidRPr="005B31C6">
        <w:rPr>
          <w:rFonts w:ascii="Georgia" w:hAnsi="Georgia"/>
          <w:sz w:val="20"/>
          <w:szCs w:val="20"/>
          <w:lang w:val="lt-LT"/>
        </w:rPr>
        <w:t xml:space="preserve"> rizikingumą bei j</w:t>
      </w:r>
      <w:r>
        <w:rPr>
          <w:rFonts w:ascii="Georgia" w:hAnsi="Georgia"/>
          <w:sz w:val="20"/>
          <w:szCs w:val="20"/>
          <w:lang w:val="lt-LT"/>
        </w:rPr>
        <w:t xml:space="preserve">uos sėkmingai </w:t>
      </w:r>
      <w:r w:rsidRPr="005B31C6">
        <w:rPr>
          <w:rFonts w:ascii="Georgia" w:hAnsi="Georgia"/>
          <w:sz w:val="20"/>
          <w:szCs w:val="20"/>
          <w:lang w:val="lt-LT"/>
        </w:rPr>
        <w:t xml:space="preserve"> įgyvendinti. Kadangi Lietuvoje iki šiol projektų įgyvendinimas </w:t>
      </w:r>
      <w:r>
        <w:rPr>
          <w:rFonts w:ascii="Georgia" w:hAnsi="Georgia"/>
          <w:sz w:val="20"/>
          <w:szCs w:val="20"/>
          <w:lang w:val="lt-LT"/>
        </w:rPr>
        <w:t>gatvių apšvietimo</w:t>
      </w:r>
      <w:r w:rsidRPr="005B31C6">
        <w:rPr>
          <w:rFonts w:ascii="Georgia" w:hAnsi="Georgia"/>
          <w:sz w:val="20"/>
          <w:szCs w:val="20"/>
          <w:lang w:val="lt-LT"/>
        </w:rPr>
        <w:t xml:space="preserve"> renovacijos sektoriuje vyksta labai lėtai, tai galėtų </w:t>
      </w:r>
      <w:r>
        <w:rPr>
          <w:rFonts w:ascii="Georgia" w:hAnsi="Georgia"/>
          <w:sz w:val="20"/>
          <w:szCs w:val="20"/>
          <w:lang w:val="lt-LT"/>
        </w:rPr>
        <w:t>pareikalauti didelių laiko sąnaudų</w:t>
      </w:r>
      <w:r w:rsidRPr="005B31C6">
        <w:rPr>
          <w:rFonts w:ascii="Georgia" w:hAnsi="Georgia"/>
          <w:sz w:val="20"/>
          <w:szCs w:val="20"/>
          <w:lang w:val="lt-LT"/>
        </w:rPr>
        <w:t xml:space="preserve">. </w:t>
      </w:r>
      <w:r>
        <w:rPr>
          <w:rFonts w:ascii="Georgia" w:hAnsi="Georgia"/>
          <w:sz w:val="20"/>
          <w:szCs w:val="20"/>
          <w:lang w:val="lt-LT"/>
        </w:rPr>
        <w:t xml:space="preserve">Taip pat šių alternatyvų įgyvendinimas investuotojams yra patrauklus tada, kai yra pakankamai didelė masto ekonomija, o šiuo metu numatytos lėšos to neleidžia pasiekti. </w:t>
      </w:r>
      <w:r w:rsidRPr="005B31C6">
        <w:rPr>
          <w:rFonts w:ascii="Georgia" w:hAnsi="Georgia"/>
          <w:sz w:val="20"/>
          <w:szCs w:val="20"/>
          <w:lang w:val="lt-LT"/>
        </w:rPr>
        <w:t xml:space="preserve">Atsižvelgus į šias </w:t>
      </w:r>
      <w:r>
        <w:rPr>
          <w:rFonts w:ascii="Georgia" w:hAnsi="Georgia"/>
          <w:sz w:val="20"/>
          <w:szCs w:val="20"/>
          <w:lang w:val="lt-LT"/>
        </w:rPr>
        <w:t xml:space="preserve">ir aukščiau aptartas </w:t>
      </w:r>
      <w:r w:rsidRPr="005B31C6">
        <w:rPr>
          <w:rFonts w:ascii="Georgia" w:hAnsi="Georgia"/>
          <w:sz w:val="20"/>
          <w:szCs w:val="20"/>
          <w:lang w:val="lt-LT"/>
        </w:rPr>
        <w:t>aplinkybes</w:t>
      </w:r>
      <w:r>
        <w:rPr>
          <w:rFonts w:ascii="Georgia" w:hAnsi="Georgia"/>
          <w:sz w:val="20"/>
          <w:szCs w:val="20"/>
          <w:lang w:val="lt-LT"/>
        </w:rPr>
        <w:t>,</w:t>
      </w:r>
      <w:r w:rsidRPr="005B31C6">
        <w:rPr>
          <w:rFonts w:ascii="Georgia" w:hAnsi="Georgia"/>
          <w:sz w:val="20"/>
          <w:szCs w:val="20"/>
          <w:lang w:val="lt-LT"/>
        </w:rPr>
        <w:t xml:space="preserve"> ši</w:t>
      </w:r>
      <w:r>
        <w:rPr>
          <w:rFonts w:ascii="Georgia" w:hAnsi="Georgia"/>
          <w:sz w:val="20"/>
          <w:szCs w:val="20"/>
          <w:lang w:val="lt-LT"/>
        </w:rPr>
        <w:t>ų</w:t>
      </w:r>
      <w:r w:rsidRPr="005B31C6">
        <w:rPr>
          <w:rFonts w:ascii="Georgia" w:hAnsi="Georgia"/>
          <w:sz w:val="20"/>
          <w:szCs w:val="20"/>
          <w:lang w:val="lt-LT"/>
        </w:rPr>
        <w:t xml:space="preserve"> alternatyv</w:t>
      </w:r>
      <w:r>
        <w:rPr>
          <w:rFonts w:ascii="Georgia" w:hAnsi="Georgia"/>
          <w:sz w:val="20"/>
          <w:szCs w:val="20"/>
          <w:lang w:val="lt-LT"/>
        </w:rPr>
        <w:t>ų</w:t>
      </w:r>
      <w:r w:rsidRPr="005B31C6">
        <w:rPr>
          <w:rFonts w:ascii="Georgia" w:hAnsi="Georgia"/>
          <w:sz w:val="20"/>
          <w:szCs w:val="20"/>
          <w:lang w:val="lt-LT"/>
        </w:rPr>
        <w:t xml:space="preserve"> toliau neanalizuojame.</w:t>
      </w:r>
    </w:p>
    <w:p w14:paraId="68C098C2" w14:textId="77777777" w:rsidR="005A432A" w:rsidRPr="00D45CD8" w:rsidRDefault="005A432A" w:rsidP="005A432A">
      <w:pPr>
        <w:pStyle w:val="Sraopastraipa"/>
        <w:numPr>
          <w:ilvl w:val="1"/>
          <w:numId w:val="91"/>
        </w:numPr>
        <w:ind w:left="426"/>
        <w:contextualSpacing w:val="0"/>
        <w:jc w:val="both"/>
        <w:rPr>
          <w:rFonts w:ascii="Georgia" w:hAnsi="Georgia"/>
          <w:sz w:val="20"/>
          <w:szCs w:val="20"/>
          <w:lang w:val="lt-LT"/>
        </w:rPr>
      </w:pPr>
      <w:r w:rsidRPr="005B31C6">
        <w:rPr>
          <w:rFonts w:ascii="Georgia" w:hAnsi="Georgia"/>
          <w:sz w:val="20"/>
          <w:szCs w:val="20"/>
          <w:lang w:val="lt-LT"/>
        </w:rPr>
        <w:t>Remiantis kiekybiniu ir kokybiniu vertinimu matome, jog garantijų priemonė ne tik reikalauja mažiausiai pradinių lėšų lyginant su kitomis priemonėmis, tačiau ir yra patraukli bankams dėl didesnių sutaupymų gatvių apšvietimo projektuose ir geresnės investicinės grąžos. Šis instrumentas taip pat užtikrina didesnį sverto efektą, kurio maksimizavimas yra vienas pagrindinių šio finansavimo periodo tikslų</w:t>
      </w:r>
      <w:r>
        <w:rPr>
          <w:rFonts w:ascii="Georgia" w:hAnsi="Georgia"/>
          <w:sz w:val="20"/>
          <w:szCs w:val="20"/>
          <w:lang w:val="lt-LT"/>
        </w:rPr>
        <w:t>, o esant santykinai mažai ESI fondų lėšų pasiūlai – leidžia pasiekti masto ekonomiją.</w:t>
      </w:r>
      <w:r w:rsidRPr="005B31C6">
        <w:rPr>
          <w:rFonts w:ascii="Georgia" w:hAnsi="Georgia"/>
          <w:sz w:val="20"/>
          <w:szCs w:val="20"/>
          <w:lang w:val="lt-LT"/>
        </w:rPr>
        <w:t xml:space="preserve"> Galiausiai, bankai taip pat teigiamai vertina garantijų priemonę. </w:t>
      </w:r>
      <w:r w:rsidRPr="00D45CD8">
        <w:rPr>
          <w:rFonts w:ascii="Georgia" w:hAnsi="Georgia"/>
          <w:sz w:val="20"/>
          <w:szCs w:val="20"/>
          <w:lang w:val="lt-LT"/>
        </w:rPr>
        <w:t xml:space="preserve">Tuo tarpu paskola taikant asimetrinio rizikos pasidalijimo modelį nėra patraukli dėl santykinai mažo finansinės priemonės dydžio lemiančio masto ekonomijos trūkumą bei santykinai reikšmingas administracines sąnaudas. Šioje alternatyvoje nusprendus teikti </w:t>
      </w:r>
      <w:r w:rsidRPr="00D45CD8">
        <w:rPr>
          <w:rFonts w:ascii="Georgia" w:hAnsi="Georgia"/>
          <w:sz w:val="20"/>
          <w:szCs w:val="20"/>
        </w:rPr>
        <w:t>20 proc. subsidij</w:t>
      </w:r>
      <w:r w:rsidRPr="00D45CD8">
        <w:rPr>
          <w:rFonts w:ascii="Georgia" w:hAnsi="Georgia"/>
          <w:sz w:val="20"/>
          <w:szCs w:val="20"/>
          <w:lang w:val="lt-LT"/>
        </w:rPr>
        <w:t xml:space="preserve">ą/grąžinamą subsidiją, siekiant paspartinti projektų srauto kūrimąsi, pritrūktų ESI lėšų padengiant pirmojo nuostolio kapitalą. </w:t>
      </w:r>
    </w:p>
    <w:p w14:paraId="3FB139AC" w14:textId="77777777" w:rsidR="005A432A" w:rsidRPr="005B31C6" w:rsidRDefault="005A432A" w:rsidP="005A432A">
      <w:pPr>
        <w:jc w:val="both"/>
        <w:rPr>
          <w:rFonts w:ascii="Georgia" w:hAnsi="Georgia"/>
          <w:b/>
          <w:sz w:val="20"/>
          <w:szCs w:val="20"/>
          <w:lang w:val="lt-LT"/>
        </w:rPr>
      </w:pPr>
      <w:r w:rsidRPr="005B31C6">
        <w:rPr>
          <w:rFonts w:ascii="Georgia" w:hAnsi="Georgia"/>
          <w:b/>
          <w:sz w:val="20"/>
          <w:szCs w:val="20"/>
          <w:lang w:val="lt-LT"/>
        </w:rPr>
        <w:t xml:space="preserve">Atsižvelgus į visus kiekybinės ir kokybinės analizės privalumus ir trūkumus, rekomenduotina pasirinkti garantijų finansinę priemonę </w:t>
      </w:r>
      <w:r w:rsidRPr="005B31C6">
        <w:rPr>
          <w:rFonts w:ascii="Georgia" w:hAnsi="Georgia"/>
          <w:bCs/>
          <w:sz w:val="20"/>
          <w:szCs w:val="20"/>
          <w:lang w:val="lt-LT"/>
        </w:rPr>
        <w:t xml:space="preserve">papildomai apsvarstant galimybę teikti </w:t>
      </w:r>
      <w:r w:rsidRPr="00DE54F5">
        <w:rPr>
          <w:rFonts w:ascii="Georgia" w:hAnsi="Georgia"/>
          <w:bCs/>
          <w:sz w:val="20"/>
          <w:szCs w:val="20"/>
          <w:lang w:val="lt-LT"/>
        </w:rPr>
        <w:t>paramą gatvės apšvietimo projekt</w:t>
      </w:r>
      <w:r w:rsidRPr="00C80E76">
        <w:rPr>
          <w:rFonts w:ascii="Georgia" w:hAnsi="Georgia"/>
          <w:bCs/>
          <w:sz w:val="20"/>
          <w:szCs w:val="20"/>
          <w:lang w:val="lt-LT"/>
        </w:rPr>
        <w:t>ų įgyvendinimui</w:t>
      </w:r>
      <w:r w:rsidRPr="005B31C6">
        <w:rPr>
          <w:rFonts w:ascii="Georgia" w:hAnsi="Georgia"/>
          <w:b/>
          <w:sz w:val="20"/>
          <w:szCs w:val="20"/>
          <w:lang w:val="lt-LT"/>
        </w:rPr>
        <w:t xml:space="preserve">.   </w:t>
      </w:r>
    </w:p>
    <w:tbl>
      <w:tblPr>
        <w:tblStyle w:val="Lentelstinklelis"/>
        <w:tblW w:w="0" w:type="auto"/>
        <w:shd w:val="clear" w:color="auto" w:fill="FDE9D9" w:themeFill="accent6" w:themeFillTint="33"/>
        <w:tblLook w:val="04A0" w:firstRow="1" w:lastRow="0" w:firstColumn="1" w:lastColumn="0" w:noHBand="0" w:noVBand="1"/>
      </w:tblPr>
      <w:tblGrid>
        <w:gridCol w:w="9242"/>
      </w:tblGrid>
      <w:tr w:rsidR="005A432A" w14:paraId="118CC050" w14:textId="77777777" w:rsidTr="005A432A">
        <w:trPr>
          <w:trHeight w:val="652"/>
        </w:trPr>
        <w:tc>
          <w:tcPr>
            <w:tcW w:w="9242" w:type="dxa"/>
            <w:shd w:val="clear" w:color="auto" w:fill="FDE9D9" w:themeFill="accent6" w:themeFillTint="33"/>
            <w:vAlign w:val="center"/>
          </w:tcPr>
          <w:p w14:paraId="0CFE443E" w14:textId="77777777" w:rsidR="005A432A" w:rsidRDefault="005A432A" w:rsidP="005A432A">
            <w:pPr>
              <w:rPr>
                <w:rFonts w:ascii="Georgia" w:hAnsi="Georgia"/>
                <w:sz w:val="20"/>
                <w:szCs w:val="20"/>
                <w:lang w:val="lt-LT"/>
              </w:rPr>
            </w:pPr>
            <w:r>
              <w:rPr>
                <w:rFonts w:ascii="Georgia" w:hAnsi="Georgia"/>
                <w:sz w:val="20"/>
                <w:szCs w:val="20"/>
                <w:lang w:val="lt-LT"/>
              </w:rPr>
              <w:t>Pastaba. Jei pasikeistų finansinėms priemonėms skiriamų lėšų dydis, atitinkamai keistųsi ir skaičiavimo rezultatai.</w:t>
            </w:r>
          </w:p>
        </w:tc>
      </w:tr>
    </w:tbl>
    <w:p w14:paraId="5C7A77F1" w14:textId="77777777" w:rsidR="00C27103" w:rsidRPr="002142B8" w:rsidRDefault="00C27103" w:rsidP="00C27103">
      <w:pPr>
        <w:rPr>
          <w:lang w:val="lt-LT"/>
        </w:rPr>
      </w:pPr>
    </w:p>
    <w:p w14:paraId="75A4FE82" w14:textId="77777777" w:rsidR="00280058" w:rsidRPr="002142B8" w:rsidRDefault="00280058" w:rsidP="00C57355">
      <w:pPr>
        <w:pStyle w:val="Antrat2"/>
        <w:numPr>
          <w:ilvl w:val="1"/>
          <w:numId w:val="2"/>
        </w:numPr>
        <w:spacing w:after="240"/>
        <w:ind w:left="709"/>
        <w:rPr>
          <w:lang w:val="lt-LT"/>
        </w:rPr>
      </w:pPr>
      <w:bookmarkStart w:id="294" w:name="_Toc402352640"/>
      <w:bookmarkStart w:id="295" w:name="_Toc25589938"/>
      <w:r w:rsidRPr="002142B8">
        <w:rPr>
          <w:lang w:val="lt-LT"/>
        </w:rPr>
        <w:t>Finansinės priemonės darna su kitomis viešųjų intervencijų formomis</w:t>
      </w:r>
      <w:bookmarkEnd w:id="294"/>
      <w:bookmarkEnd w:id="295"/>
    </w:p>
    <w:p w14:paraId="55C4CA92" w14:textId="1ECC58D9" w:rsidR="00280058" w:rsidRPr="002142B8" w:rsidRDefault="00280058" w:rsidP="00280058">
      <w:pPr>
        <w:jc w:val="both"/>
        <w:rPr>
          <w:rFonts w:ascii="Georgia" w:hAnsi="Georgia"/>
          <w:sz w:val="20"/>
          <w:lang w:val="lt-LT"/>
        </w:rPr>
      </w:pPr>
      <w:r w:rsidRPr="002142B8">
        <w:rPr>
          <w:rFonts w:ascii="Georgia" w:hAnsi="Georgia"/>
          <w:sz w:val="20"/>
          <w:lang w:val="lt-LT"/>
        </w:rPr>
        <w:t>Šio skyriaus tikslas yra išsiaiškinti, kaip siūlomos finansinės priemonės dera su kitomis viešųjų intervencijų formomis, ar toje pačioje rinkoje finansinės priemonės nepersidengia su kitomis viešųjų intervencijų formomis, o jei persidengia, ar neatsiranda prieštaravimai ir</w:t>
      </w:r>
      <w:r w:rsidR="000F1B68">
        <w:rPr>
          <w:rFonts w:ascii="Georgia" w:hAnsi="Georgia"/>
          <w:sz w:val="20"/>
          <w:lang w:val="lt-LT"/>
        </w:rPr>
        <w:t>,</w:t>
      </w:r>
      <w:r w:rsidRPr="002142B8">
        <w:rPr>
          <w:rFonts w:ascii="Georgia" w:hAnsi="Georgia"/>
          <w:sz w:val="20"/>
          <w:lang w:val="lt-LT"/>
        </w:rPr>
        <w:t xml:space="preserve"> ar skirtingos viešosios intervencijos formos viena kitai nekliudo ir nedaro reikšmingos įtakos.</w:t>
      </w:r>
    </w:p>
    <w:p w14:paraId="72202015" w14:textId="3071EE5C" w:rsidR="00E37214" w:rsidRPr="002142B8" w:rsidRDefault="00E37214" w:rsidP="00E37214">
      <w:pPr>
        <w:spacing w:after="0"/>
        <w:jc w:val="both"/>
        <w:rPr>
          <w:rFonts w:ascii="Georgia" w:hAnsi="Georgia"/>
          <w:b/>
          <w:sz w:val="20"/>
          <w:lang w:val="lt-LT"/>
        </w:rPr>
      </w:pPr>
      <w:r w:rsidRPr="002142B8">
        <w:rPr>
          <w:rFonts w:ascii="Georgia" w:hAnsi="Georgia"/>
          <w:b/>
          <w:sz w:val="20"/>
          <w:lang w:val="lt-LT"/>
        </w:rPr>
        <w:t>Daugiabučių modernizavimas</w:t>
      </w:r>
    </w:p>
    <w:p w14:paraId="487982FE" w14:textId="77777777" w:rsidR="00E37214" w:rsidRPr="002142B8" w:rsidRDefault="00E37214" w:rsidP="00E37214">
      <w:pPr>
        <w:jc w:val="both"/>
        <w:rPr>
          <w:rFonts w:ascii="Georgia" w:hAnsi="Georgia"/>
          <w:sz w:val="20"/>
          <w:lang w:val="lt-LT"/>
        </w:rPr>
      </w:pPr>
    </w:p>
    <w:p w14:paraId="1D0B204E" w14:textId="5E5129BF" w:rsidR="00E37214" w:rsidRPr="002142B8" w:rsidRDefault="00E37214" w:rsidP="00E37214">
      <w:pPr>
        <w:jc w:val="both"/>
        <w:rPr>
          <w:rFonts w:ascii="Georgia" w:hAnsi="Georgia"/>
          <w:sz w:val="20"/>
          <w:lang w:val="lt-LT"/>
        </w:rPr>
      </w:pPr>
      <w:r w:rsidRPr="002142B8">
        <w:rPr>
          <w:rFonts w:ascii="Georgia" w:hAnsi="Georgia"/>
          <w:sz w:val="20"/>
          <w:lang w:val="lt-LT"/>
        </w:rPr>
        <w:t xml:space="preserve">Viešųjų intervencijų formos, kurios buvo nukreiptos į būsto sektorių, yra aptariamos žemiau: </w:t>
      </w:r>
    </w:p>
    <w:p w14:paraId="4EE30E87" w14:textId="56187960" w:rsidR="00E37214" w:rsidRPr="002142B8" w:rsidRDefault="00E37214" w:rsidP="00E37214">
      <w:pPr>
        <w:jc w:val="both"/>
        <w:rPr>
          <w:rFonts w:ascii="Georgia" w:hAnsi="Georgia"/>
          <w:sz w:val="20"/>
          <w:lang w:val="lt-LT"/>
        </w:rPr>
      </w:pPr>
      <w:r w:rsidRPr="002142B8">
        <w:rPr>
          <w:rFonts w:ascii="Georgia" w:hAnsi="Georgia"/>
          <w:sz w:val="20"/>
          <w:lang w:val="lt-LT"/>
        </w:rPr>
        <w:t xml:space="preserve">1. Galutiniams naudos gavėjams kompensuojama 100% faktinių išlaidų, tenkančių atnaujinimo (modernizavimo) projektui ar jo daliai parengti, jeigu atnaujinimo (modernizavimo) projekto ar jo </w:t>
      </w:r>
      <w:r w:rsidRPr="002142B8">
        <w:rPr>
          <w:rFonts w:ascii="Georgia" w:hAnsi="Georgia"/>
          <w:sz w:val="20"/>
          <w:lang w:val="lt-LT"/>
        </w:rPr>
        <w:lastRenderedPageBreak/>
        <w:t>dalies parengimo sutartis sudaryta iki 2015 m. spalio 1 d. Jeigu atnaujinimo (modernizavimo) projekto ar jo dalies parengimo sutartis sudaryta po 2015 m. spalio 1 d., butų ir kitų patalpų savininkams apmokama arba kompensuojama 50% išlaidų. Už statybos techninę priežiūrą, vykdytą daugiabučio namo atnaujinimo (modernizavimo) projekto įgyvendinimo laikotarpiu iki 2016 m. gruodžio 31 d., butų ir kitų patalpų savininkams apmokama arba kompensuojama 100% faktinių išlaidų. Naujojoje  Valstybės paramos daugiabučiams namams atnaujinti (modernizuoti) redakcijoje, galiojančioje nuo 2017-11-01 d. numatyta, kad valstybės parama teikiama „apmokant  arba kompensuojant 100 procentu ne didesnę kaip Vyriausybės nustatyto dydžio išlaidų dalį atnaujinimo projektui ar jo daliai parengti, įskaitant atnaujinimo projekto vykdymo priežiūrą ir atnaujinimo projekto ekspertizės, kai ji privaloma pagal Statybos įstatymą, atlikimą, kai Vyriausybės ar jos įgaliotos institucijos nustatyta tvarka parengtą investicijų planą patvirtina butų ir kitų patalpų savininkai“.</w:t>
      </w:r>
    </w:p>
    <w:p w14:paraId="6168418D" w14:textId="77777777" w:rsidR="00E37214" w:rsidRPr="002142B8" w:rsidRDefault="00E37214" w:rsidP="00E37214">
      <w:pPr>
        <w:jc w:val="both"/>
        <w:rPr>
          <w:rFonts w:ascii="Georgia" w:hAnsi="Georgia"/>
          <w:sz w:val="20"/>
          <w:lang w:val="lt-LT"/>
        </w:rPr>
      </w:pPr>
      <w:r w:rsidRPr="002142B8">
        <w:rPr>
          <w:rFonts w:ascii="Georgia" w:hAnsi="Georgia"/>
          <w:sz w:val="20"/>
          <w:lang w:val="lt-LT"/>
        </w:rPr>
        <w:t xml:space="preserve">2. Kompensuojamos paskolų įmokos asmenims, turintiems teisę į būsto šildymo išlaidų kompensaciją, ir savivaldybėms, turinčioms nuosavybės teisę į gyvenamąsias patalpas atnaujinamame name. Be to, atsisakius dalyvauti renovacijos procese gyventojams, turintiems teisę gauti kompensaciją už šildymą, ji mažinama 50%, o nuo kito šildymo sezono būsto šildymo išlaidų kompensacija neskiriama, bet ne ilgiau kaip 3 metų šildymo sezonus nuo šių aplinkybių atsiradimo. Ši nuostata įtvirtinta Lietuvos Respublikos piniginės socialinės paramos nepasiturintiems gyventojams įstatymo 21 str. 12 d. </w:t>
      </w:r>
    </w:p>
    <w:p w14:paraId="287D57FB" w14:textId="7DF2C565" w:rsidR="00C27103" w:rsidRPr="002142B8" w:rsidRDefault="00E37214" w:rsidP="00C27103">
      <w:pPr>
        <w:jc w:val="both"/>
        <w:rPr>
          <w:rFonts w:ascii="Georgia" w:hAnsi="Georgia"/>
          <w:sz w:val="20"/>
          <w:lang w:val="lt-LT"/>
        </w:rPr>
      </w:pPr>
      <w:r w:rsidRPr="002142B8">
        <w:rPr>
          <w:rFonts w:ascii="Georgia" w:hAnsi="Georgia"/>
          <w:sz w:val="20"/>
          <w:lang w:val="lt-LT"/>
        </w:rPr>
        <w:t xml:space="preserve">3. Klimato kaitos specialiosios programos lėšomis teikiama papildoma valstybės parama, daugiabučio namo butų ir kitų patalpų savininkams įgyvendinantiems nuo 2009 rugsėjo 20 d. iki 2014 m. gruodžio 31 d. parengtą daugiabučio namo atnaujinimo (modernizavimo) projektą (investicinį planą), kompensuojant dalį energijos efektyvumo priemonių investicijų, jeigu įgyvendinus projektą pasiekiama ne mažesnė kaip D pastato energinio naudingumo klasė ir skaičiuojamosios šiluminės energijos sąnaudos sumažinamos ne mažiau kaip 40%. Kompensuojama nuo 20 iki 25% tokių investicijų. Taip pat Klimato kaitos specialiosios programos lėšomis teikiama papildoma valstybės parama, daugiabučio namo butų ir kitų patalpų savininkams nuo 2015 sausio 1 d. parengusiems ir įgyvendinantiems daugiabučio namo atnaujinimo (modernizavimo) projektą (investicinį planą), kompensuojant dalį energijos efektyvumo priemonių investicijų, jeigu įgyvendinus projektą pasiekiama ne mažesnė kaip C pastato energinio naudingumo klasė ir skaičiuojamosios šiluminės energijos sąnaudos sumažinamos ne mažiau kaip 40%. Kompensuojama 20% tokių investicijų, jei jeigu daugiabučio namo atnaujinimo (modernizavimo) projektas įgyvendintas iki 2017 m. gruodžio 31 d. ir 15% tokių investicijų, jei daugiabučio namo atnaujinimo (modernizavimo) projektas įgyvendintas po 2017 m. gruodžio 31 d., bet ne vėliau kaip iki 2020 m. gruodžio 31 d. </w:t>
      </w:r>
      <w:r w:rsidR="00C27103" w:rsidRPr="002142B8">
        <w:rPr>
          <w:rFonts w:ascii="Georgia" w:hAnsi="Georgia"/>
          <w:sz w:val="20"/>
          <w:lang w:val="lt-LT"/>
        </w:rPr>
        <w:t>(nuostata buvo pakeista 2017-11-01 patvritinus naują Valstybės paramos daugiabučiams namams atnaujinti (modernizuoti) įstatymo redakciją).</w:t>
      </w:r>
    </w:p>
    <w:p w14:paraId="4EC47D76" w14:textId="7671C336" w:rsidR="00E37214" w:rsidRPr="002142B8" w:rsidRDefault="00C80380" w:rsidP="00E37214">
      <w:pPr>
        <w:jc w:val="both"/>
        <w:rPr>
          <w:rFonts w:ascii="Georgia" w:hAnsi="Georgia"/>
          <w:sz w:val="20"/>
          <w:lang w:val="lt-LT"/>
        </w:rPr>
      </w:pPr>
      <w:r w:rsidRPr="002142B8">
        <w:rPr>
          <w:rFonts w:ascii="Georgia" w:hAnsi="Georgia"/>
          <w:sz w:val="20"/>
          <w:lang w:val="lt-LT"/>
        </w:rPr>
        <w:t>4. PVM lengvatinis tarifas</w:t>
      </w:r>
      <w:r w:rsidR="00E37214" w:rsidRPr="002142B8">
        <w:rPr>
          <w:rFonts w:ascii="Georgia" w:hAnsi="Georgia"/>
          <w:sz w:val="20"/>
          <w:lang w:val="lt-LT"/>
        </w:rPr>
        <w:t xml:space="preserve"> šildymui. </w:t>
      </w:r>
      <w:r w:rsidRPr="002142B8">
        <w:rPr>
          <w:rFonts w:ascii="Georgia" w:hAnsi="Georgia"/>
          <w:sz w:val="20"/>
          <w:lang w:val="lt-LT"/>
        </w:rPr>
        <w:t>T</w:t>
      </w:r>
      <w:r w:rsidR="00E37214" w:rsidRPr="002142B8">
        <w:rPr>
          <w:rFonts w:ascii="Georgia" w:hAnsi="Georgia"/>
          <w:sz w:val="20"/>
          <w:lang w:val="lt-LT"/>
        </w:rPr>
        <w:t xml:space="preserve">aikomas lengvatinis 9% PVM tarifas šilumos energijai, tiekiamai gyvenamosioms patalpoms šildyti pagal PVM įstatymo 19 str. 3 d. 1 p. </w:t>
      </w:r>
      <w:r w:rsidRPr="002142B8">
        <w:rPr>
          <w:rFonts w:ascii="Georgia" w:hAnsi="Georgia"/>
          <w:sz w:val="20"/>
          <w:lang w:val="lt-LT"/>
        </w:rPr>
        <w:t xml:space="preserve"> Po paskutinių PVM įstatymo pakeitimų PVM lengvatinis tarifas šildymui galioja neribotą laiką.</w:t>
      </w:r>
    </w:p>
    <w:p w14:paraId="2A1DF17F" w14:textId="77777777" w:rsidR="00E37214" w:rsidRPr="002142B8" w:rsidRDefault="00E37214" w:rsidP="00E37214">
      <w:pPr>
        <w:jc w:val="both"/>
        <w:rPr>
          <w:rFonts w:ascii="Georgia" w:hAnsi="Georgia"/>
          <w:sz w:val="20"/>
          <w:lang w:val="lt-LT"/>
        </w:rPr>
      </w:pPr>
      <w:r w:rsidRPr="002142B8">
        <w:rPr>
          <w:rFonts w:ascii="Georgia" w:hAnsi="Georgia"/>
          <w:sz w:val="20"/>
          <w:lang w:val="lt-LT"/>
        </w:rPr>
        <w:t xml:space="preserve">5. 2007-2013 m. ES finansiniu laikotarpiu per Vidaus reikalų ministerijos administruojamas ES SF priemones buvo remiama socialinio būsto plėtra ir daugiabučių namų renovacija probleminėse teritorijose. Šios VRM priemonės buvo įgyvendinamos subsidijų forma, tačiau pažymėtina, kad JESSICA KF ir VRM priemonės buvo įgyvendinamos skirtingose to paties sektoriaus srityse ir siekė skirtingų tikslų. </w:t>
      </w:r>
    </w:p>
    <w:p w14:paraId="2846B06A" w14:textId="05F0E9CC" w:rsidR="00E37214" w:rsidRPr="002142B8" w:rsidRDefault="00E37214" w:rsidP="00E37214">
      <w:pPr>
        <w:jc w:val="both"/>
        <w:rPr>
          <w:rFonts w:ascii="Georgia" w:hAnsi="Georgia"/>
          <w:sz w:val="20"/>
          <w:lang w:val="lt-LT"/>
        </w:rPr>
      </w:pPr>
      <w:r w:rsidRPr="002142B8">
        <w:rPr>
          <w:rFonts w:ascii="Georgia" w:hAnsi="Georgia"/>
          <w:sz w:val="20"/>
          <w:lang w:val="lt-LT"/>
        </w:rPr>
        <w:t>6. JESSICA KF paskolos daugiabučių modernizavimo projektų įgyvendinimui buvo teikiamos lengvatinėmis sąlygomis. 2014-2020 m. paskolų daugiabučių modernizavimo projektų įgyvendinimui teikimas tęsiamas JESSICA II</w:t>
      </w:r>
      <w:r w:rsidR="0078047C" w:rsidRPr="002142B8">
        <w:rPr>
          <w:rFonts w:ascii="Georgia" w:hAnsi="Georgia"/>
          <w:sz w:val="20"/>
          <w:lang w:val="lt-LT"/>
        </w:rPr>
        <w:t xml:space="preserve"> fondų</w:t>
      </w:r>
      <w:r w:rsidRPr="002142B8">
        <w:rPr>
          <w:rFonts w:ascii="Georgia" w:hAnsi="Georgia"/>
          <w:sz w:val="20"/>
          <w:lang w:val="lt-LT"/>
        </w:rPr>
        <w:t xml:space="preserve"> fondo bei DNMF lėšomis. Tai viešosios intervencijos forma, kadangi finansuotojai rinkoje daugiabučių modernizavimo </w:t>
      </w:r>
      <w:r w:rsidR="00A27A99" w:rsidRPr="002142B8">
        <w:rPr>
          <w:rFonts w:ascii="Georgia" w:hAnsi="Georgia"/>
          <w:sz w:val="20"/>
          <w:lang w:val="lt-LT"/>
        </w:rPr>
        <w:t xml:space="preserve">projektus laiko vartojamosiomis paskolomis, nereikalauja užstato, bet </w:t>
      </w:r>
      <w:r w:rsidRPr="002142B8">
        <w:rPr>
          <w:rFonts w:ascii="Georgia" w:hAnsi="Georgia"/>
          <w:sz w:val="20"/>
          <w:lang w:val="lt-LT"/>
        </w:rPr>
        <w:t>siūlo didesnes palūkanų normas</w:t>
      </w:r>
      <w:r w:rsidR="00A27A99" w:rsidRPr="002142B8">
        <w:rPr>
          <w:rFonts w:ascii="Georgia" w:hAnsi="Georgia"/>
          <w:sz w:val="20"/>
          <w:lang w:val="lt-LT"/>
        </w:rPr>
        <w:t>.</w:t>
      </w:r>
    </w:p>
    <w:p w14:paraId="289EDD3D" w14:textId="76B212E4" w:rsidR="002135DA" w:rsidRPr="002142B8" w:rsidRDefault="00280058" w:rsidP="00E37214">
      <w:pPr>
        <w:spacing w:after="0"/>
        <w:jc w:val="both"/>
        <w:rPr>
          <w:rFonts w:ascii="Georgia" w:hAnsi="Georgia"/>
          <w:b/>
          <w:sz w:val="20"/>
          <w:lang w:val="lt-LT"/>
        </w:rPr>
      </w:pPr>
      <w:r w:rsidRPr="002142B8">
        <w:rPr>
          <w:rFonts w:ascii="Georgia" w:hAnsi="Georgia"/>
          <w:b/>
          <w:sz w:val="20"/>
          <w:lang w:val="lt-LT"/>
        </w:rPr>
        <w:lastRenderedPageBreak/>
        <w:t>Viešųjų pastatų modernizavimas</w:t>
      </w:r>
    </w:p>
    <w:p w14:paraId="288BBAA7" w14:textId="0F667FBC" w:rsidR="00E37214" w:rsidRDefault="00E37214" w:rsidP="00E37214">
      <w:pPr>
        <w:spacing w:after="0"/>
        <w:jc w:val="both"/>
        <w:rPr>
          <w:rFonts w:ascii="Georgia" w:hAnsi="Georgia"/>
          <w:b/>
          <w:sz w:val="20"/>
          <w:lang w:val="lt-LT"/>
        </w:rPr>
      </w:pPr>
    </w:p>
    <w:p w14:paraId="04E0CB8E" w14:textId="77777777" w:rsidR="005A432A" w:rsidRPr="00CE7321" w:rsidRDefault="005A432A" w:rsidP="005A432A">
      <w:pPr>
        <w:jc w:val="both"/>
        <w:rPr>
          <w:rFonts w:ascii="Georgia" w:hAnsi="Georgia"/>
          <w:sz w:val="20"/>
          <w:lang w:val="lt-LT"/>
        </w:rPr>
      </w:pPr>
      <w:r>
        <w:rPr>
          <w:rFonts w:ascii="Georgia" w:hAnsi="Georgia"/>
          <w:sz w:val="20"/>
          <w:lang w:val="lt-LT"/>
        </w:rPr>
        <w:t xml:space="preserve">Centrinės valdžios pastatų atnaujinimas </w:t>
      </w:r>
      <w:r>
        <w:rPr>
          <w:rFonts w:ascii="Georgia" w:hAnsi="Georgia"/>
          <w:sz w:val="20"/>
        </w:rPr>
        <w:t xml:space="preserve">2014-2020 m. periodu </w:t>
      </w:r>
      <w:r>
        <w:rPr>
          <w:rFonts w:ascii="Georgia" w:hAnsi="Georgia"/>
          <w:sz w:val="20"/>
          <w:lang w:val="lt-LT"/>
        </w:rPr>
        <w:t>įgyvendinamas per dvi priemones – „Valstybei nuosavybės teise priklausančių pastatų atnaujinimo“ ir „Energijos vartojimo efektyvumo didinimas viešojoje infrastruktūroje“. Šias priemones administruoja VIPA, o apie kiekvieną iš jų detaliau informacija pateikta pasiūlos analizės skyriuje.</w:t>
      </w:r>
    </w:p>
    <w:p w14:paraId="3EEDBEEF" w14:textId="54CF8CF7" w:rsidR="005A432A" w:rsidRDefault="000F1B68" w:rsidP="005A432A">
      <w:pPr>
        <w:jc w:val="both"/>
        <w:rPr>
          <w:rFonts w:ascii="Georgia" w:hAnsi="Georgia"/>
          <w:sz w:val="20"/>
          <w:lang w:val="lt-LT"/>
        </w:rPr>
      </w:pPr>
      <w:r w:rsidRPr="002142B8">
        <w:rPr>
          <w:rFonts w:ascii="Georgia" w:eastAsia="Calibri" w:hAnsi="Georgia" w:cs="Arial"/>
          <w:bCs/>
          <w:sz w:val="20"/>
          <w:szCs w:val="20"/>
          <w:lang w:val="lt-LT"/>
        </w:rPr>
        <w:t>„</w:t>
      </w:r>
      <w:r w:rsidR="005A432A" w:rsidRPr="00BC6D6D">
        <w:rPr>
          <w:rFonts w:ascii="Georgia" w:hAnsi="Georgia"/>
          <w:sz w:val="20"/>
          <w:lang w:val="lt-LT"/>
        </w:rPr>
        <w:t>Valstybei nuosavybės teise priklausančių pastatų atnaujinimo</w:t>
      </w:r>
      <w:r>
        <w:rPr>
          <w:rFonts w:ascii="Georgia" w:hAnsi="Georgia"/>
          <w:sz w:val="20"/>
          <w:lang w:val="lt-LT"/>
        </w:rPr>
        <w:t>“</w:t>
      </w:r>
      <w:r w:rsidR="005A432A" w:rsidRPr="00BC6D6D">
        <w:rPr>
          <w:rFonts w:ascii="Georgia" w:hAnsi="Georgia"/>
          <w:sz w:val="20"/>
          <w:lang w:val="lt-LT"/>
        </w:rPr>
        <w:t xml:space="preserve"> priemonė bus įgyvendinama grąžinamosios subsidijos būdu, siekiant suteikti finansinę paramą pastatams, kuriems taikomi</w:t>
      </w:r>
      <w:r w:rsidR="005A432A">
        <w:rPr>
          <w:rFonts w:ascii="Georgia" w:hAnsi="Georgia"/>
          <w:sz w:val="20"/>
          <w:lang w:val="lt-LT"/>
        </w:rPr>
        <w:t xml:space="preserve"> specialūs saugumo reikalavimai</w:t>
      </w:r>
      <w:r w:rsidR="005A432A" w:rsidRPr="00BC6D6D">
        <w:rPr>
          <w:rFonts w:ascii="Georgia" w:hAnsi="Georgia"/>
          <w:sz w:val="20"/>
          <w:lang w:val="lt-LT"/>
        </w:rPr>
        <w:t>,</w:t>
      </w:r>
      <w:r w:rsidR="005A432A">
        <w:rPr>
          <w:rFonts w:ascii="Georgia" w:hAnsi="Georgia"/>
          <w:sz w:val="20"/>
          <w:lang w:val="lt-LT"/>
        </w:rPr>
        <w:t xml:space="preserve"> </w:t>
      </w:r>
      <w:r w:rsidR="005A432A" w:rsidRPr="00BC6D6D">
        <w:rPr>
          <w:rFonts w:ascii="Georgia" w:hAnsi="Georgia"/>
          <w:sz w:val="20"/>
          <w:lang w:val="lt-LT"/>
        </w:rPr>
        <w:t>ar kuriuose dėl tam tikrų priežasčių ESCO negali užtikrinti paslaugų teikimo, arba kuriam nebuvo skirtas finansavimas iš „Energijos vartojimo efektyvumo didinimas viešojoje infrastruktūroje“ priemonės</w:t>
      </w:r>
      <w:r w:rsidR="005A432A">
        <w:rPr>
          <w:rFonts w:ascii="Georgia" w:hAnsi="Georgia"/>
          <w:sz w:val="20"/>
          <w:lang w:val="lt-LT"/>
        </w:rPr>
        <w:t xml:space="preserve">. </w:t>
      </w:r>
      <w:r w:rsidR="005A432A" w:rsidRPr="00797C59">
        <w:rPr>
          <w:rFonts w:ascii="Georgia" w:hAnsi="Georgia"/>
          <w:sz w:val="20"/>
          <w:lang w:val="lt-LT"/>
        </w:rPr>
        <w:t>„Valstybei nuosavybės teise priklausančių pastatų atnaujinimo“ priemonės atrankos kriterijai</w:t>
      </w:r>
      <w:r w:rsidR="0063653E">
        <w:rPr>
          <w:rFonts w:ascii="Georgia" w:hAnsi="Georgia"/>
          <w:sz w:val="20"/>
          <w:lang w:val="lt-LT"/>
        </w:rPr>
        <w:t xml:space="preserve"> </w:t>
      </w:r>
      <w:r w:rsidR="0047468E">
        <w:rPr>
          <w:rFonts w:ascii="Georgia" w:hAnsi="Georgia"/>
          <w:sz w:val="20"/>
          <w:lang w:val="lt-LT"/>
        </w:rPr>
        <w:t xml:space="preserve">patvirtinti </w:t>
      </w:r>
      <w:r w:rsidR="0063653E">
        <w:rPr>
          <w:rFonts w:ascii="Georgia" w:hAnsi="Georgia"/>
          <w:sz w:val="20"/>
          <w:lang w:val="lt-LT"/>
        </w:rPr>
        <w:t>Stebėsenos komiteto</w:t>
      </w:r>
      <w:r w:rsidR="005A432A" w:rsidRPr="00797C59">
        <w:rPr>
          <w:rFonts w:ascii="Georgia" w:hAnsi="Georgia"/>
          <w:sz w:val="20"/>
          <w:lang w:val="lt-LT"/>
        </w:rPr>
        <w:t xml:space="preserve"> ir jie </w:t>
      </w:r>
      <w:r w:rsidR="00FD137F" w:rsidRPr="008B3C84">
        <w:rPr>
          <w:rFonts w:ascii="Georgia" w:hAnsi="Georgia"/>
          <w:sz w:val="20"/>
          <w:lang w:val="lt-LT"/>
        </w:rPr>
        <w:t>nurodo</w:t>
      </w:r>
      <w:r w:rsidR="005A432A" w:rsidRPr="008B3C84">
        <w:rPr>
          <w:rFonts w:ascii="Georgia" w:hAnsi="Georgia"/>
          <w:sz w:val="20"/>
          <w:lang w:val="lt-LT"/>
        </w:rPr>
        <w:t>, kada pastatas gali būti tinkamas finansuoti</w:t>
      </w:r>
      <w:r w:rsidR="005A432A" w:rsidRPr="00DC1B54">
        <w:rPr>
          <w:rFonts w:ascii="Georgia" w:hAnsi="Georgia"/>
          <w:sz w:val="20"/>
          <w:lang w:val="lt-LT"/>
        </w:rPr>
        <w:t>.</w:t>
      </w:r>
      <w:r w:rsidR="005A432A">
        <w:rPr>
          <w:rFonts w:ascii="Georgia" w:hAnsi="Georgia"/>
          <w:sz w:val="20"/>
          <w:lang w:val="lt-LT"/>
        </w:rPr>
        <w:t xml:space="preserve"> </w:t>
      </w:r>
    </w:p>
    <w:p w14:paraId="41C2A114" w14:textId="77777777" w:rsidR="005A432A" w:rsidRDefault="005A432A" w:rsidP="005A432A">
      <w:pPr>
        <w:jc w:val="both"/>
        <w:rPr>
          <w:rFonts w:ascii="Georgia" w:hAnsi="Georgia"/>
          <w:sz w:val="20"/>
          <w:lang w:val="lt-LT"/>
        </w:rPr>
      </w:pPr>
      <w:r>
        <w:rPr>
          <w:rFonts w:ascii="Georgia" w:hAnsi="Georgia"/>
          <w:sz w:val="20"/>
          <w:lang w:val="lt-LT"/>
        </w:rPr>
        <w:t>Tuo tarpu siekiant skatinti likusių centrinės valdžios pastatų modernizavimą, taikomos taikomos lengvatinės paskolos per „Energijos vartojimo efektyvumo didinimas viešojoje infrastruktūroje“ priemonę. Svarbu paminėti, jog tik nepraėję priemonės „Energijos vartojimo efektyvumo didinimas viešojoje infrastruktūroje“ paraiškų vertinimo etapo, naudos gavėjai gali kreiptis paramos per „Valstybei nuosavybės teise priklausančių pastatų atnaujinimo“ priemonę, taip užtikrinant abiejų intervencinių priemonių suderinamumą ir nesidubliavimą.</w:t>
      </w:r>
    </w:p>
    <w:p w14:paraId="62AA5654" w14:textId="395FC88E" w:rsidR="005A432A" w:rsidRDefault="005A432A" w:rsidP="005A432A">
      <w:pPr>
        <w:jc w:val="both"/>
        <w:rPr>
          <w:rFonts w:ascii="Georgia" w:hAnsi="Georgia"/>
          <w:sz w:val="20"/>
          <w:lang w:val="lt-LT"/>
        </w:rPr>
      </w:pPr>
      <w:r>
        <w:rPr>
          <w:rFonts w:ascii="Georgia" w:hAnsi="Georgia"/>
          <w:sz w:val="20"/>
          <w:lang w:val="lt-LT"/>
        </w:rPr>
        <w:t xml:space="preserve">Atsižvelgiant į jautrumo analizės dalyje nustatytą didelį subsidijų poreikį įgyvendinant centrinės valdžios pastatų atnaujinimo projektus, tikėtina, jog atsiras poreikis derinti esamus finansinius instrumentus su grąžinamąją subsidija. Vadovaujantis EK išleistu komunikatu pagal Bendrųjų </w:t>
      </w:r>
      <w:r w:rsidR="000F1B68">
        <w:rPr>
          <w:rFonts w:ascii="Georgia" w:hAnsi="Georgia"/>
          <w:sz w:val="20"/>
          <w:lang w:val="lt-LT"/>
        </w:rPr>
        <w:t>n</w:t>
      </w:r>
      <w:r>
        <w:rPr>
          <w:rFonts w:ascii="Georgia" w:hAnsi="Georgia"/>
          <w:sz w:val="20"/>
          <w:lang w:val="lt-LT"/>
        </w:rPr>
        <w:t>uostatų Reglamentą</w:t>
      </w:r>
      <w:r>
        <w:rPr>
          <w:rStyle w:val="Puslapioinaosnuoroda"/>
          <w:rFonts w:ascii="Georgia" w:hAnsi="Georgia"/>
          <w:sz w:val="20"/>
          <w:lang w:val="lt-LT"/>
        </w:rPr>
        <w:footnoteReference w:id="141"/>
      </w:r>
      <w:r>
        <w:rPr>
          <w:rFonts w:ascii="Georgia" w:hAnsi="Georgia"/>
          <w:sz w:val="20"/>
          <w:lang w:val="lt-LT"/>
        </w:rPr>
        <w:t xml:space="preserve">, toks derinimas yra priimtinas, tačiau turi būti laikomasi tam tikrų sąlygų (žiūrėkite žemiau).   </w:t>
      </w:r>
    </w:p>
    <w:p w14:paraId="3BBEBB18" w14:textId="77777777" w:rsidR="005A432A" w:rsidRDefault="005A432A" w:rsidP="005A432A">
      <w:pPr>
        <w:jc w:val="both"/>
        <w:rPr>
          <w:rFonts w:ascii="Georgia" w:hAnsi="Georgia"/>
          <w:sz w:val="20"/>
          <w:lang w:val="lt-LT"/>
        </w:rPr>
      </w:pPr>
      <w:r>
        <w:rPr>
          <w:rFonts w:ascii="Georgia" w:hAnsi="Georgia"/>
          <w:sz w:val="20"/>
          <w:lang w:val="lt-LT"/>
        </w:rPr>
        <w:t xml:space="preserve">Pagal Veiksmų programos 7.1 prioritetą planuojama remti senų viešųjų ar komercinės paskirties pastatų atnaujinimą miestų vietovėse, pritaikant juos naudojimui. Nors tai siejasi su Veiksmų programos 4.3 prioriteto viešųjų pastatų atnaujinimo veiklomis, šių priemonių tikslai ir tikslinės galutinių naudos gavėjų grupės yra skirtingos, todėl šios viešųjų intervencijų formos nekonkuruos tarpusavyje ir nepersidengs. </w:t>
      </w:r>
    </w:p>
    <w:p w14:paraId="1F1C54BF" w14:textId="77777777" w:rsidR="005A432A" w:rsidRDefault="005A432A" w:rsidP="005A432A">
      <w:pPr>
        <w:jc w:val="both"/>
        <w:rPr>
          <w:rFonts w:ascii="Georgia" w:hAnsi="Georgia"/>
          <w:sz w:val="20"/>
          <w:lang w:val="lt-LT"/>
        </w:rPr>
      </w:pPr>
      <w:r>
        <w:rPr>
          <w:rFonts w:ascii="Georgia" w:hAnsi="Georgia"/>
          <w:sz w:val="20"/>
          <w:lang w:val="lt-LT"/>
        </w:rPr>
        <w:t xml:space="preserve">Dar viena viešųjų intervencijų forma viešųjų pastatų modernizavimo srityje yra Klimato kaitos programa. Klimato kaitos programos lėšomis gali būti remiamas viešųjų pastatų modernizavimas, tačiau, analogiškai kaip ir daugiabučiuose, finansinė priemonė ir parama iš Klimato kaitos programos yra derinama tarpusavyje. Taip užtikrinama, kad priemonės viena kitą papildo, o ne konkuruoja tarpusavyje. </w:t>
      </w:r>
    </w:p>
    <w:p w14:paraId="1CEBF2BD" w14:textId="77777777" w:rsidR="005A432A" w:rsidRPr="005B31C6" w:rsidRDefault="005A432A" w:rsidP="005A432A">
      <w:pPr>
        <w:jc w:val="both"/>
        <w:rPr>
          <w:rFonts w:ascii="Georgia" w:hAnsi="Georgia"/>
          <w:strike/>
          <w:sz w:val="20"/>
          <w:lang w:val="lt-LT"/>
        </w:rPr>
      </w:pPr>
      <w:r>
        <w:rPr>
          <w:rFonts w:ascii="Georgia" w:hAnsi="Georgia"/>
          <w:sz w:val="20"/>
          <w:lang w:val="lt-LT"/>
        </w:rPr>
        <w:t>Kaip viešųjų intervencijų formą taip pat reikėtų paminėti Valstybės investicijų programą, finansuojamą valstybės biudžeto lėšomis. Pastatų rekonstrukcijos, remonto ir panašių projektų energinį efektyvumą didinančios priemonės, kurios gali būti finansuojamos iš anksčiau minėtos finansinės priemonės, nebus finansuojamos iš Valstybės investicijų programos, todėl šios viešųjų intervencijų formos nekonkuruos tarpusavyje ir nepersidengs.</w:t>
      </w:r>
    </w:p>
    <w:tbl>
      <w:tblPr>
        <w:tblStyle w:val="Lentelstinklelis"/>
        <w:tblW w:w="0" w:type="auto"/>
        <w:shd w:val="clear" w:color="auto" w:fill="FDE9D9" w:themeFill="accent6" w:themeFillTint="33"/>
        <w:tblLook w:val="04A0" w:firstRow="1" w:lastRow="0" w:firstColumn="1" w:lastColumn="0" w:noHBand="0" w:noVBand="1"/>
      </w:tblPr>
      <w:tblGrid>
        <w:gridCol w:w="9226"/>
      </w:tblGrid>
      <w:tr w:rsidR="005A432A" w14:paraId="7798C60E" w14:textId="77777777" w:rsidTr="005A432A">
        <w:trPr>
          <w:trHeight w:val="841"/>
        </w:trPr>
        <w:tc>
          <w:tcPr>
            <w:tcW w:w="9226" w:type="dxa"/>
            <w:shd w:val="clear" w:color="auto" w:fill="FDE9D9" w:themeFill="accent6" w:themeFillTint="33"/>
          </w:tcPr>
          <w:p w14:paraId="22CBFDDA" w14:textId="77777777" w:rsidR="005A432A" w:rsidRPr="001E13B9" w:rsidRDefault="005A432A" w:rsidP="005A432A">
            <w:pPr>
              <w:spacing w:after="120"/>
              <w:jc w:val="both"/>
              <w:rPr>
                <w:rFonts w:ascii="Georgia" w:hAnsi="Georgia"/>
                <w:b/>
                <w:sz w:val="20"/>
                <w:lang w:val="lt-LT"/>
              </w:rPr>
            </w:pPr>
            <w:r>
              <w:rPr>
                <w:rFonts w:ascii="Georgia" w:hAnsi="Georgia"/>
                <w:b/>
                <w:sz w:val="20"/>
                <w:lang w:val="lt-LT"/>
              </w:rPr>
              <w:t>Finansinių priemoni</w:t>
            </w:r>
            <w:r w:rsidRPr="001E13B9">
              <w:rPr>
                <w:rFonts w:ascii="Georgia" w:hAnsi="Georgia"/>
                <w:b/>
                <w:sz w:val="20"/>
                <w:lang w:val="lt-LT"/>
              </w:rPr>
              <w:t>ų derinim</w:t>
            </w:r>
            <w:r>
              <w:rPr>
                <w:rFonts w:ascii="Georgia" w:hAnsi="Georgia"/>
                <w:b/>
                <w:sz w:val="20"/>
                <w:lang w:val="lt-LT"/>
              </w:rPr>
              <w:t>o galimybės</w:t>
            </w:r>
            <w:r w:rsidRPr="001E13B9">
              <w:rPr>
                <w:rFonts w:ascii="Georgia" w:hAnsi="Georgia"/>
                <w:b/>
                <w:sz w:val="20"/>
                <w:lang w:val="lt-LT"/>
              </w:rPr>
              <w:t xml:space="preserve"> su </w:t>
            </w:r>
            <w:r>
              <w:rPr>
                <w:rFonts w:ascii="Georgia" w:hAnsi="Georgia"/>
                <w:b/>
                <w:sz w:val="20"/>
                <w:lang w:val="lt-LT"/>
              </w:rPr>
              <w:t>kitomis paramos formomis</w:t>
            </w:r>
          </w:p>
          <w:p w14:paraId="06D648B9" w14:textId="77777777" w:rsidR="005A432A" w:rsidRDefault="005A432A" w:rsidP="005A432A">
            <w:pPr>
              <w:spacing w:after="120"/>
              <w:jc w:val="both"/>
              <w:rPr>
                <w:rFonts w:ascii="Georgia" w:hAnsi="Georgia"/>
                <w:sz w:val="20"/>
                <w:lang w:val="lt-LT"/>
              </w:rPr>
            </w:pPr>
            <w:r>
              <w:rPr>
                <w:rFonts w:ascii="Georgia" w:hAnsi="Georgia"/>
                <w:sz w:val="20"/>
                <w:lang w:val="lt-LT"/>
              </w:rPr>
              <w:t xml:space="preserve">Remiantis </w:t>
            </w:r>
            <w:r w:rsidRPr="001C2764">
              <w:rPr>
                <w:rFonts w:ascii="Georgia" w:hAnsi="Georgia"/>
                <w:sz w:val="20"/>
                <w:lang w:val="lt-LT"/>
              </w:rPr>
              <w:t>Bendrųjų nuostatų reglamento</w:t>
            </w:r>
            <w:r>
              <w:rPr>
                <w:rFonts w:ascii="Georgia" w:hAnsi="Georgia"/>
                <w:sz w:val="20"/>
                <w:lang w:val="lt-LT"/>
              </w:rPr>
              <w:t xml:space="preserve"> 37 str. 9 dalimi, finansinės priemonės gali būti derinamos su subsidijomis. Pagal EK </w:t>
            </w:r>
            <w:r>
              <w:rPr>
                <w:rFonts w:ascii="Georgia" w:hAnsi="Georgia"/>
                <w:sz w:val="20"/>
              </w:rPr>
              <w:t>2015 m. spalio 8d.</w:t>
            </w:r>
            <w:r>
              <w:rPr>
                <w:rFonts w:ascii="Georgia" w:hAnsi="Georgia"/>
                <w:sz w:val="20"/>
                <w:lang w:val="lt-LT"/>
              </w:rPr>
              <w:t xml:space="preserve"> paaiškinimą ES narėms dėl skirtingų paramos formų derinimo, gali būti naudojami du modeliai: f</w:t>
            </w:r>
            <w:r w:rsidRPr="0053719D">
              <w:rPr>
                <w:rFonts w:ascii="Georgia" w:hAnsi="Georgia"/>
                <w:sz w:val="20"/>
                <w:lang w:val="lt-LT"/>
              </w:rPr>
              <w:t>inansin</w:t>
            </w:r>
            <w:r>
              <w:rPr>
                <w:rFonts w:ascii="Georgia" w:hAnsi="Georgia"/>
                <w:sz w:val="20"/>
                <w:lang w:val="lt-LT"/>
              </w:rPr>
              <w:t>ės</w:t>
            </w:r>
            <w:r w:rsidRPr="0053719D">
              <w:rPr>
                <w:rFonts w:ascii="Georgia" w:hAnsi="Georgia"/>
                <w:sz w:val="20"/>
                <w:lang w:val="lt-LT"/>
              </w:rPr>
              <w:t xml:space="preserve"> </w:t>
            </w:r>
            <w:r>
              <w:rPr>
                <w:rFonts w:ascii="Georgia" w:hAnsi="Georgia"/>
                <w:sz w:val="20"/>
                <w:lang w:val="lt-LT"/>
              </w:rPr>
              <w:t>priemonės</w:t>
            </w:r>
            <w:r w:rsidRPr="0053719D">
              <w:rPr>
                <w:rFonts w:ascii="Georgia" w:hAnsi="Georgia"/>
                <w:sz w:val="20"/>
                <w:lang w:val="lt-LT"/>
              </w:rPr>
              <w:t xml:space="preserve"> lygmenyje (angl. single operation) ar</w:t>
            </w:r>
            <w:r>
              <w:rPr>
                <w:rFonts w:ascii="Georgia" w:hAnsi="Georgia"/>
                <w:sz w:val="20"/>
                <w:lang w:val="lt-LT"/>
              </w:rPr>
              <w:t>ba</w:t>
            </w:r>
            <w:r w:rsidRPr="0053719D">
              <w:rPr>
                <w:rFonts w:ascii="Georgia" w:hAnsi="Georgia"/>
                <w:sz w:val="20"/>
                <w:lang w:val="lt-LT"/>
              </w:rPr>
              <w:t xml:space="preserve"> galutinių naudos gavėjų lygmenyje (angl. combination of two separate operations)</w:t>
            </w:r>
            <w:r>
              <w:rPr>
                <w:rFonts w:ascii="Georgia" w:hAnsi="Georgia"/>
                <w:sz w:val="20"/>
                <w:lang w:val="lt-LT"/>
              </w:rPr>
              <w:t>.</w:t>
            </w:r>
          </w:p>
          <w:p w14:paraId="65B0A158" w14:textId="77777777" w:rsidR="005A432A" w:rsidRDefault="005A432A" w:rsidP="005A432A">
            <w:pPr>
              <w:pStyle w:val="Sraopastraipa"/>
              <w:numPr>
                <w:ilvl w:val="0"/>
                <w:numId w:val="79"/>
              </w:numPr>
              <w:spacing w:after="120"/>
              <w:ind w:hanging="357"/>
              <w:contextualSpacing w:val="0"/>
              <w:jc w:val="both"/>
              <w:rPr>
                <w:rFonts w:ascii="Georgia" w:hAnsi="Georgia"/>
                <w:sz w:val="20"/>
                <w:lang w:val="lt-LT"/>
              </w:rPr>
            </w:pPr>
            <w:r w:rsidRPr="00EC16C6">
              <w:rPr>
                <w:rFonts w:ascii="Georgia" w:hAnsi="Georgia"/>
                <w:sz w:val="20"/>
                <w:lang w:val="lt-LT"/>
              </w:rPr>
              <w:lastRenderedPageBreak/>
              <w:t xml:space="preserve">Finansinės priemonės lygmenyje finansinio instrumento paramos derinimas gali vykti su kitomis paramos formomis (technine parama, palūkanų normos subsidija ir garantijos mokesčio subsidija), jei parama iš šių priemonių skatina ir pagerina finansinio instrumento įgyvendinimą. Finansinės priemonės ir kitos paramos formos kombinacija yra kofinansuota ESI lėšų pagal specifinį ESIF programos prioritetą. </w:t>
            </w:r>
            <w:r>
              <w:rPr>
                <w:rFonts w:ascii="Georgia" w:hAnsi="Georgia"/>
                <w:sz w:val="20"/>
                <w:lang w:val="lt-LT"/>
              </w:rPr>
              <w:t xml:space="preserve">Parama skirta galutiniams naudos gavėjams tačiau negali būti tiesiogiai jiems išmokama. </w:t>
            </w:r>
            <w:r w:rsidRPr="00EC16C6">
              <w:rPr>
                <w:rFonts w:ascii="Georgia" w:hAnsi="Georgia"/>
                <w:sz w:val="20"/>
                <w:lang w:val="lt-LT"/>
              </w:rPr>
              <w:t>Žemiau pateikiamos pagrin</w:t>
            </w:r>
            <w:r>
              <w:rPr>
                <w:rFonts w:ascii="Georgia" w:hAnsi="Georgia"/>
                <w:sz w:val="20"/>
                <w:lang w:val="lt-LT"/>
              </w:rPr>
              <w:t>dinės sąlygos, būtinos norint su</w:t>
            </w:r>
            <w:r w:rsidRPr="00EC16C6">
              <w:rPr>
                <w:rFonts w:ascii="Georgia" w:hAnsi="Georgia"/>
                <w:sz w:val="20"/>
                <w:lang w:val="lt-LT"/>
              </w:rPr>
              <w:t xml:space="preserve">derinti </w:t>
            </w:r>
            <w:r>
              <w:rPr>
                <w:rFonts w:ascii="Georgia" w:hAnsi="Georgia"/>
                <w:sz w:val="20"/>
                <w:lang w:val="lt-LT"/>
              </w:rPr>
              <w:t>FP</w:t>
            </w:r>
            <w:r w:rsidRPr="00EC16C6">
              <w:rPr>
                <w:rFonts w:ascii="Georgia" w:hAnsi="Georgia"/>
                <w:sz w:val="20"/>
                <w:lang w:val="lt-LT"/>
              </w:rPr>
              <w:t xml:space="preserve"> su kitomis paramos formomis:</w:t>
            </w:r>
          </w:p>
          <w:p w14:paraId="442A9964"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 xml:space="preserve">Kitos paramos formos (techninė parama projekto parengimui ir priežiūrai, pvz. energijos auditai, investicinių projekto rengimas ir t.t., palūkanų normos subsidija ir garantijos mokesčio subsidija) privalo būti tiesiogiai susijusios su FP. Palūkanų normos subsidija ir garantijos mokesčio subsidija yra laikomi tiesiogiai susiję su FP.  </w:t>
            </w:r>
          </w:p>
          <w:p w14:paraId="314B64CD"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FP ir kitos paramos formos (techninė parama, palūkanų normos subsidija ir garantijos mokesčio subsidija) turi turėti tuos pačius tikslinius gavėjus;</w:t>
            </w:r>
          </w:p>
          <w:p w14:paraId="3466CD49"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Turi būti laikomasi taikomų valstybės paramos taisyklių;</w:t>
            </w:r>
          </w:p>
          <w:p w14:paraId="66DE47ED"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Turi būti vedami atskiri įrašai kiekvienai paramos priemonei.</w:t>
            </w:r>
          </w:p>
          <w:p w14:paraId="787A4A34" w14:textId="77777777" w:rsidR="005A432A" w:rsidRDefault="005A432A" w:rsidP="005A432A">
            <w:pPr>
              <w:pStyle w:val="Sraopastraipa"/>
              <w:numPr>
                <w:ilvl w:val="1"/>
                <w:numId w:val="79"/>
              </w:numPr>
              <w:spacing w:after="120"/>
              <w:contextualSpacing w:val="0"/>
              <w:jc w:val="both"/>
              <w:rPr>
                <w:rFonts w:ascii="Georgia" w:hAnsi="Georgia"/>
                <w:sz w:val="20"/>
                <w:lang w:val="lt-LT"/>
              </w:rPr>
            </w:pPr>
            <w:r>
              <w:rPr>
                <w:rFonts w:ascii="Georgia" w:hAnsi="Georgia"/>
                <w:sz w:val="20"/>
                <w:lang w:val="lt-LT"/>
              </w:rPr>
              <w:t xml:space="preserve">Taip pat turi būti laikomasi kitų </w:t>
            </w:r>
            <w:r w:rsidRPr="006A7380">
              <w:rPr>
                <w:rFonts w:ascii="Georgia" w:hAnsi="Georgia"/>
                <w:sz w:val="20"/>
                <w:lang w:val="lt-LT"/>
              </w:rPr>
              <w:t>Bendrųjų nuostatų reglamento</w:t>
            </w:r>
            <w:r>
              <w:rPr>
                <w:rFonts w:ascii="Georgia" w:hAnsi="Georgia"/>
                <w:sz w:val="20"/>
                <w:lang w:val="lt-LT"/>
              </w:rPr>
              <w:t xml:space="preserve"> nuostatų reikalavimų, tokių kaip: ex-ante parengimas, visų formų teikiamos paramos dydis negali viršyti viso išlaidų elemento dydžio, FP nenaudojamos iš anksto, kol negautas subsidijų finansavimas ir subsidijos nenaudojamos finansavimui, gautam pagal FP apmokėti.</w:t>
            </w:r>
          </w:p>
          <w:p w14:paraId="067D9771" w14:textId="77777777" w:rsidR="005A432A" w:rsidRDefault="005A432A" w:rsidP="005A432A">
            <w:pPr>
              <w:pStyle w:val="Sraopastraipa"/>
              <w:numPr>
                <w:ilvl w:val="0"/>
                <w:numId w:val="79"/>
              </w:numPr>
              <w:spacing w:after="120"/>
              <w:ind w:left="714" w:hanging="357"/>
              <w:contextualSpacing w:val="0"/>
              <w:jc w:val="both"/>
              <w:rPr>
                <w:rFonts w:ascii="Georgia" w:hAnsi="Georgia"/>
                <w:sz w:val="20"/>
                <w:lang w:val="lt-LT"/>
              </w:rPr>
            </w:pPr>
            <w:r>
              <w:rPr>
                <w:rFonts w:ascii="Georgia" w:hAnsi="Georgia"/>
                <w:sz w:val="20"/>
                <w:lang w:val="lt-LT"/>
              </w:rPr>
              <w:t xml:space="preserve">Galutinių naudotojų lygmenyje FP gali būti derinama su parama iš ESI lėšų pagal kitus prioritetus arba kitas ES finansuojamas FP. Tokiu atveju FP ir subsidijų parama, susijusi su kitais prioritetais, programomis arba priemonėmis vyksta dvejose atskirose operacijose, kurių kiekviena turi atskirą leistiną išlaidų elementą.  Žemiau pateikiamos pagrindinės sąlygos, būtinos norint suderinti FP su kitomis paramos formomis: </w:t>
            </w:r>
          </w:p>
          <w:p w14:paraId="1B2788EB"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FP parama iš ESIF lėšų galutiniams naudos gavėjams yra dalis operacijos su tinkamų išlaidų elementu skirtingu nuo kitų paramos formų;</w:t>
            </w:r>
          </w:p>
          <w:p w14:paraId="56BC620E" w14:textId="77777777" w:rsidR="005A432A"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Turi būti laikomasi valstybės pagalbos taisyklių, ir ypatingai visą skiriamos valstybės pagalbos sumą;</w:t>
            </w:r>
          </w:p>
          <w:p w14:paraId="140AA641" w14:textId="77777777" w:rsidR="005A432A" w:rsidRPr="00720E6F" w:rsidRDefault="005A432A" w:rsidP="005A432A">
            <w:pPr>
              <w:pStyle w:val="Sraopastraipa"/>
              <w:numPr>
                <w:ilvl w:val="1"/>
                <w:numId w:val="79"/>
              </w:numPr>
              <w:spacing w:after="120"/>
              <w:ind w:hanging="357"/>
              <w:contextualSpacing w:val="0"/>
              <w:jc w:val="both"/>
              <w:rPr>
                <w:rFonts w:ascii="Georgia" w:hAnsi="Georgia"/>
                <w:sz w:val="20"/>
                <w:lang w:val="lt-LT"/>
              </w:rPr>
            </w:pPr>
            <w:r>
              <w:rPr>
                <w:rFonts w:ascii="Georgia" w:hAnsi="Georgia"/>
                <w:sz w:val="20"/>
                <w:lang w:val="lt-LT"/>
              </w:rPr>
              <w:t xml:space="preserve">Turi būti vedami atskiri įrašai kiekvienai paramos priemonei. </w:t>
            </w:r>
          </w:p>
        </w:tc>
      </w:tr>
    </w:tbl>
    <w:p w14:paraId="6A3F03BF" w14:textId="77777777" w:rsidR="005A432A" w:rsidRPr="002142B8" w:rsidRDefault="005A432A" w:rsidP="00E37214">
      <w:pPr>
        <w:spacing w:after="0"/>
        <w:jc w:val="both"/>
        <w:rPr>
          <w:rFonts w:ascii="Georgia" w:hAnsi="Georgia"/>
          <w:b/>
          <w:sz w:val="20"/>
          <w:lang w:val="lt-LT"/>
        </w:rPr>
      </w:pPr>
    </w:p>
    <w:p w14:paraId="50BA4BDF" w14:textId="7B16DBF7" w:rsidR="009E0674" w:rsidRPr="002142B8" w:rsidRDefault="009E0674" w:rsidP="005B31C6">
      <w:pPr>
        <w:spacing w:after="0"/>
        <w:jc w:val="both"/>
        <w:rPr>
          <w:rFonts w:ascii="Georgia" w:hAnsi="Georgia"/>
          <w:sz w:val="20"/>
          <w:lang w:val="lt-LT"/>
        </w:rPr>
      </w:pPr>
    </w:p>
    <w:p w14:paraId="370198C7" w14:textId="60F535D4" w:rsidR="009F0D5C" w:rsidRPr="002142B8" w:rsidRDefault="009F0D5C" w:rsidP="005B31C6">
      <w:pPr>
        <w:spacing w:after="0"/>
        <w:jc w:val="both"/>
        <w:rPr>
          <w:rFonts w:ascii="Georgia" w:hAnsi="Georgia"/>
          <w:b/>
          <w:sz w:val="20"/>
          <w:lang w:val="lt-LT"/>
        </w:rPr>
      </w:pPr>
      <w:r w:rsidRPr="002142B8">
        <w:rPr>
          <w:rFonts w:ascii="Georgia" w:hAnsi="Georgia"/>
          <w:b/>
          <w:sz w:val="20"/>
          <w:lang w:val="lt-LT"/>
        </w:rPr>
        <w:t>Gatvių apšvietimas</w:t>
      </w:r>
    </w:p>
    <w:p w14:paraId="32289B53" w14:textId="5EF75A5D" w:rsidR="005A432A" w:rsidRDefault="005A432A" w:rsidP="005A432A">
      <w:pPr>
        <w:jc w:val="both"/>
        <w:rPr>
          <w:rFonts w:ascii="Georgia" w:hAnsi="Georgia"/>
          <w:sz w:val="20"/>
          <w:lang w:val="lt-LT"/>
        </w:rPr>
      </w:pPr>
      <w:r>
        <w:rPr>
          <w:rFonts w:ascii="Times New Roman" w:hAnsi="Times New Roman" w:cs="Times New Roman"/>
          <w:sz w:val="24"/>
          <w:szCs w:val="24"/>
          <w:lang w:val="lt-LT" w:eastAsia="lt-LT"/>
        </w:rPr>
        <w:t xml:space="preserve"> </w:t>
      </w:r>
      <w:r>
        <w:rPr>
          <w:rFonts w:ascii="Georgia" w:hAnsi="Georgia"/>
          <w:sz w:val="20"/>
          <w:lang w:val="lt-LT"/>
        </w:rPr>
        <w:t>Gatvių apšvietimo projektai 20</w:t>
      </w:r>
      <w:r w:rsidRPr="00744CDF">
        <w:rPr>
          <w:rFonts w:ascii="Georgia" w:hAnsi="Georgia"/>
          <w:sz w:val="20"/>
          <w:lang w:val="lt-LT"/>
        </w:rPr>
        <w:t>14</w:t>
      </w:r>
      <w:r>
        <w:rPr>
          <w:rFonts w:ascii="Georgia" w:hAnsi="Georgia"/>
          <w:sz w:val="20"/>
          <w:lang w:val="lt-LT"/>
        </w:rPr>
        <w:t>-2020 m. laikotarpiu remiami pagal vienintelę ankščiau minėtą „</w:t>
      </w:r>
      <w:r w:rsidRPr="00E64B0E">
        <w:rPr>
          <w:rFonts w:ascii="Georgia" w:hAnsi="Georgia"/>
          <w:sz w:val="20"/>
          <w:lang w:val="lt-LT"/>
        </w:rPr>
        <w:t>Energijos vartojimo efektyvumo didinimo</w:t>
      </w:r>
      <w:r>
        <w:rPr>
          <w:rFonts w:ascii="Georgia" w:hAnsi="Georgia"/>
          <w:sz w:val="20"/>
          <w:lang w:val="lt-LT"/>
        </w:rPr>
        <w:t xml:space="preserve"> viešojoje infrastruktūroje“ priemonę taikant garantijų finansinį instrumentą. </w:t>
      </w:r>
      <w:r w:rsidRPr="00744CDF">
        <w:rPr>
          <w:rFonts w:ascii="Georgia" w:hAnsi="Georgia"/>
          <w:sz w:val="20"/>
          <w:lang w:val="lt-LT"/>
        </w:rPr>
        <w:t>2016 metais</w:t>
      </w:r>
      <w:r>
        <w:rPr>
          <w:rFonts w:ascii="Georgia" w:hAnsi="Georgia"/>
          <w:sz w:val="20"/>
          <w:lang w:val="lt-LT"/>
        </w:rPr>
        <w:t xml:space="preserve"> buvo įsteigta savivaldybių dotacijų priemonė, tačiau jos pagrindinis tikslas – iš biudžeto lėšų užtikrinti savivaldybių įgyvendinamų projektų, finansuojamų iš ES struktūrinių lėšų, kofinasavimo dalį. Ši priemonė atlaisvina finansines galimybes savivaldybėms įgyvendinti kitas finansines priemones bei gatvės apšvietimo projektus, tačiau tiesioginės įtakos gatvių apšvietimą remiamai priemonei neturi. </w:t>
      </w:r>
    </w:p>
    <w:p w14:paraId="5ADBA08F" w14:textId="2C25524C" w:rsidR="005A432A" w:rsidRPr="00744CDF" w:rsidRDefault="005A432A" w:rsidP="005A432A">
      <w:pPr>
        <w:jc w:val="both"/>
        <w:rPr>
          <w:rFonts w:ascii="Georgia" w:hAnsi="Georgia"/>
          <w:sz w:val="20"/>
          <w:lang w:val="lt-LT"/>
        </w:rPr>
      </w:pPr>
      <w:r>
        <w:rPr>
          <w:rFonts w:ascii="Georgia" w:hAnsi="Georgia"/>
          <w:sz w:val="20"/>
          <w:lang w:val="lt-LT"/>
        </w:rPr>
        <w:t>Šiuo metu vienintelė kita viešosios intervencijos forma tinkama šiai sričiai yra Valstybės investicijų programa, finansuojama iš valstybės biudžeto. Projektai, tinkami finansuoti iš gatvių apšvietimo modernizavimui skirtos finansinės priemonės nebus finansuojami Valstybės investicijų programos, todėl</w:t>
      </w:r>
      <w:r w:rsidRPr="00744CDF">
        <w:rPr>
          <w:rFonts w:ascii="Georgia" w:hAnsi="Georgia"/>
          <w:sz w:val="20"/>
          <w:lang w:val="lt-LT"/>
        </w:rPr>
        <w:t xml:space="preserve"> šios viešųjų intervencijų formos nekonkuruos tarpusavyje ir nepersidengs</w:t>
      </w:r>
      <w:r>
        <w:rPr>
          <w:rFonts w:ascii="Georgia" w:hAnsi="Georgia"/>
          <w:sz w:val="20"/>
          <w:lang w:val="lt-LT"/>
        </w:rPr>
        <w:t>.</w:t>
      </w:r>
    </w:p>
    <w:p w14:paraId="5B92EF0C" w14:textId="77777777" w:rsidR="009F0D5C" w:rsidRPr="002142B8" w:rsidRDefault="009F0D5C" w:rsidP="00280058">
      <w:pPr>
        <w:spacing w:after="0" w:line="240" w:lineRule="auto"/>
        <w:jc w:val="both"/>
        <w:rPr>
          <w:rFonts w:ascii="Times New Roman" w:hAnsi="Times New Roman" w:cs="Times New Roman"/>
          <w:sz w:val="24"/>
          <w:szCs w:val="24"/>
          <w:lang w:val="lt-LT" w:eastAsia="lt-LT"/>
        </w:rPr>
      </w:pPr>
    </w:p>
    <w:p w14:paraId="2CAB5420" w14:textId="77777777" w:rsidR="00995FCE" w:rsidRPr="002142B8" w:rsidRDefault="00995FCE" w:rsidP="00C57355">
      <w:pPr>
        <w:pStyle w:val="Antrat2"/>
        <w:numPr>
          <w:ilvl w:val="1"/>
          <w:numId w:val="2"/>
        </w:numPr>
        <w:spacing w:after="240"/>
        <w:ind w:left="709"/>
        <w:rPr>
          <w:lang w:val="lt-LT"/>
        </w:rPr>
      </w:pPr>
      <w:bookmarkStart w:id="296" w:name="_Toc25589939"/>
      <w:r w:rsidRPr="002142B8">
        <w:rPr>
          <w:lang w:val="lt-LT"/>
        </w:rPr>
        <w:lastRenderedPageBreak/>
        <w:t>Finansinių priemonių poveikis valstybės biudžeto deficitui ir valstybės skolai</w:t>
      </w:r>
      <w:bookmarkEnd w:id="296"/>
    </w:p>
    <w:p w14:paraId="458C8595" w14:textId="77777777" w:rsidR="00D17B85" w:rsidRPr="002142B8" w:rsidRDefault="00995FCE" w:rsidP="00D17B85">
      <w:pPr>
        <w:spacing w:after="120"/>
        <w:jc w:val="both"/>
        <w:rPr>
          <w:rFonts w:ascii="Georgia" w:hAnsi="Georgia"/>
          <w:sz w:val="20"/>
          <w:szCs w:val="20"/>
          <w:lang w:val="lt-LT"/>
        </w:rPr>
      </w:pPr>
      <w:r w:rsidRPr="002142B8">
        <w:rPr>
          <w:rFonts w:ascii="Georgia" w:hAnsi="Georgia"/>
          <w:sz w:val="20"/>
          <w:szCs w:val="20"/>
          <w:lang w:val="lt-LT"/>
        </w:rPr>
        <w:t xml:space="preserve">Šiame ex-ante skyriuje išanalizuoti </w:t>
      </w:r>
      <w:r w:rsidR="00D17B85" w:rsidRPr="002142B8">
        <w:rPr>
          <w:rFonts w:ascii="Georgia" w:hAnsi="Georgia"/>
          <w:sz w:val="20"/>
          <w:szCs w:val="20"/>
          <w:lang w:val="lt-LT"/>
        </w:rPr>
        <w:t>du atvejai, koks yra siūlomų finansinių priemonių poveikis valstybės biudžeto deficitui ir valstybės skolai viešųjų pastatų ir gatvių apšvietimo modernizavimo atvejais:</w:t>
      </w:r>
    </w:p>
    <w:p w14:paraId="3AED7B13" w14:textId="77777777" w:rsidR="00D17B85" w:rsidRPr="002142B8" w:rsidRDefault="00995FCE" w:rsidP="00162BF5">
      <w:pPr>
        <w:pStyle w:val="Sraopastraipa"/>
        <w:numPr>
          <w:ilvl w:val="0"/>
          <w:numId w:val="51"/>
        </w:numPr>
        <w:jc w:val="both"/>
        <w:rPr>
          <w:rFonts w:ascii="Georgia" w:hAnsi="Georgia"/>
          <w:sz w:val="20"/>
          <w:szCs w:val="20"/>
          <w:lang w:val="lt-LT"/>
        </w:rPr>
      </w:pPr>
      <w:r w:rsidRPr="002142B8">
        <w:rPr>
          <w:rFonts w:ascii="Georgia" w:hAnsi="Georgia"/>
          <w:sz w:val="20"/>
          <w:szCs w:val="20"/>
          <w:lang w:val="lt-LT"/>
        </w:rPr>
        <w:t xml:space="preserve">finansinės priemonės; </w:t>
      </w:r>
    </w:p>
    <w:p w14:paraId="4397487E" w14:textId="77777777" w:rsidR="00995FCE" w:rsidRPr="002142B8" w:rsidRDefault="00995FCE" w:rsidP="00162BF5">
      <w:pPr>
        <w:pStyle w:val="Sraopastraipa"/>
        <w:numPr>
          <w:ilvl w:val="0"/>
          <w:numId w:val="51"/>
        </w:numPr>
        <w:jc w:val="both"/>
        <w:rPr>
          <w:rFonts w:ascii="Georgia" w:hAnsi="Georgia"/>
          <w:sz w:val="20"/>
          <w:szCs w:val="20"/>
          <w:lang w:val="lt-LT"/>
        </w:rPr>
      </w:pPr>
      <w:r w:rsidRPr="002142B8">
        <w:rPr>
          <w:rFonts w:ascii="Georgia" w:hAnsi="Georgia"/>
          <w:sz w:val="20"/>
          <w:szCs w:val="20"/>
          <w:lang w:val="lt-LT"/>
        </w:rPr>
        <w:t>ESCO modelis</w:t>
      </w:r>
      <w:r w:rsidR="00D17B85" w:rsidRPr="002142B8">
        <w:rPr>
          <w:rFonts w:ascii="Georgia" w:hAnsi="Georgia"/>
          <w:sz w:val="20"/>
          <w:szCs w:val="20"/>
          <w:lang w:val="lt-LT"/>
        </w:rPr>
        <w:t>.</w:t>
      </w:r>
    </w:p>
    <w:p w14:paraId="1DC4D348" w14:textId="77777777" w:rsidR="00D17B85" w:rsidRPr="002142B8" w:rsidRDefault="00D17B85" w:rsidP="00995FCE">
      <w:pPr>
        <w:jc w:val="both"/>
        <w:rPr>
          <w:rFonts w:ascii="Georgia" w:hAnsi="Georgia"/>
          <w:b/>
          <w:sz w:val="20"/>
          <w:szCs w:val="20"/>
          <w:lang w:val="lt-LT"/>
        </w:rPr>
      </w:pPr>
      <w:r w:rsidRPr="002142B8">
        <w:rPr>
          <w:rFonts w:ascii="Georgia" w:hAnsi="Georgia"/>
          <w:b/>
          <w:sz w:val="20"/>
          <w:szCs w:val="20"/>
          <w:lang w:val="lt-LT"/>
        </w:rPr>
        <w:t>Finansinės priemonės</w:t>
      </w:r>
    </w:p>
    <w:p w14:paraId="22EA2BE7" w14:textId="69041B17" w:rsidR="00995FCE" w:rsidRPr="002142B8" w:rsidRDefault="00D17B85" w:rsidP="00995FCE">
      <w:pPr>
        <w:jc w:val="both"/>
        <w:rPr>
          <w:rFonts w:ascii="Georgia" w:hAnsi="Georgia"/>
          <w:sz w:val="20"/>
          <w:szCs w:val="20"/>
          <w:lang w:val="lt-LT"/>
        </w:rPr>
      </w:pPr>
      <w:r w:rsidRPr="002142B8">
        <w:rPr>
          <w:rFonts w:ascii="Georgia" w:hAnsi="Georgia"/>
          <w:sz w:val="20"/>
          <w:szCs w:val="20"/>
          <w:lang w:val="lt-LT"/>
        </w:rPr>
        <w:t>T</w:t>
      </w:r>
      <w:r w:rsidR="00995FCE" w:rsidRPr="002142B8">
        <w:rPr>
          <w:rFonts w:ascii="Georgia" w:hAnsi="Georgia"/>
          <w:sz w:val="20"/>
          <w:szCs w:val="20"/>
          <w:lang w:val="lt-LT"/>
        </w:rPr>
        <w:t>arpininkaujant finansų įstaigoms fondų fonde esančios lėšos būtų skolinamos viešųjų pastatų valdytojams. Viešųjų pastatų valdytojų atžvilgiu pastatų atnaujinimo darbų finansavimo priemonė būtų aiškiai apibrėžta – paskola. Atitinkamai viešųjų pastatų valdytojai turėtų registruoti finansinį skolinį įsipareigojimą (finansinę skolą) apskaitoje. Statistinė valstybės skola irgi padidėtų paskolos dydžiu. Taigi nors viešųjų pastatų renovacijai skiriama didelė dalis ES</w:t>
      </w:r>
      <w:r w:rsidRPr="002142B8">
        <w:rPr>
          <w:rFonts w:ascii="Georgia" w:hAnsi="Georgia"/>
          <w:sz w:val="20"/>
          <w:szCs w:val="20"/>
          <w:lang w:val="lt-LT"/>
        </w:rPr>
        <w:t>I fondų</w:t>
      </w:r>
      <w:r w:rsidR="00995FCE" w:rsidRPr="002142B8">
        <w:rPr>
          <w:rFonts w:ascii="Georgia" w:hAnsi="Georgia"/>
          <w:sz w:val="20"/>
          <w:szCs w:val="20"/>
          <w:lang w:val="lt-LT"/>
        </w:rPr>
        <w:t xml:space="preserve"> lėšų valstybės skola vis tiek padidėtų viešųjų pastatų valdytojams skolinantis, nepaisant to, kad padidėtų ir valdžios sektoriaus turtas (ateityje – gautina-sugrįžusi suma iš fondo). Pažymėtina, kad, vadovaujantis L</w:t>
      </w:r>
      <w:r w:rsidR="000264DA" w:rsidRPr="002142B8">
        <w:rPr>
          <w:rFonts w:ascii="Georgia" w:hAnsi="Georgia"/>
          <w:sz w:val="20"/>
          <w:szCs w:val="20"/>
          <w:lang w:val="lt-LT"/>
        </w:rPr>
        <w:t xml:space="preserve">ietuvos </w:t>
      </w:r>
      <w:r w:rsidR="00995FCE" w:rsidRPr="002142B8">
        <w:rPr>
          <w:rFonts w:ascii="Georgia" w:hAnsi="Georgia"/>
          <w:sz w:val="20"/>
          <w:szCs w:val="20"/>
          <w:lang w:val="lt-LT"/>
        </w:rPr>
        <w:t>R</w:t>
      </w:r>
      <w:r w:rsidR="000264DA" w:rsidRPr="002142B8">
        <w:rPr>
          <w:rFonts w:ascii="Georgia" w:hAnsi="Georgia"/>
          <w:sz w:val="20"/>
          <w:szCs w:val="20"/>
          <w:lang w:val="lt-LT"/>
        </w:rPr>
        <w:t>espublikos</w:t>
      </w:r>
      <w:r w:rsidR="00995FCE" w:rsidRPr="002142B8">
        <w:rPr>
          <w:rFonts w:ascii="Georgia" w:hAnsi="Georgia"/>
          <w:sz w:val="20"/>
          <w:szCs w:val="20"/>
          <w:lang w:val="lt-LT"/>
        </w:rPr>
        <w:t xml:space="preserve"> biudžeto sandaros įstatymu, biudžetinės įstaigos savo vardu negali skolintis lėšų, prisiimti jokių skolinių įsipareigojimų (netaikoma viešosioms įstaigoms).</w:t>
      </w:r>
    </w:p>
    <w:p w14:paraId="0CA2FFFB" w14:textId="77777777" w:rsidR="00D17B85" w:rsidRPr="002142B8" w:rsidRDefault="00995FCE" w:rsidP="00995FCE">
      <w:pPr>
        <w:jc w:val="both"/>
        <w:rPr>
          <w:rFonts w:ascii="Georgia" w:hAnsi="Georgia"/>
          <w:sz w:val="20"/>
          <w:szCs w:val="20"/>
          <w:lang w:val="lt-LT"/>
        </w:rPr>
      </w:pPr>
      <w:r w:rsidRPr="002142B8">
        <w:rPr>
          <w:rFonts w:ascii="Georgia" w:hAnsi="Georgia"/>
          <w:i/>
          <w:sz w:val="20"/>
          <w:szCs w:val="20"/>
          <w:lang w:val="lt-LT"/>
        </w:rPr>
        <w:t>Įvertinta finansinių priemonių įtaka valdžios sektoriaus balansui (deficitui)</w:t>
      </w:r>
      <w:r w:rsidRPr="002142B8">
        <w:rPr>
          <w:rFonts w:ascii="Georgia" w:hAnsi="Georgia"/>
          <w:sz w:val="20"/>
          <w:szCs w:val="20"/>
          <w:lang w:val="lt-LT"/>
        </w:rPr>
        <w:t xml:space="preserve"> </w:t>
      </w:r>
    </w:p>
    <w:p w14:paraId="64430976" w14:textId="77777777" w:rsidR="00995FCE" w:rsidRPr="002142B8" w:rsidRDefault="00995FCE" w:rsidP="00995FCE">
      <w:pPr>
        <w:jc w:val="both"/>
        <w:rPr>
          <w:rFonts w:ascii="Georgia" w:hAnsi="Georgia"/>
          <w:sz w:val="20"/>
          <w:szCs w:val="20"/>
          <w:lang w:val="lt-LT"/>
        </w:rPr>
      </w:pPr>
      <w:r w:rsidRPr="002142B8">
        <w:rPr>
          <w:rFonts w:ascii="Georgia" w:hAnsi="Georgia"/>
          <w:sz w:val="20"/>
          <w:szCs w:val="20"/>
          <w:lang w:val="lt-LT"/>
        </w:rPr>
        <w:t xml:space="preserve">Viešųjų pastatų valdytojai, imdami paskolas </w:t>
      </w:r>
      <w:r w:rsidR="00EF6FC0" w:rsidRPr="002142B8">
        <w:rPr>
          <w:rFonts w:ascii="Georgia" w:hAnsi="Georgia"/>
          <w:sz w:val="20"/>
          <w:szCs w:val="20"/>
          <w:lang w:val="lt-LT"/>
        </w:rPr>
        <w:t>pastatų atnaujinimui</w:t>
      </w:r>
      <w:r w:rsidRPr="002142B8">
        <w:rPr>
          <w:rFonts w:ascii="Georgia" w:hAnsi="Georgia"/>
          <w:sz w:val="20"/>
          <w:szCs w:val="20"/>
          <w:lang w:val="lt-LT"/>
        </w:rPr>
        <w:t xml:space="preserve">, už paskolintas lėšas pirktų statybas ir susijusias paslaugas iš privačių subjektų. Pastatų </w:t>
      </w:r>
      <w:r w:rsidR="00EF6FC0" w:rsidRPr="002142B8">
        <w:rPr>
          <w:rFonts w:ascii="Georgia" w:hAnsi="Georgia"/>
          <w:sz w:val="20"/>
          <w:szCs w:val="20"/>
          <w:lang w:val="lt-LT"/>
        </w:rPr>
        <w:t>atnaujinimas</w:t>
      </w:r>
      <w:r w:rsidRPr="002142B8">
        <w:rPr>
          <w:rFonts w:ascii="Georgia" w:hAnsi="Georgia"/>
          <w:sz w:val="20"/>
          <w:szCs w:val="20"/>
          <w:lang w:val="lt-LT"/>
        </w:rPr>
        <w:t xml:space="preserve"> (pagerinimas) padidintų šių pastatų vertę. Finansinėje apskaitoje investicijų suma būtų pripažinta sąnaudomis dalimis per investicijos naudingo tarnavimo laiką (amortizuojant pastato vertės padidėjimą pamečiui). Rengiant statistinius duomenis visa suma būtų pripažinta sąnaudomis investavimo laikotarpiu ir didintų valdžios sektoriaus deficitą, nors didelė visos schemos finansavimo dalis šaltinio dalis ir yra ES</w:t>
      </w:r>
      <w:r w:rsidR="00EF6FC0" w:rsidRPr="002142B8">
        <w:rPr>
          <w:rFonts w:ascii="Georgia" w:hAnsi="Georgia"/>
          <w:sz w:val="20"/>
          <w:szCs w:val="20"/>
          <w:lang w:val="lt-LT"/>
        </w:rPr>
        <w:t>I fondų</w:t>
      </w:r>
      <w:r w:rsidRPr="002142B8">
        <w:rPr>
          <w:rFonts w:ascii="Georgia" w:hAnsi="Georgia"/>
          <w:sz w:val="20"/>
          <w:szCs w:val="20"/>
          <w:lang w:val="lt-LT"/>
        </w:rPr>
        <w:t xml:space="preserve"> lėšos, kurios, nesant sudėtingoms įsisavinimo schemoms ir, kai parama įsisavinama laikantis ES reglamentų nuostatų, yra neutralios valdžios sektoriaus deficitui (jo nedidina). Sudėtingesnė finansavimo schema (lyginant su tiesioginiu investavimu be tarpininkų) sąlygoja tai, kad sudėtingiau nustatyti, kuris investuotas į viešąjį pastatą piniginis vienetas yra iš ES</w:t>
      </w:r>
      <w:r w:rsidR="00EF6FC0" w:rsidRPr="002142B8">
        <w:rPr>
          <w:rFonts w:ascii="Georgia" w:hAnsi="Georgia"/>
          <w:sz w:val="20"/>
          <w:szCs w:val="20"/>
          <w:lang w:val="lt-LT"/>
        </w:rPr>
        <w:t>I fondų</w:t>
      </w:r>
      <w:r w:rsidRPr="002142B8">
        <w:rPr>
          <w:rFonts w:ascii="Georgia" w:hAnsi="Georgia"/>
          <w:sz w:val="20"/>
          <w:szCs w:val="20"/>
          <w:lang w:val="lt-LT"/>
        </w:rPr>
        <w:t xml:space="preserve"> lėšų, o kuris – ne. Siekiant, kad finansinių priemonių naudojimas </w:t>
      </w:r>
      <w:r w:rsidR="00EF6FC0" w:rsidRPr="002142B8">
        <w:rPr>
          <w:rFonts w:ascii="Georgia" w:hAnsi="Georgia"/>
          <w:sz w:val="20"/>
          <w:szCs w:val="20"/>
          <w:lang w:val="lt-LT"/>
        </w:rPr>
        <w:t>atnaujinant</w:t>
      </w:r>
      <w:r w:rsidRPr="002142B8">
        <w:rPr>
          <w:rFonts w:ascii="Georgia" w:hAnsi="Georgia"/>
          <w:sz w:val="20"/>
          <w:szCs w:val="20"/>
          <w:lang w:val="lt-LT"/>
        </w:rPr>
        <w:t xml:space="preserve"> viešuosius pastatus nedidintų paramos lėšų (kaip tai būtų taikant schemą, neapimančią privataus sektoriaus tarpininkų pritraukimo), nėra aišku, ar rengiant statistinius duomenis galima pripažinti valdžios sektoriaus pajamas, sumažinančias deficitą ir kuriuo laiku. </w:t>
      </w:r>
    </w:p>
    <w:p w14:paraId="7ACEE66E" w14:textId="77777777" w:rsidR="00EF6FC0" w:rsidRPr="002142B8" w:rsidRDefault="00995FCE" w:rsidP="00995FCE">
      <w:pPr>
        <w:jc w:val="both"/>
        <w:rPr>
          <w:rFonts w:ascii="Georgia" w:hAnsi="Georgia"/>
          <w:b/>
          <w:sz w:val="20"/>
          <w:szCs w:val="20"/>
          <w:lang w:val="lt-LT"/>
        </w:rPr>
      </w:pPr>
      <w:r w:rsidRPr="002142B8">
        <w:rPr>
          <w:rFonts w:ascii="Georgia" w:hAnsi="Georgia"/>
          <w:b/>
          <w:sz w:val="20"/>
          <w:szCs w:val="20"/>
          <w:lang w:val="lt-LT"/>
        </w:rPr>
        <w:t>ESCO modelis</w:t>
      </w:r>
    </w:p>
    <w:p w14:paraId="46826E9E" w14:textId="77777777" w:rsidR="00FA23FB" w:rsidRPr="002142B8" w:rsidRDefault="00EF6FC0" w:rsidP="00995FCE">
      <w:pPr>
        <w:jc w:val="both"/>
        <w:rPr>
          <w:rFonts w:ascii="Georgia" w:hAnsi="Georgia"/>
          <w:sz w:val="20"/>
          <w:szCs w:val="20"/>
          <w:lang w:val="lt-LT"/>
        </w:rPr>
      </w:pPr>
      <w:r w:rsidRPr="002142B8">
        <w:rPr>
          <w:rFonts w:ascii="Georgia" w:hAnsi="Georgia"/>
          <w:sz w:val="20"/>
          <w:szCs w:val="20"/>
          <w:lang w:val="lt-LT"/>
        </w:rPr>
        <w:t>T</w:t>
      </w:r>
      <w:r w:rsidR="00995FCE" w:rsidRPr="002142B8">
        <w:rPr>
          <w:rFonts w:ascii="Georgia" w:hAnsi="Georgia"/>
          <w:sz w:val="20"/>
          <w:szCs w:val="20"/>
          <w:lang w:val="lt-LT"/>
        </w:rPr>
        <w:t xml:space="preserve">arpininkaujant finansų įstaigoms fondų fonde esančios lėšos būtų skolinamos privataus sektoriaus įmonei – ESCO, kuri investuotų į viešuosius pastatus, galimai prisidėdama savo lėšomis. Tarp ESCO ir viešųjų pastatų valdytojo būtų pasirašyta </w:t>
      </w:r>
      <w:r w:rsidRPr="002142B8">
        <w:rPr>
          <w:rFonts w:ascii="Georgia" w:hAnsi="Georgia"/>
          <w:sz w:val="20"/>
          <w:szCs w:val="20"/>
          <w:lang w:val="lt-LT"/>
        </w:rPr>
        <w:t xml:space="preserve">energetinių </w:t>
      </w:r>
      <w:r w:rsidR="00995FCE" w:rsidRPr="002142B8">
        <w:rPr>
          <w:rFonts w:ascii="Georgia" w:hAnsi="Georgia"/>
          <w:sz w:val="20"/>
          <w:szCs w:val="20"/>
          <w:lang w:val="lt-LT"/>
        </w:rPr>
        <w:t xml:space="preserve">paslaugų teikimo sutartis. </w:t>
      </w:r>
    </w:p>
    <w:p w14:paraId="0362CA39" w14:textId="699845BF" w:rsidR="007B20D7" w:rsidRPr="002142B8" w:rsidRDefault="002401E8" w:rsidP="00995FCE">
      <w:pPr>
        <w:jc w:val="both"/>
        <w:rPr>
          <w:rFonts w:ascii="Georgia" w:hAnsi="Georgia"/>
          <w:sz w:val="20"/>
          <w:szCs w:val="20"/>
          <w:lang w:val="lt-LT"/>
        </w:rPr>
      </w:pPr>
      <w:r w:rsidRPr="002142B8">
        <w:rPr>
          <w:rFonts w:ascii="Georgia" w:hAnsi="Georgia"/>
          <w:sz w:val="20"/>
          <w:szCs w:val="20"/>
          <w:lang w:val="lt-LT"/>
        </w:rPr>
        <w:t xml:space="preserve">Dažniausiai energijos vartojimo efektyvumo sutartyse </w:t>
      </w:r>
      <w:r w:rsidR="002B1E77" w:rsidRPr="002142B8">
        <w:rPr>
          <w:rFonts w:ascii="Georgia" w:hAnsi="Georgia"/>
          <w:sz w:val="20"/>
          <w:szCs w:val="20"/>
          <w:lang w:val="lt-LT"/>
        </w:rPr>
        <w:t>tuo pačiu metu galima rasti</w:t>
      </w:r>
      <w:r w:rsidRPr="002142B8">
        <w:rPr>
          <w:rFonts w:ascii="Georgia" w:hAnsi="Georgia"/>
          <w:sz w:val="20"/>
          <w:szCs w:val="20"/>
          <w:lang w:val="lt-LT"/>
        </w:rPr>
        <w:t xml:space="preserve"> nuomos, paslaug</w:t>
      </w:r>
      <w:r w:rsidR="002B1E77" w:rsidRPr="002142B8">
        <w:rPr>
          <w:rFonts w:ascii="Georgia" w:hAnsi="Georgia"/>
          <w:sz w:val="20"/>
          <w:szCs w:val="20"/>
          <w:lang w:val="lt-LT"/>
        </w:rPr>
        <w:t>ų, lizingo, pirkimo ir paskolos sutarties elementų, kas smarkiai apsunkina tokių sutarčių tinkamą apskaitą</w:t>
      </w:r>
      <w:r w:rsidR="006D4450" w:rsidRPr="002142B8">
        <w:rPr>
          <w:rFonts w:ascii="Georgia" w:hAnsi="Georgia"/>
          <w:sz w:val="20"/>
          <w:szCs w:val="20"/>
          <w:lang w:val="lt-LT"/>
        </w:rPr>
        <w:t xml:space="preserve">. </w:t>
      </w:r>
      <w:r w:rsidR="00C06C7A" w:rsidRPr="002142B8">
        <w:rPr>
          <w:rFonts w:ascii="Georgia" w:hAnsi="Georgia"/>
          <w:sz w:val="20"/>
          <w:szCs w:val="20"/>
          <w:lang w:val="lt-LT"/>
        </w:rPr>
        <w:t>Specialistai kvestionavo</w:t>
      </w:r>
      <w:r w:rsidR="00A36B11">
        <w:rPr>
          <w:rFonts w:ascii="Georgia" w:hAnsi="Georgia"/>
          <w:sz w:val="20"/>
          <w:szCs w:val="20"/>
          <w:lang w:val="lt-LT"/>
        </w:rPr>
        <w:t>,</w:t>
      </w:r>
      <w:r w:rsidR="00C06C7A" w:rsidRPr="002142B8">
        <w:rPr>
          <w:rFonts w:ascii="Georgia" w:hAnsi="Georgia"/>
          <w:sz w:val="20"/>
          <w:szCs w:val="20"/>
          <w:lang w:val="lt-LT"/>
        </w:rPr>
        <w:t xml:space="preserve"> ar anksčiau pateiktas aiškinimas</w:t>
      </w:r>
      <w:r w:rsidR="00A36B11">
        <w:rPr>
          <w:rFonts w:ascii="Georgia" w:hAnsi="Georgia"/>
          <w:sz w:val="20"/>
          <w:szCs w:val="20"/>
          <w:lang w:val="lt-LT"/>
        </w:rPr>
        <w:t>,</w:t>
      </w:r>
      <w:r w:rsidR="00C06C7A" w:rsidRPr="002142B8">
        <w:rPr>
          <w:rFonts w:ascii="Georgia" w:hAnsi="Georgia"/>
          <w:sz w:val="20"/>
          <w:szCs w:val="20"/>
          <w:lang w:val="lt-LT"/>
        </w:rPr>
        <w:t xml:space="preserve"> kaip apskaityti tokio tipo sutartis yra tinkamas. Taip pat</w:t>
      </w:r>
      <w:r w:rsidR="006D4450" w:rsidRPr="002142B8">
        <w:rPr>
          <w:rFonts w:ascii="Georgia" w:hAnsi="Georgia"/>
          <w:sz w:val="20"/>
          <w:szCs w:val="20"/>
          <w:lang w:val="lt-LT"/>
        </w:rPr>
        <w:t xml:space="preserve"> atsižvelg</w:t>
      </w:r>
      <w:r w:rsidR="00C06C7A" w:rsidRPr="002142B8">
        <w:rPr>
          <w:rFonts w:ascii="Georgia" w:hAnsi="Georgia"/>
          <w:sz w:val="20"/>
          <w:szCs w:val="20"/>
          <w:lang w:val="lt-LT"/>
        </w:rPr>
        <w:t>us</w:t>
      </w:r>
      <w:r w:rsidR="006D4450" w:rsidRPr="002142B8">
        <w:rPr>
          <w:rFonts w:ascii="Georgia" w:hAnsi="Georgia"/>
          <w:sz w:val="20"/>
          <w:szCs w:val="20"/>
          <w:lang w:val="lt-LT"/>
        </w:rPr>
        <w:t xml:space="preserve"> į </w:t>
      </w:r>
      <w:r w:rsidR="00C06C7A" w:rsidRPr="002142B8">
        <w:rPr>
          <w:rFonts w:ascii="Georgia" w:hAnsi="Georgia"/>
          <w:sz w:val="20"/>
          <w:szCs w:val="20"/>
          <w:lang w:val="lt-LT"/>
        </w:rPr>
        <w:t>besikeičiančius</w:t>
      </w:r>
      <w:r w:rsidR="006D4450" w:rsidRPr="002142B8">
        <w:rPr>
          <w:rFonts w:ascii="Georgia" w:hAnsi="Georgia"/>
          <w:sz w:val="20"/>
          <w:szCs w:val="20"/>
          <w:lang w:val="lt-LT"/>
        </w:rPr>
        <w:t xml:space="preserve"> sutarties sudarymo ypatumus energijos vartojimo efektyvumo sutartyse</w:t>
      </w:r>
      <w:r w:rsidR="00C06C7A" w:rsidRPr="002142B8">
        <w:rPr>
          <w:rFonts w:ascii="Georgia" w:hAnsi="Georgia"/>
          <w:sz w:val="20"/>
          <w:szCs w:val="20"/>
          <w:lang w:val="lt-LT"/>
        </w:rPr>
        <w:t xml:space="preserve">, </w:t>
      </w:r>
      <w:r w:rsidR="00826466" w:rsidRPr="002142B8">
        <w:rPr>
          <w:rFonts w:ascii="Georgia" w:hAnsi="Georgia"/>
          <w:sz w:val="20"/>
          <w:szCs w:val="20"/>
          <w:lang w:val="lt-LT"/>
        </w:rPr>
        <w:t xml:space="preserve">EUROSTAT </w:t>
      </w:r>
      <w:r w:rsidR="00C06C7A" w:rsidRPr="002142B8">
        <w:rPr>
          <w:rFonts w:ascii="Georgia" w:hAnsi="Georgia"/>
          <w:sz w:val="20"/>
          <w:szCs w:val="20"/>
          <w:lang w:val="lt-LT"/>
        </w:rPr>
        <w:t>išleido nauj</w:t>
      </w:r>
      <w:r w:rsidR="00E930BB" w:rsidRPr="002142B8">
        <w:rPr>
          <w:rFonts w:ascii="Georgia" w:hAnsi="Georgia"/>
          <w:sz w:val="20"/>
          <w:szCs w:val="20"/>
          <w:lang w:val="lt-LT"/>
        </w:rPr>
        <w:t>ą paaiškinimą</w:t>
      </w:r>
      <w:r w:rsidR="00C06C7A" w:rsidRPr="002142B8">
        <w:rPr>
          <w:rFonts w:ascii="Georgia" w:hAnsi="Georgia"/>
          <w:sz w:val="20"/>
          <w:szCs w:val="20"/>
          <w:lang w:val="lt-LT"/>
        </w:rPr>
        <w:t xml:space="preserve"> dėl tokio tipo sutarčių apskaitos</w:t>
      </w:r>
      <w:r w:rsidR="00E930BB" w:rsidRPr="002142B8">
        <w:rPr>
          <w:rStyle w:val="Puslapioinaosnuoroda"/>
          <w:rFonts w:ascii="Georgia" w:hAnsi="Georgia"/>
          <w:sz w:val="20"/>
          <w:szCs w:val="20"/>
          <w:lang w:val="lt-LT"/>
        </w:rPr>
        <w:footnoteReference w:id="142"/>
      </w:r>
      <w:r w:rsidR="00C06C7A" w:rsidRPr="002142B8">
        <w:rPr>
          <w:rFonts w:ascii="Georgia" w:hAnsi="Georgia"/>
          <w:sz w:val="20"/>
          <w:szCs w:val="20"/>
          <w:lang w:val="lt-LT"/>
        </w:rPr>
        <w:t>.</w:t>
      </w:r>
      <w:r w:rsidR="00E930BB" w:rsidRPr="002142B8">
        <w:rPr>
          <w:rFonts w:ascii="Georgia" w:hAnsi="Georgia"/>
          <w:sz w:val="20"/>
          <w:szCs w:val="20"/>
          <w:lang w:val="lt-LT"/>
        </w:rPr>
        <w:t xml:space="preserve"> Šis </w:t>
      </w:r>
      <w:r w:rsidR="00E930BB" w:rsidRPr="002142B8">
        <w:rPr>
          <w:rFonts w:ascii="Georgia" w:hAnsi="Georgia"/>
          <w:sz w:val="20"/>
          <w:szCs w:val="20"/>
          <w:lang w:val="lt-LT"/>
        </w:rPr>
        <w:lastRenderedPageBreak/>
        <w:t>aiškinimas taikomas tik tokiom</w:t>
      </w:r>
      <w:r w:rsidR="007B20D7" w:rsidRPr="002142B8">
        <w:rPr>
          <w:rFonts w:ascii="Georgia" w:hAnsi="Georgia"/>
          <w:sz w:val="20"/>
          <w:szCs w:val="20"/>
          <w:lang w:val="lt-LT"/>
        </w:rPr>
        <w:t>s</w:t>
      </w:r>
      <w:r w:rsidR="00E930BB" w:rsidRPr="002142B8">
        <w:rPr>
          <w:rFonts w:ascii="Georgia" w:hAnsi="Georgia"/>
          <w:sz w:val="20"/>
          <w:szCs w:val="20"/>
          <w:lang w:val="lt-LT"/>
        </w:rPr>
        <w:t xml:space="preserve"> energijos vartojimo efektyvumo sutartims, kurios reikalauja pradinių kapitalinių investicijų siekiant pagerinti pastato energijos efektyvumo ypatybes</w:t>
      </w:r>
      <w:r w:rsidR="007B20D7" w:rsidRPr="002142B8">
        <w:rPr>
          <w:rFonts w:ascii="Georgia" w:hAnsi="Georgia"/>
          <w:sz w:val="20"/>
          <w:szCs w:val="20"/>
          <w:lang w:val="lt-LT"/>
        </w:rPr>
        <w:t>.</w:t>
      </w:r>
    </w:p>
    <w:p w14:paraId="4B19FEEB" w14:textId="08F0408C" w:rsidR="002401E8" w:rsidRPr="002142B8" w:rsidRDefault="007B20D7" w:rsidP="00995FCE">
      <w:pPr>
        <w:jc w:val="both"/>
        <w:rPr>
          <w:rFonts w:ascii="Georgia" w:hAnsi="Georgia"/>
          <w:sz w:val="20"/>
          <w:szCs w:val="20"/>
          <w:lang w:val="lt-LT"/>
        </w:rPr>
      </w:pPr>
      <w:r w:rsidRPr="002142B8">
        <w:rPr>
          <w:rFonts w:ascii="Georgia" w:hAnsi="Georgia"/>
          <w:sz w:val="20"/>
          <w:szCs w:val="20"/>
          <w:lang w:val="lt-LT"/>
        </w:rPr>
        <w:t xml:space="preserve">Šiame aiškinime pirmiausiai argumentuojama, jog </w:t>
      </w:r>
      <w:r w:rsidR="002359C1" w:rsidRPr="002142B8">
        <w:rPr>
          <w:rFonts w:ascii="Georgia" w:hAnsi="Georgia"/>
          <w:sz w:val="20"/>
          <w:szCs w:val="20"/>
          <w:lang w:val="lt-LT"/>
        </w:rPr>
        <w:t xml:space="preserve">pasirašius energijos vartojimo efektyvumo sutartį su pastato administratoriumi, </w:t>
      </w:r>
      <w:r w:rsidR="00830E36" w:rsidRPr="002142B8">
        <w:rPr>
          <w:rFonts w:ascii="Georgia" w:hAnsi="Georgia"/>
          <w:sz w:val="20"/>
          <w:szCs w:val="20"/>
          <w:lang w:val="lt-LT"/>
        </w:rPr>
        <w:t xml:space="preserve">ESCO </w:t>
      </w:r>
      <w:r w:rsidR="002359C1" w:rsidRPr="002142B8">
        <w:rPr>
          <w:rFonts w:ascii="Georgia" w:hAnsi="Georgia"/>
          <w:sz w:val="20"/>
          <w:szCs w:val="20"/>
          <w:lang w:val="lt-LT"/>
        </w:rPr>
        <w:t xml:space="preserve">įgyvendiną pradinę </w:t>
      </w:r>
      <w:r w:rsidR="00830E36" w:rsidRPr="002142B8">
        <w:rPr>
          <w:rFonts w:ascii="Georgia" w:hAnsi="Georgia"/>
          <w:sz w:val="20"/>
          <w:szCs w:val="20"/>
          <w:lang w:val="lt-LT"/>
        </w:rPr>
        <w:t>kapitalinę investiciją (</w:t>
      </w:r>
      <w:r w:rsidR="002359C1" w:rsidRPr="002142B8">
        <w:rPr>
          <w:rFonts w:ascii="Georgia" w:hAnsi="Georgia"/>
          <w:sz w:val="20"/>
          <w:szCs w:val="20"/>
          <w:lang w:val="lt-LT"/>
        </w:rPr>
        <w:t xml:space="preserve">pvz. pastato </w:t>
      </w:r>
      <w:r w:rsidR="00830E36" w:rsidRPr="002142B8">
        <w:rPr>
          <w:rFonts w:ascii="Georgia" w:hAnsi="Georgia"/>
          <w:sz w:val="20"/>
          <w:szCs w:val="20"/>
          <w:lang w:val="lt-LT"/>
        </w:rPr>
        <w:t>apšvietimas, šildymas, vėsinimas, oro kondicionavimas</w:t>
      </w:r>
      <w:r w:rsidR="002359C1" w:rsidRPr="002142B8">
        <w:rPr>
          <w:rFonts w:ascii="Georgia" w:hAnsi="Georgia"/>
          <w:sz w:val="20"/>
          <w:szCs w:val="20"/>
          <w:lang w:val="lt-LT"/>
        </w:rPr>
        <w:t>, katilai, stogas, sienos, langai ir kt.</w:t>
      </w:r>
      <w:r w:rsidR="00830E36" w:rsidRPr="002142B8">
        <w:rPr>
          <w:rFonts w:ascii="Georgia" w:hAnsi="Georgia"/>
          <w:sz w:val="20"/>
          <w:szCs w:val="20"/>
          <w:lang w:val="lt-LT"/>
        </w:rPr>
        <w:t>)</w:t>
      </w:r>
      <w:r w:rsidR="002359C1" w:rsidRPr="002142B8">
        <w:rPr>
          <w:rFonts w:ascii="Georgia" w:hAnsi="Georgia"/>
          <w:sz w:val="20"/>
          <w:szCs w:val="20"/>
          <w:lang w:val="lt-LT"/>
        </w:rPr>
        <w:t xml:space="preserve">. </w:t>
      </w:r>
      <w:r w:rsidR="008D1D67" w:rsidRPr="002142B8">
        <w:rPr>
          <w:rFonts w:ascii="Georgia" w:hAnsi="Georgia"/>
          <w:sz w:val="20"/>
          <w:szCs w:val="20"/>
          <w:lang w:val="lt-LT"/>
        </w:rPr>
        <w:t xml:space="preserve">Tuo tarpu ESCO apmokėjimas yra nustatomas pagal energijos sutaupymus pasiektus atlikus investiciją, o kapitalinės investicijos atperkamos prie visą sutarties laikotarpį. Jei laukiami sutaupymai nebuvo pasiekti, ESCO įmonė turi padengti skirtumą. </w:t>
      </w:r>
      <w:r w:rsidR="001B49BA" w:rsidRPr="002142B8">
        <w:rPr>
          <w:rFonts w:ascii="Georgia" w:hAnsi="Georgia"/>
          <w:sz w:val="20"/>
          <w:szCs w:val="20"/>
          <w:lang w:val="lt-LT"/>
        </w:rPr>
        <w:t>Tad kyla klausimas, kuriose nacionalinėse sąskaitose turėtų būti apskaityti šie nauji prietaisai ir įranga ir kokią reikšmę tai turės grynajai skolai.</w:t>
      </w:r>
    </w:p>
    <w:p w14:paraId="6C116AD9" w14:textId="73B76673" w:rsidR="00C450C0" w:rsidRPr="002142B8" w:rsidRDefault="005E190C" w:rsidP="00995FCE">
      <w:pPr>
        <w:jc w:val="both"/>
        <w:rPr>
          <w:rFonts w:ascii="Georgia" w:hAnsi="Georgia"/>
          <w:sz w:val="20"/>
          <w:szCs w:val="20"/>
          <w:lang w:val="lt-LT"/>
        </w:rPr>
      </w:pPr>
      <w:r w:rsidRPr="002142B8">
        <w:rPr>
          <w:rFonts w:ascii="Georgia" w:hAnsi="Georgia"/>
          <w:sz w:val="20"/>
          <w:szCs w:val="20"/>
          <w:lang w:val="lt-LT"/>
        </w:rPr>
        <w:t xml:space="preserve">Atsižvelgus į skirtingus argumentus, EK konstatuoja, jog iš tikrųjų ESCO patiria didžiausią riziką ir gauna didžiausią su ja susijusią naudą naudojant šį naujai sukurtą turtą, todėl </w:t>
      </w:r>
      <w:r w:rsidR="00565333" w:rsidRPr="002142B8">
        <w:rPr>
          <w:rFonts w:ascii="Georgia" w:hAnsi="Georgia"/>
          <w:sz w:val="20"/>
          <w:szCs w:val="20"/>
          <w:lang w:val="lt-LT"/>
        </w:rPr>
        <w:t>turto ekonominė nuosavybė turėtų būti priskiriama ESCO.</w:t>
      </w:r>
      <w:r w:rsidRPr="002142B8">
        <w:rPr>
          <w:rFonts w:ascii="Georgia" w:hAnsi="Georgia"/>
          <w:sz w:val="20"/>
          <w:szCs w:val="20"/>
          <w:lang w:val="lt-LT"/>
        </w:rPr>
        <w:t xml:space="preserve"> </w:t>
      </w:r>
      <w:r w:rsidR="00565333" w:rsidRPr="002142B8">
        <w:rPr>
          <w:rFonts w:ascii="Georgia" w:hAnsi="Georgia"/>
          <w:sz w:val="20"/>
          <w:szCs w:val="20"/>
          <w:lang w:val="lt-LT"/>
        </w:rPr>
        <w:t>E</w:t>
      </w:r>
      <w:r w:rsidR="00DF52F4" w:rsidRPr="002142B8">
        <w:rPr>
          <w:rFonts w:ascii="Georgia" w:hAnsi="Georgia"/>
          <w:sz w:val="20"/>
          <w:szCs w:val="20"/>
          <w:lang w:val="lt-LT"/>
        </w:rPr>
        <w:t>nergijos vartojimo efektyvumo sutartys sudarytos tarp ESCO ir pastatų administratorių gali būti apskaitomos dviem būdais:</w:t>
      </w:r>
    </w:p>
    <w:p w14:paraId="44ED9855" w14:textId="05B5D4BC" w:rsidR="00DF52F4" w:rsidRPr="002142B8" w:rsidRDefault="00BE35D7" w:rsidP="00162BF5">
      <w:pPr>
        <w:pStyle w:val="Sraopastraipa"/>
        <w:numPr>
          <w:ilvl w:val="0"/>
          <w:numId w:val="80"/>
        </w:numPr>
        <w:rPr>
          <w:rFonts w:ascii="Georgia" w:hAnsi="Georgia"/>
          <w:sz w:val="20"/>
          <w:szCs w:val="20"/>
          <w:lang w:val="lt-LT"/>
        </w:rPr>
      </w:pPr>
      <w:r w:rsidRPr="002142B8">
        <w:rPr>
          <w:rFonts w:ascii="Georgia" w:hAnsi="Georgia"/>
          <w:sz w:val="20"/>
          <w:szCs w:val="20"/>
          <w:lang w:val="lt-LT"/>
        </w:rPr>
        <w:t xml:space="preserve">Veiklos nuoma. </w:t>
      </w:r>
      <w:r w:rsidR="00565333" w:rsidRPr="002142B8">
        <w:rPr>
          <w:rFonts w:ascii="Georgia" w:hAnsi="Georgia"/>
          <w:sz w:val="20"/>
          <w:szCs w:val="20"/>
          <w:lang w:val="lt-LT"/>
        </w:rPr>
        <w:t>Šis metodas gali būt</w:t>
      </w:r>
      <w:r w:rsidR="00EE7885" w:rsidRPr="002142B8">
        <w:rPr>
          <w:rFonts w:ascii="Georgia" w:hAnsi="Georgia"/>
          <w:sz w:val="20"/>
          <w:szCs w:val="20"/>
          <w:lang w:val="lt-LT"/>
        </w:rPr>
        <w:t xml:space="preserve">i naudojamas kai turto ekonominė nuosavybė priklauso ESCO ir taikoma kilnojamam bei nekilnojamam turtui. </w:t>
      </w:r>
      <w:r w:rsidR="00323252" w:rsidRPr="002142B8">
        <w:rPr>
          <w:rFonts w:ascii="Georgia" w:hAnsi="Georgia"/>
          <w:sz w:val="20"/>
          <w:szCs w:val="20"/>
          <w:lang w:val="lt-LT"/>
        </w:rPr>
        <w:t xml:space="preserve">Tokiu atveju </w:t>
      </w:r>
      <w:r w:rsidR="00EE7885" w:rsidRPr="002142B8">
        <w:rPr>
          <w:rFonts w:ascii="Georgia" w:hAnsi="Georgia"/>
          <w:sz w:val="20"/>
          <w:szCs w:val="20"/>
          <w:lang w:val="lt-LT"/>
        </w:rPr>
        <w:t xml:space="preserve">apskaitoje </w:t>
      </w:r>
      <w:r w:rsidR="00323252" w:rsidRPr="002142B8">
        <w:rPr>
          <w:rFonts w:ascii="Georgia" w:hAnsi="Georgia"/>
          <w:sz w:val="20"/>
          <w:szCs w:val="20"/>
          <w:lang w:val="lt-LT"/>
        </w:rPr>
        <w:t>pažymimi tik valstybės</w:t>
      </w:r>
      <w:r w:rsidR="00987400" w:rsidRPr="002142B8">
        <w:rPr>
          <w:rFonts w:ascii="Georgia" w:hAnsi="Georgia"/>
          <w:sz w:val="20"/>
          <w:szCs w:val="20"/>
          <w:lang w:val="lt-LT"/>
        </w:rPr>
        <w:t>/savivaldybės</w:t>
      </w:r>
      <w:r w:rsidR="00EE7885" w:rsidRPr="002142B8">
        <w:rPr>
          <w:rFonts w:ascii="Georgia" w:hAnsi="Georgia"/>
          <w:sz w:val="20"/>
          <w:szCs w:val="20"/>
          <w:lang w:val="lt-LT"/>
        </w:rPr>
        <w:t xml:space="preserve"> </w:t>
      </w:r>
      <w:r w:rsidR="00323252" w:rsidRPr="002142B8">
        <w:rPr>
          <w:rFonts w:ascii="Georgia" w:hAnsi="Georgia"/>
          <w:sz w:val="20"/>
          <w:szCs w:val="20"/>
          <w:lang w:val="lt-LT"/>
        </w:rPr>
        <w:t xml:space="preserve">atliekami </w:t>
      </w:r>
      <w:r w:rsidR="00EE7885" w:rsidRPr="002142B8">
        <w:rPr>
          <w:rFonts w:ascii="Georgia" w:hAnsi="Georgia"/>
          <w:sz w:val="20"/>
          <w:szCs w:val="20"/>
          <w:lang w:val="lt-LT"/>
        </w:rPr>
        <w:t>nuomos mokėjimai</w:t>
      </w:r>
      <w:r w:rsidR="00664EBB" w:rsidRPr="002142B8">
        <w:rPr>
          <w:rFonts w:ascii="Georgia" w:hAnsi="Georgia"/>
          <w:sz w:val="20"/>
          <w:szCs w:val="20"/>
          <w:lang w:val="lt-LT"/>
        </w:rPr>
        <w:t>, kurie</w:t>
      </w:r>
      <w:r w:rsidR="00323252" w:rsidRPr="002142B8">
        <w:rPr>
          <w:rFonts w:ascii="Georgia" w:hAnsi="Georgia"/>
          <w:sz w:val="20"/>
          <w:szCs w:val="20"/>
          <w:lang w:val="lt-LT"/>
        </w:rPr>
        <w:t xml:space="preserve"> įtakoja valstybės</w:t>
      </w:r>
      <w:r w:rsidR="00987400" w:rsidRPr="002142B8">
        <w:rPr>
          <w:rFonts w:ascii="Georgia" w:hAnsi="Georgia"/>
          <w:sz w:val="20"/>
          <w:szCs w:val="20"/>
          <w:lang w:val="lt-LT"/>
        </w:rPr>
        <w:t>/savivaldybės</w:t>
      </w:r>
      <w:r w:rsidR="00323252" w:rsidRPr="002142B8">
        <w:rPr>
          <w:rFonts w:ascii="Georgia" w:hAnsi="Georgia"/>
          <w:sz w:val="20"/>
          <w:szCs w:val="20"/>
          <w:lang w:val="lt-LT"/>
        </w:rPr>
        <w:t xml:space="preserve"> </w:t>
      </w:r>
      <w:r w:rsidR="00664EBB" w:rsidRPr="002142B8">
        <w:rPr>
          <w:rFonts w:ascii="Georgia" w:hAnsi="Georgia"/>
          <w:sz w:val="20"/>
          <w:szCs w:val="20"/>
          <w:lang w:val="lt-LT"/>
        </w:rPr>
        <w:t>biudžetą</w:t>
      </w:r>
      <w:r w:rsidR="00323252" w:rsidRPr="002142B8">
        <w:rPr>
          <w:rFonts w:ascii="Georgia" w:hAnsi="Georgia"/>
          <w:sz w:val="20"/>
          <w:szCs w:val="20"/>
          <w:lang w:val="lt-LT"/>
        </w:rPr>
        <w:t xml:space="preserve">. </w:t>
      </w:r>
    </w:p>
    <w:p w14:paraId="7139AC73" w14:textId="6CA323AD" w:rsidR="00BE35D7" w:rsidRPr="002142B8" w:rsidRDefault="00BE35D7" w:rsidP="00162BF5">
      <w:pPr>
        <w:pStyle w:val="Sraopastraipa"/>
        <w:numPr>
          <w:ilvl w:val="0"/>
          <w:numId w:val="80"/>
        </w:numPr>
        <w:jc w:val="both"/>
        <w:rPr>
          <w:rFonts w:ascii="Georgia" w:hAnsi="Georgia"/>
          <w:sz w:val="20"/>
          <w:szCs w:val="20"/>
          <w:lang w:val="lt-LT"/>
        </w:rPr>
      </w:pPr>
      <w:r w:rsidRPr="002142B8">
        <w:rPr>
          <w:rFonts w:ascii="Georgia" w:hAnsi="Georgia"/>
          <w:sz w:val="20"/>
          <w:szCs w:val="20"/>
          <w:lang w:val="lt-LT"/>
        </w:rPr>
        <w:t xml:space="preserve">Pirkimas ir atgalinė nuoma. </w:t>
      </w:r>
      <w:r w:rsidR="00CF0178" w:rsidRPr="002142B8">
        <w:rPr>
          <w:rFonts w:ascii="Georgia" w:hAnsi="Georgia"/>
          <w:sz w:val="20"/>
          <w:szCs w:val="20"/>
          <w:lang w:val="lt-LT"/>
        </w:rPr>
        <w:t>Šiuo metodu val</w:t>
      </w:r>
      <w:r w:rsidR="00C26C41" w:rsidRPr="002142B8">
        <w:rPr>
          <w:rFonts w:ascii="Georgia" w:hAnsi="Georgia"/>
          <w:sz w:val="20"/>
          <w:szCs w:val="20"/>
          <w:lang w:val="lt-LT"/>
        </w:rPr>
        <w:t>stybė</w:t>
      </w:r>
      <w:r w:rsidR="003C69AC" w:rsidRPr="002142B8">
        <w:rPr>
          <w:rFonts w:ascii="Georgia" w:hAnsi="Georgia"/>
          <w:sz w:val="20"/>
          <w:szCs w:val="20"/>
          <w:lang w:val="lt-LT"/>
        </w:rPr>
        <w:t>/savivaldybė</w:t>
      </w:r>
      <w:r w:rsidR="00CF0178" w:rsidRPr="002142B8">
        <w:rPr>
          <w:rFonts w:ascii="Georgia" w:hAnsi="Georgia"/>
          <w:sz w:val="20"/>
          <w:szCs w:val="20"/>
          <w:lang w:val="lt-LT"/>
        </w:rPr>
        <w:t xml:space="preserve"> perka turtą iš ESCO sutarties pradžioje ir įgyja teisinę turto nuosavybę. </w:t>
      </w:r>
      <w:r w:rsidR="00126646" w:rsidRPr="002142B8">
        <w:rPr>
          <w:rFonts w:ascii="Georgia" w:hAnsi="Georgia"/>
          <w:sz w:val="20"/>
          <w:szCs w:val="20"/>
          <w:lang w:val="lt-LT"/>
        </w:rPr>
        <w:t xml:space="preserve">Perkant turtą yra didinamas turtas ir ekvivalenčiai įsipareigojimai (kaip paskola). </w:t>
      </w:r>
      <w:r w:rsidR="00CF0178" w:rsidRPr="002142B8">
        <w:rPr>
          <w:rFonts w:ascii="Georgia" w:hAnsi="Georgia"/>
          <w:sz w:val="20"/>
          <w:szCs w:val="20"/>
          <w:lang w:val="lt-LT"/>
        </w:rPr>
        <w:t xml:space="preserve">Tuo pačiu metu </w:t>
      </w:r>
      <w:r w:rsidR="007E4CD3" w:rsidRPr="002142B8">
        <w:rPr>
          <w:rFonts w:ascii="Georgia" w:hAnsi="Georgia"/>
          <w:sz w:val="20"/>
          <w:szCs w:val="20"/>
          <w:lang w:val="lt-LT"/>
        </w:rPr>
        <w:t>ESCO pasirašo finansinio lizingo sutartį su valdžia, kapitalizuodama turtą, kuris irgi finansuojamas įsipareigojimu.</w:t>
      </w:r>
      <w:r w:rsidR="00126646" w:rsidRPr="002142B8">
        <w:rPr>
          <w:rFonts w:ascii="Georgia" w:hAnsi="Georgia"/>
          <w:sz w:val="20"/>
          <w:szCs w:val="20"/>
          <w:lang w:val="lt-LT"/>
        </w:rPr>
        <w:t xml:space="preserve"> V</w:t>
      </w:r>
      <w:r w:rsidR="00C26C41" w:rsidRPr="002142B8">
        <w:rPr>
          <w:rFonts w:ascii="Georgia" w:hAnsi="Georgia"/>
          <w:sz w:val="20"/>
          <w:szCs w:val="20"/>
          <w:lang w:val="lt-LT"/>
        </w:rPr>
        <w:t>alstybė</w:t>
      </w:r>
      <w:r w:rsidR="003C69AC" w:rsidRPr="002142B8">
        <w:rPr>
          <w:rFonts w:ascii="Georgia" w:hAnsi="Georgia"/>
          <w:sz w:val="20"/>
          <w:szCs w:val="20"/>
          <w:lang w:val="lt-LT"/>
        </w:rPr>
        <w:t>/savivaldybė</w:t>
      </w:r>
      <w:r w:rsidR="00126646" w:rsidRPr="002142B8">
        <w:rPr>
          <w:rFonts w:ascii="Georgia" w:hAnsi="Georgia"/>
          <w:sz w:val="20"/>
          <w:szCs w:val="20"/>
          <w:lang w:val="lt-LT"/>
        </w:rPr>
        <w:t xml:space="preserve"> šiame sandoryje </w:t>
      </w:r>
      <w:r w:rsidR="00664EBB" w:rsidRPr="002142B8">
        <w:rPr>
          <w:rFonts w:ascii="Georgia" w:hAnsi="Georgia"/>
          <w:sz w:val="20"/>
          <w:szCs w:val="20"/>
          <w:lang w:val="lt-LT"/>
        </w:rPr>
        <w:t>gauna finansinį turtą (lizingo sutartį), kurį gali sudengti su turima paskola. Tokiu būdu val</w:t>
      </w:r>
      <w:r w:rsidR="00C26C41" w:rsidRPr="002142B8">
        <w:rPr>
          <w:rFonts w:ascii="Georgia" w:hAnsi="Georgia"/>
          <w:sz w:val="20"/>
          <w:szCs w:val="20"/>
          <w:lang w:val="lt-LT"/>
        </w:rPr>
        <w:t>stybės</w:t>
      </w:r>
      <w:r w:rsidR="003C69AC" w:rsidRPr="002142B8">
        <w:rPr>
          <w:rFonts w:ascii="Georgia" w:hAnsi="Georgia"/>
          <w:sz w:val="20"/>
          <w:szCs w:val="20"/>
          <w:lang w:val="lt-LT"/>
        </w:rPr>
        <w:t>/savivaldybės</w:t>
      </w:r>
      <w:r w:rsidR="00664EBB" w:rsidRPr="002142B8">
        <w:rPr>
          <w:rFonts w:ascii="Georgia" w:hAnsi="Georgia"/>
          <w:sz w:val="20"/>
          <w:szCs w:val="20"/>
          <w:lang w:val="lt-LT"/>
        </w:rPr>
        <w:t xml:space="preserve"> skola nepakinta, o per visą energijos vartojimo efektyvumo sutarties laikotarpį, vienintelis elementas įtraukiamas į val</w:t>
      </w:r>
      <w:r w:rsidR="00C26C41" w:rsidRPr="002142B8">
        <w:rPr>
          <w:rFonts w:ascii="Georgia" w:hAnsi="Georgia"/>
          <w:sz w:val="20"/>
          <w:szCs w:val="20"/>
          <w:lang w:val="lt-LT"/>
        </w:rPr>
        <w:t>stybės</w:t>
      </w:r>
      <w:r w:rsidR="003C69AC" w:rsidRPr="002142B8">
        <w:rPr>
          <w:rFonts w:ascii="Georgia" w:hAnsi="Georgia"/>
          <w:sz w:val="20"/>
          <w:szCs w:val="20"/>
          <w:lang w:val="lt-LT"/>
        </w:rPr>
        <w:t>/savivaldybės</w:t>
      </w:r>
      <w:r w:rsidR="00664EBB" w:rsidRPr="002142B8">
        <w:rPr>
          <w:rFonts w:ascii="Georgia" w:hAnsi="Georgia"/>
          <w:sz w:val="20"/>
          <w:szCs w:val="20"/>
          <w:lang w:val="lt-LT"/>
        </w:rPr>
        <w:t xml:space="preserve"> sąskaitas yra sutartyje nurodyti mokesčiai</w:t>
      </w:r>
      <w:r w:rsidR="00191105" w:rsidRPr="002142B8">
        <w:rPr>
          <w:rFonts w:ascii="Georgia" w:hAnsi="Georgia"/>
          <w:sz w:val="20"/>
          <w:szCs w:val="20"/>
          <w:lang w:val="lt-LT"/>
        </w:rPr>
        <w:t>, lemiantys pokyčius valstybės</w:t>
      </w:r>
      <w:r w:rsidR="00987400" w:rsidRPr="002142B8">
        <w:rPr>
          <w:rFonts w:ascii="Georgia" w:hAnsi="Georgia"/>
          <w:sz w:val="20"/>
          <w:szCs w:val="20"/>
          <w:lang w:val="lt-LT"/>
        </w:rPr>
        <w:t>/savivaldybės</w:t>
      </w:r>
      <w:r w:rsidR="00191105" w:rsidRPr="002142B8">
        <w:rPr>
          <w:rFonts w:ascii="Georgia" w:hAnsi="Georgia"/>
          <w:sz w:val="20"/>
          <w:szCs w:val="20"/>
          <w:lang w:val="lt-LT"/>
        </w:rPr>
        <w:t xml:space="preserve"> biudžete.</w:t>
      </w:r>
      <w:r w:rsidR="00126646" w:rsidRPr="002142B8">
        <w:rPr>
          <w:rFonts w:ascii="Georgia" w:hAnsi="Georgia"/>
          <w:sz w:val="20"/>
          <w:szCs w:val="20"/>
          <w:lang w:val="lt-LT"/>
        </w:rPr>
        <w:t xml:space="preserve"> </w:t>
      </w:r>
      <w:r w:rsidR="007E4CD3" w:rsidRPr="002142B8">
        <w:rPr>
          <w:rFonts w:ascii="Georgia" w:hAnsi="Georgia"/>
          <w:sz w:val="20"/>
          <w:szCs w:val="20"/>
          <w:lang w:val="lt-LT"/>
        </w:rPr>
        <w:t xml:space="preserve"> </w:t>
      </w:r>
      <w:r w:rsidR="00CF0178" w:rsidRPr="002142B8">
        <w:rPr>
          <w:rFonts w:ascii="Georgia" w:hAnsi="Georgia"/>
          <w:sz w:val="20"/>
          <w:szCs w:val="20"/>
          <w:lang w:val="lt-LT"/>
        </w:rPr>
        <w:t xml:space="preserve"> </w:t>
      </w:r>
    </w:p>
    <w:p w14:paraId="2F1F195E" w14:textId="3F484E0B" w:rsidR="00D37880" w:rsidRPr="002142B8" w:rsidRDefault="003A67EA" w:rsidP="00995FCE">
      <w:pPr>
        <w:jc w:val="both"/>
        <w:rPr>
          <w:rFonts w:ascii="Georgia" w:hAnsi="Georgia"/>
          <w:sz w:val="20"/>
          <w:szCs w:val="20"/>
          <w:lang w:val="lt-LT"/>
        </w:rPr>
      </w:pPr>
      <w:r w:rsidRPr="002142B8">
        <w:rPr>
          <w:rFonts w:ascii="Georgia" w:hAnsi="Georgia"/>
          <w:sz w:val="20"/>
          <w:szCs w:val="20"/>
          <w:lang w:val="lt-LT"/>
        </w:rPr>
        <w:t>Nepaisant kuris metodas bus pasirinktas,</w:t>
      </w:r>
      <w:r w:rsidR="001F6984" w:rsidRPr="002142B8">
        <w:rPr>
          <w:rFonts w:ascii="Georgia" w:hAnsi="Georgia"/>
          <w:sz w:val="20"/>
          <w:szCs w:val="20"/>
          <w:lang w:val="lt-LT"/>
        </w:rPr>
        <w:t xml:space="preserve"> </w:t>
      </w:r>
      <w:r w:rsidRPr="002142B8">
        <w:rPr>
          <w:rFonts w:ascii="Georgia" w:hAnsi="Georgia"/>
          <w:sz w:val="20"/>
          <w:szCs w:val="20"/>
          <w:lang w:val="lt-LT"/>
        </w:rPr>
        <w:t xml:space="preserve">valstybės </w:t>
      </w:r>
      <w:r w:rsidR="00987400" w:rsidRPr="002142B8">
        <w:rPr>
          <w:rFonts w:ascii="Georgia" w:hAnsi="Georgia"/>
          <w:sz w:val="20"/>
          <w:szCs w:val="20"/>
          <w:lang w:val="lt-LT"/>
        </w:rPr>
        <w:t xml:space="preserve">ir savivaldybių </w:t>
      </w:r>
      <w:r w:rsidR="00191105" w:rsidRPr="002142B8">
        <w:rPr>
          <w:rFonts w:ascii="Georgia" w:hAnsi="Georgia"/>
          <w:sz w:val="20"/>
          <w:szCs w:val="20"/>
          <w:lang w:val="lt-LT"/>
        </w:rPr>
        <w:t>skolai tai</w:t>
      </w:r>
      <w:r w:rsidRPr="002142B8">
        <w:rPr>
          <w:rFonts w:ascii="Georgia" w:hAnsi="Georgia"/>
          <w:sz w:val="20"/>
          <w:szCs w:val="20"/>
          <w:lang w:val="lt-LT"/>
        </w:rPr>
        <w:t xml:space="preserve"> </w:t>
      </w:r>
      <w:r w:rsidR="001F6984" w:rsidRPr="002142B8">
        <w:rPr>
          <w:rFonts w:ascii="Georgia" w:hAnsi="Georgia"/>
          <w:sz w:val="20"/>
          <w:szCs w:val="20"/>
          <w:lang w:val="lt-LT"/>
        </w:rPr>
        <w:t>įtakos neturės.</w:t>
      </w:r>
    </w:p>
    <w:p w14:paraId="4878AD59" w14:textId="75CFE4DC" w:rsidR="00D37880" w:rsidRPr="002142B8" w:rsidRDefault="00D37880">
      <w:pPr>
        <w:rPr>
          <w:rFonts w:ascii="Georgia" w:hAnsi="Georgia"/>
          <w:sz w:val="20"/>
          <w:szCs w:val="20"/>
          <w:lang w:val="lt-LT"/>
        </w:rPr>
      </w:pPr>
    </w:p>
    <w:p w14:paraId="0F3072F8" w14:textId="54F5673A" w:rsidR="00097A34" w:rsidRPr="002142B8" w:rsidRDefault="00F948E4" w:rsidP="00C57355">
      <w:pPr>
        <w:pStyle w:val="Antrat1"/>
        <w:numPr>
          <w:ilvl w:val="0"/>
          <w:numId w:val="2"/>
        </w:numPr>
        <w:ind w:left="284"/>
        <w:rPr>
          <w:lang w:val="lt-LT"/>
        </w:rPr>
      </w:pPr>
      <w:bookmarkStart w:id="297" w:name="_Toc25589940"/>
      <w:r w:rsidRPr="002142B8">
        <w:rPr>
          <w:lang w:val="lt-LT"/>
        </w:rPr>
        <w:t>Valstybės pagalba</w:t>
      </w:r>
      <w:bookmarkEnd w:id="297"/>
    </w:p>
    <w:p w14:paraId="50B74BEA" w14:textId="77777777" w:rsidR="008D5EBC" w:rsidRPr="002142B8" w:rsidRDefault="008D5EBC" w:rsidP="00EF6FC0">
      <w:pPr>
        <w:jc w:val="both"/>
        <w:rPr>
          <w:rFonts w:ascii="Georgia" w:hAnsi="Georgia"/>
          <w:sz w:val="20"/>
          <w:szCs w:val="20"/>
          <w:lang w:val="lt-LT"/>
        </w:rPr>
      </w:pPr>
      <w:bookmarkStart w:id="298" w:name="_Toc395795824"/>
    </w:p>
    <w:p w14:paraId="2C3FB43E"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Poreikis įvertinti galiojančio valstybės pagalbos teisinio reglamentavimo įtaką, atliekant energijos efektyvumo ex-ante analizę bei laikantis prielaidos, kad numatomos įgyvendinti finansinių priemonių finansavimui bus panaudojamos ES struktūrinės investicijos, yra aiškiai nurodytas Bendrųjų nuostatų reglamento 37 str. 1 d. 2 pastraipoje, 2 d. b) punkte, 4 d., 7 d. bei 9 d. Paskirstytas ES struktūrinių investicijų valdymo, kai didžiąją dalį investicijų panaudojimo valdymo ir kontrolės sistemos funkcijų atlieka nacionalinės institucijos (Vadovaujančioji institucija ir jos įgaliotos kitos institucijos), modelis kartu reiškia, kad šios investicijos yra sudedamoji nacionalinio biudžeto dalis, tai yra šios investicijos yra viešieji finansiniai ištekliai, kurių panaudojimas turi atitikti taikytinas valstybės pagalbos teikimo kontrolės taisykles.</w:t>
      </w:r>
    </w:p>
    <w:p w14:paraId="22F27F60"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Pagrindiniai dokumentai, kurių nuostatos yra nagrinėtinos, atliekant valstybės pagalbos taisyklių galimo taikymo ir jų poveikio numatomoms įgyvendinti finansinėms priemonėms vertinimą yra:</w:t>
      </w:r>
    </w:p>
    <w:p w14:paraId="4C0D38FA"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2014 m. sausio 22 d. Komisijos komunikatas dėl valstybės pagalbos rizikos finansų investicijoms skatinti gairių (2014/C 19/04);</w:t>
      </w:r>
    </w:p>
    <w:p w14:paraId="324FA404"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Bendrųjų nuostatų reglamentas;</w:t>
      </w:r>
    </w:p>
    <w:p w14:paraId="3453F516"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 xml:space="preserve">2014 m. birželio 17 d. Komisijos reglamentas (ES) Nr. 651/2014, kuriuo tam tikrų kategorijų </w:t>
      </w:r>
      <w:r w:rsidRPr="002142B8">
        <w:rPr>
          <w:rFonts w:ascii="Georgia" w:hAnsi="Georgia"/>
          <w:sz w:val="20"/>
          <w:szCs w:val="20"/>
          <w:lang w:val="lt-LT"/>
        </w:rPr>
        <w:lastRenderedPageBreak/>
        <w:t>pagalba skelbiama suderinama su vidaus rinka taikant Sutarties 107 ir 108 straipsnius;</w:t>
      </w:r>
    </w:p>
    <w:p w14:paraId="13EE1959"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2013 m. gruodžio 18 d. Komisijos reglamentas (ES) Nr. 1407/2013 dėl Sutarties dėl Europos Sąjungos veikimo 107 ir 108 straipsnių taikymo de minimis pagalbai;</w:t>
      </w:r>
    </w:p>
    <w:p w14:paraId="304F2255"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2014–2020 m. regioninės valstybės pagalbos gairės (2013/C 209/01).</w:t>
      </w:r>
    </w:p>
    <w:p w14:paraId="66E4D6CA" w14:textId="77777777" w:rsidR="00CE5A01" w:rsidRPr="002142B8" w:rsidRDefault="00CE5A01" w:rsidP="00CE5A01">
      <w:pPr>
        <w:jc w:val="both"/>
        <w:rPr>
          <w:rFonts w:ascii="Georgia" w:hAnsi="Georgia"/>
          <w:sz w:val="20"/>
          <w:szCs w:val="20"/>
          <w:lang w:val="lt-LT"/>
        </w:rPr>
      </w:pPr>
    </w:p>
    <w:p w14:paraId="74110142"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Nurodytų dokumentų nuostatos yra vertinamos tokiu eiliškumu:</w:t>
      </w:r>
    </w:p>
    <w:p w14:paraId="4B6A472C" w14:textId="77777777" w:rsidR="00CE5A01" w:rsidRPr="002142B8" w:rsidRDefault="00CE5A01" w:rsidP="00162BF5">
      <w:pPr>
        <w:pStyle w:val="Sraopastraipa"/>
        <w:numPr>
          <w:ilvl w:val="0"/>
          <w:numId w:val="42"/>
        </w:numPr>
        <w:ind w:firstLine="0"/>
        <w:jc w:val="both"/>
        <w:rPr>
          <w:rFonts w:ascii="Georgia" w:hAnsi="Georgia"/>
          <w:sz w:val="20"/>
          <w:szCs w:val="20"/>
          <w:lang w:val="lt-LT"/>
        </w:rPr>
      </w:pPr>
      <w:r w:rsidRPr="002142B8">
        <w:rPr>
          <w:rFonts w:ascii="Georgia" w:hAnsi="Georgia"/>
          <w:sz w:val="20"/>
          <w:szCs w:val="20"/>
          <w:lang w:val="lt-LT"/>
        </w:rPr>
        <w:t>apibūdinami valstybės pagalbos teikimo požymiai numatytų finansinių priemonių įgyvendinimo kontekste;</w:t>
      </w:r>
    </w:p>
    <w:p w14:paraId="4739491D" w14:textId="77777777" w:rsidR="00CE5A01" w:rsidRPr="002142B8" w:rsidRDefault="00CE5A01" w:rsidP="00162BF5">
      <w:pPr>
        <w:pStyle w:val="Sraopastraipa"/>
        <w:numPr>
          <w:ilvl w:val="0"/>
          <w:numId w:val="42"/>
        </w:numPr>
        <w:ind w:firstLine="0"/>
        <w:jc w:val="both"/>
        <w:rPr>
          <w:rFonts w:ascii="Georgia" w:hAnsi="Georgia"/>
          <w:sz w:val="20"/>
          <w:szCs w:val="20"/>
          <w:lang w:val="lt-LT"/>
        </w:rPr>
      </w:pPr>
      <w:r w:rsidRPr="002142B8">
        <w:rPr>
          <w:rFonts w:ascii="Georgia" w:hAnsi="Georgia"/>
          <w:sz w:val="20"/>
          <w:szCs w:val="20"/>
          <w:lang w:val="lt-LT"/>
        </w:rPr>
        <w:t>atskirai įvertinama kiekviena finansinių priemonių įgyvendinimo alternatyva:</w:t>
      </w:r>
    </w:p>
    <w:p w14:paraId="7BB6A71D" w14:textId="77777777" w:rsidR="00CE5A01" w:rsidRPr="002142B8" w:rsidRDefault="00CE5A01" w:rsidP="00162BF5">
      <w:pPr>
        <w:pStyle w:val="Sraopastraipa"/>
        <w:numPr>
          <w:ilvl w:val="1"/>
          <w:numId w:val="42"/>
        </w:numPr>
        <w:ind w:firstLine="0"/>
        <w:jc w:val="both"/>
        <w:rPr>
          <w:rFonts w:ascii="Georgia" w:hAnsi="Georgia"/>
          <w:sz w:val="20"/>
          <w:szCs w:val="20"/>
          <w:lang w:val="lt-LT"/>
        </w:rPr>
      </w:pPr>
      <w:r w:rsidRPr="002142B8">
        <w:rPr>
          <w:rFonts w:ascii="Georgia" w:hAnsi="Georgia"/>
          <w:sz w:val="20"/>
          <w:szCs w:val="20"/>
          <w:lang w:val="lt-LT"/>
        </w:rPr>
        <w:t>pasirinktos daugiabučių renovacijos finansinės priemonės bei jos įgyvendinimo struktūros įvertinimas valstybės pagalbos taisyklių kontekste (ex-ante analizės 4.4.1. bei 7.1.4.4. skyriai):</w:t>
      </w:r>
    </w:p>
    <w:p w14:paraId="2935EB9D"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įgyvendinimo struktūra – juridinio asmens statusą turinčio fondo steigimas;</w:t>
      </w:r>
    </w:p>
    <w:p w14:paraId="149CA50E"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 xml:space="preserve">finansinės priemonės - lengvatinės paskolos finansinė priemonė, subsidija. Nepaisant to, kad subsidijų priemonę yra planuojama įgyvendinti kaip atskirą priemonę, jos naudos gavėjai bei potencialūs valstybės pagalbos subjektai sutaps, todėl subsidijos, nors ir nėra šio vertinimo objektas, yra vertinamos atliekant </w:t>
      </w:r>
      <w:r w:rsidRPr="002142B8">
        <w:rPr>
          <w:rFonts w:ascii="Georgia" w:hAnsi="Georgia"/>
          <w:i/>
          <w:sz w:val="20"/>
          <w:szCs w:val="20"/>
          <w:lang w:val="lt-LT"/>
        </w:rPr>
        <w:t>ex-ante</w:t>
      </w:r>
      <w:r w:rsidRPr="002142B8">
        <w:rPr>
          <w:rFonts w:ascii="Georgia" w:hAnsi="Georgia"/>
          <w:sz w:val="20"/>
          <w:szCs w:val="20"/>
          <w:lang w:val="lt-LT"/>
        </w:rPr>
        <w:t xml:space="preserve"> vertinimą tiek, kiek jos yra susijusios su finansinių priemonių įgyvendinimu;</w:t>
      </w:r>
    </w:p>
    <w:p w14:paraId="5874B458" w14:textId="77777777" w:rsidR="00CE5A01" w:rsidRPr="002142B8" w:rsidRDefault="00CE5A01" w:rsidP="00162BF5">
      <w:pPr>
        <w:pStyle w:val="Sraopastraipa"/>
        <w:numPr>
          <w:ilvl w:val="1"/>
          <w:numId w:val="42"/>
        </w:numPr>
        <w:ind w:firstLine="0"/>
        <w:jc w:val="both"/>
        <w:rPr>
          <w:rFonts w:ascii="Georgia" w:hAnsi="Georgia"/>
          <w:sz w:val="20"/>
          <w:szCs w:val="20"/>
          <w:lang w:val="lt-LT"/>
        </w:rPr>
      </w:pPr>
      <w:r w:rsidRPr="002142B8">
        <w:rPr>
          <w:rFonts w:ascii="Georgia" w:hAnsi="Georgia"/>
          <w:sz w:val="20"/>
          <w:szCs w:val="20"/>
          <w:lang w:val="lt-LT"/>
        </w:rPr>
        <w:t>pasirinktos centrinės valdžios pastatų finansinės priemonės bei jos įgyvendinimo struktūros įvertinimas valstybės pagalbos taisyklių kontekste (ex-ante  analizės 4.4.3. bei 7.2.4.4. skyriai):</w:t>
      </w:r>
    </w:p>
    <w:p w14:paraId="10377EE5"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įgyvendinimo struktūra - fondų fondo (sąskaitų rinkinio finansų įstaigoje) steigimas (viešosios infrastruktūros fondo steigimas), investicijų fondo steigimas;</w:t>
      </w:r>
    </w:p>
    <w:p w14:paraId="3C0BD263"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 xml:space="preserve"> finansinės priemonės - lengvatinės paskolos finansinė priemonė;</w:t>
      </w:r>
    </w:p>
    <w:p w14:paraId="2C92E679"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subsidijos.</w:t>
      </w:r>
    </w:p>
    <w:p w14:paraId="1AA086E0" w14:textId="77777777" w:rsidR="00CE5A01" w:rsidRPr="002142B8" w:rsidRDefault="00CE5A01" w:rsidP="00162BF5">
      <w:pPr>
        <w:pStyle w:val="Sraopastraipa"/>
        <w:numPr>
          <w:ilvl w:val="1"/>
          <w:numId w:val="42"/>
        </w:numPr>
        <w:ind w:firstLine="0"/>
        <w:jc w:val="both"/>
        <w:rPr>
          <w:rFonts w:ascii="Georgia" w:hAnsi="Georgia"/>
          <w:sz w:val="20"/>
          <w:szCs w:val="20"/>
          <w:lang w:val="lt-LT"/>
        </w:rPr>
      </w:pPr>
      <w:r w:rsidRPr="002142B8">
        <w:rPr>
          <w:rFonts w:ascii="Georgia" w:hAnsi="Georgia"/>
          <w:sz w:val="20"/>
          <w:szCs w:val="20"/>
          <w:lang w:val="lt-LT"/>
        </w:rPr>
        <w:t>pasirinktos gatvių apšvietimo finansinės priemonės bei jos įgyvendinimo struktūros įvertinimas valstybės pagalbos taisyklių kontekste (ex-ante  analizės 4.4.2. bei 7.2.4.4. skyriai):</w:t>
      </w:r>
    </w:p>
    <w:p w14:paraId="1B630DD4"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įgyvendinimo struktūra - fondų fondo (sąskaitų rinkinio finansų įstaigoje) steigimas (viešosios infrastruktūros fondo steigimas), investicijų fondo steigimas;</w:t>
      </w:r>
    </w:p>
    <w:p w14:paraId="4216384F" w14:textId="77777777" w:rsidR="00CE5A01" w:rsidRPr="002142B8" w:rsidRDefault="00CE5A01" w:rsidP="00162BF5">
      <w:pPr>
        <w:pStyle w:val="Sraopastraipa"/>
        <w:numPr>
          <w:ilvl w:val="2"/>
          <w:numId w:val="42"/>
        </w:numPr>
        <w:ind w:firstLine="0"/>
        <w:jc w:val="both"/>
        <w:rPr>
          <w:rFonts w:ascii="Georgia" w:hAnsi="Georgia"/>
          <w:sz w:val="20"/>
          <w:szCs w:val="20"/>
          <w:lang w:val="lt-LT"/>
        </w:rPr>
      </w:pPr>
      <w:r w:rsidRPr="002142B8">
        <w:rPr>
          <w:rFonts w:ascii="Georgia" w:hAnsi="Georgia"/>
          <w:sz w:val="20"/>
          <w:szCs w:val="20"/>
          <w:lang w:val="lt-LT"/>
        </w:rPr>
        <w:t>finansinės priemonės - garantijų finansinė priemonė.</w:t>
      </w:r>
    </w:p>
    <w:p w14:paraId="697B14AD" w14:textId="77777777" w:rsidR="00CE5A01" w:rsidRPr="002142B8" w:rsidRDefault="00CE5A01" w:rsidP="00162BF5">
      <w:pPr>
        <w:pStyle w:val="Sraopastraipa"/>
        <w:numPr>
          <w:ilvl w:val="0"/>
          <w:numId w:val="42"/>
        </w:numPr>
        <w:ind w:firstLine="0"/>
        <w:jc w:val="both"/>
        <w:rPr>
          <w:rFonts w:ascii="Georgia" w:hAnsi="Georgia"/>
          <w:sz w:val="20"/>
          <w:szCs w:val="20"/>
          <w:lang w:val="lt-LT"/>
        </w:rPr>
      </w:pPr>
      <w:r w:rsidRPr="002142B8">
        <w:rPr>
          <w:rFonts w:ascii="Georgia" w:hAnsi="Georgia"/>
          <w:sz w:val="20"/>
          <w:szCs w:val="20"/>
          <w:lang w:val="lt-LT"/>
        </w:rPr>
        <w:t>apibendrinamos ir nurodomos pagrindinės sąlygos ir apribojimai, kuriems esant numatytos įgyvendinti priemonės gali būti įgyvendinamos, nepažeidžiant valstybės pagalbos teikimo taisyklių reikalavimus.</w:t>
      </w:r>
    </w:p>
    <w:p w14:paraId="31D512DB"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Pabrėžtina, kad valstybės pagalbos teikimo taisyklių įtaka turi būti vertinama kiekvieno finansinės priemonės įgyvendinime dalyvaujančio ūkio subjektų tipo atžvilgiu atskirai, tai yra priklausomai nuo šio tipo (investuotojas, valdytojas, naudos gavėjas, kt.) bei dalyvavimo priemonėje masto turėtų būti apibūdinamos priemonės įgyvendinimo sąlygos, siekiant jų atitikties valstybės pagalbos taisyklių reikalavimams.</w:t>
      </w:r>
    </w:p>
    <w:p w14:paraId="56412583" w14:textId="77777777" w:rsidR="00CE5A01" w:rsidRPr="002142B8" w:rsidRDefault="00CE5A01" w:rsidP="00CE5A01">
      <w:pPr>
        <w:jc w:val="both"/>
        <w:rPr>
          <w:rFonts w:ascii="Georgia" w:hAnsi="Georgia"/>
          <w:sz w:val="20"/>
          <w:szCs w:val="20"/>
          <w:lang w:val="lt-LT"/>
        </w:rPr>
      </w:pPr>
    </w:p>
    <w:p w14:paraId="1C48F725" w14:textId="77777777" w:rsidR="00CE5A01" w:rsidRPr="002142B8" w:rsidRDefault="00CE5A01" w:rsidP="00CE5A01">
      <w:pPr>
        <w:pStyle w:val="Antrat2"/>
        <w:numPr>
          <w:ilvl w:val="1"/>
          <w:numId w:val="2"/>
        </w:numPr>
        <w:spacing w:after="240"/>
        <w:ind w:left="709"/>
        <w:rPr>
          <w:lang w:val="lt-LT"/>
        </w:rPr>
      </w:pPr>
      <w:bookmarkStart w:id="299" w:name="_Toc25589941"/>
      <w:r w:rsidRPr="002142B8">
        <w:rPr>
          <w:lang w:val="lt-LT"/>
        </w:rPr>
        <w:lastRenderedPageBreak/>
        <w:t>Valstybės pagalbos teikimo požymių apibūdinimas</w:t>
      </w:r>
      <w:bookmarkEnd w:id="299"/>
    </w:p>
    <w:p w14:paraId="363E1724" w14:textId="77777777" w:rsidR="00CE5A01" w:rsidRPr="002142B8" w:rsidRDefault="00CE5A01" w:rsidP="00CE5A01">
      <w:pPr>
        <w:keepNext/>
        <w:jc w:val="both"/>
        <w:rPr>
          <w:rFonts w:ascii="Georgia" w:hAnsi="Georgia"/>
          <w:sz w:val="20"/>
          <w:szCs w:val="20"/>
          <w:lang w:val="lt-LT"/>
        </w:rPr>
      </w:pPr>
      <w:r w:rsidRPr="002142B8">
        <w:rPr>
          <w:rFonts w:ascii="Georgia" w:hAnsi="Georgia"/>
          <w:sz w:val="20"/>
          <w:szCs w:val="20"/>
          <w:lang w:val="lt-LT"/>
        </w:rPr>
        <w:t>Bendruoju atveju, valstybės pagalba yra pripažįstama, kai yra tenkinamos keturios pagrindinės sąlygos</w:t>
      </w:r>
      <w:r w:rsidRPr="002142B8">
        <w:rPr>
          <w:rStyle w:val="Puslapioinaosnuoroda"/>
          <w:rFonts w:ascii="Georgia" w:hAnsi="Georgia"/>
          <w:sz w:val="20"/>
          <w:szCs w:val="20"/>
          <w:lang w:val="lt-LT"/>
        </w:rPr>
        <w:footnoteReference w:id="143"/>
      </w:r>
      <w:r w:rsidRPr="002142B8">
        <w:rPr>
          <w:rFonts w:ascii="Georgia" w:hAnsi="Georgia"/>
          <w:sz w:val="20"/>
          <w:szCs w:val="20"/>
          <w:lang w:val="lt-LT"/>
        </w:rPr>
        <w:t>:</w:t>
      </w:r>
    </w:p>
    <w:p w14:paraId="070A8B9C" w14:textId="77777777" w:rsidR="00CE5A01" w:rsidRPr="002142B8" w:rsidRDefault="00CE5A01" w:rsidP="00162BF5">
      <w:pPr>
        <w:pStyle w:val="Sraopastraipa"/>
        <w:numPr>
          <w:ilvl w:val="0"/>
          <w:numId w:val="54"/>
        </w:numPr>
        <w:ind w:left="709"/>
        <w:jc w:val="both"/>
        <w:rPr>
          <w:rFonts w:ascii="Georgia" w:hAnsi="Georgia"/>
          <w:sz w:val="20"/>
          <w:szCs w:val="20"/>
          <w:lang w:val="lt-LT"/>
        </w:rPr>
      </w:pPr>
      <w:r w:rsidRPr="002142B8">
        <w:rPr>
          <w:rFonts w:ascii="Georgia" w:hAnsi="Georgia"/>
          <w:sz w:val="20"/>
          <w:szCs w:val="20"/>
          <w:lang w:val="lt-LT"/>
        </w:rPr>
        <w:t>numatoma įgyvendinti priemonė yra priskirtina (angl. imputable) viešajam sektoriui (tai yra panaudojami nacionalinio biudžeto ar kiti viešieji ištekliai),</w:t>
      </w:r>
    </w:p>
    <w:p w14:paraId="3A9A96BF" w14:textId="77777777" w:rsidR="00CE5A01" w:rsidRPr="002142B8" w:rsidRDefault="00CE5A01" w:rsidP="00162BF5">
      <w:pPr>
        <w:pStyle w:val="Sraopastraipa"/>
        <w:numPr>
          <w:ilvl w:val="0"/>
          <w:numId w:val="54"/>
        </w:numPr>
        <w:ind w:left="709"/>
        <w:jc w:val="both"/>
        <w:rPr>
          <w:rFonts w:ascii="Georgia" w:hAnsi="Georgia"/>
          <w:sz w:val="20"/>
          <w:szCs w:val="20"/>
          <w:lang w:val="lt-LT"/>
        </w:rPr>
      </w:pPr>
      <w:r w:rsidRPr="002142B8">
        <w:rPr>
          <w:rFonts w:ascii="Georgia" w:hAnsi="Georgia"/>
          <w:sz w:val="20"/>
          <w:szCs w:val="20"/>
          <w:lang w:val="lt-LT"/>
        </w:rPr>
        <w:t>rinkoje veikiantiems ūkio subjektams teikiama ekonominė nauda (suteikiamas ekonominis pranašumas), kuri nėra prieinama įprastomis rinkos sąlygomis,</w:t>
      </w:r>
    </w:p>
    <w:p w14:paraId="5795E445" w14:textId="77777777" w:rsidR="00CE5A01" w:rsidRPr="002142B8" w:rsidRDefault="00CE5A01" w:rsidP="00162BF5">
      <w:pPr>
        <w:pStyle w:val="Sraopastraipa"/>
        <w:numPr>
          <w:ilvl w:val="0"/>
          <w:numId w:val="54"/>
        </w:numPr>
        <w:ind w:left="709"/>
        <w:jc w:val="both"/>
        <w:rPr>
          <w:rFonts w:ascii="Georgia" w:hAnsi="Georgia"/>
          <w:sz w:val="20"/>
          <w:szCs w:val="20"/>
          <w:lang w:val="lt-LT"/>
        </w:rPr>
      </w:pPr>
      <w:r w:rsidRPr="002142B8">
        <w:rPr>
          <w:rFonts w:ascii="Georgia" w:hAnsi="Georgia"/>
          <w:sz w:val="20"/>
          <w:szCs w:val="20"/>
          <w:lang w:val="lt-LT"/>
        </w:rPr>
        <w:t>priemone yra (bus) teikiama ekonominė nauda tik kai kuriems rinkos subjektams (priemonės selektyvumo kriterijus),</w:t>
      </w:r>
    </w:p>
    <w:p w14:paraId="2C62FE77" w14:textId="77777777" w:rsidR="00CE5A01" w:rsidRPr="002142B8" w:rsidRDefault="00CE5A01" w:rsidP="00162BF5">
      <w:pPr>
        <w:pStyle w:val="Sraopastraipa"/>
        <w:numPr>
          <w:ilvl w:val="0"/>
          <w:numId w:val="54"/>
        </w:numPr>
        <w:ind w:left="709"/>
        <w:jc w:val="both"/>
        <w:rPr>
          <w:rFonts w:ascii="Georgia" w:hAnsi="Georgia"/>
          <w:sz w:val="20"/>
          <w:szCs w:val="20"/>
          <w:lang w:val="lt-LT"/>
        </w:rPr>
      </w:pPr>
      <w:r w:rsidRPr="002142B8">
        <w:rPr>
          <w:rFonts w:ascii="Georgia" w:hAnsi="Georgia"/>
          <w:sz w:val="20"/>
          <w:szCs w:val="20"/>
          <w:lang w:val="lt-LT"/>
        </w:rPr>
        <w:t>priemone yra iškraipoma arba gali būti iškraipoma konkurencija ir (arba) paveikiama prekyba tarp ES valstybių-narių.</w:t>
      </w:r>
    </w:p>
    <w:p w14:paraId="6CC8D513"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Pagal šiuos kriterijus, valstybės pagalba gali būti pripažįstama tik tuo atveju, kai yra visų kriterijų visuma, tai yra numatoma įgyvendinti priemonė atitinka kiekvieną kriterijų. Tiek Europos Komisijos, tiek Europos Sąjungos Teisingumo Teismo praktikoje valstybės pagalbos samprata yra laikoma objektyviu, pirminės teisės nuostatomis apibrėžtu institutu, kurio nuostatų taikymas negali būti skirtingas kiekvienu konkrečiu atveju, išskyrus sudėtingo ekonominio vertinimo reikalaujančias specifines situacijas</w:t>
      </w:r>
      <w:r w:rsidRPr="002142B8">
        <w:rPr>
          <w:rStyle w:val="Puslapioinaosnuoroda"/>
          <w:rFonts w:ascii="Georgia" w:hAnsi="Georgia"/>
          <w:sz w:val="20"/>
          <w:szCs w:val="20"/>
          <w:lang w:val="lt-LT"/>
        </w:rPr>
        <w:footnoteReference w:id="144"/>
      </w:r>
      <w:r w:rsidRPr="002142B8">
        <w:rPr>
          <w:rFonts w:ascii="Georgia" w:hAnsi="Georgia"/>
          <w:sz w:val="20"/>
          <w:szCs w:val="20"/>
          <w:lang w:val="lt-LT"/>
        </w:rPr>
        <w:t>.</w:t>
      </w:r>
    </w:p>
    <w:p w14:paraId="6FA31C6E" w14:textId="77777777" w:rsidR="00CE5A01" w:rsidRPr="002142B8" w:rsidRDefault="00CE5A01" w:rsidP="00CE5A01">
      <w:pPr>
        <w:jc w:val="both"/>
        <w:rPr>
          <w:rFonts w:ascii="Georgia" w:hAnsi="Georgia"/>
          <w:sz w:val="20"/>
          <w:szCs w:val="20"/>
          <w:lang w:val="lt-LT"/>
        </w:rPr>
      </w:pPr>
    </w:p>
    <w:p w14:paraId="5F86A2C4" w14:textId="77777777" w:rsidR="00CE5A01" w:rsidRPr="002142B8" w:rsidRDefault="00CE5A01" w:rsidP="00CE5A01">
      <w:pPr>
        <w:pStyle w:val="Antrat2"/>
        <w:numPr>
          <w:ilvl w:val="2"/>
          <w:numId w:val="2"/>
        </w:numPr>
        <w:spacing w:after="240"/>
        <w:ind w:left="709"/>
        <w:rPr>
          <w:lang w:val="lt-LT"/>
        </w:rPr>
      </w:pPr>
      <w:bookmarkStart w:id="300" w:name="_Toc25589942"/>
      <w:r w:rsidRPr="002142B8">
        <w:rPr>
          <w:lang w:val="lt-LT"/>
        </w:rPr>
        <w:t>Priemonės priskyrimas viešajam sektoriui</w:t>
      </w:r>
      <w:bookmarkEnd w:id="300"/>
    </w:p>
    <w:p w14:paraId="4B1F2E51" w14:textId="77777777" w:rsidR="00CE5A01" w:rsidRPr="002142B8" w:rsidRDefault="00CE5A01" w:rsidP="00CE5A01">
      <w:pPr>
        <w:keepNext/>
        <w:jc w:val="both"/>
        <w:rPr>
          <w:rFonts w:ascii="Georgia" w:hAnsi="Georgia"/>
          <w:sz w:val="20"/>
          <w:szCs w:val="20"/>
          <w:lang w:val="lt-LT"/>
        </w:rPr>
      </w:pPr>
      <w:r w:rsidRPr="002142B8">
        <w:rPr>
          <w:rFonts w:ascii="Georgia" w:hAnsi="Georgia"/>
          <w:sz w:val="20"/>
          <w:szCs w:val="20"/>
          <w:lang w:val="lt-LT"/>
        </w:rPr>
        <w:t>Numatomos įgyvendinti priemonės priskyrimas viešajam sektoriui reiškia, kad priemonės įgyvendinimą kontroliuoja valstybės/savivaldybės institucija. Pabrėžtina, kad privataus juridinio asmens, kurį įsteigė valstybės ar ją atstovaujantys subjektai, teikiamas finansavimas taip pat yra priskirtinas viešajam sektoriui, jeigu tokį šio juridinio asmens elgesį valstybė kontroliuoja/nulemia. Pavyzdiniai požymiai, kuriais remiantis gali būti nustatyta, kad teikiamą finansavimą kontroliuoja viešasis sektorius yra:</w:t>
      </w:r>
    </w:p>
    <w:p w14:paraId="0640AF99" w14:textId="77777777" w:rsidR="00CE5A01" w:rsidRPr="002142B8" w:rsidRDefault="00CE5A01" w:rsidP="00162BF5">
      <w:pPr>
        <w:pStyle w:val="Sraopastraipa"/>
        <w:numPr>
          <w:ilvl w:val="0"/>
          <w:numId w:val="43"/>
        </w:numPr>
        <w:ind w:firstLine="0"/>
        <w:jc w:val="both"/>
        <w:rPr>
          <w:rFonts w:ascii="Georgia" w:hAnsi="Georgia"/>
          <w:sz w:val="28"/>
          <w:szCs w:val="28"/>
          <w:lang w:val="lt-LT"/>
        </w:rPr>
      </w:pPr>
      <w:r w:rsidRPr="002142B8">
        <w:rPr>
          <w:rFonts w:ascii="Georgia" w:hAnsi="Georgia"/>
          <w:sz w:val="20"/>
          <w:szCs w:val="20"/>
          <w:lang w:val="lt-LT"/>
        </w:rPr>
        <w:t>ūkio subjekto vykdoma veikla/teikiamos paslaugos yra analogiškos rinkoje teikiamoms paslaugoms, kai priemonę įgyvendina/finansavimą teikia viešasis plėtros bankas</w:t>
      </w:r>
      <w:r w:rsidRPr="002142B8">
        <w:rPr>
          <w:rStyle w:val="Puslapioinaosnuoroda"/>
          <w:rFonts w:ascii="Georgia" w:hAnsi="Georgia"/>
          <w:sz w:val="20"/>
          <w:szCs w:val="20"/>
          <w:lang w:val="lt-LT"/>
        </w:rPr>
        <w:footnoteReference w:id="145"/>
      </w:r>
      <w:r w:rsidRPr="002142B8">
        <w:rPr>
          <w:rFonts w:ascii="Georgia" w:hAnsi="Georgia"/>
          <w:sz w:val="20"/>
          <w:szCs w:val="20"/>
          <w:lang w:val="lt-LT"/>
        </w:rPr>
        <w:t>;</w:t>
      </w:r>
    </w:p>
    <w:p w14:paraId="7A9D2FB5" w14:textId="77777777" w:rsidR="00CE5A01" w:rsidRPr="002142B8" w:rsidRDefault="00CE5A01" w:rsidP="00162BF5">
      <w:pPr>
        <w:pStyle w:val="Sraopastraipa"/>
        <w:numPr>
          <w:ilvl w:val="0"/>
          <w:numId w:val="43"/>
        </w:numPr>
        <w:ind w:firstLine="0"/>
        <w:jc w:val="both"/>
        <w:rPr>
          <w:rFonts w:ascii="Georgia" w:hAnsi="Georgia"/>
          <w:sz w:val="28"/>
          <w:szCs w:val="28"/>
          <w:lang w:val="lt-LT"/>
        </w:rPr>
      </w:pPr>
      <w:r w:rsidRPr="002142B8">
        <w:rPr>
          <w:rFonts w:ascii="Georgia" w:hAnsi="Georgia"/>
          <w:sz w:val="20"/>
          <w:szCs w:val="20"/>
          <w:lang w:val="lt-LT"/>
        </w:rPr>
        <w:t>viešojo sektoriaus vykdomos jos įsteigtos įmonės valdymo priežiūros apimtis ar kiti požymiai, apibūdinantys viešojo sektoriaus dalyvavimą, plėtojant priemonę.</w:t>
      </w:r>
    </w:p>
    <w:p w14:paraId="7B3C3C9E"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Būtina pažymėti, kad priemonė nėra priskirtina valstybei, jeigu ji yra įgyvendinama dėl ES </w:t>
      </w:r>
      <w:r w:rsidRPr="002142B8">
        <w:rPr>
          <w:rFonts w:ascii="Georgia" w:hAnsi="Georgia"/>
          <w:i/>
          <w:sz w:val="20"/>
          <w:szCs w:val="20"/>
          <w:lang w:val="lt-LT"/>
        </w:rPr>
        <w:t>acquis communautaire</w:t>
      </w:r>
      <w:r w:rsidRPr="002142B8">
        <w:rPr>
          <w:rFonts w:ascii="Georgia" w:hAnsi="Georgia"/>
          <w:sz w:val="20"/>
          <w:szCs w:val="20"/>
          <w:lang w:val="lt-LT"/>
        </w:rPr>
        <w:t xml:space="preserve"> įsakmių reikalavimų, tai yra tokiu atveju priemonė yra priskirtina ES teisės aktų leidžiamajai valdžiai, o ne atskirai ES valstybei-narei</w:t>
      </w:r>
      <w:r w:rsidRPr="002142B8">
        <w:rPr>
          <w:rStyle w:val="Puslapioinaosnuoroda"/>
          <w:rFonts w:ascii="Georgia" w:hAnsi="Georgia"/>
          <w:sz w:val="20"/>
          <w:szCs w:val="20"/>
          <w:lang w:val="lt-LT"/>
        </w:rPr>
        <w:footnoteReference w:id="146"/>
      </w:r>
      <w:r w:rsidRPr="002142B8">
        <w:rPr>
          <w:rFonts w:ascii="Georgia" w:hAnsi="Georgia"/>
          <w:sz w:val="20"/>
          <w:szCs w:val="20"/>
          <w:lang w:val="lt-LT"/>
        </w:rPr>
        <w:t>. Ši taisyklė negali būti taikoma, kai ES teisė tik suteikia galimybę įgyvendinti tam tikras priemones, kurios gali būti laikomos valstybės pagalbos teisinio reglamentavimo objektu, tai yra tokiu atveju ES valstybė-narė turi galimybę pasirinkti elgesio modelį bei prisiimti atsakomybę dėl atliekamos intervencijos poveikio rinkai, arba kitaip tariant, dėl galimos valstybės pagalbos atsiradimo.</w:t>
      </w:r>
    </w:p>
    <w:p w14:paraId="50EE81FE" w14:textId="77777777" w:rsidR="00CE5A01" w:rsidRPr="002142B8" w:rsidRDefault="00CE5A01" w:rsidP="00CE5A01">
      <w:pPr>
        <w:jc w:val="both"/>
        <w:rPr>
          <w:rFonts w:ascii="Georgia" w:hAnsi="Georgia"/>
          <w:sz w:val="20"/>
          <w:szCs w:val="20"/>
          <w:lang w:val="lt-LT"/>
        </w:rPr>
      </w:pPr>
    </w:p>
    <w:p w14:paraId="68FDCC35" w14:textId="77777777" w:rsidR="00CE5A01" w:rsidRPr="002142B8" w:rsidRDefault="00CE5A01" w:rsidP="00CE5A01">
      <w:pPr>
        <w:pStyle w:val="Antrat2"/>
        <w:numPr>
          <w:ilvl w:val="2"/>
          <w:numId w:val="2"/>
        </w:numPr>
        <w:spacing w:after="240"/>
        <w:ind w:left="709"/>
        <w:rPr>
          <w:lang w:val="lt-LT"/>
        </w:rPr>
      </w:pPr>
      <w:bookmarkStart w:id="301" w:name="_Toc25589943"/>
      <w:r w:rsidRPr="002142B8">
        <w:rPr>
          <w:lang w:val="lt-LT"/>
        </w:rPr>
        <w:lastRenderedPageBreak/>
        <w:t>Ekonominio pranašumo suteikimas</w:t>
      </w:r>
      <w:bookmarkEnd w:id="301"/>
    </w:p>
    <w:p w14:paraId="6B8FEC6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Rinkoje veikiantis ūkio subjektas yra suprantamas kaip ekonominę veiklą vykdantis vienetas, nepriklausomai nuo jo įsisteigimo teisinės formos bei nepriklausomai nuo šio vieneto finansavimo būdo</w:t>
      </w:r>
      <w:r w:rsidRPr="002142B8">
        <w:rPr>
          <w:rStyle w:val="Puslapioinaosnuoroda"/>
          <w:rFonts w:ascii="Georgia" w:hAnsi="Georgia"/>
          <w:sz w:val="20"/>
          <w:szCs w:val="20"/>
          <w:lang w:val="lt-LT"/>
        </w:rPr>
        <w:footnoteReference w:id="147"/>
      </w:r>
      <w:r w:rsidRPr="002142B8">
        <w:rPr>
          <w:rFonts w:ascii="Georgia" w:hAnsi="Georgia"/>
          <w:sz w:val="20"/>
          <w:szCs w:val="20"/>
          <w:lang w:val="lt-LT"/>
        </w:rPr>
        <w:t>. Kitaip tariant, valstybės pagalbos taisyklių taikymo požiūriu nėra svarbu, ar juridinis vienetas yra įsteigtas kaip pelno nesiekiantis juridinis asmuo, ar kaip bet kurios formos viešasis juridinis asmuo.</w:t>
      </w:r>
    </w:p>
    <w:p w14:paraId="0B6D6C36"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Ypatingai aktualu, kad vienetai, vykdantys ir ekonominę veiklą, ir neekonominę veiklą (pvz., viešąjį administravimą) patenka į valstybės pagalbos taisyklių reguliavimo sritį tik ta apimtimi, kuri yra susijusi su ekonominės veiklos vykdymu. Pabrėžtina, kad viešosios infrastruktūros ar jos dalies panaudojimas komercinei veiklai taip pat yra laikytinas ekonomine veikla. Be to, du ar daugiau ūkio subjektų gali būti laikomi vienu vienetu pagal valstybės pagalbos taisykles, jeigu šie ūkio subjektai yra tarpusavyje susiję (vienas ūkio subjektas vykdo kontrolės, valdymo ar kitas funkcijas, susijusias su kitu subjektu)</w:t>
      </w:r>
      <w:r w:rsidRPr="002142B8">
        <w:rPr>
          <w:rStyle w:val="Puslapioinaosnuoroda"/>
          <w:rFonts w:ascii="Georgia" w:hAnsi="Georgia"/>
          <w:sz w:val="20"/>
          <w:szCs w:val="20"/>
          <w:lang w:val="lt-LT"/>
        </w:rPr>
        <w:footnoteReference w:id="148"/>
      </w:r>
      <w:r w:rsidRPr="002142B8">
        <w:rPr>
          <w:rFonts w:ascii="Georgia" w:hAnsi="Georgia"/>
          <w:sz w:val="20"/>
          <w:szCs w:val="20"/>
          <w:lang w:val="lt-LT"/>
        </w:rPr>
        <w:t xml:space="preserve">. Taip pat ekonomine veikla yra laikoma bet kokia veikla, tiekiant prekes ar teikiant paslaugas rinkoje. </w:t>
      </w:r>
    </w:p>
    <w:p w14:paraId="7FDD1507"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Konkrečioje valstybėje-narėje taikomas ekonominės ir neekonominės veiklos (pvz., atskirų oro erdvės kontrolės viešųjų funkcijų vykdymas</w:t>
      </w:r>
      <w:r w:rsidRPr="002142B8">
        <w:rPr>
          <w:rStyle w:val="Puslapioinaosnuoroda"/>
          <w:rFonts w:ascii="Georgia" w:hAnsi="Georgia"/>
          <w:sz w:val="20"/>
          <w:szCs w:val="20"/>
          <w:lang w:val="lt-LT"/>
        </w:rPr>
        <w:footnoteReference w:id="149"/>
      </w:r>
      <w:r w:rsidRPr="002142B8">
        <w:rPr>
          <w:rFonts w:ascii="Georgia" w:hAnsi="Georgia"/>
          <w:sz w:val="20"/>
          <w:szCs w:val="20"/>
          <w:lang w:val="lt-LT"/>
        </w:rPr>
        <w:t>) atskyrimas gali priklausyti nuo ekonominio išsivystymo lygio ir politinių sprendimų dėl ekonomikos reguliavimo, todėl išsamus ir baigtinis ekonominės veiklos rūšių sąrašas negali būti sudarytas.</w:t>
      </w:r>
    </w:p>
    <w:p w14:paraId="5F7C9D56"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Finansinių priemonių įgyvendinimo kontekste pažymėtina, kad:</w:t>
      </w:r>
    </w:p>
    <w:p w14:paraId="4AACC661" w14:textId="77777777" w:rsidR="00CE5A01" w:rsidRPr="002142B8" w:rsidRDefault="00CE5A01" w:rsidP="00162BF5">
      <w:pPr>
        <w:pStyle w:val="Sraopastraipa"/>
        <w:numPr>
          <w:ilvl w:val="0"/>
          <w:numId w:val="55"/>
        </w:numPr>
        <w:ind w:left="709"/>
        <w:jc w:val="both"/>
        <w:rPr>
          <w:rFonts w:ascii="Georgia" w:hAnsi="Georgia"/>
          <w:sz w:val="20"/>
          <w:szCs w:val="20"/>
          <w:lang w:val="lt-LT"/>
        </w:rPr>
      </w:pPr>
      <w:r w:rsidRPr="002142B8">
        <w:rPr>
          <w:rFonts w:ascii="Georgia" w:hAnsi="Georgia"/>
          <w:sz w:val="20"/>
          <w:szCs w:val="20"/>
          <w:lang w:val="lt-LT"/>
        </w:rPr>
        <w:t>fiziniai asmenys (gyventojai), kurie nevykdo jokios ekonominės veiklos, kaip ji yra suprantama ES Teisingumo Teismo praktikoje, tai yra gyventojai, kurie neteikia prekių ar paslaugų už atlygį, nėra laikomi ekonomine veikla vykdančiais ūkio subjektais, todėl jų atžvilgiu negali būti taikomi valstybės pagalbos taisyklių reikalavimai, kadangi nėra vieno iš valstybės pagalbos pripažinimui būtino elemento;</w:t>
      </w:r>
    </w:p>
    <w:p w14:paraId="614364C8" w14:textId="77777777" w:rsidR="00CE5A01" w:rsidRPr="002142B8" w:rsidRDefault="00CE5A01" w:rsidP="00162BF5">
      <w:pPr>
        <w:pStyle w:val="Sraopastraipa"/>
        <w:numPr>
          <w:ilvl w:val="0"/>
          <w:numId w:val="55"/>
        </w:numPr>
        <w:ind w:left="709"/>
        <w:jc w:val="both"/>
        <w:rPr>
          <w:rFonts w:ascii="Georgia" w:hAnsi="Georgia"/>
          <w:sz w:val="20"/>
          <w:szCs w:val="20"/>
          <w:lang w:val="lt-LT"/>
        </w:rPr>
      </w:pPr>
      <w:r w:rsidRPr="002142B8">
        <w:rPr>
          <w:rFonts w:ascii="Georgia" w:hAnsi="Georgia"/>
          <w:sz w:val="20"/>
          <w:szCs w:val="20"/>
          <w:lang w:val="lt-LT"/>
        </w:rPr>
        <w:t>fizinių asmenų (gyventojų), kurie vykdo ekonominę veiklą, atžvilgiu turi būti taikomi valstybės pagalbos teikimo taisyklių reikalavimai, jeigu yra nustatyti visi kiti valstybės pagalbos požymiai;</w:t>
      </w:r>
    </w:p>
    <w:p w14:paraId="717E3BEC" w14:textId="77777777" w:rsidR="00CE5A01" w:rsidRPr="002142B8" w:rsidRDefault="00CE5A01" w:rsidP="00162BF5">
      <w:pPr>
        <w:pStyle w:val="Sraopastraipa"/>
        <w:numPr>
          <w:ilvl w:val="0"/>
          <w:numId w:val="55"/>
        </w:numPr>
        <w:ind w:left="709"/>
        <w:jc w:val="both"/>
        <w:rPr>
          <w:rFonts w:ascii="Georgia" w:hAnsi="Georgia"/>
          <w:sz w:val="20"/>
          <w:szCs w:val="20"/>
          <w:lang w:val="lt-LT"/>
        </w:rPr>
      </w:pPr>
      <w:r w:rsidRPr="002142B8">
        <w:rPr>
          <w:rFonts w:ascii="Georgia" w:hAnsi="Georgia"/>
          <w:sz w:val="20"/>
          <w:szCs w:val="20"/>
          <w:lang w:val="lt-LT"/>
        </w:rPr>
        <w:t>nustatant, ar juridiniai asmenys, dalyvaujantys finansinės priemonės struktūroje, nepriklausomai nuo to, koks yra jų vaidmuo (vykdytojas, valdytojas, naudos gavėjas, kt.), yra laikytini ekonominę veiklą vykdančiais ūkio subjektais, turi būti vertinamas tik jų vykdomos veiklos pobūdis (ar yra teikiamos prekės/paslaugos rinkoje už atlygį), tačiau neturi būti vertinamas juridinio asmens statusas ar teisinė forma;</w:t>
      </w:r>
    </w:p>
    <w:p w14:paraId="12CDC2D3" w14:textId="77777777" w:rsidR="00CE5A01" w:rsidRPr="002142B8" w:rsidRDefault="00CE5A01" w:rsidP="00162BF5">
      <w:pPr>
        <w:pStyle w:val="Sraopastraipa"/>
        <w:numPr>
          <w:ilvl w:val="0"/>
          <w:numId w:val="55"/>
        </w:numPr>
        <w:ind w:left="709"/>
        <w:jc w:val="both"/>
        <w:rPr>
          <w:rFonts w:ascii="Georgia" w:hAnsi="Georgia"/>
          <w:sz w:val="20"/>
          <w:szCs w:val="20"/>
          <w:lang w:val="lt-LT"/>
        </w:rPr>
      </w:pPr>
      <w:r w:rsidRPr="002142B8">
        <w:rPr>
          <w:rFonts w:ascii="Georgia" w:hAnsi="Georgia"/>
          <w:sz w:val="20"/>
          <w:szCs w:val="20"/>
          <w:lang w:val="lt-LT"/>
        </w:rPr>
        <w:t>finansinės priemonės teikiama nauda gali pasireikšti netiesiogiai, tai yra ne tiems subjektams, kuriems yra skiriami viešieji finansiniai ištekliai</w:t>
      </w:r>
      <w:r w:rsidRPr="00F91954">
        <w:rPr>
          <w:rFonts w:ascii="Georgia" w:hAnsi="Georgia"/>
          <w:vertAlign w:val="superscript"/>
          <w:lang w:val="lt-LT"/>
        </w:rPr>
        <w:footnoteReference w:id="150"/>
      </w:r>
      <w:r w:rsidRPr="00F91954">
        <w:rPr>
          <w:rFonts w:ascii="Georgia" w:hAnsi="Georgia"/>
          <w:sz w:val="20"/>
          <w:szCs w:val="20"/>
          <w:vertAlign w:val="superscript"/>
          <w:lang w:val="lt-LT"/>
        </w:rPr>
        <w:t>,</w:t>
      </w:r>
      <w:r w:rsidRPr="002142B8">
        <w:rPr>
          <w:rFonts w:ascii="Georgia" w:hAnsi="Georgia"/>
          <w:sz w:val="20"/>
          <w:szCs w:val="20"/>
          <w:lang w:val="lt-LT"/>
        </w:rPr>
        <w:t xml:space="preserve"> o tiems kurie veikia kitame paslaugų teikimo lygmenyje. Tai ypač aktualu tais atvejais, kai numatomos įgyvendinti priemonės valdytojas yra tik tarpininkas, kuris perduoda finansinės priemonės sukuriamą naudą kitiems gavėjams, tačiau pats sau nepasilieka jokios finansinės priemonės teikiamos naudos.</w:t>
      </w:r>
    </w:p>
    <w:p w14:paraId="7AB7D651" w14:textId="77777777" w:rsidR="00CE5A01" w:rsidRPr="002142B8" w:rsidRDefault="00CE5A01" w:rsidP="00CE5A01">
      <w:pPr>
        <w:ind w:left="349"/>
        <w:jc w:val="both"/>
        <w:rPr>
          <w:rFonts w:ascii="Georgia" w:hAnsi="Georgia"/>
          <w:sz w:val="20"/>
          <w:szCs w:val="20"/>
          <w:lang w:val="lt-LT"/>
        </w:rPr>
      </w:pPr>
    </w:p>
    <w:p w14:paraId="79A5CE12" w14:textId="77777777" w:rsidR="00CE5A01" w:rsidRPr="002142B8" w:rsidRDefault="00CE5A01" w:rsidP="00CE5A01">
      <w:pPr>
        <w:pStyle w:val="Antrat2"/>
        <w:numPr>
          <w:ilvl w:val="2"/>
          <w:numId w:val="2"/>
        </w:numPr>
        <w:spacing w:after="240"/>
        <w:ind w:left="709"/>
        <w:rPr>
          <w:lang w:val="lt-LT"/>
        </w:rPr>
      </w:pPr>
      <w:bookmarkStart w:id="302" w:name="_Toc25589944"/>
      <w:r w:rsidRPr="002142B8">
        <w:rPr>
          <w:lang w:val="lt-LT"/>
        </w:rPr>
        <w:lastRenderedPageBreak/>
        <w:t>Priemonės selektyvumas</w:t>
      </w:r>
      <w:bookmarkEnd w:id="302"/>
    </w:p>
    <w:p w14:paraId="68DF7110"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Siekiant pripažinti tam tikrą priemonę selektyvia, nauda turi atsirasti tik tam tikroms įmonėms, įmonių kategorijoms arba ekonominiams sektoriams. Kitaip tariant, priemonė yra selektyvi, jeigu ne visi ūkio subjektai gali pasinaudoti jos teikiama nauda. Šis vertinimas remiasi ne priemonės aprašymu ar struktūra, bet faktiniu poveikiu rinkai, kuris atsiranda įgyvendinant priemonę, tai yra net tuo atveju, kai priemone teisiniu požiūriu gali pasinaudoti bet kuris ūkio subjektas, priemonė gali būti pripažinta selektyvia dėl faktinių jos įgyvendinimo aplinkybių</w:t>
      </w:r>
      <w:r w:rsidRPr="002142B8">
        <w:rPr>
          <w:rStyle w:val="Puslapioinaosnuoroda"/>
          <w:rFonts w:ascii="Georgia" w:hAnsi="Georgia"/>
          <w:sz w:val="20"/>
          <w:szCs w:val="20"/>
          <w:lang w:val="lt-LT"/>
        </w:rPr>
        <w:footnoteReference w:id="151"/>
      </w:r>
      <w:r w:rsidRPr="002142B8">
        <w:rPr>
          <w:rFonts w:ascii="Georgia" w:hAnsi="Georgia"/>
          <w:sz w:val="20"/>
          <w:szCs w:val="20"/>
          <w:lang w:val="lt-LT"/>
        </w:rPr>
        <w:t>.</w:t>
      </w:r>
    </w:p>
    <w:p w14:paraId="5F015BA3"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Selektyvumas gali pasireikšti priemonės turiniu (pvz., mokestinės lengvatos taikymas tik investicijoms, kurios viršija tam tikrą finansinę apimtį), taip pat priemonės taikymo administracine tvarka (pvz., kai priemonės vykdytojas/valdytojas turi galimybę įtakoti priemonės įgyvendinimą/pasirinkti naudos gavėjus</w:t>
      </w:r>
      <w:r w:rsidRPr="002142B8">
        <w:rPr>
          <w:rStyle w:val="Puslapioinaosnuoroda"/>
          <w:rFonts w:ascii="Georgia" w:hAnsi="Georgia"/>
          <w:sz w:val="20"/>
          <w:szCs w:val="20"/>
          <w:lang w:val="lt-LT"/>
        </w:rPr>
        <w:footnoteReference w:id="152"/>
      </w:r>
      <w:r w:rsidRPr="002142B8">
        <w:rPr>
          <w:rFonts w:ascii="Georgia" w:hAnsi="Georgia"/>
          <w:sz w:val="20"/>
          <w:szCs w:val="20"/>
          <w:lang w:val="lt-LT"/>
        </w:rPr>
        <w:t>).</w:t>
      </w:r>
    </w:p>
    <w:p w14:paraId="52255A7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Sudėtingu atveju (kai iš anksto nėra akivaizdus priemonės selektyvus pobūdis), selektyvumas yra nustatomas trimis etapais:</w:t>
      </w:r>
    </w:p>
    <w:p w14:paraId="7E0CC120"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apibūdinamas atskaitos taškas, tai yra nustatoma rinkos situacija bei identifikuojami rinkoje veikiantys ūkio subjektai;</w:t>
      </w:r>
    </w:p>
    <w:p w14:paraId="4A59DB6A"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nustatoma, ar priemonės praktinis taikymas gali paveikti / nulemti skirtingų rinkos veikėjų situaciją nevienoda apimtimi. Nesant tokios galimybės, priemonė negali būti pripažinta selektyvia;</w:t>
      </w:r>
    </w:p>
    <w:p w14:paraId="744355D5"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įvertinama, ar priemonės įgyvendinimas ir jos sąlygojamas poveikis gali būti pateisintas veikiančios schemos sistema ir prigimtimi</w:t>
      </w:r>
      <w:r w:rsidRPr="00F91954">
        <w:rPr>
          <w:rFonts w:ascii="Georgia" w:hAnsi="Georgia"/>
          <w:vertAlign w:val="superscript"/>
          <w:lang w:val="lt-LT"/>
        </w:rPr>
        <w:footnoteReference w:id="153"/>
      </w:r>
      <w:r w:rsidRPr="00F91954">
        <w:rPr>
          <w:rFonts w:ascii="Georgia" w:hAnsi="Georgia"/>
          <w:vertAlign w:val="superscript"/>
          <w:lang w:val="lt-LT"/>
        </w:rPr>
        <w:t>.</w:t>
      </w:r>
    </w:p>
    <w:p w14:paraId="5640D4E6" w14:textId="77777777" w:rsidR="00CE5A01" w:rsidRPr="002142B8" w:rsidRDefault="00CE5A01" w:rsidP="00CE5A01">
      <w:pPr>
        <w:widowControl w:val="0"/>
        <w:spacing w:after="0"/>
        <w:jc w:val="both"/>
        <w:rPr>
          <w:rFonts w:ascii="Georgia" w:hAnsi="Georgia"/>
          <w:sz w:val="20"/>
          <w:szCs w:val="20"/>
          <w:lang w:val="lt-LT"/>
        </w:rPr>
      </w:pPr>
    </w:p>
    <w:p w14:paraId="10345399" w14:textId="77777777" w:rsidR="00CE5A01" w:rsidRPr="002142B8" w:rsidRDefault="00CE5A01" w:rsidP="00CE5A01">
      <w:pPr>
        <w:pStyle w:val="Antrat2"/>
        <w:numPr>
          <w:ilvl w:val="2"/>
          <w:numId w:val="2"/>
        </w:numPr>
        <w:spacing w:after="240"/>
        <w:ind w:left="709"/>
        <w:rPr>
          <w:lang w:val="lt-LT"/>
        </w:rPr>
      </w:pPr>
      <w:bookmarkStart w:id="303" w:name="_Toc25589945"/>
      <w:r w:rsidRPr="002142B8">
        <w:rPr>
          <w:lang w:val="lt-LT"/>
        </w:rPr>
        <w:t>Priemonės poveikis konkurencijai ir (ar) prekybai</w:t>
      </w:r>
      <w:bookmarkEnd w:id="303"/>
    </w:p>
    <w:p w14:paraId="4277D878"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Valstybės finansuojamų ir valdomų selektyvių ūkio subjektams skirtų priemonių įgyvendinimas pagal valstybės pagalbos taisykles yra draudžiamas tik tuo atveju, kai tokie veiksmai paveikia ar gali paveikti konkurenciją bei gali turėti įtakos ES valstybių-narių tarpusavio prekybai.</w:t>
      </w:r>
    </w:p>
    <w:p w14:paraId="0AB83CCD"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Potencialus poveikis konkurencijai yra pripažįstamas tada, kaip priemonės įgyvendinimu yra pagerinama ūkio subjekto (priemonės naudos gavėjo) konkurencinė padėtis rinkoje, lyginant su šio ūkio subjekto konkurentais. Kitaip tariant, praktiniu požiūriu, potencialus poveikis konkurencijai yra pripažįstamas tuo momentu, kai ūkio subjektas gauna finansinį pranašumą iš viešojo sektoriaus, su sąlyga, kad ūkio subjektas veikia rinkoje, kurioje gali vykti konkurencija (gali veiki kiti ūkio subjektai), nepriklausomai nuo to, ar taip iš tikrųjų yra.</w:t>
      </w:r>
    </w:p>
    <w:p w14:paraId="590149B5" w14:textId="33F1363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Valstybės pagalbos sampratos požiūriu nėra svarbu, ar poveikis konkurencijai gali būti didelis (ženklus), ar mažareikšmis. Kitaip tariant, mažas poveikis nepanaikina rinkos iškraipymo, išskyrus tuos atvejus, kai tokia prielaida būtų visiškai hipotetinė</w:t>
      </w:r>
      <w:r w:rsidRPr="002142B8">
        <w:rPr>
          <w:rStyle w:val="Puslapioinaosnuoroda"/>
          <w:rFonts w:ascii="Georgia" w:hAnsi="Georgia"/>
          <w:sz w:val="20"/>
          <w:szCs w:val="20"/>
          <w:lang w:val="lt-LT"/>
        </w:rPr>
        <w:footnoteReference w:id="154"/>
      </w:r>
      <w:r w:rsidRPr="002142B8">
        <w:rPr>
          <w:rFonts w:ascii="Georgia" w:hAnsi="Georgia"/>
          <w:sz w:val="20"/>
          <w:szCs w:val="20"/>
          <w:lang w:val="lt-LT"/>
        </w:rPr>
        <w:t xml:space="preserve"> arba poveikis neviršytų pačios Europos Komisijos nustatytų </w:t>
      </w:r>
      <w:r w:rsidRPr="002142B8">
        <w:rPr>
          <w:rFonts w:ascii="Georgia" w:hAnsi="Georgia"/>
          <w:i/>
          <w:sz w:val="20"/>
          <w:szCs w:val="20"/>
          <w:lang w:val="lt-LT"/>
        </w:rPr>
        <w:t>de minimis</w:t>
      </w:r>
      <w:r w:rsidRPr="002142B8">
        <w:rPr>
          <w:rFonts w:ascii="Georgia" w:hAnsi="Georgia"/>
          <w:sz w:val="20"/>
          <w:szCs w:val="20"/>
          <w:lang w:val="lt-LT"/>
        </w:rPr>
        <w:t xml:space="preserve"> ribų. Aktualu, kad Bendrųjų nuostatų reglamento požiūriu, valstybės pagalbos sąvoka apima</w:t>
      </w:r>
      <w:r w:rsidRPr="002142B8">
        <w:rPr>
          <w:rFonts w:ascii="Georgia" w:hAnsi="Georgia"/>
          <w:i/>
          <w:sz w:val="20"/>
          <w:szCs w:val="20"/>
          <w:lang w:val="lt-LT"/>
        </w:rPr>
        <w:t xml:space="preserve"> </w:t>
      </w:r>
      <w:r w:rsidRPr="002142B8">
        <w:rPr>
          <w:rFonts w:ascii="Georgia" w:hAnsi="Georgia"/>
          <w:sz w:val="20"/>
          <w:szCs w:val="20"/>
          <w:lang w:val="lt-LT"/>
        </w:rPr>
        <w:t xml:space="preserve">pagal </w:t>
      </w:r>
      <w:r w:rsidRPr="002142B8">
        <w:rPr>
          <w:rFonts w:ascii="Georgia" w:hAnsi="Georgia"/>
          <w:i/>
          <w:sz w:val="20"/>
          <w:szCs w:val="20"/>
          <w:lang w:val="lt-LT"/>
        </w:rPr>
        <w:t>de minimis</w:t>
      </w:r>
      <w:r w:rsidRPr="002142B8">
        <w:rPr>
          <w:rFonts w:ascii="Georgia" w:hAnsi="Georgia"/>
          <w:sz w:val="20"/>
          <w:szCs w:val="20"/>
          <w:lang w:val="lt-LT"/>
        </w:rPr>
        <w:t xml:space="preserve"> taisykles</w:t>
      </w:r>
      <w:r w:rsidR="006622A8">
        <w:rPr>
          <w:rFonts w:ascii="Georgia" w:hAnsi="Georgia"/>
          <w:sz w:val="20"/>
          <w:szCs w:val="20"/>
          <w:lang w:val="lt-LT"/>
        </w:rPr>
        <w:t xml:space="preserve"> arba pagal Bendrosios išimties reglamentą</w:t>
      </w:r>
      <w:r w:rsidRPr="002142B8">
        <w:rPr>
          <w:rFonts w:ascii="Georgia" w:hAnsi="Georgia"/>
          <w:sz w:val="20"/>
          <w:szCs w:val="20"/>
          <w:lang w:val="lt-LT"/>
        </w:rPr>
        <w:t xml:space="preserve"> teikiamą finansavimą</w:t>
      </w:r>
      <w:r w:rsidRPr="002142B8">
        <w:rPr>
          <w:rStyle w:val="Puslapioinaosnuoroda"/>
          <w:rFonts w:ascii="Georgia" w:hAnsi="Georgia"/>
          <w:sz w:val="20"/>
          <w:szCs w:val="20"/>
          <w:lang w:val="lt-LT"/>
        </w:rPr>
        <w:footnoteReference w:id="155"/>
      </w:r>
      <w:r w:rsidRPr="002142B8">
        <w:rPr>
          <w:rFonts w:ascii="Georgia" w:hAnsi="Georgia"/>
          <w:sz w:val="20"/>
          <w:szCs w:val="20"/>
          <w:lang w:val="lt-LT"/>
        </w:rPr>
        <w:t xml:space="preserve">. </w:t>
      </w:r>
    </w:p>
    <w:p w14:paraId="2175784D" w14:textId="77777777" w:rsidR="00CE5A01" w:rsidRPr="002142B8" w:rsidRDefault="00CE5A01" w:rsidP="00CE5A01">
      <w:pPr>
        <w:jc w:val="both"/>
        <w:rPr>
          <w:rFonts w:ascii="Georgia" w:hAnsi="Georgia"/>
          <w:sz w:val="20"/>
          <w:szCs w:val="20"/>
          <w:lang w:val="lt-LT"/>
        </w:rPr>
      </w:pPr>
    </w:p>
    <w:p w14:paraId="3294E9C1" w14:textId="77777777" w:rsidR="00CE5A01" w:rsidRPr="002142B8" w:rsidRDefault="00CE5A01" w:rsidP="00CE5A01">
      <w:pPr>
        <w:pStyle w:val="Antrat2"/>
        <w:numPr>
          <w:ilvl w:val="1"/>
          <w:numId w:val="2"/>
        </w:numPr>
        <w:spacing w:after="240"/>
        <w:ind w:left="709"/>
        <w:rPr>
          <w:lang w:val="lt-LT"/>
        </w:rPr>
      </w:pPr>
      <w:bookmarkStart w:id="304" w:name="_Toc25589946"/>
      <w:r w:rsidRPr="002142B8">
        <w:rPr>
          <w:lang w:val="lt-LT"/>
        </w:rPr>
        <w:t>Numatomų vykdyti finansinių priemonių apribojimai, susiję su valstybės pagalbos taisyklių reikalavimais</w:t>
      </w:r>
      <w:bookmarkEnd w:id="304"/>
    </w:p>
    <w:p w14:paraId="15D86B68"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Planuojant finansinių priemonių įgyvendinimą, būtina akcentuoti, kad ES valstybė-narė turi teisę pasirinkti konkrečią priemonės struktūrą bei jos įgyvendinimo mechanizmą taip, kad numatoma finansinė priemonė būtų įgyvendinama kaip priemonė:</w:t>
      </w:r>
    </w:p>
    <w:p w14:paraId="2A9D238A"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kuriai nėra taikomos valstybės pagalbos taisyklės;</w:t>
      </w:r>
    </w:p>
    <w:p w14:paraId="696925CB"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kuriai yra taikomos de minimis taisyklės;</w:t>
      </w:r>
    </w:p>
    <w:p w14:paraId="01DBD396" w14:textId="02EEC4A5"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 xml:space="preserve">kuriai yra taikomos </w:t>
      </w:r>
      <w:r w:rsidR="002A53E7">
        <w:rPr>
          <w:rFonts w:ascii="Georgia" w:hAnsi="Georgia"/>
          <w:sz w:val="20"/>
          <w:szCs w:val="20"/>
          <w:lang w:val="lt-LT"/>
        </w:rPr>
        <w:t>B</w:t>
      </w:r>
      <w:r w:rsidRPr="002142B8">
        <w:rPr>
          <w:rFonts w:ascii="Georgia" w:hAnsi="Georgia"/>
          <w:sz w:val="20"/>
          <w:szCs w:val="20"/>
          <w:lang w:val="lt-LT"/>
        </w:rPr>
        <w:t>endrosios išimties reglament</w:t>
      </w:r>
      <w:r w:rsidR="006622A8">
        <w:rPr>
          <w:rFonts w:ascii="Georgia" w:hAnsi="Georgia"/>
          <w:sz w:val="20"/>
          <w:szCs w:val="20"/>
          <w:lang w:val="lt-LT"/>
        </w:rPr>
        <w:t>o</w:t>
      </w:r>
      <w:r w:rsidRPr="002142B8">
        <w:rPr>
          <w:rFonts w:ascii="Georgia" w:hAnsi="Georgia"/>
          <w:sz w:val="20"/>
          <w:szCs w:val="20"/>
          <w:lang w:val="lt-LT"/>
        </w:rPr>
        <w:t xml:space="preserve"> taisyklės;</w:t>
      </w:r>
    </w:p>
    <w:p w14:paraId="6950D81D"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kuri naudoja Europos Komisijos patvirtintas standartines finansinių priemonių sąlygas (off-the-shelf instruments).</w:t>
      </w:r>
    </w:p>
    <w:p w14:paraId="5D7FBA56" w14:textId="77777777" w:rsidR="00CE5A01" w:rsidRPr="002142B8" w:rsidRDefault="00CE5A01" w:rsidP="00162BF5">
      <w:pPr>
        <w:widowControl w:val="0"/>
        <w:numPr>
          <w:ilvl w:val="0"/>
          <w:numId w:val="50"/>
        </w:numPr>
        <w:spacing w:after="0"/>
        <w:jc w:val="both"/>
        <w:rPr>
          <w:rFonts w:ascii="Georgia" w:hAnsi="Georgia"/>
          <w:sz w:val="20"/>
          <w:szCs w:val="20"/>
          <w:lang w:val="lt-LT"/>
        </w:rPr>
      </w:pPr>
      <w:r w:rsidRPr="002142B8">
        <w:rPr>
          <w:rFonts w:ascii="Georgia" w:hAnsi="Georgia"/>
          <w:sz w:val="20"/>
          <w:szCs w:val="20"/>
          <w:lang w:val="lt-LT"/>
        </w:rPr>
        <w:t>pagal kurią yra teikiama valstybės pagalba pagal iš anksto suderintą su Europos Komisiją schemą.</w:t>
      </w:r>
    </w:p>
    <w:p w14:paraId="081C5202" w14:textId="77777777" w:rsidR="00CE5A01" w:rsidRPr="002142B8" w:rsidRDefault="00CE5A01" w:rsidP="00CE5A01">
      <w:pPr>
        <w:widowControl w:val="0"/>
        <w:spacing w:after="0"/>
        <w:ind w:left="720"/>
        <w:jc w:val="both"/>
        <w:rPr>
          <w:rFonts w:ascii="Georgia" w:hAnsi="Georgia"/>
          <w:sz w:val="20"/>
          <w:szCs w:val="20"/>
          <w:lang w:val="lt-LT"/>
        </w:rPr>
      </w:pPr>
    </w:p>
    <w:p w14:paraId="4182C542" w14:textId="16B6334B"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Pažymėtina, kad, valstybės pagalbos teisėtumui užtikrinti tiek Bendrosios išimties reglamentas, tiek Bendrųjų nuostatų reglamentas nustato tam tikras sąlygas, kurių reikia laikytis, jei parama yra teikiama ūkinę veiklą vykdantiems subjektams. Bendrosios išimties reglamento 39 straipsnis tiesiogiai kalba apie pagalbą energijos vartojimo efektyvumo fondui arba finansų tarpininkui, kurie visą naudą perduoda galutiniams pagalbos gavėjams, ar tai būtų savininkai, ar nuomininkai. Tačiau kiekvienu atveju teikiant paramą turi būti įvertinama, ar parama teikiama ūkio subjektui ir</w:t>
      </w:r>
      <w:r w:rsidR="00FF4ADC">
        <w:rPr>
          <w:rFonts w:ascii="Georgia" w:hAnsi="Georgia"/>
          <w:sz w:val="20"/>
          <w:szCs w:val="20"/>
          <w:lang w:val="lt-LT"/>
        </w:rPr>
        <w:t>,</w:t>
      </w:r>
      <w:r w:rsidRPr="002142B8">
        <w:rPr>
          <w:rFonts w:ascii="Georgia" w:hAnsi="Georgia"/>
          <w:sz w:val="20"/>
          <w:szCs w:val="20"/>
          <w:lang w:val="lt-LT"/>
        </w:rPr>
        <w:t xml:space="preserve"> ar ji atitinka de minimis valstybės pagalbos arba Bendrosios išimties reglamento sąlygas. Valstybė gali teikti pagalbą ir ne pagal Bendrosios išimties reglamento sąlygas, jei apie tokią pagalbą atskirai praneša Europos Komisijai ir gauna jos sprendimą, kad tokia pagalba yra suderinama su valstybės pagalbos taisyklėmis.  </w:t>
      </w:r>
    </w:p>
    <w:p w14:paraId="50D6471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Bendrosios išimties reglamento 39 straipsnis, nustatantis investicinės pagalbos pastatų energijos vartojimo efektyvumo projektams sąlygas, numato, kad energijos vartojimo efektyvumui didinti turi būti pritrauktos privačios lėšos, kurios turi sudaryti nemažiau kaip 30 proc. viso energijos vartojimo efektyvumo projektui skiriamo finansavimo. Tai reiškia, kad valstybės parama kiekvienam energijos vartojimo efektyvumo projektui gali sudaryti ne daugiau kaip 70 proc. bendrų projekto išlaidų ir negali viršyti 10 mln. eurų</w:t>
      </w:r>
      <w:r w:rsidRPr="002142B8">
        <w:rPr>
          <w:rStyle w:val="Puslapioinaosnuoroda"/>
          <w:rFonts w:ascii="Georgia" w:hAnsi="Georgia"/>
          <w:sz w:val="20"/>
          <w:szCs w:val="20"/>
          <w:lang w:val="lt-LT"/>
        </w:rPr>
        <w:footnoteReference w:id="156"/>
      </w:r>
      <w:r w:rsidRPr="002142B8">
        <w:rPr>
          <w:rFonts w:ascii="Georgia" w:hAnsi="Georgia"/>
          <w:sz w:val="20"/>
          <w:szCs w:val="20"/>
          <w:lang w:val="lt-LT"/>
        </w:rPr>
        <w:t>. Bendrosios išimties reglamentas neriboja valstybių-narių teisės derinti keletą skirtingų valstybės pagalbos priemonių, pavyzdžiui, subsidijas ir lengvatines paskolas. Tačiau jeigu yra taikomos kelios priemonės, bendra šiomis priemonėmis energijos efektyvumo projektui skiriama valstybės pagalba negali viršyti nustatytos 70 proc. bendrų projekto išlaidų ir 10 mln. eurų</w:t>
      </w:r>
      <w:r w:rsidRPr="002142B8">
        <w:rPr>
          <w:rStyle w:val="Puslapioinaosnuoroda"/>
          <w:rFonts w:ascii="Georgia" w:hAnsi="Georgia"/>
          <w:sz w:val="20"/>
          <w:szCs w:val="20"/>
          <w:lang w:val="lt-LT"/>
        </w:rPr>
        <w:footnoteReference w:id="157"/>
      </w:r>
      <w:r w:rsidRPr="002142B8">
        <w:rPr>
          <w:rFonts w:ascii="Georgia" w:hAnsi="Georgia"/>
          <w:sz w:val="20"/>
          <w:szCs w:val="20"/>
          <w:lang w:val="lt-LT"/>
        </w:rPr>
        <w:t xml:space="preserve"> sumos. </w:t>
      </w:r>
    </w:p>
    <w:p w14:paraId="477266EB" w14:textId="76AB5F22"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Pagal bendrą taisyklę  dvigub</w:t>
      </w:r>
      <w:r w:rsidR="0063653E">
        <w:rPr>
          <w:rFonts w:ascii="Georgia" w:hAnsi="Georgia"/>
          <w:sz w:val="20"/>
          <w:szCs w:val="20"/>
          <w:lang w:val="lt-LT"/>
        </w:rPr>
        <w:t>as</w:t>
      </w:r>
      <w:r w:rsidRPr="002142B8">
        <w:rPr>
          <w:rFonts w:ascii="Georgia" w:hAnsi="Georgia"/>
          <w:sz w:val="20"/>
          <w:szCs w:val="20"/>
          <w:lang w:val="lt-LT"/>
        </w:rPr>
        <w:t xml:space="preserve"> finansavim</w:t>
      </w:r>
      <w:r w:rsidR="0063653E">
        <w:rPr>
          <w:rFonts w:ascii="Georgia" w:hAnsi="Georgia"/>
          <w:sz w:val="20"/>
          <w:szCs w:val="20"/>
          <w:lang w:val="lt-LT"/>
        </w:rPr>
        <w:t>as draudžiamas</w:t>
      </w:r>
      <w:r w:rsidRPr="002142B8">
        <w:rPr>
          <w:rFonts w:ascii="Georgia" w:hAnsi="Georgia"/>
          <w:sz w:val="20"/>
          <w:szCs w:val="20"/>
          <w:lang w:val="lt-LT"/>
        </w:rPr>
        <w:t xml:space="preserve">, </w:t>
      </w:r>
      <w:r w:rsidR="00555882">
        <w:rPr>
          <w:rFonts w:ascii="Georgia" w:hAnsi="Georgia"/>
          <w:sz w:val="20"/>
          <w:szCs w:val="20"/>
          <w:lang w:val="lt-LT"/>
        </w:rPr>
        <w:t>tai yra</w:t>
      </w:r>
      <w:r w:rsidRPr="002142B8">
        <w:rPr>
          <w:rFonts w:ascii="Georgia" w:hAnsi="Georgia"/>
          <w:sz w:val="20"/>
          <w:szCs w:val="20"/>
          <w:lang w:val="lt-LT"/>
        </w:rPr>
        <w:t xml:space="preserve"> tos pačios projekto išlaidos negali būti finansuojamos du kartus pagal skirtingas priemones. Bendrųjų nuostatų reglamento 37 straipsnio 9 dalis numato, kad derinant subsidijomis ir finansinėmis priemonėmis teikiamą finansavimą, galima finansuoti tą patį išlaidų elementą, jei visų derinamų formų paramos suma neviršija visos atitinkamo išlaidų elemento sumos ir jei laikomasi valstybės pagalbos taisyklių. </w:t>
      </w:r>
    </w:p>
    <w:p w14:paraId="0AE3213D"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Aukščiau nurodytos valstybės pagalbos teisėtumo sąlygos turi būti vertinamos priimant sprendimą dėl paramos kiekvieno konkretaus projekto atžvilgiu. Finansinės priemonės vertinimas, siekiant nustatyti valstybės pagalbos požymius, turi būti atliekamas kiekvienos tikslinės grupės atžvilgiu atskirai, kadangi priemonės įgyvendinimo poveikis kiekvienai skirtingai grupei gali būti kitoks. Priklausomai </w:t>
      </w:r>
      <w:r w:rsidRPr="002142B8">
        <w:rPr>
          <w:rFonts w:ascii="Georgia" w:hAnsi="Georgia"/>
          <w:sz w:val="20"/>
          <w:szCs w:val="20"/>
          <w:lang w:val="lt-LT"/>
        </w:rPr>
        <w:lastRenderedPageBreak/>
        <w:t>nuo konkretaus subjekto ir jo vykdymo veiklos pobūdžio bei sąlygų, valstybės pagalbos klausimas gali išvis nekilti.</w:t>
      </w:r>
    </w:p>
    <w:p w14:paraId="467EC8CC"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Fondo steigimui reikalingą finansavimą suteikiančios viešosios institucijos</w:t>
      </w:r>
    </w:p>
    <w:p w14:paraId="08EA1753" w14:textId="18AF4BDF" w:rsidR="00CE5A01" w:rsidRPr="002142B8" w:rsidRDefault="00555882" w:rsidP="00CE5A01">
      <w:pPr>
        <w:jc w:val="both"/>
        <w:rPr>
          <w:rFonts w:ascii="Georgia" w:hAnsi="Georgia"/>
          <w:sz w:val="20"/>
          <w:szCs w:val="20"/>
          <w:lang w:val="lt-LT"/>
        </w:rPr>
      </w:pPr>
      <w:r>
        <w:rPr>
          <w:rFonts w:ascii="Georgia" w:hAnsi="Georgia"/>
          <w:sz w:val="20"/>
          <w:szCs w:val="20"/>
          <w:lang w:val="lt-LT"/>
        </w:rPr>
        <w:t>E</w:t>
      </w:r>
      <w:r w:rsidR="00CE5A01" w:rsidRPr="002142B8">
        <w:rPr>
          <w:rFonts w:ascii="Georgia" w:hAnsi="Georgia"/>
          <w:sz w:val="20"/>
          <w:szCs w:val="20"/>
          <w:lang w:val="lt-LT"/>
        </w:rPr>
        <w:t>nergetikos ministerija</w:t>
      </w:r>
      <w:r>
        <w:rPr>
          <w:rFonts w:ascii="Georgia" w:hAnsi="Georgia"/>
          <w:sz w:val="20"/>
          <w:szCs w:val="20"/>
          <w:lang w:val="lt-LT"/>
        </w:rPr>
        <w:t>, Aplinkos ministerija</w:t>
      </w:r>
      <w:r w:rsidR="00CE5A01" w:rsidRPr="002142B8">
        <w:rPr>
          <w:rFonts w:ascii="Georgia" w:hAnsi="Georgia"/>
          <w:sz w:val="20"/>
          <w:szCs w:val="20"/>
          <w:lang w:val="lt-LT"/>
        </w:rPr>
        <w:t xml:space="preserve"> bei </w:t>
      </w:r>
      <w:r>
        <w:rPr>
          <w:rFonts w:ascii="Georgia" w:hAnsi="Georgia"/>
          <w:sz w:val="20"/>
          <w:szCs w:val="20"/>
          <w:lang w:val="lt-LT"/>
        </w:rPr>
        <w:t>F</w:t>
      </w:r>
      <w:r w:rsidRPr="002142B8">
        <w:rPr>
          <w:rFonts w:ascii="Georgia" w:hAnsi="Georgia"/>
          <w:sz w:val="20"/>
          <w:szCs w:val="20"/>
          <w:lang w:val="lt-LT"/>
        </w:rPr>
        <w:t xml:space="preserve">inansų </w:t>
      </w:r>
      <w:r w:rsidR="00CE5A01" w:rsidRPr="002142B8">
        <w:rPr>
          <w:rFonts w:ascii="Georgia" w:hAnsi="Georgia"/>
          <w:sz w:val="20"/>
          <w:szCs w:val="20"/>
          <w:lang w:val="lt-LT"/>
        </w:rPr>
        <w:t xml:space="preserve">ministerija, vykdydamos jiems pavestas funkcijas pagal Bendrųjų nuostatų reglamento reikalavimus, taip pat pagal </w:t>
      </w:r>
      <w:r>
        <w:rPr>
          <w:rFonts w:ascii="Georgia" w:hAnsi="Georgia"/>
          <w:sz w:val="20"/>
          <w:szCs w:val="20"/>
          <w:lang w:val="lt-LT"/>
        </w:rPr>
        <w:t>B</w:t>
      </w:r>
      <w:r w:rsidRPr="002142B8">
        <w:rPr>
          <w:rFonts w:ascii="Georgia" w:hAnsi="Georgia"/>
          <w:sz w:val="20"/>
          <w:szCs w:val="20"/>
          <w:lang w:val="lt-LT"/>
        </w:rPr>
        <w:t xml:space="preserve">iudžeto </w:t>
      </w:r>
      <w:r w:rsidR="00CE5A01" w:rsidRPr="002142B8">
        <w:rPr>
          <w:rFonts w:ascii="Georgia" w:hAnsi="Georgia"/>
          <w:sz w:val="20"/>
          <w:szCs w:val="20"/>
          <w:lang w:val="lt-LT"/>
        </w:rPr>
        <w:t xml:space="preserve">sandaros įstatymo, </w:t>
      </w:r>
      <w:r>
        <w:rPr>
          <w:rFonts w:ascii="Georgia" w:hAnsi="Georgia"/>
          <w:sz w:val="20"/>
          <w:szCs w:val="20"/>
          <w:lang w:val="lt-LT"/>
        </w:rPr>
        <w:t>a</w:t>
      </w:r>
      <w:r w:rsidRPr="00555882">
        <w:rPr>
          <w:rFonts w:ascii="Georgia" w:hAnsi="Georgia"/>
          <w:sz w:val="20"/>
          <w:szCs w:val="20"/>
          <w:lang w:val="lt-LT"/>
        </w:rPr>
        <w:t>tsakomybės ir funkcijų paskirstymo tarp institucijų</w:t>
      </w:r>
      <w:r w:rsidRPr="00555882" w:rsidDel="00555882">
        <w:rPr>
          <w:rFonts w:ascii="Georgia" w:hAnsi="Georgia"/>
          <w:sz w:val="20"/>
          <w:szCs w:val="20"/>
          <w:lang w:val="lt-LT"/>
        </w:rPr>
        <w:t xml:space="preserve"> </w:t>
      </w:r>
      <w:r w:rsidR="00CE5A01" w:rsidRPr="002142B8">
        <w:rPr>
          <w:rFonts w:ascii="Georgia" w:hAnsi="Georgia"/>
          <w:sz w:val="20"/>
          <w:szCs w:val="20"/>
          <w:lang w:val="lt-LT"/>
        </w:rPr>
        <w:t>taisyklių nuostatas, vykdo tik viešąsias funkcijas, tai yra šios finansinės priemonės kontekste vykdo neekonominę veiklą bei negali būti laikomi ūkio subjektais. Tokioms institucijoms teikiama parama paprastai nėra valstybės pagalba.</w:t>
      </w:r>
    </w:p>
    <w:p w14:paraId="178D7D22"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2A063AC0"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Fondo valdytojas</w:t>
      </w:r>
    </w:p>
    <w:p w14:paraId="4C089078"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Pagal numatomą mechanizmą, fondo valdytojas turi būti atskiras juridinis asmuo, teikiantis fondo valdymo paslaugas. Pabrėžtina, kad numatoma fondo valdytojo teisinė forma valstybės pagalbos požiūriu nėra svarbus veiksnys, kuris nulemtų valstybės pagalbos buvimą (nebuvimą), tačiau atskiro juridinio asmens įsteigimas nulemia didesnį skaidrumą bei atskaitomybę.</w:t>
      </w:r>
    </w:p>
    <w:p w14:paraId="7F9B38B0"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Remiantis Valstybės pagalbos rizikos finansų investicijoms skatinti gairių (toliau – Rizikos finansų gairės) 39 punktu, „</w:t>
      </w:r>
      <w:r w:rsidRPr="002142B8">
        <w:rPr>
          <w:rFonts w:ascii="Georgia" w:hAnsi="Georgia"/>
          <w:i/>
          <w:sz w:val="20"/>
          <w:szCs w:val="20"/>
          <w:lang w:val="lt-LT"/>
        </w:rPr>
        <w:t>jeigu rizikos finansų priemonę valdo įgaliotasis subjektas, bet šis subjektas neinvestuoja kartu su valstybe nare, įgaliotasis subjektas laikomas finansavimo nukreipimo 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2142B8">
        <w:rPr>
          <w:rFonts w:ascii="Georgia" w:hAnsi="Georgia"/>
          <w:sz w:val="20"/>
          <w:szCs w:val="20"/>
          <w:lang w:val="lt-LT"/>
        </w:rPr>
        <w:t>.“</w:t>
      </w:r>
    </w:p>
    <w:p w14:paraId="00DAA3C3"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14:paraId="5EC93200" w14:textId="77777777" w:rsidR="00CE5A01" w:rsidRPr="002142B8" w:rsidRDefault="00CE5A01" w:rsidP="00162BF5">
      <w:pPr>
        <w:pStyle w:val="Sraopastraipa"/>
        <w:numPr>
          <w:ilvl w:val="0"/>
          <w:numId w:val="44"/>
        </w:numPr>
        <w:jc w:val="both"/>
        <w:rPr>
          <w:rFonts w:ascii="Georgia" w:hAnsi="Georgia"/>
          <w:sz w:val="20"/>
          <w:szCs w:val="20"/>
          <w:lang w:val="lt-LT"/>
        </w:rPr>
      </w:pPr>
      <w:r w:rsidRPr="002142B8">
        <w:rPr>
          <w:rFonts w:ascii="Georgia" w:hAnsi="Georgia"/>
          <w:sz w:val="20"/>
          <w:szCs w:val="20"/>
          <w:lang w:val="lt-LT"/>
        </w:rPr>
        <w:t>įgaliotasis subjektas negali investuoti kartu su viešuoju sektoriumi,</w:t>
      </w:r>
    </w:p>
    <w:p w14:paraId="679012C0" w14:textId="77777777" w:rsidR="00CE5A01" w:rsidRPr="002142B8" w:rsidRDefault="00CE5A01" w:rsidP="00162BF5">
      <w:pPr>
        <w:pStyle w:val="Sraopastraipa"/>
        <w:numPr>
          <w:ilvl w:val="0"/>
          <w:numId w:val="44"/>
        </w:numPr>
        <w:jc w:val="both"/>
        <w:rPr>
          <w:rFonts w:ascii="Georgia" w:hAnsi="Georgia"/>
          <w:sz w:val="20"/>
          <w:szCs w:val="20"/>
          <w:lang w:val="lt-LT"/>
        </w:rPr>
      </w:pPr>
      <w:r w:rsidRPr="002142B8">
        <w:rPr>
          <w:rFonts w:ascii="Georgia" w:hAnsi="Georgia"/>
          <w:sz w:val="20"/>
          <w:szCs w:val="20"/>
          <w:lang w:val="lt-LT"/>
        </w:rPr>
        <w:t>kompensacija už teikiamas fondo valdymo paslaugas negali būti per didelė.</w:t>
      </w:r>
    </w:p>
    <w:p w14:paraId="1D2C3282"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Jeigu išpildomos abi sąlygos, valstybės pagalbos rizika yra eliminuojama.</w:t>
      </w:r>
    </w:p>
    <w:p w14:paraId="439A6823" w14:textId="77777777" w:rsidR="00CE5A01" w:rsidRPr="002142B8" w:rsidRDefault="00CE5A01" w:rsidP="00CE5A01">
      <w:pPr>
        <w:pStyle w:val="Sraopastraipa"/>
        <w:ind w:left="0"/>
        <w:jc w:val="both"/>
        <w:rPr>
          <w:rFonts w:ascii="Georgia" w:hAnsi="Georgia"/>
          <w:sz w:val="20"/>
          <w:szCs w:val="20"/>
          <w:lang w:val="lt-LT"/>
        </w:rPr>
      </w:pPr>
      <w:r w:rsidRPr="002142B8">
        <w:rPr>
          <w:rFonts w:ascii="Georgia" w:hAnsi="Georgia"/>
          <w:sz w:val="20"/>
          <w:szCs w:val="20"/>
          <w:lang w:val="lt-LT"/>
        </w:rPr>
        <w:t>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14:paraId="1599E86D"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Svarbu, kad fondo valdytoją parinkus atvira, skaidria, nediskriminacine ir objektyvia tvarka, pagal Rizikos finansų gairių 40 p., valstybės pagalba fondo valdytojui nėra teikiama. Tokia pati situacija susidaro, kai fondo valdytojo atlygis visiškai atspindi atitinkamose situacijose mokamus atlygius rinkoje.</w:t>
      </w:r>
    </w:p>
    <w:p w14:paraId="4C764BAE"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Jeigu fondo valdytojas yra viešasis subjektas ir nėra parinktas atvira, skaidria, nediskriminacine ir objektyvia tvarka (pvz., fondo valdytojas buvo paskirtas atskiru teisės aktu), tam, kad fondo valdytojas </w:t>
      </w:r>
      <w:r w:rsidRPr="002142B8">
        <w:rPr>
          <w:rFonts w:ascii="Georgia" w:hAnsi="Georgia"/>
          <w:sz w:val="20"/>
          <w:szCs w:val="20"/>
          <w:lang w:val="lt-LT"/>
        </w:rPr>
        <w:lastRenderedPageBreak/>
        <w:t xml:space="preserve">nebūtų laikomas valstybės pagalbos gavėju (tai yra tam, kad būtų pripažinta atitiktis aukščiau nurodytam </w:t>
      </w:r>
      <w:r w:rsidRPr="002142B8">
        <w:rPr>
          <w:rFonts w:ascii="Georgia" w:hAnsi="Georgia"/>
          <w:i/>
          <w:sz w:val="20"/>
          <w:szCs w:val="20"/>
          <w:lang w:val="lt-LT"/>
        </w:rPr>
        <w:t>b) ii.</w:t>
      </w:r>
      <w:r w:rsidRPr="002142B8">
        <w:rPr>
          <w:rFonts w:ascii="Georgia" w:hAnsi="Georgia"/>
          <w:sz w:val="20"/>
          <w:szCs w:val="20"/>
          <w:lang w:val="lt-LT"/>
        </w:rPr>
        <w:t xml:space="preserve"> punktui), turi būti įvykdytos šios sąlygos:</w:t>
      </w:r>
    </w:p>
    <w:p w14:paraId="714220E2" w14:textId="77777777" w:rsidR="00CE5A01" w:rsidRPr="002142B8" w:rsidRDefault="00CE5A01" w:rsidP="00162BF5">
      <w:pPr>
        <w:pStyle w:val="Sraopastraipa"/>
        <w:numPr>
          <w:ilvl w:val="0"/>
          <w:numId w:val="56"/>
        </w:numPr>
        <w:ind w:left="709"/>
        <w:jc w:val="both"/>
        <w:rPr>
          <w:rFonts w:ascii="Georgia" w:hAnsi="Georgia"/>
          <w:sz w:val="20"/>
          <w:szCs w:val="20"/>
          <w:lang w:val="lt-LT"/>
        </w:rPr>
      </w:pPr>
      <w:r w:rsidRPr="002142B8">
        <w:rPr>
          <w:rFonts w:ascii="Georgia" w:hAnsi="Georgia"/>
          <w:sz w:val="20"/>
          <w:szCs w:val="20"/>
          <w:lang w:val="lt-LT"/>
        </w:rPr>
        <w:t>valdymo mokesčio suma turi būti apribota (turi būti nurodytas maksimalus mokesčio dydis),</w:t>
      </w:r>
    </w:p>
    <w:p w14:paraId="10F473AB" w14:textId="77777777" w:rsidR="00CE5A01" w:rsidRPr="002142B8" w:rsidRDefault="00CE5A01" w:rsidP="00162BF5">
      <w:pPr>
        <w:pStyle w:val="Sraopastraipa"/>
        <w:numPr>
          <w:ilvl w:val="0"/>
          <w:numId w:val="56"/>
        </w:numPr>
        <w:ind w:left="709"/>
        <w:jc w:val="both"/>
        <w:rPr>
          <w:rFonts w:ascii="Georgia" w:hAnsi="Georgia"/>
          <w:sz w:val="20"/>
          <w:szCs w:val="20"/>
          <w:lang w:val="lt-LT"/>
        </w:rPr>
      </w:pPr>
      <w:r w:rsidRPr="002142B8">
        <w:rPr>
          <w:rFonts w:ascii="Georgia" w:hAnsi="Georgia"/>
          <w:sz w:val="20"/>
          <w:szCs w:val="20"/>
          <w:lang w:val="lt-LT"/>
        </w:rPr>
        <w:t>valdymo mokesčio faktinė suma atspindi įprastas rinkos sąlygas,</w:t>
      </w:r>
    </w:p>
    <w:p w14:paraId="0D061A73" w14:textId="77777777" w:rsidR="00CE5A01" w:rsidRPr="002142B8" w:rsidRDefault="00CE5A01" w:rsidP="00162BF5">
      <w:pPr>
        <w:pStyle w:val="Sraopastraipa"/>
        <w:numPr>
          <w:ilvl w:val="0"/>
          <w:numId w:val="56"/>
        </w:numPr>
        <w:ind w:left="709"/>
        <w:jc w:val="both"/>
        <w:rPr>
          <w:rFonts w:ascii="Georgia" w:hAnsi="Georgia"/>
          <w:sz w:val="20"/>
          <w:szCs w:val="20"/>
          <w:lang w:val="lt-LT"/>
        </w:rPr>
      </w:pPr>
      <w:r w:rsidRPr="002142B8">
        <w:rPr>
          <w:rFonts w:ascii="Georgia" w:hAnsi="Georgia"/>
          <w:sz w:val="20"/>
          <w:szCs w:val="20"/>
          <w:lang w:val="lt-LT"/>
        </w:rPr>
        <w:t>valdymo mokestis yra susietas su veiklos rezultatais,</w:t>
      </w:r>
    </w:p>
    <w:p w14:paraId="3E317183" w14:textId="77777777" w:rsidR="00CE5A01" w:rsidRPr="002142B8" w:rsidRDefault="00CE5A01" w:rsidP="00162BF5">
      <w:pPr>
        <w:pStyle w:val="Sraopastraipa"/>
        <w:numPr>
          <w:ilvl w:val="0"/>
          <w:numId w:val="56"/>
        </w:numPr>
        <w:ind w:left="709"/>
        <w:jc w:val="both"/>
        <w:rPr>
          <w:rFonts w:ascii="Georgia" w:hAnsi="Georgia"/>
          <w:sz w:val="20"/>
          <w:szCs w:val="20"/>
          <w:lang w:val="lt-LT"/>
        </w:rPr>
      </w:pPr>
      <w:r w:rsidRPr="002142B8">
        <w:rPr>
          <w:rFonts w:ascii="Georgia" w:hAnsi="Georgia"/>
          <w:sz w:val="20"/>
          <w:szCs w:val="20"/>
          <w:lang w:val="lt-LT"/>
        </w:rPr>
        <w:t>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būti numatytos nuostatos, kurios užtikrintų fondo valdytojo nepriklausomybę nuo galimų valstybės nurodymų,</w:t>
      </w:r>
    </w:p>
    <w:p w14:paraId="09DC903A" w14:textId="77777777" w:rsidR="00CE5A01" w:rsidRPr="002142B8" w:rsidRDefault="00CE5A01" w:rsidP="00162BF5">
      <w:pPr>
        <w:pStyle w:val="Sraopastraipa"/>
        <w:numPr>
          <w:ilvl w:val="0"/>
          <w:numId w:val="56"/>
        </w:numPr>
        <w:ind w:left="709"/>
        <w:jc w:val="both"/>
        <w:rPr>
          <w:rFonts w:ascii="Georgia" w:hAnsi="Georgia"/>
          <w:sz w:val="20"/>
          <w:szCs w:val="20"/>
          <w:lang w:val="lt-LT"/>
        </w:rPr>
      </w:pPr>
      <w:r w:rsidRPr="002142B8">
        <w:rPr>
          <w:rFonts w:ascii="Georgia" w:hAnsi="Georgia"/>
          <w:sz w:val="20"/>
          <w:szCs w:val="20"/>
          <w:lang w:val="lt-LT"/>
        </w:rPr>
        <w:t>fondo valdytojas privalo privačius investuotojus pasirinkti atviro, skaidraus ir nediskriminacinio konkurso tvarka.</w:t>
      </w:r>
    </w:p>
    <w:p w14:paraId="6D95A82E"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w:t>
      </w:r>
    </w:p>
    <w:p w14:paraId="2161E5DF"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Lietuva šiuo metu dalyvauja tik tose tarptautinėse finansų įstaigose, kurios yra laikomos viešaisiais subjektais, todėl pasirinkus šį modelį taip pat turėtų būti laikomasi visų aukščiau nurodytų sąlygų.</w:t>
      </w:r>
    </w:p>
    <w:p w14:paraId="43BC6AE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Pasirinkus valstybėje-narėje veikiančią finansų įstaigą, kuri siekia viešojo intereso, kontroliuojant viešajam sektoriui, tačiau pati nėra viešasis subjektas, valstybės pagalbos teikimo rizika būtų eliminuota šiais atvejais:</w:t>
      </w:r>
    </w:p>
    <w:p w14:paraId="2E5E50C0" w14:textId="77777777" w:rsidR="00CE5A01" w:rsidRPr="002142B8" w:rsidRDefault="00CE5A01" w:rsidP="00162BF5">
      <w:pPr>
        <w:pStyle w:val="Sraopastraipa"/>
        <w:numPr>
          <w:ilvl w:val="0"/>
          <w:numId w:val="45"/>
        </w:numPr>
        <w:ind w:hanging="436"/>
        <w:jc w:val="both"/>
        <w:rPr>
          <w:rFonts w:ascii="Georgia" w:hAnsi="Georgia"/>
          <w:sz w:val="20"/>
          <w:szCs w:val="20"/>
          <w:lang w:val="lt-LT"/>
        </w:rPr>
      </w:pPr>
      <w:r w:rsidRPr="002142B8">
        <w:rPr>
          <w:rFonts w:ascii="Georgia" w:hAnsi="Georgia"/>
          <w:sz w:val="20"/>
          <w:szCs w:val="20"/>
          <w:lang w:val="lt-LT"/>
        </w:rPr>
        <w:t>fondo valdytojas parinktas atvira, skaidria, nediskriminacine ir objektyvia tvarka, arba</w:t>
      </w:r>
    </w:p>
    <w:p w14:paraId="734CA300" w14:textId="77777777" w:rsidR="00CE5A01" w:rsidRPr="002142B8" w:rsidRDefault="00CE5A01" w:rsidP="00162BF5">
      <w:pPr>
        <w:pStyle w:val="Sraopastraipa"/>
        <w:numPr>
          <w:ilvl w:val="0"/>
          <w:numId w:val="45"/>
        </w:numPr>
        <w:ind w:hanging="436"/>
        <w:jc w:val="both"/>
        <w:rPr>
          <w:rFonts w:ascii="Georgia" w:hAnsi="Georgia"/>
          <w:sz w:val="20"/>
          <w:szCs w:val="20"/>
          <w:lang w:val="lt-LT"/>
        </w:rPr>
      </w:pPr>
      <w:r w:rsidRPr="002142B8">
        <w:rPr>
          <w:rFonts w:ascii="Georgia" w:hAnsi="Georgia"/>
          <w:sz w:val="20"/>
          <w:szCs w:val="20"/>
          <w:lang w:val="lt-LT"/>
        </w:rPr>
        <w:t>fondo valdytojo atlygis visiškai</w:t>
      </w:r>
      <w:r w:rsidRPr="002142B8">
        <w:rPr>
          <w:lang w:val="lt-LT"/>
        </w:rPr>
        <w:t xml:space="preserve"> </w:t>
      </w:r>
      <w:r w:rsidRPr="002142B8">
        <w:rPr>
          <w:rFonts w:ascii="Georgia" w:hAnsi="Georgia"/>
          <w:sz w:val="20"/>
          <w:szCs w:val="20"/>
          <w:lang w:val="lt-LT"/>
        </w:rPr>
        <w:t>atspindi atitinkamose situacijose mokamus atlygius rinkoje.</w:t>
      </w:r>
    </w:p>
    <w:p w14:paraId="5E161B41"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14:paraId="112067F4"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14:paraId="2340BF3A"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Vadovaujantis Rizikos kapitalo gairių nuostatas, siūloma, kad fondo valdymo mokesčiui būtų nustatyti šie apribojimai:</w:t>
      </w:r>
    </w:p>
    <w:p w14:paraId="05F4E7C5" w14:textId="77777777" w:rsidR="00CE5A01" w:rsidRPr="002142B8" w:rsidRDefault="00CE5A01" w:rsidP="00162BF5">
      <w:pPr>
        <w:pStyle w:val="Sraopastraipa"/>
        <w:numPr>
          <w:ilvl w:val="0"/>
          <w:numId w:val="57"/>
        </w:numPr>
        <w:ind w:left="709" w:hanging="425"/>
        <w:jc w:val="both"/>
        <w:rPr>
          <w:rFonts w:ascii="Georgia" w:hAnsi="Georgia"/>
          <w:sz w:val="20"/>
          <w:szCs w:val="20"/>
          <w:lang w:val="lt-LT"/>
        </w:rPr>
      </w:pPr>
      <w:r w:rsidRPr="002142B8">
        <w:rPr>
          <w:rFonts w:ascii="Georgia" w:hAnsi="Georgia"/>
          <w:sz w:val="20"/>
          <w:szCs w:val="20"/>
          <w:lang w:val="lt-LT"/>
        </w:rPr>
        <w:t>valdymo mokesčio suma turi būti apribota (turi būti nurodytas maksimalus mokesčio dydis). Pagal Rizikos kapitalo gairių 148 p., metinė valdymo mokesčio suma neturi viršyti 3 % viso fondo valdytojui patikėto kapitalo, išskyrus valdymo mokesčio dalį, kuri yra susijusi su veiklos rezultatais.</w:t>
      </w:r>
    </w:p>
    <w:p w14:paraId="1F6C1FEC" w14:textId="77777777" w:rsidR="00CE5A01" w:rsidRPr="002142B8" w:rsidRDefault="00CE5A01" w:rsidP="00162BF5">
      <w:pPr>
        <w:pStyle w:val="Sraopastraipa"/>
        <w:numPr>
          <w:ilvl w:val="0"/>
          <w:numId w:val="57"/>
        </w:numPr>
        <w:ind w:left="709" w:hanging="425"/>
        <w:jc w:val="both"/>
        <w:rPr>
          <w:rFonts w:ascii="Georgia" w:hAnsi="Georgia"/>
          <w:sz w:val="20"/>
          <w:szCs w:val="20"/>
          <w:lang w:val="lt-LT"/>
        </w:rPr>
      </w:pPr>
      <w:r w:rsidRPr="002142B8">
        <w:rPr>
          <w:rFonts w:ascii="Georgia" w:hAnsi="Georgia"/>
          <w:sz w:val="20"/>
          <w:szCs w:val="20"/>
          <w:lang w:val="lt-LT"/>
        </w:rPr>
        <w:t xml:space="preserve">valdymo mokesčio faktinė suma turi nuolat atspindėti įprastas rinkos sąlygas. Tam, kad būtų vykdoma ši sąlyga, siūloma įpareigoti fondo valdytoją kas pusmetį atlikti rinkos sąlygų analizę bei pateikti valdymo mokesčio dydžio apskaičiavimo pagrindimo dokumentus. Bendra </w:t>
      </w:r>
      <w:r w:rsidRPr="002142B8">
        <w:rPr>
          <w:rFonts w:ascii="Georgia" w:hAnsi="Georgia"/>
          <w:sz w:val="20"/>
          <w:szCs w:val="20"/>
          <w:lang w:val="lt-LT"/>
        </w:rPr>
        <w:lastRenderedPageBreak/>
        <w:t>mokesčio metinė suma negali viršyti veiklos ir valdymo išlaidų, kurių suma gali būti padidinama pagrįstu pelno maržos dydžiu, atitinkančiu rinkos sąlygas.</w:t>
      </w:r>
    </w:p>
    <w:p w14:paraId="121172C9" w14:textId="77777777" w:rsidR="00CE5A01" w:rsidRPr="002142B8" w:rsidRDefault="00CE5A01" w:rsidP="00162BF5">
      <w:pPr>
        <w:pStyle w:val="Sraopastraipa"/>
        <w:numPr>
          <w:ilvl w:val="0"/>
          <w:numId w:val="57"/>
        </w:numPr>
        <w:ind w:left="709" w:hanging="425"/>
        <w:jc w:val="both"/>
        <w:rPr>
          <w:rFonts w:ascii="Georgia" w:hAnsi="Georgia"/>
          <w:sz w:val="20"/>
          <w:szCs w:val="20"/>
          <w:lang w:val="lt-LT"/>
        </w:rPr>
      </w:pPr>
      <w:r w:rsidRPr="002142B8">
        <w:rPr>
          <w:rFonts w:ascii="Georgia" w:hAnsi="Georgia"/>
          <w:sz w:val="20"/>
          <w:szCs w:val="20"/>
          <w:lang w:val="lt-LT"/>
        </w:rPr>
        <w:t>valdymo mokestis negali būti skirtas padengti investicijų išlaidas.</w:t>
      </w:r>
    </w:p>
    <w:p w14:paraId="426D3886" w14:textId="77777777" w:rsidR="00CE5A01" w:rsidRPr="002142B8" w:rsidRDefault="00CE5A01" w:rsidP="00162BF5">
      <w:pPr>
        <w:pStyle w:val="Sraopastraipa"/>
        <w:numPr>
          <w:ilvl w:val="0"/>
          <w:numId w:val="57"/>
        </w:numPr>
        <w:ind w:left="709" w:hanging="425"/>
        <w:jc w:val="both"/>
        <w:rPr>
          <w:rFonts w:ascii="Georgia" w:hAnsi="Georgia"/>
          <w:sz w:val="20"/>
          <w:szCs w:val="20"/>
          <w:lang w:val="lt-LT"/>
        </w:rPr>
      </w:pPr>
      <w:r w:rsidRPr="002142B8">
        <w:rPr>
          <w:rFonts w:ascii="Georgia" w:hAnsi="Georgia"/>
          <w:sz w:val="20"/>
          <w:szCs w:val="20"/>
          <w:lang w:val="lt-LT"/>
        </w:rPr>
        <w:t xml:space="preserve">valdymo mokestis yra susietas su veiklos rezultatais. Valdymo mokesčio dalis, kurios dydis priklauso nuo veiklos rezultatų, turi būti pakankamai reikšminga tam, kad paskatintų įgaliotąjį subjektą pasiekti politikos tikslus bei užtikrintų efektyvią ūkio subjektų, į kuriuos yra 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14:paraId="731E4CA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6C6FE362"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Privatūs instituciniai bei profesionalūs investuotojai</w:t>
      </w:r>
    </w:p>
    <w:p w14:paraId="1B730756"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Pagal numatomą mechanizmą, valstybė dalyvaus fondo steigime ir valdyme pagal parri pasu principą, tai yra užtikrindama, kad investuotojams nėra suteikiamas ekonominis pranašumas dėl ekonominės veiklos įgyvendinimo:</w:t>
      </w:r>
    </w:p>
    <w:p w14:paraId="26ED34E7" w14:textId="77777777" w:rsidR="00CE5A01" w:rsidRPr="002142B8" w:rsidRDefault="00CE5A01" w:rsidP="00CE5A01">
      <w:pPr>
        <w:ind w:firstLine="426"/>
        <w:jc w:val="both"/>
        <w:rPr>
          <w:rFonts w:ascii="Georgia" w:hAnsi="Georgia"/>
          <w:sz w:val="20"/>
          <w:szCs w:val="20"/>
          <w:lang w:val="lt-LT"/>
        </w:rPr>
      </w:pPr>
      <w:r w:rsidRPr="002142B8">
        <w:rPr>
          <w:rFonts w:ascii="Georgia" w:hAnsi="Georgia"/>
          <w:sz w:val="20"/>
          <w:szCs w:val="20"/>
          <w:lang w:val="lt-LT"/>
        </w:rPr>
        <w:t>a)</w:t>
      </w:r>
      <w:r w:rsidRPr="002142B8">
        <w:rPr>
          <w:rFonts w:ascii="Georgia" w:hAnsi="Georgia"/>
          <w:sz w:val="20"/>
          <w:szCs w:val="20"/>
          <w:lang w:val="lt-LT"/>
        </w:rPr>
        <w:tab/>
        <w:t>viešajai ir privačiai investicijai taikomos tos pačios sąlygos,</w:t>
      </w:r>
    </w:p>
    <w:p w14:paraId="75134068" w14:textId="77777777" w:rsidR="00CE5A01" w:rsidRPr="002142B8" w:rsidRDefault="00CE5A01" w:rsidP="00CE5A01">
      <w:pPr>
        <w:ind w:firstLine="426"/>
        <w:jc w:val="both"/>
        <w:rPr>
          <w:rFonts w:ascii="Georgia" w:hAnsi="Georgia"/>
          <w:sz w:val="20"/>
          <w:szCs w:val="20"/>
          <w:lang w:val="lt-LT"/>
        </w:rPr>
      </w:pPr>
      <w:r w:rsidRPr="002142B8">
        <w:rPr>
          <w:rFonts w:ascii="Georgia" w:hAnsi="Georgia"/>
          <w:sz w:val="20"/>
          <w:szCs w:val="20"/>
          <w:lang w:val="lt-LT"/>
        </w:rPr>
        <w:t>b)</w:t>
      </w:r>
      <w:r w:rsidRPr="002142B8">
        <w:rPr>
          <w:rFonts w:ascii="Georgia" w:hAnsi="Georgia"/>
          <w:sz w:val="20"/>
          <w:szCs w:val="20"/>
          <w:lang w:val="lt-LT"/>
        </w:rPr>
        <w:tab/>
        <w:t>investicijos atliekamos vienu metu, ir</w:t>
      </w:r>
    </w:p>
    <w:p w14:paraId="7E9AC259" w14:textId="77777777" w:rsidR="00CE5A01" w:rsidRPr="002142B8" w:rsidRDefault="00CE5A01" w:rsidP="00CE5A01">
      <w:pPr>
        <w:ind w:firstLine="426"/>
        <w:jc w:val="both"/>
        <w:rPr>
          <w:rFonts w:ascii="Georgia" w:hAnsi="Georgia"/>
          <w:sz w:val="20"/>
          <w:szCs w:val="20"/>
          <w:lang w:val="lt-LT"/>
        </w:rPr>
      </w:pPr>
      <w:r w:rsidRPr="002142B8">
        <w:rPr>
          <w:rFonts w:ascii="Georgia" w:hAnsi="Georgia"/>
          <w:sz w:val="20"/>
          <w:szCs w:val="20"/>
          <w:lang w:val="lt-LT"/>
        </w:rPr>
        <w:t>c)</w:t>
      </w:r>
      <w:r w:rsidRPr="002142B8">
        <w:rPr>
          <w:rFonts w:ascii="Georgia" w:hAnsi="Georgia"/>
          <w:sz w:val="20"/>
          <w:szCs w:val="20"/>
          <w:lang w:val="lt-LT"/>
        </w:rPr>
        <w:tab/>
        <w:t>privačių partnerių investicijos turi didelę ekonominę reikšmę</w:t>
      </w:r>
    </w:p>
    <w:p w14:paraId="121ED82E"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Laikytina, kad tos pačios sąlygos yra taikomos viešajai ir privačiajai investicijai, jeigu abu subjektai prisiima tokias pačias rizikas ir naudą to paties finansinio instrumento atžvilgiu (arba viešasis subjektas yra geresnėje pozicijoje privataus subjekto atžvilgiu). Esant šioms sąlygoms pagal Rizikos kapitalo gairių 31 p., laikytina, kad tokios investicijos atitinka rinkos investuotojo principą bei nepažeidžia valstybės pagalbos teikimo reikalavimų.</w:t>
      </w:r>
    </w:p>
    <w:p w14:paraId="44581C53"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viso projektui suteikto finansavimo.</w:t>
      </w:r>
    </w:p>
    <w:p w14:paraId="03437E2A"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Nusprendus taikyti kitokias/papildomas priemones, kurios paskatintų privačių investuotojų aktyvesnį dalyvavimą fondo veikloje, turi būti atliktas papildomas vertinimas valstybės pagalbos požiūriu.</w:t>
      </w:r>
    </w:p>
    <w:p w14:paraId="4F4BB4D9"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ESCO įmonės funkcijas vykdantys ūkio subjektai</w:t>
      </w:r>
    </w:p>
    <w:p w14:paraId="2665CD64"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ESCO įmonė, pagal numatomą įgyvendinti mechanizmą, yra atskiras juridinis asmuo, kurio paskirtis yra užtikrinti savalaikį investicijų atlikimą, bei gauti mokėjimus už atliktas investicijas iš centrinės valdžios pastato renovacijos projektą įgyvendinančio juridinio asmens.</w:t>
      </w:r>
    </w:p>
    <w:p w14:paraId="2A8536AB"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Taip pat numatoma, kad ESCO įmonė gaus lengvatinę paskolą, kurios tikslinė paskirtis yra renovacijos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14:paraId="538F0095"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Kitaip tariant, taikytini Rizikos finansų gairių 40 p. (ESCO įmonės parinkimas atvira, skaidria, nediskriminacine ir objektyvia tvarka), 143-145 p. (valdymo mokesčio suma, atitinkanti rinkos situaciją).</w:t>
      </w:r>
    </w:p>
    <w:p w14:paraId="30163264" w14:textId="77777777" w:rsidR="00CE5A01" w:rsidRPr="002142B8" w:rsidRDefault="00CE5A01" w:rsidP="00CE5A01">
      <w:pPr>
        <w:pStyle w:val="Sraopastraipa"/>
        <w:ind w:left="0"/>
        <w:jc w:val="both"/>
        <w:rPr>
          <w:rFonts w:ascii="Georgia" w:hAnsi="Georgia"/>
          <w:sz w:val="20"/>
          <w:szCs w:val="20"/>
          <w:lang w:val="lt-LT"/>
        </w:rPr>
      </w:pPr>
      <w:r w:rsidRPr="002142B8">
        <w:rPr>
          <w:rFonts w:ascii="Georgia" w:hAnsi="Georgia"/>
          <w:sz w:val="20"/>
          <w:szCs w:val="20"/>
          <w:lang w:val="lt-LT"/>
        </w:rPr>
        <w:t xml:space="preserve">Atsižvelgiant į Komisijos pranešimo dėl EB sutarties 87 ir 88 straipsnių taikymo garantijomis suteikiamai valstybės pagalbai 2.2 p., turėtų būti akcentuota, kad, nepaisant to, kad garantija yra </w:t>
      </w:r>
      <w:r w:rsidRPr="002142B8">
        <w:rPr>
          <w:rFonts w:ascii="Georgia" w:hAnsi="Georgia"/>
          <w:sz w:val="20"/>
          <w:szCs w:val="20"/>
          <w:lang w:val="lt-LT"/>
        </w:rPr>
        <w:lastRenderedPageBreak/>
        <w:t>suteikiama ESCO įmonės paimtai paskolai, visa nauda, susijusi su šios paskolos ir garantijos gavimu, tenka galutiniam naudos gavėjui, kadangi ESCO įmonė atlieka tik finansinio tarpininko vaidmenį.</w:t>
      </w:r>
    </w:p>
    <w:p w14:paraId="5E97ED22" w14:textId="17FE71DF" w:rsidR="00CE5A01" w:rsidRPr="002142B8" w:rsidRDefault="00CE5A01" w:rsidP="00CE5A01">
      <w:pPr>
        <w:pStyle w:val="Sraopastraipa"/>
        <w:ind w:left="0"/>
        <w:jc w:val="both"/>
        <w:rPr>
          <w:rFonts w:ascii="Georgia" w:hAnsi="Georgia"/>
          <w:sz w:val="20"/>
          <w:szCs w:val="20"/>
          <w:lang w:val="lt-LT"/>
        </w:rPr>
      </w:pPr>
    </w:p>
    <w:p w14:paraId="05712425"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Įvykdžius aukščiau nurodytas sąlygas, laikytina, kad ESCO įmonė nėra valstybės pagalbos gavėjas, kadangi jai nebūtų suteikiamas ekonominis pranašumas.</w:t>
      </w:r>
    </w:p>
    <w:p w14:paraId="60845D68"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Finansiniai tarpininkai</w:t>
      </w:r>
    </w:p>
    <w:p w14:paraId="510040F0"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11C80F15"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 į iš anksto nustatytus atskirus finansų tarpininkus. Kitaip tariant, priemonės mechanizmas negali būti susijęs su atskirais finansų tarpininkais.</w:t>
      </w:r>
    </w:p>
    <w:p w14:paraId="42F74E94"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248E5537" w14:textId="176332E8"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p>
    <w:p w14:paraId="0367E378" w14:textId="77777777" w:rsidR="00CE5A01" w:rsidRPr="002142B8" w:rsidRDefault="00CE5A01" w:rsidP="00CE5A01">
      <w:pPr>
        <w:pStyle w:val="Sraopastraipa"/>
        <w:ind w:left="0"/>
        <w:jc w:val="both"/>
        <w:rPr>
          <w:rFonts w:ascii="Georgia" w:hAnsi="Georgia"/>
          <w:sz w:val="20"/>
          <w:szCs w:val="20"/>
          <w:lang w:val="lt-LT"/>
        </w:rPr>
      </w:pPr>
      <w:r w:rsidRPr="002142B8">
        <w:rPr>
          <w:rFonts w:ascii="Georgia" w:hAnsi="Georgia"/>
          <w:sz w:val="20"/>
          <w:szCs w:val="20"/>
          <w:lang w:val="lt-LT"/>
        </w:rPr>
        <w:t>Pabrėžtina, kad teikiant viešosiomis lėšomis užtikrintas garantijas per finansų tarpininką, būtina laikytis Komisijos pranešime dėl EB sutarties 87 ir 88 straipsnių taikymo garantijomis suteikiamai valstybės pagalbai reikalavimų, tai yra būtina įsitikinti, kad naudos gavėjas nėra sunkumus patiriantis ūkio subjektas, o garantijos suma neviršija 80 % paskolos vertės.</w:t>
      </w:r>
    </w:p>
    <w:p w14:paraId="438E26D2" w14:textId="77777777" w:rsidR="00CE5A01" w:rsidRPr="002142B8" w:rsidRDefault="00CE5A01" w:rsidP="00CE5A01">
      <w:pPr>
        <w:pStyle w:val="Sraopastraipa"/>
        <w:ind w:left="0"/>
        <w:jc w:val="both"/>
        <w:rPr>
          <w:rFonts w:ascii="Georgia" w:hAnsi="Georgia"/>
          <w:sz w:val="20"/>
          <w:szCs w:val="20"/>
          <w:lang w:val="lt-LT"/>
        </w:rPr>
      </w:pPr>
      <w:r w:rsidRPr="002142B8">
        <w:rPr>
          <w:rFonts w:ascii="Georgia" w:hAnsi="Georgia"/>
          <w:sz w:val="20"/>
          <w:szCs w:val="20"/>
          <w:lang w:val="lt-LT"/>
        </w:rPr>
        <w:t>Taip pat būtina pažymėti šiuos aspektus:</w:t>
      </w:r>
    </w:p>
    <w:p w14:paraId="3F7410EB" w14:textId="77777777" w:rsidR="00CE5A01" w:rsidRPr="002142B8" w:rsidRDefault="00CE5A01" w:rsidP="00162BF5">
      <w:pPr>
        <w:pStyle w:val="Sraopastraipa"/>
        <w:numPr>
          <w:ilvl w:val="0"/>
          <w:numId w:val="46"/>
        </w:numPr>
        <w:jc w:val="both"/>
        <w:rPr>
          <w:rFonts w:ascii="Georgia" w:hAnsi="Georgia"/>
          <w:sz w:val="20"/>
          <w:szCs w:val="20"/>
          <w:lang w:val="lt-LT"/>
        </w:rPr>
      </w:pPr>
      <w:r w:rsidRPr="002142B8">
        <w:rPr>
          <w:rFonts w:ascii="Georgia" w:hAnsi="Georgia"/>
          <w:sz w:val="20"/>
          <w:szCs w:val="20"/>
          <w:lang w:val="lt-LT"/>
        </w:rPr>
        <w:t>grąžinant paskolos dalis, turi būti peržiūrima ir garantijos suma taip, kad būtų nuolat laikomasi aukščiau nurodyto 80% limito;</w:t>
      </w:r>
    </w:p>
    <w:p w14:paraId="62B9DDE9" w14:textId="77777777" w:rsidR="00CE5A01" w:rsidRPr="002142B8" w:rsidRDefault="00CE5A01" w:rsidP="00162BF5">
      <w:pPr>
        <w:pStyle w:val="Sraopastraipa"/>
        <w:numPr>
          <w:ilvl w:val="0"/>
          <w:numId w:val="46"/>
        </w:numPr>
        <w:jc w:val="both"/>
        <w:rPr>
          <w:rFonts w:ascii="Georgia" w:hAnsi="Georgia"/>
          <w:sz w:val="20"/>
          <w:szCs w:val="20"/>
          <w:lang w:val="lt-LT"/>
        </w:rPr>
      </w:pPr>
      <w:r w:rsidRPr="002142B8">
        <w:rPr>
          <w:rFonts w:ascii="Georgia" w:hAnsi="Georgia"/>
          <w:sz w:val="20"/>
          <w:szCs w:val="20"/>
          <w:lang w:val="lt-LT"/>
        </w:rPr>
        <w:t>garantija turi būti aiškiai susieta su konkrečia paskola ar paskolomis;</w:t>
      </w:r>
    </w:p>
    <w:p w14:paraId="0F832BFC" w14:textId="77777777" w:rsidR="00CE5A01" w:rsidRPr="002142B8" w:rsidRDefault="00CE5A01" w:rsidP="00162BF5">
      <w:pPr>
        <w:pStyle w:val="Sraopastraipa"/>
        <w:numPr>
          <w:ilvl w:val="0"/>
          <w:numId w:val="46"/>
        </w:numPr>
        <w:jc w:val="both"/>
        <w:rPr>
          <w:rFonts w:ascii="Georgia" w:hAnsi="Georgia"/>
          <w:sz w:val="20"/>
          <w:szCs w:val="20"/>
          <w:lang w:val="lt-LT"/>
        </w:rPr>
      </w:pPr>
      <w:r w:rsidRPr="002142B8">
        <w:rPr>
          <w:rFonts w:ascii="Georgia" w:hAnsi="Georgia"/>
          <w:sz w:val="20"/>
          <w:szCs w:val="20"/>
          <w:lang w:val="lt-LT"/>
        </w:rPr>
        <w:t>pagal garantijos sąlygas, valstybei negali būti priskirta pirmojo praradimo riziką, pagal kurią pirmieji netekimai, jeigu negrąžinama paskola, atitektų valstybei;</w:t>
      </w:r>
    </w:p>
    <w:p w14:paraId="363B0B16" w14:textId="77777777" w:rsidR="00CE5A01" w:rsidRPr="002142B8" w:rsidRDefault="00CE5A01" w:rsidP="00162BF5">
      <w:pPr>
        <w:pStyle w:val="Sraopastraipa"/>
        <w:numPr>
          <w:ilvl w:val="0"/>
          <w:numId w:val="46"/>
        </w:numPr>
        <w:jc w:val="both"/>
        <w:rPr>
          <w:rFonts w:ascii="Georgia" w:hAnsi="Georgia"/>
          <w:sz w:val="20"/>
          <w:szCs w:val="20"/>
          <w:lang w:val="lt-LT"/>
        </w:rPr>
      </w:pPr>
      <w:r w:rsidRPr="002142B8">
        <w:rPr>
          <w:rFonts w:ascii="Georgia" w:hAnsi="Georgia"/>
          <w:sz w:val="20"/>
          <w:szCs w:val="20"/>
          <w:lang w:val="lt-LT"/>
        </w:rPr>
        <w:t>garantijos įmoka turi atitikti rinkos sąlygas, tai yra nustatoma atsižvelgiant į paskolos trukmę, skolininko finansinę situaciją, užstato dydį ir kitus ekonominius veiksnius. Kitaip tariant, vieningos garantijos įmokos nustatymas visoms paskoloms, kurios yra išduodamos pagal įgyvendinamą finansinę priemonę, pažeis valstybės pagalbos teikimo reikalavimus;</w:t>
      </w:r>
    </w:p>
    <w:p w14:paraId="122508BC" w14:textId="77777777" w:rsidR="00CE5A01" w:rsidRPr="002142B8" w:rsidRDefault="00CE5A01" w:rsidP="00162BF5">
      <w:pPr>
        <w:pStyle w:val="Sraopastraipa"/>
        <w:numPr>
          <w:ilvl w:val="0"/>
          <w:numId w:val="46"/>
        </w:numPr>
        <w:jc w:val="both"/>
        <w:rPr>
          <w:rFonts w:ascii="Georgia" w:hAnsi="Georgia"/>
          <w:sz w:val="20"/>
          <w:szCs w:val="20"/>
          <w:lang w:val="lt-LT"/>
        </w:rPr>
      </w:pPr>
      <w:r w:rsidRPr="002142B8">
        <w:rPr>
          <w:rFonts w:ascii="Georgia" w:hAnsi="Georgia"/>
          <w:sz w:val="20"/>
          <w:szCs w:val="20"/>
          <w:lang w:val="lt-LT"/>
        </w:rPr>
        <w:t>vykdant garantijų schemą, turi būti tinkamai atsižvelgta į palūkanų normą, nesusijusią su priimama rizika</w:t>
      </w:r>
      <w:r w:rsidRPr="002142B8">
        <w:rPr>
          <w:rStyle w:val="Puslapioinaosnuoroda"/>
          <w:rFonts w:ascii="Georgia" w:hAnsi="Georgia"/>
          <w:sz w:val="20"/>
          <w:szCs w:val="20"/>
          <w:lang w:val="lt-LT"/>
        </w:rPr>
        <w:footnoteReference w:id="158"/>
      </w:r>
      <w:r w:rsidRPr="002142B8">
        <w:rPr>
          <w:rFonts w:ascii="Georgia" w:hAnsi="Georgia"/>
          <w:sz w:val="20"/>
          <w:szCs w:val="20"/>
          <w:lang w:val="lt-LT"/>
        </w:rPr>
        <w:t>.</w:t>
      </w:r>
    </w:p>
    <w:p w14:paraId="31CCE18D" w14:textId="77777777" w:rsidR="00CE5A01" w:rsidRPr="002142B8" w:rsidRDefault="00CE5A01" w:rsidP="00CE5A01">
      <w:pPr>
        <w:jc w:val="both"/>
        <w:rPr>
          <w:rFonts w:ascii="Georgia" w:hAnsi="Georgia"/>
          <w:sz w:val="20"/>
          <w:szCs w:val="20"/>
          <w:lang w:val="lt-LT"/>
        </w:rPr>
      </w:pPr>
    </w:p>
    <w:p w14:paraId="1BF59C1E"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Centrinės valdžios pastatų bei gatvių apšvietimo taškų savininkai/valdytojai</w:t>
      </w:r>
    </w:p>
    <w:p w14:paraId="3872DFB9"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Centrinės valdžios pastatų savininkai/valdytojai yra laikytini juridiniais asmenimis, kurie paprastai nevykdo ekonominės veiklos, tai yra nėra ūkio subjektai valstybės pagalbos taisyklių taikymo požiūriu. </w:t>
      </w:r>
    </w:p>
    <w:p w14:paraId="29FD9838"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lastRenderedPageBreak/>
        <w:t>Įgyvendinant priemonę, siūloma užtikrinti, kad prieš pradedant įgyvendinti projektą būtų įsitikinta, kad juridinis asmuo nevykdo ekonominės veiklos, kadangi priešingu atveju gali atsirasti valstybės pagalbos rizika.</w:t>
      </w:r>
    </w:p>
    <w:p w14:paraId="00C57849"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Centrinės valdžios pastatuose įsikūrę ir paslaugas teikiantys ūkio subjektai</w:t>
      </w:r>
    </w:p>
    <w:p w14:paraId="32A43720"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Centrinės valdžios pastatuose įsikūrę ir paslaugas teikiantys ūkio subjektai laikytini ekonominę veiklą vykdančiais ūkio subjektais valstybės pagalbos taisyklių požiūriu, tai yra centrinės valdžios pastato renovacijos projekto dėka sumažėtų šių asmenų įprastinės veiklos sąnaudos, kas yra laikytina ekonominiu pranašumu, todėl šių asmenų atžvilgiu turi būti atliktas priemonės įgyvendinimo suderinamumo vertinimas.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14:paraId="60E39FB7" w14:textId="77777777" w:rsidR="00CE5A01" w:rsidRPr="002142B8" w:rsidRDefault="00CE5A01" w:rsidP="00CE5A01">
      <w:pPr>
        <w:pStyle w:val="Sraopastraipa"/>
        <w:keepNext/>
        <w:ind w:left="0"/>
        <w:jc w:val="both"/>
        <w:rPr>
          <w:rFonts w:ascii="Georgia" w:hAnsi="Georgia"/>
          <w:b/>
          <w:sz w:val="20"/>
          <w:szCs w:val="20"/>
          <w:lang w:val="lt-LT"/>
        </w:rPr>
      </w:pPr>
      <w:r w:rsidRPr="002142B8">
        <w:rPr>
          <w:rFonts w:ascii="Georgia" w:hAnsi="Georgia"/>
          <w:b/>
          <w:sz w:val="20"/>
          <w:szCs w:val="20"/>
          <w:lang w:val="lt-LT"/>
        </w:rPr>
        <w:t>Komerciniai bankai ar kitos kredito įstaigos</w:t>
      </w:r>
    </w:p>
    <w:p w14:paraId="177313B3" w14:textId="77777777" w:rsidR="00CE5A01" w:rsidRPr="002142B8" w:rsidRDefault="00CE5A01" w:rsidP="00CE5A01">
      <w:pPr>
        <w:pStyle w:val="Sraopastraipa"/>
        <w:keepNext/>
        <w:ind w:left="0"/>
        <w:jc w:val="both"/>
        <w:rPr>
          <w:rFonts w:ascii="Georgia" w:hAnsi="Georgia"/>
          <w:sz w:val="20"/>
          <w:szCs w:val="20"/>
          <w:lang w:val="lt-LT"/>
        </w:rPr>
      </w:pPr>
    </w:p>
    <w:p w14:paraId="34C77E83" w14:textId="77777777" w:rsidR="00CE5A01" w:rsidRPr="002142B8" w:rsidRDefault="00CE5A01" w:rsidP="00CE5A01">
      <w:pPr>
        <w:pStyle w:val="Sraopastraipa"/>
        <w:keepNext/>
        <w:ind w:left="0"/>
        <w:jc w:val="both"/>
        <w:rPr>
          <w:rFonts w:ascii="Georgia" w:hAnsi="Georgia"/>
          <w:sz w:val="20"/>
          <w:szCs w:val="20"/>
          <w:lang w:val="lt-LT"/>
        </w:rPr>
      </w:pPr>
      <w:r w:rsidRPr="002142B8">
        <w:rPr>
          <w:rFonts w:ascii="Georgia" w:hAnsi="Georgia"/>
          <w:sz w:val="20"/>
          <w:szCs w:val="20"/>
          <w:lang w:val="lt-LT"/>
        </w:rPr>
        <w:t>Pagal numatomą įgyvendinti mechanizmą, kredito įstaigos dalyvaus finansinės priemonės įgyvendinime, teikiant paskolas rinkos sąlygomis galutiniams naudos gavėjams (gatvių apšvietimo taškų savininkams/valdytojams) arba ESCO įmonei, kuri perteikia naudą galutiniam gavėjui.</w:t>
      </w:r>
    </w:p>
    <w:p w14:paraId="644D422D" w14:textId="77777777" w:rsidR="00CE5A01" w:rsidRPr="002142B8" w:rsidRDefault="00CE5A01" w:rsidP="00CE5A01">
      <w:pPr>
        <w:jc w:val="both"/>
        <w:rPr>
          <w:rFonts w:ascii="Georgia" w:hAnsi="Georgia"/>
          <w:b/>
          <w:sz w:val="20"/>
          <w:szCs w:val="20"/>
          <w:lang w:val="lt-LT"/>
        </w:rPr>
      </w:pPr>
      <w:r w:rsidRPr="002142B8">
        <w:rPr>
          <w:rFonts w:ascii="Georgia" w:hAnsi="Georgia"/>
          <w:sz w:val="20"/>
          <w:szCs w:val="20"/>
          <w:lang w:val="lt-LT"/>
        </w:rPr>
        <w:t>Jeigu yra laikomasi aukščiau nurodytų garantijos suteikimo ir įmokų nustatymo sąlygų, skolintojams neatsiranda nauda dėl finansinės priemonės įgyvendinimo, todėl nėra suteikiamas ir ekonominis pranašumas</w:t>
      </w:r>
    </w:p>
    <w:p w14:paraId="02F0A958" w14:textId="77777777" w:rsidR="00CE5A01" w:rsidRPr="002142B8" w:rsidRDefault="00CE5A01" w:rsidP="00CE5A01">
      <w:pPr>
        <w:jc w:val="both"/>
        <w:rPr>
          <w:rFonts w:ascii="Georgia" w:hAnsi="Georgia"/>
          <w:b/>
          <w:sz w:val="20"/>
          <w:szCs w:val="20"/>
          <w:lang w:val="lt-LT"/>
        </w:rPr>
      </w:pPr>
      <w:r w:rsidRPr="002142B8">
        <w:rPr>
          <w:rFonts w:ascii="Georgia" w:hAnsi="Georgia"/>
          <w:b/>
          <w:sz w:val="20"/>
          <w:szCs w:val="20"/>
          <w:lang w:val="lt-LT"/>
        </w:rPr>
        <w:t>Rangos darbus vykdantys ūkio subjektai</w:t>
      </w:r>
    </w:p>
    <w:p w14:paraId="659D4525"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Pagal numatomą mechanizmą, rangos darbus vykdantys ūkio subjektai bus parenkami Lietuvos Respublikos viešųjų pirkimų įstatymo nustatyta tvarka, tai yra atvira, skaidria, nediskriminacine ir objektyvia tvarka, todėl pagal analogiją taikant Rizikos kapitalo gairių 40 p., valstybės pagalba šiems subjektams nebūtų teikiama, kadangi būtų laikomasi rinkos investuotojo kriterijaus (nesuteikiamas ekonominis pranašumas). </w:t>
      </w:r>
    </w:p>
    <w:p w14:paraId="5D7294C7"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Apibendrinant analizę pagal tikslines grupes, darytina išvada, kad didžiausia valstybės pagalbos teikimo rizika kyla centrinės valdžios pastatuose įsikūrusių ūkinę-ekonominę veiklą vykdančių subjektų atžvilgiu, taip pat, nesilaikant Rizikos kapitalo gairėse nustatytų reikalavimų ir apribojimų, fondo valdytojo ir finansinių tarpininkų atžvilgiu. </w:t>
      </w:r>
    </w:p>
    <w:p w14:paraId="0FC27C33" w14:textId="77777777" w:rsidR="00CE5A01" w:rsidRPr="002142B8" w:rsidRDefault="00CE5A01" w:rsidP="00CE5A01">
      <w:pPr>
        <w:jc w:val="both"/>
        <w:rPr>
          <w:rFonts w:ascii="Georgia" w:hAnsi="Georgia"/>
          <w:sz w:val="20"/>
          <w:szCs w:val="20"/>
          <w:lang w:val="lt-LT"/>
        </w:rPr>
      </w:pPr>
      <w:r w:rsidRPr="002142B8">
        <w:rPr>
          <w:rFonts w:ascii="Georgia" w:hAnsi="Georgia"/>
          <w:sz w:val="20"/>
          <w:szCs w:val="20"/>
          <w:lang w:val="lt-LT"/>
        </w:rPr>
        <w:t xml:space="preserve">Tuo atveju, jei identifikuojama valstybės pagalbos teikimo rizika, reikia vertinti, ar parama atitinka de minimis reikalavimus, </w:t>
      </w:r>
      <w:r w:rsidRPr="002A53E7">
        <w:rPr>
          <w:rFonts w:ascii="Georgia" w:hAnsi="Georgia"/>
          <w:sz w:val="20"/>
          <w:szCs w:val="20"/>
          <w:lang w:val="lt-LT"/>
        </w:rPr>
        <w:t>Bendrosios išimties</w:t>
      </w:r>
      <w:r w:rsidRPr="002142B8">
        <w:rPr>
          <w:rFonts w:ascii="Georgia" w:hAnsi="Georgia"/>
          <w:sz w:val="20"/>
          <w:szCs w:val="20"/>
          <w:lang w:val="lt-LT"/>
        </w:rPr>
        <w:t xml:space="preserve"> reglamentą, ir, esant poreikiui, standartines sąlygas (off-the-shelf instrument), atsižvelgiant į priemonės tikslus ir sektorių. Pabrėžtina, kad pasirinkto finansinės priemonės įgyvendinimo būdo ir sandaros vertinimo valstybės pagalbos taisyklių kontekste rezultatai gali pasikeisti, jeigu bus pakeista priemonės sandara (būdas), kas reikalautų papildomai įvertinti pakeitimų įtaką valstybės pagalbos vertinimo rezultatams.</w:t>
      </w:r>
    </w:p>
    <w:p w14:paraId="191FB2BA" w14:textId="41AFDBDF" w:rsidR="00F338B2" w:rsidRPr="002142B8" w:rsidRDefault="00F338B2" w:rsidP="00575FB0">
      <w:pPr>
        <w:pStyle w:val="Antrat2"/>
        <w:numPr>
          <w:ilvl w:val="2"/>
          <w:numId w:val="2"/>
        </w:numPr>
        <w:spacing w:after="240"/>
        <w:ind w:left="709"/>
        <w:rPr>
          <w:lang w:val="lt-LT"/>
        </w:rPr>
      </w:pPr>
      <w:bookmarkStart w:id="305" w:name="_Toc25589947"/>
      <w:r w:rsidRPr="002142B8">
        <w:rPr>
          <w:lang w:val="lt-LT"/>
        </w:rPr>
        <w:t xml:space="preserve">Daugiabučių </w:t>
      </w:r>
      <w:r w:rsidR="0078047C" w:rsidRPr="002142B8">
        <w:rPr>
          <w:lang w:val="lt-LT"/>
        </w:rPr>
        <w:t xml:space="preserve">namų </w:t>
      </w:r>
      <w:r w:rsidRPr="002142B8">
        <w:rPr>
          <w:lang w:val="lt-LT"/>
        </w:rPr>
        <w:t>renovacijos finansinių priemonių vertinimas</w:t>
      </w:r>
      <w:bookmarkEnd w:id="305"/>
    </w:p>
    <w:p w14:paraId="3BA79C54" w14:textId="77777777" w:rsidR="009A3A62" w:rsidRPr="002142B8" w:rsidRDefault="009A3A62" w:rsidP="00575FB0">
      <w:pPr>
        <w:jc w:val="both"/>
        <w:rPr>
          <w:rFonts w:ascii="Georgia" w:hAnsi="Georgia"/>
          <w:sz w:val="20"/>
          <w:szCs w:val="20"/>
          <w:lang w:val="lt-LT"/>
        </w:rPr>
      </w:pPr>
      <w:r w:rsidRPr="002142B8">
        <w:rPr>
          <w:rFonts w:ascii="Georgia" w:hAnsi="Georgia"/>
          <w:sz w:val="20"/>
          <w:szCs w:val="20"/>
          <w:lang w:val="lt-LT"/>
        </w:rPr>
        <w:t>Šiame skyriuje nagrinėjama pasirinkta</w:t>
      </w:r>
      <w:r w:rsidR="00575FB0" w:rsidRPr="002142B8">
        <w:rPr>
          <w:rFonts w:ascii="Georgia" w:hAnsi="Georgia"/>
          <w:sz w:val="20"/>
          <w:szCs w:val="20"/>
          <w:lang w:val="lt-LT"/>
        </w:rPr>
        <w:t xml:space="preserve"> daugiabučių </w:t>
      </w:r>
      <w:r w:rsidRPr="002142B8">
        <w:rPr>
          <w:rFonts w:ascii="Georgia" w:hAnsi="Georgia"/>
          <w:sz w:val="20"/>
          <w:szCs w:val="20"/>
          <w:lang w:val="lt-LT"/>
        </w:rPr>
        <w:t>namų renovacijos finansinės priemonės įgyvendinimo</w:t>
      </w:r>
      <w:r w:rsidR="00575FB0" w:rsidRPr="002142B8">
        <w:rPr>
          <w:rFonts w:ascii="Georgia" w:hAnsi="Georgia"/>
          <w:sz w:val="20"/>
          <w:szCs w:val="20"/>
          <w:lang w:val="lt-LT"/>
        </w:rPr>
        <w:t xml:space="preserve"> alternatyva. </w:t>
      </w:r>
    </w:p>
    <w:p w14:paraId="0C15C3DE" w14:textId="77777777" w:rsidR="0047468E" w:rsidRDefault="0047468E">
      <w:pPr>
        <w:rPr>
          <w:rFonts w:ascii="Georgia" w:hAnsi="Georgia"/>
          <w:sz w:val="20"/>
          <w:szCs w:val="20"/>
          <w:lang w:val="lt-LT"/>
        </w:rPr>
      </w:pPr>
      <w:r>
        <w:rPr>
          <w:rFonts w:ascii="Georgia" w:hAnsi="Georgia"/>
          <w:sz w:val="20"/>
          <w:szCs w:val="20"/>
          <w:lang w:val="lt-LT"/>
        </w:rPr>
        <w:br w:type="page"/>
      </w:r>
    </w:p>
    <w:p w14:paraId="6451536F" w14:textId="171141CB"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lastRenderedPageBreak/>
        <w:t>Būtina nurodyti, kad:</w:t>
      </w:r>
    </w:p>
    <w:p w14:paraId="1EFAB91F" w14:textId="77777777" w:rsidR="00575FB0" w:rsidRPr="002142B8" w:rsidRDefault="00575FB0" w:rsidP="00575FB0">
      <w:pPr>
        <w:pStyle w:val="Sraopastraipa"/>
        <w:numPr>
          <w:ilvl w:val="0"/>
          <w:numId w:val="163"/>
        </w:numPr>
        <w:ind w:left="709"/>
        <w:jc w:val="both"/>
        <w:rPr>
          <w:rFonts w:ascii="Georgia" w:hAnsi="Georgia"/>
          <w:sz w:val="20"/>
          <w:szCs w:val="20"/>
          <w:lang w:val="lt-LT"/>
        </w:rPr>
      </w:pPr>
      <w:r w:rsidRPr="002142B8">
        <w:rPr>
          <w:rFonts w:ascii="Georgia" w:hAnsi="Georgia"/>
          <w:sz w:val="20"/>
          <w:szCs w:val="20"/>
          <w:lang w:val="lt-LT"/>
        </w:rPr>
        <w:t>Kaip nurodyta 5.1. skyriuje apibūdinant bendruosius valstybės pagalbos požymius, numatomų įgyvendinti finansinių priemonių kontekste išskirtini ir vertintini visi priemonės įgyvendinime dalyvaujantys fiziniai ir juridiniai asmenys, kurie atitinka ūkio subjekto apibrėžimą, tai yra vykdo ekonominę veiklą, tiekdami prekes ir (arba) teikdami paslaugas. Pabrėžtina, kad ūkio subjektu gali būti laikomi keli juridiniai asmenys, o ekonominė veikla gali būti ir nedidelė visos ūkio subjekto vykdomos veiklos (pvz., neekonominės viešojo administravimo veiklos) dalis;</w:t>
      </w:r>
    </w:p>
    <w:p w14:paraId="139C8E0A" w14:textId="77777777" w:rsidR="00575FB0" w:rsidRPr="002142B8" w:rsidRDefault="00575FB0" w:rsidP="00575FB0">
      <w:pPr>
        <w:pStyle w:val="Sraopastraipa"/>
        <w:numPr>
          <w:ilvl w:val="0"/>
          <w:numId w:val="163"/>
        </w:numPr>
        <w:ind w:left="709"/>
        <w:jc w:val="both"/>
        <w:rPr>
          <w:rFonts w:ascii="Georgia" w:hAnsi="Georgia"/>
          <w:sz w:val="20"/>
          <w:szCs w:val="20"/>
          <w:lang w:val="lt-LT"/>
        </w:rPr>
      </w:pPr>
      <w:r w:rsidRPr="002142B8">
        <w:rPr>
          <w:rFonts w:ascii="Georgia" w:hAnsi="Georgia"/>
          <w:sz w:val="20"/>
          <w:szCs w:val="20"/>
          <w:lang w:val="lt-LT"/>
        </w:rPr>
        <w:t>Vertinimas atliekamas tik finansinių priemonių atžvilgiu. Finansinėmis priemonėmis yra laikomos finansinės paramos priemonės, kurios įgyvendinamos remiantis papildomumo principu, siekiant iš anksto apibrėžtų politikos tikslų. Finansinės priemonės gali apimti nuosavo kapitalo investicijas, kvazinuosavo kapitalo investicijas, paskolas, garantijas, taip pat kitas rizikos pasidalinimo priemones. Finansinių priemonių įgyvendinimas gali būti susietas su subsidijų teikimu (negrąžintina subsidija, paskolų palūkanų kompensavimas), tačiau šiame dokumente vertinimas yra atliekamas tik finansinių priemonių atžvilgiu. Kitaip tariant, vertinimas neapima planuojamų subsidijų skyrimo procese dalyvaujančių asmenų ir jiems daromos įtakos.</w:t>
      </w:r>
    </w:p>
    <w:p w14:paraId="7801DCD0" w14:textId="2F622766" w:rsidR="00575FB0" w:rsidRPr="002142B8" w:rsidRDefault="00575FB0" w:rsidP="009A3A62">
      <w:pPr>
        <w:jc w:val="both"/>
        <w:rPr>
          <w:rFonts w:ascii="Georgia" w:hAnsi="Georgia"/>
          <w:sz w:val="20"/>
          <w:szCs w:val="20"/>
          <w:lang w:val="lt-LT"/>
        </w:rPr>
      </w:pPr>
      <w:r w:rsidRPr="002142B8">
        <w:rPr>
          <w:rFonts w:ascii="Georgia" w:hAnsi="Georgia"/>
          <w:sz w:val="20"/>
          <w:szCs w:val="20"/>
          <w:lang w:val="lt-LT"/>
        </w:rPr>
        <w:t xml:space="preserve">Daugiabučių </w:t>
      </w:r>
      <w:r w:rsidR="009A3A62" w:rsidRPr="002142B8">
        <w:rPr>
          <w:rFonts w:ascii="Georgia" w:hAnsi="Georgia"/>
          <w:sz w:val="20"/>
          <w:szCs w:val="20"/>
          <w:lang w:val="lt-LT"/>
        </w:rPr>
        <w:t xml:space="preserve">namų </w:t>
      </w:r>
      <w:r w:rsidRPr="002142B8">
        <w:rPr>
          <w:rFonts w:ascii="Georgia" w:hAnsi="Georgia"/>
          <w:sz w:val="20"/>
          <w:szCs w:val="20"/>
          <w:lang w:val="lt-LT"/>
        </w:rPr>
        <w:t>renovacijai, pagal alternatyvų vertinimo rezultatus, yra pasirinktas lengvatinės paskolos finansinės priemonės bei subsidijos taikymo derinys, steigiant juridinio asmens statusą turintį fondą.</w:t>
      </w:r>
    </w:p>
    <w:p w14:paraId="7A8106D4"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Įgyvendinant priemonę, dalyvauja šie ūkio subjektai:</w:t>
      </w:r>
    </w:p>
    <w:p w14:paraId="42EFE92D" w14:textId="03BB0D2C"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F</w:t>
      </w:r>
      <w:r w:rsidR="00575FB0" w:rsidRPr="002142B8">
        <w:rPr>
          <w:rFonts w:ascii="Georgia" w:hAnsi="Georgia"/>
          <w:sz w:val="20"/>
          <w:szCs w:val="20"/>
          <w:lang w:val="lt-LT"/>
        </w:rPr>
        <w:t>ondo steigimui reikalingą finansavimą suteikiančios bei investiciniame komitete dalyvaujančios viešosios institucijos (Lietuvos Respublikos aplinkos ministerija, Lietuvos Respublikos finansų ministerija);</w:t>
      </w:r>
    </w:p>
    <w:p w14:paraId="08D14E6D" w14:textId="4482D790"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F</w:t>
      </w:r>
      <w:r w:rsidR="00575FB0" w:rsidRPr="002142B8">
        <w:rPr>
          <w:rFonts w:ascii="Georgia" w:hAnsi="Georgia"/>
          <w:sz w:val="20"/>
          <w:szCs w:val="20"/>
          <w:lang w:val="lt-LT"/>
        </w:rPr>
        <w:t>ondo valdytojas, kuris vykdo fondo valdymo investicinio komiteto pavedimus, teikia fondo valdymo paslaugas nurodytoms viešosioms institucijoms ir investuotojams, valdydamas fondą, taip pat gaudamas fondo valdymo mokestį;</w:t>
      </w:r>
    </w:p>
    <w:p w14:paraId="60BA4E5D" w14:textId="09513120"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P</w:t>
      </w:r>
      <w:r w:rsidR="00575FB0" w:rsidRPr="002142B8">
        <w:rPr>
          <w:rFonts w:ascii="Georgia" w:hAnsi="Georgia"/>
          <w:sz w:val="20"/>
          <w:szCs w:val="20"/>
          <w:lang w:val="lt-LT"/>
        </w:rPr>
        <w:t>rivatūs instituciniai bei profesionalūs investuotojai;</w:t>
      </w:r>
    </w:p>
    <w:p w14:paraId="665D2A69" w14:textId="25C344C1"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F</w:t>
      </w:r>
      <w:r w:rsidR="00575FB0" w:rsidRPr="002142B8">
        <w:rPr>
          <w:rFonts w:ascii="Georgia" w:hAnsi="Georgia"/>
          <w:sz w:val="20"/>
          <w:szCs w:val="20"/>
          <w:lang w:val="lt-LT"/>
        </w:rPr>
        <w:t>ondas (kaip atskiras juridinis asmuo);</w:t>
      </w:r>
    </w:p>
    <w:p w14:paraId="1F30FC2D" w14:textId="1110108D"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Į</w:t>
      </w:r>
      <w:r w:rsidR="00575FB0" w:rsidRPr="002142B8">
        <w:rPr>
          <w:rFonts w:ascii="Georgia" w:hAnsi="Georgia"/>
          <w:sz w:val="20"/>
          <w:szCs w:val="20"/>
          <w:lang w:val="lt-LT"/>
        </w:rPr>
        <w:t>gyvendinant priemonę, numatoma galimybė pasitelkti finansinius tarpininkus, kurie vykdytų finansavimo nukreipimo konkretiems projektams funkciją;</w:t>
      </w:r>
    </w:p>
    <w:p w14:paraId="354711C1" w14:textId="6DACAE20"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D</w:t>
      </w:r>
      <w:r w:rsidR="00575FB0" w:rsidRPr="002142B8">
        <w:rPr>
          <w:rFonts w:ascii="Georgia" w:hAnsi="Georgia"/>
          <w:sz w:val="20"/>
          <w:szCs w:val="20"/>
          <w:lang w:val="lt-LT"/>
        </w:rPr>
        <w:t>augiabučių namų bendrijos, taip pat daugiabučių namų administratoriai.</w:t>
      </w:r>
    </w:p>
    <w:p w14:paraId="0280F6ED" w14:textId="006E78F7"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D</w:t>
      </w:r>
      <w:r w:rsidR="00575FB0" w:rsidRPr="002142B8">
        <w:rPr>
          <w:rFonts w:ascii="Georgia" w:hAnsi="Georgia"/>
          <w:sz w:val="20"/>
          <w:szCs w:val="20"/>
          <w:lang w:val="lt-LT"/>
        </w:rPr>
        <w:t>augiabučių namų gyventojai (fiziniai asmenys), taip pat daugiabučių namų butuose įsikūrę juridiniai asmenys;</w:t>
      </w:r>
    </w:p>
    <w:p w14:paraId="288DA576" w14:textId="10773C16" w:rsidR="00575FB0" w:rsidRPr="002142B8" w:rsidRDefault="00351DC3" w:rsidP="00575FB0">
      <w:pPr>
        <w:pStyle w:val="Sraopastraipa"/>
        <w:numPr>
          <w:ilvl w:val="0"/>
          <w:numId w:val="164"/>
        </w:numPr>
        <w:ind w:left="709"/>
        <w:jc w:val="both"/>
        <w:rPr>
          <w:rFonts w:ascii="Georgia" w:hAnsi="Georgia"/>
          <w:sz w:val="20"/>
          <w:szCs w:val="20"/>
          <w:lang w:val="lt-LT"/>
        </w:rPr>
      </w:pPr>
      <w:r w:rsidRPr="002142B8">
        <w:rPr>
          <w:rFonts w:ascii="Georgia" w:hAnsi="Georgia"/>
          <w:sz w:val="20"/>
          <w:szCs w:val="20"/>
          <w:lang w:val="lt-LT"/>
        </w:rPr>
        <w:t>R</w:t>
      </w:r>
      <w:r w:rsidR="00575FB0" w:rsidRPr="002142B8">
        <w:rPr>
          <w:rFonts w:ascii="Georgia" w:hAnsi="Georgia"/>
          <w:sz w:val="20"/>
          <w:szCs w:val="20"/>
          <w:lang w:val="lt-LT"/>
        </w:rPr>
        <w:t>angos darbus vykdantys ūkio subjektai.</w:t>
      </w:r>
    </w:p>
    <w:p w14:paraId="5D115EA8" w14:textId="77777777" w:rsidR="00575FB0" w:rsidRPr="002142B8" w:rsidRDefault="00575FB0" w:rsidP="00575FB0">
      <w:pPr>
        <w:jc w:val="both"/>
        <w:rPr>
          <w:rFonts w:ascii="Georgia" w:hAnsi="Georgia"/>
          <w:sz w:val="20"/>
          <w:szCs w:val="20"/>
          <w:lang w:val="lt-LT"/>
        </w:rPr>
      </w:pPr>
    </w:p>
    <w:p w14:paraId="7E694C1D" w14:textId="77777777" w:rsidR="00575FB0" w:rsidRPr="002142B8" w:rsidRDefault="00575FB0" w:rsidP="00575FB0">
      <w:pPr>
        <w:pStyle w:val="Antrat2"/>
        <w:numPr>
          <w:ilvl w:val="3"/>
          <w:numId w:val="2"/>
        </w:numPr>
        <w:rPr>
          <w:lang w:val="lt-LT"/>
        </w:rPr>
      </w:pPr>
      <w:bookmarkStart w:id="306" w:name="_Toc25589948"/>
      <w:r w:rsidRPr="002142B8">
        <w:rPr>
          <w:lang w:val="lt-LT"/>
        </w:rPr>
        <w:t>Priemonės įgyvendinimo mechanizmo klasifikavimas</w:t>
      </w:r>
      <w:bookmarkEnd w:id="306"/>
    </w:p>
    <w:p w14:paraId="2899E2C2" w14:textId="77777777" w:rsidR="00575FB0" w:rsidRPr="002142B8" w:rsidRDefault="00575FB0" w:rsidP="00575FB0">
      <w:pPr>
        <w:jc w:val="both"/>
        <w:rPr>
          <w:rFonts w:ascii="Georgia" w:hAnsi="Georgia"/>
          <w:sz w:val="20"/>
          <w:szCs w:val="20"/>
          <w:lang w:val="lt-LT"/>
        </w:rPr>
      </w:pPr>
    </w:p>
    <w:p w14:paraId="329CE772"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4867D861" w14:textId="77777777" w:rsidR="00575FB0" w:rsidRPr="002142B8" w:rsidRDefault="00575FB0" w:rsidP="00575FB0">
      <w:pPr>
        <w:jc w:val="both"/>
        <w:rPr>
          <w:rFonts w:ascii="Georgia" w:hAnsi="Georgia"/>
          <w:sz w:val="20"/>
          <w:szCs w:val="20"/>
          <w:lang w:val="lt-LT"/>
        </w:rPr>
      </w:pPr>
      <w:r w:rsidRPr="002142B8">
        <w:rPr>
          <w:rFonts w:ascii="Georgia" w:hAnsi="Georgia"/>
          <w:b/>
          <w:sz w:val="20"/>
          <w:szCs w:val="20"/>
          <w:lang w:val="lt-LT"/>
        </w:rPr>
        <w:t>Fondo steigimui reikalingą finansavimą suteikiančios viešosios institucijos</w:t>
      </w:r>
    </w:p>
    <w:p w14:paraId="52E4E484"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 xml:space="preserve">Lietuvos Respublikos aplinkos ministerija bei Lietuvos Respublikos finansų ministerija, vykdydamos jiems pavestas funkcijas pagal Bendrųjų nuostatų reglamento reikalavimus, taip pat pagal Lietuvos Respublikos biudžeto sandaros įstatymo, Projektų administravimo ir finansavimo taisyklių nuostatas, </w:t>
      </w:r>
      <w:r w:rsidRPr="002142B8">
        <w:rPr>
          <w:rFonts w:ascii="Georgia" w:hAnsi="Georgia"/>
          <w:sz w:val="20"/>
          <w:szCs w:val="20"/>
          <w:lang w:val="lt-LT"/>
        </w:rPr>
        <w:lastRenderedPageBreak/>
        <w:t>vykdo tik viešąsias funkcijas, tai yra šios finansinės priemonės kontekste vykdo neekonominę veiklą bei negali būti laikomi ūkio subjektais.</w:t>
      </w:r>
    </w:p>
    <w:p w14:paraId="321F8FA5"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7FD671CC" w14:textId="77777777" w:rsidR="00575FB0" w:rsidRPr="002142B8" w:rsidRDefault="00575FB0" w:rsidP="00575FB0">
      <w:pPr>
        <w:jc w:val="both"/>
        <w:rPr>
          <w:rFonts w:ascii="Georgia" w:hAnsi="Georgia"/>
          <w:sz w:val="20"/>
          <w:szCs w:val="20"/>
          <w:lang w:val="lt-LT"/>
        </w:rPr>
      </w:pPr>
      <w:r w:rsidRPr="002142B8">
        <w:rPr>
          <w:rFonts w:ascii="Georgia" w:hAnsi="Georgia"/>
          <w:b/>
          <w:sz w:val="20"/>
          <w:szCs w:val="20"/>
          <w:lang w:val="lt-LT"/>
        </w:rPr>
        <w:t>Fondo valdytojas</w:t>
      </w:r>
    </w:p>
    <w:p w14:paraId="60D89C8A"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Pagal numatomą mechanizmą, fondo valdytojas turi būti atskiras juridinis asmuo, teikiantis fondo valdymo paslaugas. Pabrėžtina, kad numatoma fondo valdytojo teisinė forma valstybės pagalbos požiūriu nėra svarbus veiksnys, kuris nulemtų valstybės pagalbos buvimą (nebuvimą), tačiau atskiro juridinio asmens įsteigimas nulemia didesnį skaidrumą bei atskaitomybę.</w:t>
      </w:r>
    </w:p>
    <w:p w14:paraId="70FA36AB"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Remiantis Valstybės pagalbos rizikos finansų investicijoms skatinti gairių (toliau – Rizikos finansų gairės) 39 punktu, „</w:t>
      </w:r>
      <w:r w:rsidRPr="002142B8">
        <w:rPr>
          <w:rFonts w:ascii="Georgia" w:hAnsi="Georgia"/>
          <w:i/>
          <w:sz w:val="20"/>
          <w:szCs w:val="20"/>
          <w:lang w:val="lt-LT"/>
        </w:rPr>
        <w:t>jeigu rizikos finansų priemonę valdo įgaliotasis subjektas, bet šis subjektas neinvestuoja kartu su valstybe nare, įgaliotasis subjektas laikomas finansavimo nukreipimo 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2142B8">
        <w:rPr>
          <w:rFonts w:ascii="Georgia" w:hAnsi="Georgia"/>
          <w:sz w:val="20"/>
          <w:szCs w:val="20"/>
          <w:lang w:val="lt-LT"/>
        </w:rPr>
        <w:t>.“</w:t>
      </w:r>
    </w:p>
    <w:p w14:paraId="4A102479"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14:paraId="68541497" w14:textId="77777777" w:rsidR="00575FB0" w:rsidRPr="002142B8" w:rsidRDefault="00575FB0" w:rsidP="00575FB0">
      <w:pPr>
        <w:pStyle w:val="Sraopastraipa"/>
        <w:numPr>
          <w:ilvl w:val="0"/>
          <w:numId w:val="44"/>
        </w:numPr>
        <w:jc w:val="both"/>
        <w:rPr>
          <w:rFonts w:ascii="Georgia" w:hAnsi="Georgia"/>
          <w:sz w:val="20"/>
          <w:szCs w:val="20"/>
          <w:lang w:val="lt-LT"/>
        </w:rPr>
      </w:pPr>
      <w:r w:rsidRPr="002142B8">
        <w:rPr>
          <w:rFonts w:ascii="Georgia" w:hAnsi="Georgia"/>
          <w:sz w:val="20"/>
          <w:szCs w:val="20"/>
          <w:lang w:val="lt-LT"/>
        </w:rPr>
        <w:t>įgaliotasis subjektas negali investuoti kartu su viešuoju sektoriumi,</w:t>
      </w:r>
    </w:p>
    <w:p w14:paraId="7CA6CE80" w14:textId="77777777" w:rsidR="00575FB0" w:rsidRPr="002142B8" w:rsidRDefault="00575FB0" w:rsidP="00575FB0">
      <w:pPr>
        <w:pStyle w:val="Sraopastraipa"/>
        <w:numPr>
          <w:ilvl w:val="0"/>
          <w:numId w:val="44"/>
        </w:numPr>
        <w:jc w:val="both"/>
        <w:rPr>
          <w:rFonts w:ascii="Georgia" w:hAnsi="Georgia"/>
          <w:sz w:val="20"/>
          <w:szCs w:val="20"/>
          <w:lang w:val="lt-LT"/>
        </w:rPr>
      </w:pPr>
      <w:r w:rsidRPr="002142B8">
        <w:rPr>
          <w:rFonts w:ascii="Georgia" w:hAnsi="Georgia"/>
          <w:sz w:val="20"/>
          <w:szCs w:val="20"/>
          <w:lang w:val="lt-LT"/>
        </w:rPr>
        <w:t>kompensacija už teikiamas fondo valdymo paslaugas negali būti per didelė.</w:t>
      </w:r>
    </w:p>
    <w:p w14:paraId="264D090D"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Jeigu išpildomos abi sąlygos, valstybės pagalbos rizika yra eliminuojama.</w:t>
      </w:r>
    </w:p>
    <w:p w14:paraId="7460F7A2"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14:paraId="4708FFBB"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Svarbu, kad fondo valdytoją parinkus atvira, skaidria, nediskriminacine ir objektyvia tvarka, pagal Rizikos finansų gairių 40 p., valstybės pagalba fondo valdytojui nėra teikiama. Tokia pati situacija susidaro, kai fondo valdytojo atlygis visiškai atspindi atitinkamose situacijose mokamus atlygius rinkoje.</w:t>
      </w:r>
    </w:p>
    <w:p w14:paraId="3F4788C4"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 xml:space="preserve">Jeigu fondo valdytojas yra viešasis subjektas ir nėra parinktas atvira, skaidria, nediskriminacine ir objektyvia tvarka (pvz., fondo valdytojas buvo paskirtas atskiru teisės aktu), tam, kad fondo valdytojas nebūtų laikomas valstybės pagalbos gavėju (tai yra tam, kad būtų pripažinta atitiktis aukščiau nurodytam </w:t>
      </w:r>
      <w:r w:rsidRPr="002142B8">
        <w:rPr>
          <w:rFonts w:ascii="Georgia" w:hAnsi="Georgia"/>
          <w:i/>
          <w:sz w:val="20"/>
          <w:szCs w:val="20"/>
          <w:lang w:val="lt-LT"/>
        </w:rPr>
        <w:t>b) ii.</w:t>
      </w:r>
      <w:r w:rsidRPr="002142B8">
        <w:rPr>
          <w:rFonts w:ascii="Georgia" w:hAnsi="Georgia"/>
          <w:sz w:val="20"/>
          <w:szCs w:val="20"/>
          <w:lang w:val="lt-LT"/>
        </w:rPr>
        <w:t xml:space="preserve"> punktui), turi būti įvykdytos šios sąlygos:</w:t>
      </w:r>
    </w:p>
    <w:p w14:paraId="3656AD42" w14:textId="77777777" w:rsidR="00575FB0" w:rsidRPr="002142B8" w:rsidRDefault="00575FB0" w:rsidP="00351DC3">
      <w:pPr>
        <w:pStyle w:val="Sraopastraipa"/>
        <w:numPr>
          <w:ilvl w:val="0"/>
          <w:numId w:val="172"/>
        </w:numPr>
        <w:jc w:val="both"/>
        <w:rPr>
          <w:rFonts w:ascii="Georgia" w:hAnsi="Georgia"/>
          <w:sz w:val="20"/>
          <w:szCs w:val="20"/>
          <w:lang w:val="lt-LT"/>
        </w:rPr>
      </w:pPr>
      <w:r w:rsidRPr="002142B8">
        <w:rPr>
          <w:rFonts w:ascii="Georgia" w:hAnsi="Georgia"/>
          <w:sz w:val="20"/>
          <w:szCs w:val="20"/>
          <w:lang w:val="lt-LT"/>
        </w:rPr>
        <w:t>valdymo mokesčio suma turi būti apribota (turi būti nurodytas maksimalus mokesčio dydis),</w:t>
      </w:r>
    </w:p>
    <w:p w14:paraId="36417F97" w14:textId="77777777" w:rsidR="00575FB0" w:rsidRPr="002142B8" w:rsidRDefault="00575FB0" w:rsidP="00351DC3">
      <w:pPr>
        <w:pStyle w:val="Sraopastraipa"/>
        <w:numPr>
          <w:ilvl w:val="0"/>
          <w:numId w:val="172"/>
        </w:numPr>
        <w:jc w:val="both"/>
        <w:rPr>
          <w:rFonts w:ascii="Georgia" w:hAnsi="Georgia"/>
          <w:sz w:val="20"/>
          <w:szCs w:val="20"/>
          <w:lang w:val="lt-LT"/>
        </w:rPr>
      </w:pPr>
      <w:r w:rsidRPr="002142B8">
        <w:rPr>
          <w:rFonts w:ascii="Georgia" w:hAnsi="Georgia"/>
          <w:sz w:val="20"/>
          <w:szCs w:val="20"/>
          <w:lang w:val="lt-LT"/>
        </w:rPr>
        <w:t>valdymo mokesčio faktinė suma atspindi įprastas rinkos sąlygas,</w:t>
      </w:r>
    </w:p>
    <w:p w14:paraId="09C889B1" w14:textId="77777777" w:rsidR="00575FB0" w:rsidRPr="002142B8" w:rsidRDefault="00575FB0" w:rsidP="00351DC3">
      <w:pPr>
        <w:pStyle w:val="Sraopastraipa"/>
        <w:numPr>
          <w:ilvl w:val="0"/>
          <w:numId w:val="172"/>
        </w:numPr>
        <w:jc w:val="both"/>
        <w:rPr>
          <w:rFonts w:ascii="Georgia" w:hAnsi="Georgia"/>
          <w:sz w:val="20"/>
          <w:szCs w:val="20"/>
          <w:lang w:val="lt-LT"/>
        </w:rPr>
      </w:pPr>
      <w:r w:rsidRPr="002142B8">
        <w:rPr>
          <w:rFonts w:ascii="Georgia" w:hAnsi="Georgia"/>
          <w:sz w:val="20"/>
          <w:szCs w:val="20"/>
          <w:lang w:val="lt-LT"/>
        </w:rPr>
        <w:t>valdymo mokestis yra susietas su veiklos rezultatais,</w:t>
      </w:r>
    </w:p>
    <w:p w14:paraId="6D5709DD" w14:textId="77777777" w:rsidR="00575FB0" w:rsidRPr="002142B8" w:rsidRDefault="00575FB0" w:rsidP="00351DC3">
      <w:pPr>
        <w:pStyle w:val="Sraopastraipa"/>
        <w:numPr>
          <w:ilvl w:val="0"/>
          <w:numId w:val="172"/>
        </w:numPr>
        <w:jc w:val="both"/>
        <w:rPr>
          <w:rFonts w:ascii="Georgia" w:hAnsi="Georgia"/>
          <w:sz w:val="20"/>
          <w:szCs w:val="20"/>
          <w:lang w:val="lt-LT"/>
        </w:rPr>
      </w:pPr>
      <w:r w:rsidRPr="002142B8">
        <w:rPr>
          <w:rFonts w:ascii="Georgia" w:hAnsi="Georgia"/>
          <w:sz w:val="20"/>
          <w:szCs w:val="20"/>
          <w:lang w:val="lt-LT"/>
        </w:rPr>
        <w:t xml:space="preserve">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w:t>
      </w:r>
      <w:r w:rsidRPr="002142B8">
        <w:rPr>
          <w:rFonts w:ascii="Georgia" w:hAnsi="Georgia"/>
          <w:sz w:val="20"/>
          <w:szCs w:val="20"/>
          <w:lang w:val="lt-LT"/>
        </w:rPr>
        <w:lastRenderedPageBreak/>
        <w:t>būti numatytos nuostatos, kurios užtikrintų fondo valdytojo nepriklausomybę nuo galimų valstybės nurodymų,</w:t>
      </w:r>
    </w:p>
    <w:p w14:paraId="3F2256D3" w14:textId="77777777" w:rsidR="00575FB0" w:rsidRPr="002142B8" w:rsidRDefault="00575FB0" w:rsidP="00351DC3">
      <w:pPr>
        <w:pStyle w:val="Sraopastraipa"/>
        <w:numPr>
          <w:ilvl w:val="0"/>
          <w:numId w:val="172"/>
        </w:numPr>
        <w:jc w:val="both"/>
        <w:rPr>
          <w:rFonts w:ascii="Georgia" w:hAnsi="Georgia"/>
          <w:sz w:val="20"/>
          <w:szCs w:val="20"/>
          <w:lang w:val="lt-LT"/>
        </w:rPr>
      </w:pPr>
      <w:r w:rsidRPr="002142B8">
        <w:rPr>
          <w:rFonts w:ascii="Georgia" w:hAnsi="Georgia"/>
          <w:sz w:val="20"/>
          <w:szCs w:val="20"/>
          <w:lang w:val="lt-LT"/>
        </w:rPr>
        <w:t>fondo valdytojas privalo privačius investuotojus pasirinkti atviro, skaidraus ir nediskriminacinio konkurso tvarka.</w:t>
      </w:r>
    </w:p>
    <w:p w14:paraId="2369BA17"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 Žemiau pateikiamas vertinimas kiekvieno galimo subjekto atžvilgiu atskirai bei pateikiamas pasiūlymas valstybės pagalbos taisyklių bei apribojimų kontekste.</w:t>
      </w:r>
    </w:p>
    <w:p w14:paraId="2A14CB3D"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EIB yra viešojo sektoriaus įstaiga, kuri galėtų būti paskirta remiantis Bendrųjų nuostatų reglamento nuostatomis, tačiau tam, kad būtų pripažinta, kad valstybės pagalba yra neteikiama, turi būti laikomasi visų aukščiau nurodytų sąlygų, taikytinų tais atvejais, kai įgaliotasis subjektas yra viešasis subjektas ir yra paskiriamas nesilaikant atviros, skaidrios, nediskriminacinės ir objektyvios tvarkos.</w:t>
      </w:r>
    </w:p>
    <w:p w14:paraId="7AC5B68D"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Lietuva šiuo metu dalyvauja tik tose tarptautinėse finansų įstaigose, kurios yra laikomos viešaisiais subjektais, todėl pasirinkus šį modelį taip pat turėtų būti laikomasi visų aukščiau nurodytų sąlygų.</w:t>
      </w:r>
    </w:p>
    <w:p w14:paraId="0DF945CC"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Pasirinkus valstybėje-narėje veikiančią finansų įstaigą, kuri siekia viešojo intereso, kontroliuojant viešajam sektoriui, tačiau pati nėra viešasis subjektas, valstybės pagalbos teikimo rizika būtų eliminuota šiais atvejais:</w:t>
      </w:r>
    </w:p>
    <w:p w14:paraId="2EF75F47" w14:textId="77777777" w:rsidR="00575FB0" w:rsidRPr="002142B8" w:rsidRDefault="00575FB0" w:rsidP="00351DC3">
      <w:pPr>
        <w:pStyle w:val="Sraopastraipa"/>
        <w:numPr>
          <w:ilvl w:val="0"/>
          <w:numId w:val="174"/>
        </w:numPr>
        <w:jc w:val="both"/>
        <w:rPr>
          <w:rFonts w:ascii="Georgia" w:hAnsi="Georgia"/>
          <w:sz w:val="20"/>
          <w:szCs w:val="20"/>
          <w:lang w:val="lt-LT"/>
        </w:rPr>
      </w:pPr>
      <w:r w:rsidRPr="002142B8">
        <w:rPr>
          <w:rFonts w:ascii="Georgia" w:hAnsi="Georgia"/>
          <w:sz w:val="20"/>
          <w:szCs w:val="20"/>
          <w:lang w:val="lt-LT"/>
        </w:rPr>
        <w:t>fondo valdytojas parinktas atvira, skaidria, nediskriminacine ir objektyvia tvarka, arba</w:t>
      </w:r>
    </w:p>
    <w:p w14:paraId="630EFB29" w14:textId="77777777" w:rsidR="00575FB0" w:rsidRPr="002142B8" w:rsidRDefault="00575FB0" w:rsidP="00351DC3">
      <w:pPr>
        <w:pStyle w:val="Sraopastraipa"/>
        <w:numPr>
          <w:ilvl w:val="0"/>
          <w:numId w:val="174"/>
        </w:numPr>
        <w:jc w:val="both"/>
        <w:rPr>
          <w:rFonts w:ascii="Georgia" w:hAnsi="Georgia"/>
          <w:sz w:val="20"/>
          <w:szCs w:val="20"/>
          <w:lang w:val="lt-LT"/>
        </w:rPr>
      </w:pPr>
      <w:r w:rsidRPr="002142B8">
        <w:rPr>
          <w:rFonts w:ascii="Georgia" w:hAnsi="Georgia"/>
          <w:sz w:val="20"/>
          <w:szCs w:val="20"/>
          <w:lang w:val="lt-LT"/>
        </w:rPr>
        <w:t>fondo valdytojo atlygis visiškai</w:t>
      </w:r>
      <w:r w:rsidRPr="002142B8">
        <w:rPr>
          <w:lang w:val="lt-LT"/>
        </w:rPr>
        <w:t xml:space="preserve"> </w:t>
      </w:r>
      <w:r w:rsidRPr="002142B8">
        <w:rPr>
          <w:rFonts w:ascii="Georgia" w:hAnsi="Georgia"/>
          <w:sz w:val="20"/>
          <w:szCs w:val="20"/>
          <w:lang w:val="lt-LT"/>
        </w:rPr>
        <w:t>atspindi atitinkamose situacijose mokamus atlygius rinkoje.</w:t>
      </w:r>
    </w:p>
    <w:p w14:paraId="50C641F7"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14:paraId="60DD740D"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14:paraId="2AB9EFF7"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Vadovaujantis Rizikos kapitalo gairių nuostatas, siūloma, kad fondo valdymo mokesčiui būtų nustatyti šie apribojimai:</w:t>
      </w:r>
    </w:p>
    <w:p w14:paraId="3A379705" w14:textId="3BD54F51" w:rsidR="00575FB0" w:rsidRPr="002142B8" w:rsidRDefault="00351DC3" w:rsidP="00351DC3">
      <w:pPr>
        <w:pStyle w:val="Sraopastraipa"/>
        <w:numPr>
          <w:ilvl w:val="0"/>
          <w:numId w:val="175"/>
        </w:numPr>
        <w:jc w:val="both"/>
        <w:rPr>
          <w:rFonts w:ascii="Georgia" w:hAnsi="Georgia"/>
          <w:sz w:val="20"/>
          <w:szCs w:val="20"/>
          <w:lang w:val="lt-LT"/>
        </w:rPr>
      </w:pPr>
      <w:r w:rsidRPr="002142B8">
        <w:rPr>
          <w:rFonts w:ascii="Georgia" w:hAnsi="Georgia"/>
          <w:sz w:val="20"/>
          <w:szCs w:val="20"/>
          <w:lang w:val="lt-LT"/>
        </w:rPr>
        <w:t>V</w:t>
      </w:r>
      <w:r w:rsidR="00575FB0" w:rsidRPr="002142B8">
        <w:rPr>
          <w:rFonts w:ascii="Georgia" w:hAnsi="Georgia"/>
          <w:sz w:val="20"/>
          <w:szCs w:val="20"/>
          <w:lang w:val="lt-LT"/>
        </w:rPr>
        <w:t>aldymo mokesčio suma turi būti apribota (turi būti nurodytas maksimalus mokesčio dydis). Pagal Rizikos kapitalo gairių 148 p., metinė valdymo mokesčio suma neturi viršyti 3 % viso fondo valdytojui patikėto kapitalo, išskyrus valdymo mokesčio dalį, kuri yra susijusi su veiklos rezultatais.</w:t>
      </w:r>
    </w:p>
    <w:p w14:paraId="01A96ED1" w14:textId="6A637E85" w:rsidR="00575FB0" w:rsidRPr="002142B8" w:rsidRDefault="00351DC3" w:rsidP="00351DC3">
      <w:pPr>
        <w:pStyle w:val="Sraopastraipa"/>
        <w:numPr>
          <w:ilvl w:val="0"/>
          <w:numId w:val="175"/>
        </w:numPr>
        <w:jc w:val="both"/>
        <w:rPr>
          <w:rFonts w:ascii="Georgia" w:hAnsi="Georgia"/>
          <w:sz w:val="20"/>
          <w:szCs w:val="20"/>
          <w:lang w:val="lt-LT"/>
        </w:rPr>
      </w:pPr>
      <w:r w:rsidRPr="002142B8">
        <w:rPr>
          <w:rFonts w:ascii="Georgia" w:hAnsi="Georgia"/>
          <w:sz w:val="20"/>
          <w:szCs w:val="20"/>
          <w:lang w:val="lt-LT"/>
        </w:rPr>
        <w:t>V</w:t>
      </w:r>
      <w:r w:rsidR="00575FB0" w:rsidRPr="002142B8">
        <w:rPr>
          <w:rFonts w:ascii="Georgia" w:hAnsi="Georgia"/>
          <w:sz w:val="20"/>
          <w:szCs w:val="20"/>
          <w:lang w:val="lt-LT"/>
        </w:rPr>
        <w:t>aldymo mokesčio faktinė suma turi nuolat atspindėti įprastas rinkos sąlygas. Tam, kad būtų vykdoma ši sąlyga, siūloma įpareigoti fondo valdytoją kas pusmetį atlikti rinkos sąlygų analizę bei pateikti valdymo mokesčio dydžio apskaičiavimo pagrindimo dokumentus. Bendra mokesčio metinė suma negali viršyti veiklos ir valdymo išlaidų, kurių suma gali būti padidinama pagrįstu pelno maržos dydžiu, atitinkančiu rinkos sąlygas.</w:t>
      </w:r>
    </w:p>
    <w:p w14:paraId="5C0CECCA" w14:textId="43F2ACAA" w:rsidR="00575FB0" w:rsidRPr="002142B8" w:rsidRDefault="00351DC3" w:rsidP="00351DC3">
      <w:pPr>
        <w:pStyle w:val="Sraopastraipa"/>
        <w:numPr>
          <w:ilvl w:val="0"/>
          <w:numId w:val="175"/>
        </w:numPr>
        <w:jc w:val="both"/>
        <w:rPr>
          <w:rFonts w:ascii="Georgia" w:hAnsi="Georgia"/>
          <w:sz w:val="20"/>
          <w:szCs w:val="20"/>
          <w:lang w:val="lt-LT"/>
        </w:rPr>
      </w:pPr>
      <w:r w:rsidRPr="002142B8">
        <w:rPr>
          <w:rFonts w:ascii="Georgia" w:hAnsi="Georgia"/>
          <w:sz w:val="20"/>
          <w:szCs w:val="20"/>
          <w:lang w:val="lt-LT"/>
        </w:rPr>
        <w:t>V</w:t>
      </w:r>
      <w:r w:rsidR="00575FB0" w:rsidRPr="002142B8">
        <w:rPr>
          <w:rFonts w:ascii="Georgia" w:hAnsi="Georgia"/>
          <w:sz w:val="20"/>
          <w:szCs w:val="20"/>
          <w:lang w:val="lt-LT"/>
        </w:rPr>
        <w:t>aldymo mokestis negali būti skirtas padengti investicijų išlaidas.</w:t>
      </w:r>
    </w:p>
    <w:p w14:paraId="76E4E94E" w14:textId="2ECA07A0" w:rsidR="00575FB0" w:rsidRPr="002142B8" w:rsidRDefault="00351DC3" w:rsidP="00351DC3">
      <w:pPr>
        <w:pStyle w:val="Sraopastraipa"/>
        <w:numPr>
          <w:ilvl w:val="0"/>
          <w:numId w:val="175"/>
        </w:numPr>
        <w:jc w:val="both"/>
        <w:rPr>
          <w:rFonts w:ascii="Georgia" w:hAnsi="Georgia"/>
          <w:sz w:val="20"/>
          <w:szCs w:val="20"/>
          <w:lang w:val="lt-LT"/>
        </w:rPr>
      </w:pPr>
      <w:r w:rsidRPr="002142B8">
        <w:rPr>
          <w:rFonts w:ascii="Georgia" w:hAnsi="Georgia"/>
          <w:sz w:val="20"/>
          <w:szCs w:val="20"/>
          <w:lang w:val="lt-LT"/>
        </w:rPr>
        <w:lastRenderedPageBreak/>
        <w:t>V</w:t>
      </w:r>
      <w:r w:rsidR="00575FB0" w:rsidRPr="002142B8">
        <w:rPr>
          <w:rFonts w:ascii="Georgia" w:hAnsi="Georgia"/>
          <w:sz w:val="20"/>
          <w:szCs w:val="20"/>
          <w:lang w:val="lt-LT"/>
        </w:rPr>
        <w:t xml:space="preserve">aldymo mokestis yra susietas su veiklos rezultatais. Valdymo mokesčio dalis, kurios dydis priklauso nuo veiklos rezultatų, turi būti pakankamai reikšminga tam, kad paskatintų įgaliotąjį subjektą pasiekti politikos tikslus bei užtikrintų efektyvią ūkio subjektų, į kuriuos yra 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14:paraId="46D75E88"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4F52515C" w14:textId="77777777" w:rsidR="00575FB0" w:rsidRPr="002142B8" w:rsidRDefault="00575FB0" w:rsidP="00575FB0">
      <w:pPr>
        <w:pStyle w:val="Sraopastraipa"/>
        <w:ind w:left="0"/>
        <w:jc w:val="both"/>
        <w:rPr>
          <w:rFonts w:ascii="Georgia" w:hAnsi="Georgia"/>
          <w:sz w:val="20"/>
          <w:szCs w:val="20"/>
          <w:lang w:val="lt-LT"/>
        </w:rPr>
      </w:pPr>
    </w:p>
    <w:p w14:paraId="24081AFA"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Privatūs instituciniai bei profesionalūs investuotojai</w:t>
      </w:r>
    </w:p>
    <w:p w14:paraId="65FFB984"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 xml:space="preserve">Pagal numatomą mechanizmą, privatūs investuotojai dalyvaus priemonės įgyvendinime, investuojant į numatomos sukurti komanditinės ūkinės bendrijos (atskiro juridinio asmens statusą turinčio fondo) kapitalą arba skolinant šiai komanditinei ūkinei bendrijai. Pagal Rizikos kapitalo gairių 24 p., dalijimasis rizika ir atlygiu yra būtina finansinės priemonės įgyvendinimo sąlyga tam, kad priemonė nepažeistų valstybės pagalbos reikalavimų. Pagrindinis kriterijus, kuriuo yra remiamasi, priimant sprendimą, ar yra suteikiamas ekonominis pranašumas, yra rinkos ekonomikos veiklos vykdytojo kriterijus. </w:t>
      </w:r>
    </w:p>
    <w:p w14:paraId="1E7CEED9"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 xml:space="preserve">Pagal šį kriterijų, sandoriai, kuriuos sudaro viešasis sektorius, kurie atitinka normalias rinkos sąlygas ir kurie nesuteikia ekonominio pranašumo kurių ūkio subjektų atžvilgiu, yra laikytini valstybės pagalbos reikalavimų nepažeidžiančiais santykiais. Tam, kad sandoris nesuteiktų ekonominio pranašumo privačiam investuotojui, jis turėtų būti atliekamas </w:t>
      </w:r>
      <w:r w:rsidRPr="002142B8">
        <w:rPr>
          <w:rFonts w:ascii="Georgia" w:hAnsi="Georgia"/>
          <w:i/>
          <w:sz w:val="20"/>
          <w:szCs w:val="20"/>
          <w:lang w:val="lt-LT"/>
        </w:rPr>
        <w:t>parri pasu</w:t>
      </w:r>
      <w:r w:rsidRPr="002142B8">
        <w:rPr>
          <w:rFonts w:ascii="Georgia" w:hAnsi="Georgia"/>
          <w:sz w:val="20"/>
          <w:szCs w:val="20"/>
          <w:lang w:val="lt-LT"/>
        </w:rPr>
        <w:t xml:space="preserve"> sąlygomis su viešuoju sektoriumi, tai yra:</w:t>
      </w:r>
    </w:p>
    <w:p w14:paraId="39E3B1E8" w14:textId="77777777" w:rsidR="00575FB0" w:rsidRPr="002142B8" w:rsidRDefault="00575FB0" w:rsidP="00575FB0">
      <w:pPr>
        <w:pStyle w:val="Sraopastraipa"/>
        <w:numPr>
          <w:ilvl w:val="0"/>
          <w:numId w:val="157"/>
        </w:numPr>
        <w:jc w:val="both"/>
        <w:rPr>
          <w:rFonts w:ascii="Georgia" w:hAnsi="Georgia"/>
          <w:sz w:val="20"/>
          <w:szCs w:val="20"/>
          <w:lang w:val="lt-LT"/>
        </w:rPr>
      </w:pPr>
      <w:r w:rsidRPr="002142B8">
        <w:rPr>
          <w:rFonts w:ascii="Georgia" w:hAnsi="Georgia"/>
          <w:sz w:val="20"/>
          <w:szCs w:val="20"/>
          <w:lang w:val="lt-LT"/>
        </w:rPr>
        <w:t>viešajai ir privačiai investicijai taikomos tos pačios sąlygos,</w:t>
      </w:r>
    </w:p>
    <w:p w14:paraId="6F2CD829" w14:textId="77777777" w:rsidR="00575FB0" w:rsidRPr="002142B8" w:rsidRDefault="00575FB0" w:rsidP="00575FB0">
      <w:pPr>
        <w:pStyle w:val="Sraopastraipa"/>
        <w:numPr>
          <w:ilvl w:val="0"/>
          <w:numId w:val="157"/>
        </w:numPr>
        <w:jc w:val="both"/>
        <w:rPr>
          <w:rFonts w:ascii="Georgia" w:hAnsi="Georgia"/>
          <w:sz w:val="20"/>
          <w:szCs w:val="20"/>
          <w:lang w:val="lt-LT"/>
        </w:rPr>
      </w:pPr>
      <w:r w:rsidRPr="002142B8">
        <w:rPr>
          <w:rFonts w:ascii="Georgia" w:hAnsi="Georgia"/>
          <w:sz w:val="20"/>
          <w:szCs w:val="20"/>
          <w:lang w:val="lt-LT"/>
        </w:rPr>
        <w:t>investicijos atliekamos vienu metu, ir</w:t>
      </w:r>
    </w:p>
    <w:p w14:paraId="266D96A8" w14:textId="77777777" w:rsidR="00575FB0" w:rsidRPr="002142B8" w:rsidRDefault="00575FB0" w:rsidP="00575FB0">
      <w:pPr>
        <w:pStyle w:val="Sraopastraipa"/>
        <w:numPr>
          <w:ilvl w:val="0"/>
          <w:numId w:val="157"/>
        </w:numPr>
        <w:jc w:val="both"/>
        <w:rPr>
          <w:rFonts w:ascii="Georgia" w:hAnsi="Georgia"/>
          <w:sz w:val="20"/>
          <w:szCs w:val="20"/>
          <w:lang w:val="lt-LT"/>
        </w:rPr>
      </w:pPr>
      <w:r w:rsidRPr="002142B8">
        <w:rPr>
          <w:rFonts w:ascii="Georgia" w:hAnsi="Georgia"/>
          <w:sz w:val="20"/>
          <w:szCs w:val="20"/>
          <w:lang w:val="lt-LT"/>
        </w:rPr>
        <w:t>privačių partnerių investicijos turi didelę ekonominę reikšmę.</w:t>
      </w:r>
    </w:p>
    <w:p w14:paraId="553964F3" w14:textId="77777777" w:rsidR="00575FB0" w:rsidRPr="002142B8" w:rsidRDefault="00575FB0" w:rsidP="00575FB0">
      <w:pPr>
        <w:jc w:val="both"/>
        <w:rPr>
          <w:rFonts w:ascii="Georgia" w:hAnsi="Georgia"/>
          <w:sz w:val="20"/>
          <w:szCs w:val="20"/>
          <w:lang w:val="lt-LT"/>
        </w:rPr>
      </w:pPr>
      <w:r w:rsidRPr="002142B8">
        <w:rPr>
          <w:rFonts w:ascii="Georgia" w:hAnsi="Georgia"/>
          <w:sz w:val="20"/>
          <w:szCs w:val="20"/>
          <w:lang w:val="lt-LT"/>
        </w:rPr>
        <w:t xml:space="preserve">Laikytina, kad tos pačios sąlygos yra taikomos viešajai ir privačiajai investicijai, jeigu abu subjektai prisiima tokias pačias rizikas ir naudą to paties finansinio instrumento atžvilgiu (arba viešasis subjektas yra geresnėje pozicijoje privataus subjekto atžvilgiu). Pagal pasiūlytą mechanizmą, pirmo nuostolio kapitalo fondo steigimas reiškia, kad viešasis sektorius prisiima didesnę riziką, nei privatūs investuotojai, kadangi potencialiai atsirasiantis nuostolis turės būti padengtas visų pirma viešojo sektoriaus lėšomis. Dėl šios priežasties pagal Rizikos kapitalo gairių 36 p. yra suteikiamas ekonominis pranašumas privatiems investuotojams (apsauga nuo investicijų vertės sumažėjimo, angl. </w:t>
      </w:r>
      <w:r w:rsidRPr="002142B8">
        <w:rPr>
          <w:rFonts w:ascii="Georgia" w:hAnsi="Georgia"/>
          <w:i/>
          <w:sz w:val="20"/>
          <w:szCs w:val="20"/>
          <w:u w:val="single"/>
          <w:lang w:val="lt-LT"/>
        </w:rPr>
        <w:t>downside protection</w:t>
      </w:r>
      <w:r w:rsidRPr="002142B8">
        <w:rPr>
          <w:rFonts w:ascii="Georgia" w:hAnsi="Georgia"/>
          <w:sz w:val="20"/>
          <w:szCs w:val="20"/>
          <w:lang w:val="lt-LT"/>
        </w:rPr>
        <w:t>), o finansinė priemonė atitinka valstybės pagalbos požymius, todėl jai turi būti atliktas suderinamumo vertinimas.</w:t>
      </w:r>
    </w:p>
    <w:p w14:paraId="15E2A7C7"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Fondas (kaip atskiras juridinis asmuo)</w:t>
      </w:r>
    </w:p>
    <w:p w14:paraId="334B4D8B" w14:textId="77777777" w:rsidR="00575FB0" w:rsidRPr="002142B8" w:rsidRDefault="00575FB0" w:rsidP="00575FB0">
      <w:pPr>
        <w:pStyle w:val="Sraopastraipa"/>
        <w:ind w:left="0"/>
        <w:jc w:val="both"/>
        <w:rPr>
          <w:rFonts w:ascii="Georgia" w:hAnsi="Georgia"/>
          <w:sz w:val="20"/>
          <w:szCs w:val="20"/>
          <w:lang w:val="lt-LT"/>
        </w:rPr>
      </w:pPr>
    </w:p>
    <w:p w14:paraId="6AEA9593"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Pagal numatomą mechanizmą, fondą numatoma įsteigti kaip atskirą juridinį asmenį (komanditinę ūkinę bendriją). Pastarasis juridinis asmuo yra neribotos atsakomybės juridinis asmuo, kuriame dalyvaujantys tikrieji nariai atsako pagal KŪB prievoles visu savo turtu, o komanditoriai - tik savo įnašų suma. Valstybės pagalbos taisyklių taikymo požiūriu, KŪB steigimo sutartyje iš anksto turi būti numatyta, kad savarankiškai vykdomos ekonominės veiklos KŪB nauda tenka fondo valdytojui, kadangi KŪB steigimo tikslas yra užtikrinti fondų fondo veiklą.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14:paraId="44791E90" w14:textId="385EB711" w:rsidR="0047468E" w:rsidRDefault="0047468E">
      <w:pPr>
        <w:rPr>
          <w:rFonts w:ascii="Georgia" w:hAnsi="Georgia"/>
          <w:b/>
          <w:sz w:val="20"/>
          <w:szCs w:val="20"/>
          <w:lang w:val="lt-LT"/>
        </w:rPr>
      </w:pPr>
      <w:r>
        <w:rPr>
          <w:rFonts w:ascii="Georgia" w:hAnsi="Georgia"/>
          <w:b/>
          <w:sz w:val="20"/>
          <w:szCs w:val="20"/>
          <w:lang w:val="lt-LT"/>
        </w:rPr>
        <w:br w:type="page"/>
      </w:r>
    </w:p>
    <w:p w14:paraId="24A1CB06" w14:textId="77777777" w:rsidR="00575FB0" w:rsidRPr="002142B8" w:rsidRDefault="00575FB0" w:rsidP="00575FB0">
      <w:pPr>
        <w:pStyle w:val="Sraopastraipa"/>
        <w:ind w:left="0"/>
        <w:jc w:val="both"/>
        <w:rPr>
          <w:rFonts w:ascii="Georgia" w:hAnsi="Georgia"/>
          <w:b/>
          <w:sz w:val="20"/>
          <w:szCs w:val="20"/>
          <w:lang w:val="lt-LT"/>
        </w:rPr>
      </w:pPr>
    </w:p>
    <w:p w14:paraId="75966562"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Finansiniai tarpininkai</w:t>
      </w:r>
    </w:p>
    <w:p w14:paraId="25BC5019" w14:textId="77777777" w:rsidR="00575FB0" w:rsidRPr="002142B8" w:rsidRDefault="00575FB0" w:rsidP="00575FB0">
      <w:pPr>
        <w:pStyle w:val="Sraopastraipa"/>
        <w:ind w:left="0"/>
        <w:jc w:val="both"/>
        <w:rPr>
          <w:rFonts w:ascii="Georgia" w:hAnsi="Georgia"/>
          <w:sz w:val="20"/>
          <w:szCs w:val="20"/>
          <w:lang w:val="lt-LT"/>
        </w:rPr>
      </w:pPr>
    </w:p>
    <w:p w14:paraId="44598D59"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3A906700"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2142B8">
        <w:rPr>
          <w:lang w:val="lt-LT"/>
        </w:rPr>
        <w:t xml:space="preserve"> </w:t>
      </w:r>
      <w:r w:rsidRPr="002142B8">
        <w:rPr>
          <w:rFonts w:ascii="Georgia" w:hAnsi="Georgia"/>
          <w:sz w:val="20"/>
          <w:szCs w:val="20"/>
          <w:lang w:val="lt-LT"/>
        </w:rPr>
        <w:t>į iš anksto nustatytus atskirus finansų tarpininkus. Kitaip tariant, priemonės mechanizmas negali būti susijęs su atskirais finansų tarpininkais.</w:t>
      </w:r>
    </w:p>
    <w:p w14:paraId="50CC3268"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44B69D97"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r w:rsidRPr="002142B8">
        <w:rPr>
          <w:rStyle w:val="Puslapioinaosnuoroda"/>
          <w:rFonts w:ascii="Georgia" w:hAnsi="Georgia"/>
          <w:sz w:val="20"/>
          <w:szCs w:val="20"/>
          <w:lang w:val="lt-LT"/>
        </w:rPr>
        <w:footnoteReference w:id="159"/>
      </w:r>
      <w:r w:rsidRPr="002142B8">
        <w:rPr>
          <w:rFonts w:ascii="Georgia" w:hAnsi="Georgia"/>
          <w:sz w:val="20"/>
          <w:szCs w:val="20"/>
          <w:lang w:val="lt-LT"/>
        </w:rPr>
        <w:t>.</w:t>
      </w:r>
    </w:p>
    <w:p w14:paraId="2CC89395" w14:textId="77777777" w:rsidR="00575FB0" w:rsidRPr="002142B8" w:rsidRDefault="00575FB0" w:rsidP="00575FB0">
      <w:pPr>
        <w:pStyle w:val="Sraopastraipa"/>
        <w:ind w:left="0"/>
        <w:jc w:val="both"/>
        <w:rPr>
          <w:rFonts w:ascii="Georgia" w:hAnsi="Georgia"/>
          <w:sz w:val="20"/>
          <w:szCs w:val="20"/>
          <w:lang w:val="lt-LT"/>
        </w:rPr>
      </w:pPr>
    </w:p>
    <w:p w14:paraId="25D279EC"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Daugiabučių namų bendrijos</w:t>
      </w:r>
    </w:p>
    <w:p w14:paraId="169C0E75" w14:textId="77777777" w:rsidR="00575FB0" w:rsidRPr="002142B8" w:rsidRDefault="00575FB0" w:rsidP="00575FB0">
      <w:pPr>
        <w:pStyle w:val="Sraopastraipa"/>
        <w:ind w:left="0"/>
        <w:jc w:val="both"/>
        <w:rPr>
          <w:rFonts w:ascii="Georgia" w:hAnsi="Georgia"/>
          <w:sz w:val="20"/>
          <w:szCs w:val="20"/>
          <w:lang w:val="lt-LT"/>
        </w:rPr>
      </w:pPr>
    </w:p>
    <w:p w14:paraId="7BE3490F"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Daugiabučių namų bendrijos steigimo tikslas yra įgyvendinti butų ir kitų patalpų (pastatų) savininkų teises ir pareigas, susijusias su jiems priklausančių arba kuriamų naujų bendrosios dalinės nuosavybės teisės objektų valdymu, naudojimu ir priežiūra. Kitaip tariant, bendrija nevykdo ekonominės veiklos, tai yra neteikia prekių ir paslaugų rinkoje už atlygį, todėl jai nėra taikomos valstybės pagalbos taisyklės.</w:t>
      </w:r>
    </w:p>
    <w:p w14:paraId="5976CB3E" w14:textId="77777777" w:rsidR="00575FB0" w:rsidRPr="002142B8" w:rsidRDefault="00575FB0" w:rsidP="00575FB0">
      <w:pPr>
        <w:pStyle w:val="Sraopastraipa"/>
        <w:ind w:left="0"/>
        <w:jc w:val="both"/>
        <w:rPr>
          <w:rFonts w:ascii="Georgia" w:hAnsi="Georgia"/>
          <w:sz w:val="20"/>
          <w:szCs w:val="20"/>
          <w:lang w:val="lt-LT"/>
        </w:rPr>
      </w:pPr>
    </w:p>
    <w:p w14:paraId="3D600109"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Daugiabučių namų administratoriai</w:t>
      </w:r>
    </w:p>
    <w:p w14:paraId="2714853F" w14:textId="77777777" w:rsidR="00575FB0" w:rsidRPr="002142B8" w:rsidRDefault="00575FB0" w:rsidP="00575FB0">
      <w:pPr>
        <w:pStyle w:val="Sraopastraipa"/>
        <w:ind w:left="0"/>
        <w:jc w:val="both"/>
        <w:rPr>
          <w:rFonts w:ascii="Georgia" w:hAnsi="Georgia"/>
          <w:sz w:val="20"/>
          <w:szCs w:val="20"/>
          <w:lang w:val="lt-LT"/>
        </w:rPr>
      </w:pPr>
    </w:p>
    <w:p w14:paraId="59488698"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Daugiabučių namų administratoriai yra ekonominę veiklą vykdantys subjektai, todėl jų atžvilgiu turi būti atliktas mechanizmo klasifikavimas, siekiant įsitikinti, kad administratoriai negauna netiesioginės pagalbos.</w:t>
      </w:r>
    </w:p>
    <w:p w14:paraId="4E6064B6"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Suteikiant lengvatinę paskolą daugiabučio renovacijos projektui, sumažėja pastato eksploatacijos išlaidos, tačiau padidėja finansinės išlaidos, susijusios su paskolos grąžinimu (pagrindinės paskolos dalies grąžinimas ir susijusių palūkanų įmokos). Daugiabučio namo administratoriaus veiklos tikslas yra užtikrinti efektyvų pastato eksploatavimą (šildymą), už šias paslaugas gaunant apmokėjimą, kurio dydį apsprendžia gyventojai. Sumažėjus pastato šildymo sąnaudoms, administratoriaus veiklos apimtis nepasikeičia, tačiau įdiegus papildomas taupymo priemones (pvz., šildymo punkto nuotolinis ir/arba automatinis aptarnavimas), taip pat gali pasikeisti ir administratoriaus veiklos apimtis. Tokiu atveju, nepatikslinus sutarties su administratoriumi sąlygų, gali atsirasti netiesioginis ekonominis pranašumas administratoriui iki sutarties pakeitimo/pabaigos.</w:t>
      </w:r>
    </w:p>
    <w:p w14:paraId="63047EBE"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Siekiant eliminuoti šią grėsmę, siūloma numatyti paramos gavėjo pareigą daugiabučio renovacijos projekto įgyvendinimo metu peržiūrėti sutarties su administratoriumi paslaugų įkainius tam, kad jos atitiktų rinkos sąlygas.</w:t>
      </w:r>
    </w:p>
    <w:p w14:paraId="3E7F3D0E"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Įgyvendinus šią sąlygą, administratoriui nebūtų suteikiamas ekonominis pranašumas, kas yra vienas iš valstybės pagalbos požymių, todėl nebūtų pripažįstama ir valstybės pagalba.</w:t>
      </w:r>
    </w:p>
    <w:p w14:paraId="3256097E" w14:textId="77777777" w:rsidR="00575FB0" w:rsidRPr="002142B8" w:rsidRDefault="00575FB0" w:rsidP="00575FB0">
      <w:pPr>
        <w:pStyle w:val="Sraopastraipa"/>
        <w:ind w:left="0"/>
        <w:jc w:val="both"/>
        <w:rPr>
          <w:rFonts w:ascii="Georgia" w:hAnsi="Georgia"/>
          <w:sz w:val="20"/>
          <w:szCs w:val="20"/>
          <w:lang w:val="lt-LT"/>
        </w:rPr>
      </w:pPr>
    </w:p>
    <w:p w14:paraId="6C6B0FF0" w14:textId="77777777" w:rsidR="0047468E" w:rsidRDefault="0047468E">
      <w:pPr>
        <w:rPr>
          <w:rFonts w:ascii="Georgia" w:hAnsi="Georgia"/>
          <w:b/>
          <w:sz w:val="20"/>
          <w:szCs w:val="20"/>
          <w:lang w:val="lt-LT"/>
        </w:rPr>
      </w:pPr>
      <w:r>
        <w:rPr>
          <w:rFonts w:ascii="Georgia" w:hAnsi="Georgia"/>
          <w:b/>
          <w:sz w:val="20"/>
          <w:szCs w:val="20"/>
          <w:lang w:val="lt-LT"/>
        </w:rPr>
        <w:br w:type="page"/>
      </w:r>
    </w:p>
    <w:p w14:paraId="29B70496" w14:textId="6DFF0B8D"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lastRenderedPageBreak/>
        <w:t>Daugiabučių namų gyventojai (fiziniai asmenys), taip pat daugiabučių namų butuose įsikūrę juridiniai asmenys</w:t>
      </w:r>
    </w:p>
    <w:p w14:paraId="6D37B1DA" w14:textId="77777777" w:rsidR="00575FB0" w:rsidRPr="002142B8" w:rsidRDefault="00575FB0" w:rsidP="00575FB0">
      <w:pPr>
        <w:pStyle w:val="Sraopastraipa"/>
        <w:ind w:left="0"/>
        <w:jc w:val="both"/>
        <w:rPr>
          <w:rFonts w:ascii="Georgia" w:hAnsi="Georgia"/>
          <w:sz w:val="20"/>
          <w:szCs w:val="20"/>
          <w:lang w:val="lt-LT"/>
        </w:rPr>
      </w:pPr>
    </w:p>
    <w:p w14:paraId="0CAEDD5A"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Fiziniai asmenys valstybės pagalbos taisyklių požiūriu nėra laikomi ūkio subjektais, todėl jų atžvilgiu nėra taikomos valstybės pagalbos taisyklės.</w:t>
      </w:r>
    </w:p>
    <w:p w14:paraId="2B6E8191"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Daugiabučių namų butuose įsikūrę juridiniai asmenys, taip pat ūkinę veiklą vykdantys fiziniai asmenys laikytini ekonominę veiklą vykdančiais ūkio subjektais valstybės pagalbos taisyklių požiūriu, tai yra daugiabučio namo renovacijos projekto dėka sumažėtų šių asmenų įprastinės veiklos sąnaudos, kas yra laikytina ekonominiu pranašumu, todėl šių asmenų atžvilgiu turi būti atliktas priemonės įgyvendinimo suderinamumo vertinimas.</w:t>
      </w:r>
    </w:p>
    <w:p w14:paraId="496D502C" w14:textId="77777777" w:rsidR="00575FB0" w:rsidRPr="002142B8" w:rsidRDefault="00575FB0" w:rsidP="00575FB0">
      <w:pPr>
        <w:pStyle w:val="Sraopastraipa"/>
        <w:ind w:left="0"/>
        <w:jc w:val="both"/>
        <w:rPr>
          <w:rFonts w:ascii="Georgia" w:hAnsi="Georgia"/>
          <w:sz w:val="20"/>
          <w:szCs w:val="20"/>
          <w:lang w:val="lt-LT"/>
        </w:rPr>
      </w:pPr>
    </w:p>
    <w:p w14:paraId="01A9802E"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Rangos darbus vykdantys ūkio subjektai</w:t>
      </w:r>
    </w:p>
    <w:p w14:paraId="5EA7102B" w14:textId="77777777" w:rsidR="00575FB0" w:rsidRPr="002142B8" w:rsidRDefault="00575FB0" w:rsidP="00575FB0">
      <w:pPr>
        <w:pStyle w:val="Sraopastraipa"/>
        <w:ind w:left="0"/>
        <w:jc w:val="both"/>
        <w:rPr>
          <w:rFonts w:ascii="Georgia" w:hAnsi="Georgia"/>
          <w:sz w:val="20"/>
          <w:szCs w:val="20"/>
          <w:lang w:val="lt-LT"/>
        </w:rPr>
      </w:pPr>
    </w:p>
    <w:p w14:paraId="4A2428F3"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Pagal numatomą mechanizmą, rangos darbus vykdantys ūkio subjektai bus parenkami Lietuvos Respublikos viešųjų pirkimų įstatymo nustatyta tvarka, tai yra atvira, skaidria, nediskriminacine ir objektyvia tvarka, todėl pagal analogiją taikant Rizikos kapitalo gairių 40 p., valstybės pagalba šiems subjektams nebūtų teikiama, kadangi būtų laikomasi rinkos investuotojo kriterijaus (nesuteikiamas ekonominis pranašumas).</w:t>
      </w:r>
    </w:p>
    <w:p w14:paraId="6843C3B9" w14:textId="77777777" w:rsidR="00575FB0" w:rsidRPr="002142B8" w:rsidRDefault="00575FB0" w:rsidP="00575FB0">
      <w:pPr>
        <w:pStyle w:val="Sraopastraipa"/>
        <w:ind w:left="0"/>
        <w:jc w:val="both"/>
        <w:rPr>
          <w:rFonts w:ascii="Georgia" w:hAnsi="Georgia"/>
          <w:sz w:val="20"/>
          <w:szCs w:val="20"/>
          <w:lang w:val="lt-LT"/>
        </w:rPr>
      </w:pPr>
    </w:p>
    <w:p w14:paraId="0AB87B0F" w14:textId="77777777" w:rsidR="00575FB0" w:rsidRPr="002142B8" w:rsidRDefault="00575FB0" w:rsidP="00575FB0">
      <w:pPr>
        <w:pStyle w:val="Antrat2"/>
        <w:numPr>
          <w:ilvl w:val="3"/>
          <w:numId w:val="2"/>
        </w:numPr>
        <w:rPr>
          <w:lang w:val="lt-LT"/>
        </w:rPr>
      </w:pPr>
      <w:bookmarkStart w:id="307" w:name="_Toc25589949"/>
      <w:r w:rsidRPr="002142B8">
        <w:rPr>
          <w:lang w:val="lt-LT"/>
        </w:rPr>
        <w:t>Priemonės įgyvendinimo suderinamumo vertinimas</w:t>
      </w:r>
      <w:bookmarkEnd w:id="307"/>
    </w:p>
    <w:p w14:paraId="6255A2AC" w14:textId="77777777" w:rsidR="00575FB0" w:rsidRPr="002142B8" w:rsidRDefault="00575FB0" w:rsidP="00575FB0">
      <w:pPr>
        <w:pStyle w:val="Sraopastraipa"/>
        <w:ind w:left="0" w:firstLine="284"/>
        <w:jc w:val="both"/>
        <w:rPr>
          <w:rFonts w:ascii="Georgia" w:hAnsi="Georgia"/>
          <w:sz w:val="20"/>
          <w:szCs w:val="20"/>
          <w:lang w:val="lt-LT"/>
        </w:rPr>
      </w:pPr>
    </w:p>
    <w:p w14:paraId="0A4E917B"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 xml:space="preserve">Atlikus mechanizmo klasifikavimą, pripažintina, kad valstybės pagalbos (įskaitant </w:t>
      </w:r>
      <w:r w:rsidRPr="002142B8">
        <w:rPr>
          <w:rFonts w:ascii="Georgia" w:hAnsi="Georgia"/>
          <w:i/>
          <w:sz w:val="20"/>
          <w:szCs w:val="20"/>
          <w:lang w:val="lt-LT"/>
        </w:rPr>
        <w:t>de minimis</w:t>
      </w:r>
      <w:r w:rsidRPr="002142B8">
        <w:rPr>
          <w:rFonts w:ascii="Georgia" w:hAnsi="Georgia"/>
          <w:sz w:val="20"/>
          <w:szCs w:val="20"/>
          <w:lang w:val="lt-LT"/>
        </w:rPr>
        <w:t xml:space="preserve"> pagalbą, kaip nurodyta 5.1.4. skyriuje) požymius atitinka mechanizmo sąlygos, sudaromos privatiems instituciniams bei profesionaliems investuotojams, taip pat daugiabučių namų gyventojams, vykdantiems ūkinę veiklą, bei juridiniams asmenims, vykdantiems veiklą daugiabutyje.</w:t>
      </w:r>
    </w:p>
    <w:p w14:paraId="032FCBDE"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Pažymėtina, kad suderinamumo vertinimo rezultatas yra tiesiogiai susietas su mechanizmo įgyvendinimo metu planuojamomis panaudoti finansinėmis priemonėmis</w:t>
      </w:r>
    </w:p>
    <w:p w14:paraId="5BACAF41" w14:textId="77777777" w:rsidR="00575FB0" w:rsidRPr="002142B8" w:rsidRDefault="00575FB0" w:rsidP="00575FB0">
      <w:pPr>
        <w:pStyle w:val="Sraopastraipa"/>
        <w:ind w:left="0" w:firstLine="284"/>
        <w:jc w:val="both"/>
        <w:rPr>
          <w:rFonts w:ascii="Georgia" w:hAnsi="Georgia"/>
          <w:sz w:val="20"/>
          <w:szCs w:val="20"/>
          <w:lang w:val="lt-LT"/>
        </w:rPr>
      </w:pPr>
    </w:p>
    <w:p w14:paraId="0ACC45E2"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Daugiabučių namų gyventojai, vykdantys ūkinę veiklą, bei juridiniai asmenys, vykdantys veiklą daugiabutyje</w:t>
      </w:r>
    </w:p>
    <w:p w14:paraId="59A19D7B" w14:textId="77777777" w:rsidR="00575FB0" w:rsidRPr="002142B8" w:rsidRDefault="00575FB0" w:rsidP="00575FB0">
      <w:pPr>
        <w:pStyle w:val="Sraopastraipa"/>
        <w:ind w:left="0"/>
        <w:jc w:val="both"/>
        <w:rPr>
          <w:rFonts w:ascii="Georgia" w:hAnsi="Georgia"/>
          <w:b/>
          <w:sz w:val="20"/>
          <w:szCs w:val="20"/>
          <w:lang w:val="lt-LT"/>
        </w:rPr>
      </w:pPr>
    </w:p>
    <w:p w14:paraId="2823623C"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Šiems ūkio subjektams teikiama pagalba atitinka de minimis pagalbos sąlygas, jeigu:</w:t>
      </w:r>
    </w:p>
    <w:p w14:paraId="707C5682" w14:textId="499CA6AC" w:rsidR="00575FB0" w:rsidRPr="002142B8" w:rsidRDefault="00575FB0" w:rsidP="00575FB0">
      <w:pPr>
        <w:pStyle w:val="Sraopastraipa"/>
        <w:numPr>
          <w:ilvl w:val="0"/>
          <w:numId w:val="158"/>
        </w:numPr>
        <w:jc w:val="both"/>
        <w:rPr>
          <w:rFonts w:ascii="Georgia" w:hAnsi="Georgia"/>
          <w:sz w:val="20"/>
          <w:szCs w:val="20"/>
          <w:lang w:val="lt-LT"/>
        </w:rPr>
      </w:pPr>
      <w:r w:rsidRPr="002142B8">
        <w:rPr>
          <w:rFonts w:ascii="Georgia" w:hAnsi="Georgia"/>
          <w:sz w:val="20"/>
          <w:szCs w:val="20"/>
          <w:lang w:val="lt-LT"/>
        </w:rPr>
        <w:t>pagalbos suteikimo momentu (</w:t>
      </w:r>
      <w:r w:rsidRPr="002142B8">
        <w:rPr>
          <w:rFonts w:ascii="Georgia" w:hAnsi="Georgia"/>
          <w:i/>
          <w:sz w:val="20"/>
          <w:szCs w:val="20"/>
          <w:lang w:val="lt-LT"/>
        </w:rPr>
        <w:t xml:space="preserve">de minimis </w:t>
      </w:r>
      <w:r w:rsidRPr="002142B8">
        <w:rPr>
          <w:rFonts w:ascii="Georgia" w:hAnsi="Georgia"/>
          <w:sz w:val="20"/>
          <w:szCs w:val="20"/>
          <w:lang w:val="lt-LT"/>
        </w:rPr>
        <w:t>Reglamento 3 str. 4 d.) nėra nei vieno ūkio subjekto, kuriam būtų taikoma nemokumo procedūra, ir</w:t>
      </w:r>
    </w:p>
    <w:p w14:paraId="6D0FBAB3" w14:textId="77777777" w:rsidR="00575FB0" w:rsidRPr="002142B8" w:rsidRDefault="00575FB0" w:rsidP="00575FB0">
      <w:pPr>
        <w:pStyle w:val="Sraopastraipa"/>
        <w:numPr>
          <w:ilvl w:val="0"/>
          <w:numId w:val="158"/>
        </w:numPr>
        <w:jc w:val="both"/>
        <w:rPr>
          <w:rFonts w:ascii="Georgia" w:hAnsi="Georgia"/>
          <w:sz w:val="20"/>
          <w:szCs w:val="20"/>
          <w:lang w:val="lt-LT"/>
        </w:rPr>
      </w:pPr>
      <w:r w:rsidRPr="002142B8">
        <w:rPr>
          <w:rFonts w:ascii="Georgia" w:hAnsi="Georgia"/>
          <w:sz w:val="20"/>
          <w:szCs w:val="20"/>
          <w:lang w:val="lt-LT"/>
        </w:rPr>
        <w:t>paskola yra užtikrinta ne mažiau kaip 50 % paskolos vertės užstatu, o paskolos suma neviršija 1 mln. EUR, kai trukmė yra iki penkerių metų (arba 0,5 mln. EUR, kai trukmė yra iki dešimties metų), ir</w:t>
      </w:r>
    </w:p>
    <w:p w14:paraId="0F7A6070" w14:textId="77777777" w:rsidR="00575FB0" w:rsidRPr="002142B8" w:rsidRDefault="00575FB0" w:rsidP="00575FB0">
      <w:pPr>
        <w:pStyle w:val="Sraopastraipa"/>
        <w:numPr>
          <w:ilvl w:val="0"/>
          <w:numId w:val="158"/>
        </w:numPr>
        <w:jc w:val="both"/>
        <w:rPr>
          <w:rFonts w:ascii="Georgia" w:hAnsi="Georgia"/>
          <w:sz w:val="20"/>
          <w:szCs w:val="20"/>
          <w:lang w:val="lt-LT"/>
        </w:rPr>
      </w:pPr>
      <w:r w:rsidRPr="002142B8">
        <w:rPr>
          <w:rFonts w:ascii="Georgia" w:hAnsi="Georgia"/>
          <w:sz w:val="20"/>
          <w:szCs w:val="20"/>
          <w:lang w:val="lt-LT"/>
        </w:rPr>
        <w:t>bendrasis subsidijos ekvivalentas yra apskaičiuotas pagal bazinę palūkanų normą</w:t>
      </w:r>
      <w:r w:rsidRPr="002142B8">
        <w:rPr>
          <w:rStyle w:val="Puslapioinaosnuoroda"/>
          <w:rFonts w:ascii="Georgia" w:hAnsi="Georgia"/>
          <w:sz w:val="20"/>
          <w:szCs w:val="20"/>
          <w:lang w:val="lt-LT"/>
        </w:rPr>
        <w:footnoteReference w:id="160"/>
      </w:r>
      <w:r w:rsidRPr="002142B8">
        <w:rPr>
          <w:rFonts w:ascii="Georgia" w:hAnsi="Georgia"/>
          <w:sz w:val="20"/>
          <w:szCs w:val="20"/>
          <w:lang w:val="lt-LT"/>
        </w:rPr>
        <w:t>, pridedant reikalingą maržą pagal rizikos lygį, taikytiną pagalbos suteikimo momentu.</w:t>
      </w:r>
    </w:p>
    <w:p w14:paraId="64D26275" w14:textId="77777777" w:rsidR="00575FB0" w:rsidRPr="002142B8" w:rsidRDefault="00575FB0" w:rsidP="00575FB0">
      <w:pPr>
        <w:pStyle w:val="Sraopastraipa"/>
        <w:ind w:left="0"/>
        <w:jc w:val="both"/>
        <w:rPr>
          <w:rFonts w:ascii="Georgia" w:hAnsi="Georgia"/>
          <w:sz w:val="20"/>
          <w:szCs w:val="20"/>
          <w:lang w:val="lt-LT"/>
        </w:rPr>
      </w:pPr>
    </w:p>
    <w:p w14:paraId="7617FE10"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 xml:space="preserve">Pabrėžtina, kad </w:t>
      </w:r>
      <w:r w:rsidRPr="002142B8">
        <w:rPr>
          <w:rFonts w:ascii="Georgia" w:hAnsi="Georgia"/>
          <w:i/>
          <w:sz w:val="20"/>
          <w:szCs w:val="20"/>
          <w:lang w:val="lt-LT"/>
        </w:rPr>
        <w:t>de minimis</w:t>
      </w:r>
      <w:r w:rsidRPr="002142B8">
        <w:rPr>
          <w:rFonts w:ascii="Georgia" w:hAnsi="Georgia"/>
          <w:sz w:val="20"/>
          <w:szCs w:val="20"/>
          <w:lang w:val="lt-LT"/>
        </w:rPr>
        <w:t xml:space="preserve"> pagalba yra skaičiuojama ne tik vienam juridiniam asmeniui, bet ir visiems su šiuo juridiniu asmeniu susijusiems asmenims, kaip jie yra suprantami pagal </w:t>
      </w:r>
      <w:r w:rsidRPr="002142B8">
        <w:rPr>
          <w:rFonts w:ascii="Georgia" w:hAnsi="Georgia"/>
          <w:i/>
          <w:sz w:val="20"/>
          <w:szCs w:val="20"/>
          <w:lang w:val="lt-LT"/>
        </w:rPr>
        <w:t>de minimis</w:t>
      </w:r>
      <w:r w:rsidRPr="002142B8">
        <w:rPr>
          <w:rFonts w:ascii="Georgia" w:hAnsi="Georgia"/>
          <w:sz w:val="20"/>
          <w:szCs w:val="20"/>
          <w:lang w:val="lt-LT"/>
        </w:rPr>
        <w:t xml:space="preserve"> Reglamento 2 str. 2 d.</w:t>
      </w:r>
    </w:p>
    <w:p w14:paraId="117AAAAB"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Kitaip tariant, prieš pasirašant sutartį dėl paskolos suteikimo, būtina įsitikinti, kad:</w:t>
      </w:r>
    </w:p>
    <w:p w14:paraId="29F22988" w14:textId="77777777" w:rsidR="00575FB0" w:rsidRPr="002142B8" w:rsidRDefault="00575FB0" w:rsidP="00575FB0">
      <w:pPr>
        <w:pStyle w:val="Sraopastraipa"/>
        <w:numPr>
          <w:ilvl w:val="0"/>
          <w:numId w:val="159"/>
        </w:numPr>
        <w:ind w:left="709" w:hanging="425"/>
        <w:jc w:val="both"/>
        <w:rPr>
          <w:rFonts w:ascii="Georgia" w:hAnsi="Georgia"/>
          <w:sz w:val="20"/>
          <w:szCs w:val="20"/>
          <w:lang w:val="lt-LT"/>
        </w:rPr>
      </w:pPr>
      <w:r w:rsidRPr="002142B8">
        <w:rPr>
          <w:rFonts w:ascii="Georgia" w:hAnsi="Georgia"/>
          <w:sz w:val="20"/>
          <w:szCs w:val="20"/>
          <w:lang w:val="lt-LT"/>
        </w:rPr>
        <w:t>daugiabutyje nėra ūkio subjektų, arba</w:t>
      </w:r>
    </w:p>
    <w:p w14:paraId="4A2FFDDA" w14:textId="77777777" w:rsidR="00575FB0" w:rsidRPr="002142B8" w:rsidRDefault="00575FB0" w:rsidP="00575FB0">
      <w:pPr>
        <w:pStyle w:val="Sraopastraipa"/>
        <w:numPr>
          <w:ilvl w:val="0"/>
          <w:numId w:val="159"/>
        </w:numPr>
        <w:ind w:left="709" w:hanging="425"/>
        <w:rPr>
          <w:rFonts w:ascii="Georgia" w:hAnsi="Georgia"/>
          <w:sz w:val="20"/>
          <w:szCs w:val="20"/>
          <w:lang w:val="lt-LT"/>
        </w:rPr>
      </w:pPr>
      <w:r w:rsidRPr="002142B8">
        <w:rPr>
          <w:rFonts w:ascii="Georgia" w:hAnsi="Georgia"/>
          <w:sz w:val="20"/>
          <w:szCs w:val="20"/>
          <w:lang w:val="lt-LT"/>
        </w:rPr>
        <w:t xml:space="preserve">daugiabutyje yra ūkio subjektų, kurie atitinka nurodytas </w:t>
      </w:r>
      <w:r w:rsidRPr="002142B8">
        <w:rPr>
          <w:rFonts w:ascii="Georgia" w:hAnsi="Georgia"/>
          <w:i/>
          <w:sz w:val="20"/>
          <w:szCs w:val="20"/>
          <w:lang w:val="lt-LT"/>
        </w:rPr>
        <w:t>de minimis</w:t>
      </w:r>
      <w:r w:rsidRPr="002142B8">
        <w:rPr>
          <w:rFonts w:ascii="Georgia" w:hAnsi="Georgia"/>
          <w:sz w:val="20"/>
          <w:szCs w:val="20"/>
          <w:lang w:val="lt-LT"/>
        </w:rPr>
        <w:t xml:space="preserve"> sąlygas.</w:t>
      </w:r>
    </w:p>
    <w:p w14:paraId="2E2A7DEC"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lastRenderedPageBreak/>
        <w:t>Atsižvelgiant į valstybės pagalbos taisyklių reikalavimus, siūloma nustatyti, kad pagal numatomą įgyvendinti priemonę daugiabučiai, kuriuose yra ūkio subjektų, neatitinkančių de minimis reikalavimų, nėra tinkami pareiškėjai.</w:t>
      </w:r>
    </w:p>
    <w:p w14:paraId="2F2D8587" w14:textId="77777777" w:rsidR="00575FB0" w:rsidRPr="002142B8" w:rsidRDefault="00575FB0" w:rsidP="00575FB0">
      <w:pPr>
        <w:pStyle w:val="Sraopastraipa"/>
        <w:ind w:left="0"/>
        <w:jc w:val="both"/>
        <w:rPr>
          <w:rFonts w:ascii="Georgia" w:hAnsi="Georgia"/>
          <w:sz w:val="20"/>
          <w:szCs w:val="20"/>
          <w:lang w:val="lt-LT"/>
        </w:rPr>
      </w:pPr>
    </w:p>
    <w:p w14:paraId="006847C4" w14:textId="77777777" w:rsidR="00575FB0" w:rsidRPr="002142B8" w:rsidRDefault="00575FB0" w:rsidP="00575FB0">
      <w:pPr>
        <w:pStyle w:val="Sraopastraipa"/>
        <w:ind w:left="0"/>
        <w:jc w:val="both"/>
        <w:rPr>
          <w:rFonts w:ascii="Georgia" w:hAnsi="Georgia"/>
          <w:b/>
          <w:sz w:val="20"/>
          <w:szCs w:val="20"/>
          <w:lang w:val="lt-LT"/>
        </w:rPr>
      </w:pPr>
      <w:r w:rsidRPr="002142B8">
        <w:rPr>
          <w:rFonts w:ascii="Georgia" w:hAnsi="Georgia"/>
          <w:b/>
          <w:sz w:val="20"/>
          <w:szCs w:val="20"/>
          <w:lang w:val="lt-LT"/>
        </w:rPr>
        <w:t>Privatūs instituciniai bei profesionalūs investuotojai</w:t>
      </w:r>
    </w:p>
    <w:p w14:paraId="3B95D4C3" w14:textId="77777777" w:rsidR="00575FB0" w:rsidRPr="002142B8" w:rsidRDefault="00575FB0" w:rsidP="00575FB0">
      <w:pPr>
        <w:pStyle w:val="Sraopastraipa"/>
        <w:ind w:left="0"/>
        <w:jc w:val="both"/>
        <w:rPr>
          <w:rFonts w:ascii="Georgia" w:hAnsi="Georgia"/>
          <w:sz w:val="20"/>
          <w:szCs w:val="20"/>
          <w:lang w:val="lt-LT"/>
        </w:rPr>
      </w:pPr>
    </w:p>
    <w:p w14:paraId="7E101D45"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 xml:space="preserve">Įvertinus mechanizmo struktūrą, darytina išvada, kad nesilaikant </w:t>
      </w:r>
      <w:r w:rsidRPr="002142B8">
        <w:rPr>
          <w:rFonts w:ascii="Georgia" w:hAnsi="Georgia"/>
          <w:i/>
          <w:sz w:val="20"/>
          <w:szCs w:val="20"/>
          <w:lang w:val="lt-LT"/>
        </w:rPr>
        <w:t>parri pasu</w:t>
      </w:r>
      <w:r w:rsidRPr="002142B8">
        <w:rPr>
          <w:rFonts w:ascii="Georgia" w:hAnsi="Georgia"/>
          <w:sz w:val="20"/>
          <w:szCs w:val="20"/>
          <w:lang w:val="lt-LT"/>
        </w:rPr>
        <w:t xml:space="preserve"> principo teikiama pagalba investuotojams, kai viešasis subjektas prisiima didesnę riziką, negu turėtų būti prisiimta, laikantis rinkos investuotojo kriterijaus, neatitinka</w:t>
      </w:r>
      <w:r w:rsidRPr="002142B8">
        <w:rPr>
          <w:rFonts w:ascii="Georgia" w:hAnsi="Georgia"/>
          <w:i/>
          <w:sz w:val="20"/>
          <w:szCs w:val="20"/>
          <w:lang w:val="lt-LT"/>
        </w:rPr>
        <w:t xml:space="preserve"> de minimis</w:t>
      </w:r>
      <w:r w:rsidRPr="002142B8">
        <w:rPr>
          <w:rFonts w:ascii="Georgia" w:hAnsi="Georgia"/>
          <w:sz w:val="20"/>
          <w:szCs w:val="20"/>
          <w:lang w:val="lt-LT"/>
        </w:rPr>
        <w:t xml:space="preserve"> Reglamento nustatytų sąlygų.</w:t>
      </w:r>
    </w:p>
    <w:p w14:paraId="4B3FE5E3"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 xml:space="preserve">Nustačius, kad mechanizmas neatitinka </w:t>
      </w:r>
      <w:r w:rsidRPr="002142B8">
        <w:rPr>
          <w:rFonts w:ascii="Georgia" w:hAnsi="Georgia"/>
          <w:i/>
          <w:sz w:val="20"/>
          <w:szCs w:val="20"/>
          <w:lang w:val="lt-LT"/>
        </w:rPr>
        <w:t>de minimis</w:t>
      </w:r>
      <w:r w:rsidRPr="002142B8">
        <w:rPr>
          <w:rFonts w:ascii="Georgia" w:hAnsi="Georgia"/>
          <w:sz w:val="20"/>
          <w:szCs w:val="20"/>
          <w:lang w:val="lt-LT"/>
        </w:rPr>
        <w:t xml:space="preserve"> Reglamento reikalavimų, turėtų būti įvertinta, ar taikytinos bendrosios išimties reglamentų taisyklės. Šiame kontekste turi būti išnagrinėtos 2014 m. birželio 17 d. Europos Komisijos Reglamento (ES) Nr. 651/2014, kuriuo tam tikrų kategorijų pagalba skelbiama suderinama su vidaus rinka taikant sutarties 107 ir 108 straipsnius, nuostatos (toliau - BIR).</w:t>
      </w:r>
    </w:p>
    <w:p w14:paraId="6D631F30" w14:textId="77777777" w:rsidR="00575FB0" w:rsidRPr="002142B8" w:rsidRDefault="00575FB0" w:rsidP="00575FB0">
      <w:pPr>
        <w:pStyle w:val="Sraopastraipa"/>
        <w:ind w:left="0"/>
        <w:jc w:val="both"/>
        <w:rPr>
          <w:rFonts w:ascii="Georgia" w:hAnsi="Georgia"/>
          <w:sz w:val="20"/>
          <w:szCs w:val="20"/>
          <w:lang w:val="lt-LT"/>
        </w:rPr>
      </w:pPr>
    </w:p>
    <w:p w14:paraId="0EB05998"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Pabrėžtina, kad BIR yra taikomas tik skaidriai pagalbai, kuri finansinių priemonių atveju reiškia, kad nustatytos aiškios sąlygos, kurioms esant priemonė laikoma skaidria. Numatomas įgyvendinti mechanizmas atitinka Bendrosios išimties reglamento 39 str. nuostatas.</w:t>
      </w:r>
    </w:p>
    <w:p w14:paraId="1E69D817"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Būtina akcentuoti, kad BIR taikymas nustato papildomas sąlygas, kurių turi būti laikomasi, teikiant pagalbą ne tik šios pagalbos gavėjų grupės, bet ir kitų naudos gavėjų grupių atžvilgiu:</w:t>
      </w:r>
    </w:p>
    <w:p w14:paraId="5D93A2DA" w14:textId="77777777" w:rsidR="00575FB0" w:rsidRPr="002142B8" w:rsidRDefault="00575FB0" w:rsidP="00575FB0">
      <w:pPr>
        <w:pStyle w:val="Sraopastraipa"/>
        <w:numPr>
          <w:ilvl w:val="0"/>
          <w:numId w:val="160"/>
        </w:numPr>
        <w:ind w:left="709" w:hanging="425"/>
        <w:jc w:val="both"/>
        <w:rPr>
          <w:rFonts w:ascii="Georgia" w:hAnsi="Georgia"/>
          <w:sz w:val="20"/>
          <w:szCs w:val="20"/>
          <w:lang w:val="lt-LT"/>
        </w:rPr>
      </w:pPr>
      <w:r w:rsidRPr="002142B8">
        <w:rPr>
          <w:rFonts w:ascii="Georgia" w:hAnsi="Georgia"/>
          <w:sz w:val="20"/>
          <w:szCs w:val="20"/>
          <w:lang w:val="lt-LT"/>
        </w:rPr>
        <w:t>pasiektas privataus kapitalo ir viešojo kapitalo santykis 30/70, kaip yra nustatyta BIR 39 str. 7 d., ir</w:t>
      </w:r>
    </w:p>
    <w:p w14:paraId="03DB5D64" w14:textId="77777777" w:rsidR="00575FB0" w:rsidRPr="002142B8" w:rsidRDefault="00575FB0" w:rsidP="00575FB0">
      <w:pPr>
        <w:pStyle w:val="Sraopastraipa"/>
        <w:numPr>
          <w:ilvl w:val="0"/>
          <w:numId w:val="160"/>
        </w:numPr>
        <w:ind w:left="709" w:hanging="425"/>
        <w:jc w:val="both"/>
        <w:rPr>
          <w:rFonts w:ascii="Georgia" w:hAnsi="Georgia"/>
          <w:sz w:val="20"/>
          <w:szCs w:val="20"/>
          <w:lang w:val="lt-LT"/>
        </w:rPr>
      </w:pPr>
      <w:r w:rsidRPr="002142B8">
        <w:rPr>
          <w:rFonts w:ascii="Georgia" w:hAnsi="Georgia"/>
          <w:sz w:val="20"/>
          <w:szCs w:val="20"/>
          <w:lang w:val="lt-LT"/>
        </w:rPr>
        <w:t>finansiniai tarpininkai ir/ar fondo valdytojas yra parinkti atvira, skaidria, nediskriminacine ir objektyvia tvarka, ir</w:t>
      </w:r>
    </w:p>
    <w:p w14:paraId="119A70CA" w14:textId="77777777" w:rsidR="00575FB0" w:rsidRPr="002142B8" w:rsidRDefault="00575FB0" w:rsidP="00575FB0">
      <w:pPr>
        <w:pStyle w:val="Sraopastraipa"/>
        <w:numPr>
          <w:ilvl w:val="0"/>
          <w:numId w:val="160"/>
        </w:numPr>
        <w:ind w:left="709" w:hanging="425"/>
        <w:jc w:val="both"/>
        <w:rPr>
          <w:rFonts w:ascii="Georgia" w:hAnsi="Georgia"/>
          <w:sz w:val="20"/>
          <w:szCs w:val="20"/>
          <w:lang w:val="lt-LT"/>
        </w:rPr>
      </w:pPr>
      <w:r w:rsidRPr="002142B8">
        <w:rPr>
          <w:rFonts w:ascii="Georgia" w:hAnsi="Georgia"/>
          <w:sz w:val="20"/>
          <w:szCs w:val="20"/>
          <w:lang w:val="lt-LT"/>
        </w:rPr>
        <w:t>pirmojo praradimo viešojo kapitalo dydis negali viršyti 25 % visos investicijos sumos (BIR 39 str. 8 d. c) p.).</w:t>
      </w:r>
    </w:p>
    <w:p w14:paraId="6CE5B658" w14:textId="77777777" w:rsidR="00575FB0" w:rsidRPr="002142B8" w:rsidRDefault="00575FB0" w:rsidP="00575FB0">
      <w:pPr>
        <w:jc w:val="both"/>
        <w:rPr>
          <w:rFonts w:ascii="Georgia" w:hAnsi="Georgia"/>
          <w:sz w:val="20"/>
          <w:szCs w:val="20"/>
          <w:lang w:val="lt-LT"/>
        </w:rPr>
      </w:pPr>
    </w:p>
    <w:p w14:paraId="43913A51" w14:textId="77777777" w:rsidR="00575FB0" w:rsidRPr="002142B8" w:rsidRDefault="00575FB0" w:rsidP="00575FB0">
      <w:pPr>
        <w:pStyle w:val="Antrat2"/>
        <w:numPr>
          <w:ilvl w:val="3"/>
          <w:numId w:val="2"/>
        </w:numPr>
        <w:rPr>
          <w:lang w:val="lt-LT"/>
        </w:rPr>
      </w:pPr>
      <w:bookmarkStart w:id="308" w:name="_Toc25589950"/>
      <w:r w:rsidRPr="002142B8">
        <w:rPr>
          <w:lang w:val="lt-LT"/>
        </w:rPr>
        <w:t>Priemonės įgyvendinimo vertinimo išvada</w:t>
      </w:r>
      <w:bookmarkEnd w:id="308"/>
    </w:p>
    <w:p w14:paraId="35770214" w14:textId="77777777" w:rsidR="00575FB0" w:rsidRPr="002142B8" w:rsidRDefault="00575FB0" w:rsidP="00575FB0">
      <w:pPr>
        <w:pStyle w:val="Sraopastraipa"/>
        <w:ind w:left="0"/>
        <w:jc w:val="center"/>
        <w:rPr>
          <w:rFonts w:ascii="Georgia" w:hAnsi="Georgia"/>
          <w:sz w:val="20"/>
          <w:szCs w:val="20"/>
          <w:lang w:val="lt-LT"/>
        </w:rPr>
      </w:pPr>
    </w:p>
    <w:p w14:paraId="31978C23" w14:textId="77777777" w:rsidR="00575FB0" w:rsidRPr="002142B8" w:rsidRDefault="00575FB0" w:rsidP="00575FB0">
      <w:pPr>
        <w:pStyle w:val="Sraopastraipa"/>
        <w:ind w:left="0"/>
        <w:jc w:val="both"/>
        <w:rPr>
          <w:rFonts w:ascii="Georgia" w:hAnsi="Georgia"/>
          <w:sz w:val="20"/>
          <w:szCs w:val="20"/>
          <w:lang w:val="lt-LT"/>
        </w:rPr>
      </w:pPr>
      <w:r w:rsidRPr="002142B8">
        <w:rPr>
          <w:rFonts w:ascii="Georgia" w:hAnsi="Georgia"/>
          <w:sz w:val="20"/>
          <w:szCs w:val="20"/>
          <w:lang w:val="lt-LT"/>
        </w:rPr>
        <w:t>Įvertinus pasirinkto priemonės įgyvendinimo mechanizmo struktūrą, darytinos šios išvados:</w:t>
      </w:r>
    </w:p>
    <w:p w14:paraId="1DE7F083" w14:textId="77777777" w:rsidR="00575FB0" w:rsidRPr="002142B8" w:rsidRDefault="00575FB0" w:rsidP="00575FB0">
      <w:pPr>
        <w:pStyle w:val="Sraopastraipa"/>
        <w:numPr>
          <w:ilvl w:val="0"/>
          <w:numId w:val="165"/>
        </w:numPr>
        <w:ind w:left="709"/>
        <w:jc w:val="both"/>
        <w:rPr>
          <w:rFonts w:ascii="Georgia" w:hAnsi="Georgia"/>
          <w:sz w:val="20"/>
          <w:szCs w:val="20"/>
          <w:lang w:val="lt-LT"/>
        </w:rPr>
      </w:pPr>
      <w:r w:rsidRPr="002142B8">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daugiabučių namų bendrijų ir administratorių, ūkinės veiklos nevykdančių fizinių asmenų, taip pat rangos darbus vykdančių asmenų atžvilgiu;</w:t>
      </w:r>
    </w:p>
    <w:p w14:paraId="6602843D" w14:textId="77777777" w:rsidR="00575FB0" w:rsidRPr="002142B8" w:rsidRDefault="00575FB0" w:rsidP="00575FB0">
      <w:pPr>
        <w:pStyle w:val="Sraopastraipa"/>
        <w:numPr>
          <w:ilvl w:val="0"/>
          <w:numId w:val="165"/>
        </w:numPr>
        <w:ind w:left="709" w:hanging="425"/>
        <w:jc w:val="both"/>
        <w:rPr>
          <w:rFonts w:ascii="Georgia" w:hAnsi="Georgia"/>
          <w:sz w:val="20"/>
          <w:szCs w:val="20"/>
          <w:lang w:val="lt-LT"/>
        </w:rPr>
      </w:pPr>
      <w:r w:rsidRPr="002142B8">
        <w:rPr>
          <w:rFonts w:ascii="Georgia" w:hAnsi="Georgia"/>
          <w:sz w:val="20"/>
          <w:szCs w:val="20"/>
          <w:lang w:val="lt-LT"/>
        </w:rPr>
        <w:t>mechanizmo įgyvendinimas sąlygoja de minimis pagalbos atsiradimą ūkinę veiklą vykdančių fizinių asmenų, gyvenančių daugiabučiuose, taip pat juose veikiančių juridinių asmenų atžvilgiu, jeigu laikomasi apibrėžtų sąlygų;</w:t>
      </w:r>
    </w:p>
    <w:p w14:paraId="09981046" w14:textId="77777777" w:rsidR="00575FB0" w:rsidRPr="002142B8" w:rsidRDefault="00575FB0" w:rsidP="00575FB0">
      <w:pPr>
        <w:pStyle w:val="Sraopastraipa"/>
        <w:numPr>
          <w:ilvl w:val="0"/>
          <w:numId w:val="165"/>
        </w:numPr>
        <w:ind w:left="709" w:hanging="425"/>
        <w:jc w:val="both"/>
        <w:rPr>
          <w:rFonts w:ascii="Georgia" w:hAnsi="Georgia"/>
          <w:sz w:val="20"/>
          <w:szCs w:val="20"/>
          <w:lang w:val="lt-LT"/>
        </w:rPr>
      </w:pPr>
      <w:r w:rsidRPr="002142B8">
        <w:rPr>
          <w:rFonts w:ascii="Georgia" w:hAnsi="Georgia"/>
          <w:sz w:val="20"/>
          <w:szCs w:val="20"/>
          <w:lang w:val="lt-LT"/>
        </w:rPr>
        <w:t>mechanizmo įgyvendinimas sąlygoja valstybės pagalbos investuotojų atžvilgiu atsiradimą, kuriai yra netaikoma pranešimo procedūra pagal BIR nuostatas, jeigu yra laikomasi nustatytų sąlygų,</w:t>
      </w:r>
    </w:p>
    <w:p w14:paraId="29B5076D" w14:textId="77777777" w:rsidR="00575FB0" w:rsidRPr="002142B8" w:rsidRDefault="00575FB0" w:rsidP="00575FB0">
      <w:pPr>
        <w:pStyle w:val="Sraopastraipa"/>
        <w:numPr>
          <w:ilvl w:val="0"/>
          <w:numId w:val="165"/>
        </w:numPr>
        <w:ind w:left="709" w:hanging="425"/>
        <w:jc w:val="both"/>
        <w:rPr>
          <w:rFonts w:ascii="Georgia" w:hAnsi="Georgia"/>
          <w:sz w:val="20"/>
          <w:szCs w:val="20"/>
          <w:lang w:val="lt-LT"/>
        </w:rPr>
      </w:pPr>
      <w:r w:rsidRPr="002142B8">
        <w:rPr>
          <w:rFonts w:ascii="Georgia" w:hAnsi="Georgia"/>
          <w:sz w:val="20"/>
          <w:szCs w:val="20"/>
          <w:lang w:val="lt-LT"/>
        </w:rPr>
        <w:t>dėl BIR taikymo atsiranda papildomi reikalavimai finansinių tarpininkų ir fondo valdytojo atžvilgiu, kurie yra nurodyti 5.1.1.2. skyriuje.</w:t>
      </w:r>
    </w:p>
    <w:p w14:paraId="33236534" w14:textId="7776E75D" w:rsidR="00CE5A01" w:rsidRDefault="00CE5A01" w:rsidP="00CE5A01">
      <w:pPr>
        <w:pStyle w:val="Antrat2"/>
        <w:numPr>
          <w:ilvl w:val="2"/>
          <w:numId w:val="2"/>
        </w:numPr>
        <w:spacing w:after="240"/>
        <w:ind w:left="851" w:hanging="851"/>
        <w:rPr>
          <w:lang w:val="lt-LT"/>
        </w:rPr>
      </w:pPr>
      <w:bookmarkStart w:id="309" w:name="_Toc25589951"/>
      <w:r w:rsidRPr="002142B8">
        <w:rPr>
          <w:lang w:val="lt-LT"/>
        </w:rPr>
        <w:t>Centrinės valdžios pastatų renovacijos finansinių priemonių vertinimas</w:t>
      </w:r>
      <w:bookmarkEnd w:id="309"/>
    </w:p>
    <w:p w14:paraId="012C3A73" w14:textId="77777777" w:rsidR="005A432A" w:rsidRDefault="005A432A" w:rsidP="005A432A">
      <w:pPr>
        <w:pStyle w:val="Sraopastraipa"/>
        <w:ind w:left="0"/>
        <w:jc w:val="both"/>
        <w:rPr>
          <w:rFonts w:ascii="Georgia" w:hAnsi="Georgia"/>
          <w:sz w:val="20"/>
          <w:szCs w:val="20"/>
          <w:lang w:val="lt-LT"/>
        </w:rPr>
      </w:pPr>
      <w:r w:rsidRPr="00220170">
        <w:rPr>
          <w:rFonts w:ascii="Georgia" w:hAnsi="Georgia"/>
          <w:sz w:val="20"/>
          <w:szCs w:val="20"/>
          <w:lang w:val="lt-LT"/>
        </w:rPr>
        <w:t>Centrinės valdžios pastatų renovacijai, pagal alternatyvų vertinimo rezultatus, yra pasirinktas lengvatinės paskolos finansinės priemonės</w:t>
      </w:r>
      <w:r>
        <w:rPr>
          <w:rFonts w:ascii="Georgia" w:hAnsi="Georgia"/>
          <w:sz w:val="20"/>
          <w:szCs w:val="20"/>
          <w:lang w:val="lt-LT"/>
        </w:rPr>
        <w:t xml:space="preserve"> ir</w:t>
      </w:r>
      <w:r w:rsidRPr="00220170">
        <w:rPr>
          <w:rFonts w:ascii="Georgia" w:hAnsi="Georgia"/>
          <w:sz w:val="20"/>
          <w:szCs w:val="20"/>
          <w:lang w:val="lt-LT"/>
        </w:rPr>
        <w:t xml:space="preserve"> subsidijos taikymo derinys, nesteigiant juridinio asmens statusą turinčio fondo bei numatant ESCO įmonės ir privataus investicijų fondo dalyvavimą.</w:t>
      </w:r>
      <w:r>
        <w:rPr>
          <w:rFonts w:ascii="Georgia" w:hAnsi="Georgia"/>
          <w:sz w:val="20"/>
          <w:szCs w:val="20"/>
          <w:lang w:val="lt-LT"/>
        </w:rPr>
        <w:t xml:space="preserve"> Tai, kokių tikslinių grupių atžvilgiu kyla valstybės pagalbos rizika, išdėstyta 5.2 dalyje. Šioje dalyje </w:t>
      </w:r>
      <w:r>
        <w:rPr>
          <w:rFonts w:ascii="Georgia" w:hAnsi="Georgia"/>
          <w:sz w:val="20"/>
          <w:szCs w:val="20"/>
          <w:lang w:val="lt-LT"/>
        </w:rPr>
        <w:lastRenderedPageBreak/>
        <w:t>vertinamas priemonės suderinamumas su valstybės pagalbos reikalavimais. Pažymėtina, kad suderinamumo vertinimo rezultatas yra tiesiogiai susietas su mechanizmo įgyvendinimo metu planuojamomis panaudoti finansinėmis priemonėmis.</w:t>
      </w:r>
    </w:p>
    <w:p w14:paraId="18CAEE00" w14:textId="77777777" w:rsidR="005A432A" w:rsidRPr="00220170" w:rsidRDefault="005A432A" w:rsidP="005A432A">
      <w:pPr>
        <w:jc w:val="both"/>
        <w:rPr>
          <w:rFonts w:ascii="Georgia" w:hAnsi="Georgia"/>
          <w:sz w:val="20"/>
          <w:szCs w:val="20"/>
          <w:lang w:val="lt-LT"/>
        </w:rPr>
      </w:pPr>
      <w:r w:rsidRPr="00220170">
        <w:rPr>
          <w:rFonts w:ascii="Georgia" w:hAnsi="Georgia"/>
          <w:sz w:val="20"/>
          <w:szCs w:val="20"/>
          <w:lang w:val="lt-LT"/>
        </w:rPr>
        <w:t>Įgyvendinant priemonę, dalyvauja šie ūkio subjektai</w:t>
      </w:r>
      <w:r>
        <w:rPr>
          <w:rFonts w:ascii="Georgia" w:hAnsi="Georgia"/>
          <w:sz w:val="20"/>
          <w:szCs w:val="20"/>
          <w:lang w:val="lt-LT"/>
        </w:rPr>
        <w:t>, kurių atžvilgiu kylanti valstybės pagalbos rizika turi būti vertinama, atsižvelgiant į 5.2 dalyje aptartus tikslinių grupių požymius ir veiklos pobūdį</w:t>
      </w:r>
      <w:r w:rsidRPr="00220170">
        <w:rPr>
          <w:rFonts w:ascii="Georgia" w:hAnsi="Georgia"/>
          <w:sz w:val="20"/>
          <w:szCs w:val="20"/>
          <w:lang w:val="lt-LT"/>
        </w:rPr>
        <w:t>:</w:t>
      </w:r>
    </w:p>
    <w:p w14:paraId="3C192D86"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14:paraId="2CF44383"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14:paraId="31CEC1DF"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14:paraId="63F05436"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15DB9168"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14:paraId="23660AF0"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centrinės valdžios pastatų savininkai/valdytojai</w:t>
      </w:r>
      <w:r>
        <w:rPr>
          <w:rFonts w:ascii="Georgia" w:hAnsi="Georgia"/>
          <w:sz w:val="20"/>
          <w:szCs w:val="20"/>
          <w:lang w:val="lt-LT"/>
        </w:rPr>
        <w:t>;</w:t>
      </w:r>
    </w:p>
    <w:p w14:paraId="1CBE6FF5" w14:textId="77777777" w:rsidR="005A432A" w:rsidRPr="00220170"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centrinės valdžios pastatuose įsikūrę ir paslaugas teikiantys ūkio subjektai;</w:t>
      </w:r>
    </w:p>
    <w:p w14:paraId="50D9CA84" w14:textId="77777777" w:rsidR="005A432A" w:rsidRDefault="005A432A" w:rsidP="005A432A">
      <w:pPr>
        <w:pStyle w:val="Sraopastraipa"/>
        <w:numPr>
          <w:ilvl w:val="0"/>
          <w:numId w:val="58"/>
        </w:numPr>
        <w:ind w:left="567"/>
        <w:jc w:val="both"/>
        <w:rPr>
          <w:rFonts w:ascii="Georgia" w:hAnsi="Georgia"/>
          <w:sz w:val="20"/>
          <w:szCs w:val="20"/>
          <w:lang w:val="lt-LT"/>
        </w:rPr>
      </w:pPr>
      <w:r w:rsidRPr="00220170">
        <w:rPr>
          <w:rFonts w:ascii="Georgia" w:hAnsi="Georgia"/>
          <w:sz w:val="20"/>
          <w:szCs w:val="20"/>
          <w:lang w:val="lt-LT"/>
        </w:rPr>
        <w:t>rangos darbus vykdantys ūkio subjektai.</w:t>
      </w:r>
    </w:p>
    <w:p w14:paraId="4E3B12DA" w14:textId="77777777" w:rsidR="005A432A" w:rsidRPr="008D5EBC" w:rsidRDefault="005A432A" w:rsidP="005A432A">
      <w:pPr>
        <w:jc w:val="both"/>
        <w:rPr>
          <w:rFonts w:ascii="Georgia" w:hAnsi="Georgia"/>
          <w:sz w:val="20"/>
          <w:szCs w:val="20"/>
          <w:lang w:val="lt-LT"/>
        </w:rPr>
      </w:pPr>
      <w:r>
        <w:rPr>
          <w:rFonts w:ascii="Georgia" w:hAnsi="Georgia"/>
          <w:sz w:val="20"/>
          <w:szCs w:val="20"/>
          <w:lang w:val="lt-LT"/>
        </w:rPr>
        <w:t xml:space="preserve">Tikslinių grupių analizė parodė, kad didžiausia valstybės pagalbos teikimo rizika kyla centrinės valdžios pastatuose įsikūrusių ūkinę-ekonominę veiklą vykdančių subjektų atžvilgiu, taip pat, nesilaikant Rizikos kapitalo gairėse nustatytų reikalavimų ir apribojimų, fondo valdytojo ir finansinių tarpininkų atžvilgiu. Nustačius valstybės pagalbos riziką ir siekiant išvengti notifikavimo Europos Komisijai, reikia užtikrinti, kad pagalba atitinka de minimis valstybės pagalbos reikalavimus arba Bendrosios išimties reglamento sąlygas. </w:t>
      </w:r>
    </w:p>
    <w:p w14:paraId="4B4F1A6C" w14:textId="77777777" w:rsidR="005A432A" w:rsidRDefault="005A432A" w:rsidP="005A432A">
      <w:pPr>
        <w:pStyle w:val="Sraopastraipa"/>
        <w:ind w:left="0"/>
        <w:jc w:val="both"/>
        <w:rPr>
          <w:rFonts w:ascii="Georgia" w:hAnsi="Georgia"/>
          <w:sz w:val="20"/>
          <w:szCs w:val="20"/>
          <w:lang w:val="lt-LT"/>
        </w:rPr>
      </w:pPr>
      <w:r>
        <w:rPr>
          <w:rFonts w:ascii="Georgia" w:hAnsi="Georgia"/>
          <w:sz w:val="20"/>
          <w:szCs w:val="20"/>
          <w:lang w:val="lt-LT"/>
        </w:rPr>
        <w:t>Ūkio subjektams teikiama pagalba atitinka de minimis pagalbos sąlygas, jeigu:</w:t>
      </w:r>
    </w:p>
    <w:p w14:paraId="34B58A49" w14:textId="77777777" w:rsidR="005A432A" w:rsidRDefault="005A432A" w:rsidP="005A432A">
      <w:pPr>
        <w:pStyle w:val="Sraopastraipa"/>
        <w:numPr>
          <w:ilvl w:val="0"/>
          <w:numId w:val="59"/>
        </w:numPr>
        <w:ind w:left="709"/>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 4 d.) nėra nei vieno ūkio subjekto, kuriam būtų taikoma nemokumo procedūra, ir</w:t>
      </w:r>
    </w:p>
    <w:p w14:paraId="3386DF52" w14:textId="77777777" w:rsidR="005A432A" w:rsidRDefault="005A432A" w:rsidP="005A432A">
      <w:pPr>
        <w:pStyle w:val="Sraopastraipa"/>
        <w:numPr>
          <w:ilvl w:val="0"/>
          <w:numId w:val="59"/>
        </w:numPr>
        <w:jc w:val="both"/>
        <w:rPr>
          <w:rFonts w:ascii="Georgia" w:hAnsi="Georgia"/>
          <w:sz w:val="20"/>
          <w:szCs w:val="20"/>
          <w:lang w:val="lt-LT"/>
        </w:rPr>
      </w:pPr>
      <w:r>
        <w:rPr>
          <w:rFonts w:ascii="Georgia" w:hAnsi="Georgia"/>
          <w:sz w:val="20"/>
          <w:szCs w:val="20"/>
          <w:lang w:val="lt-LT"/>
        </w:rPr>
        <w:t>b</w:t>
      </w:r>
      <w:r w:rsidRPr="00BC04E9">
        <w:rPr>
          <w:rFonts w:ascii="Georgia" w:hAnsi="Georgia"/>
          <w:sz w:val="20"/>
          <w:szCs w:val="20"/>
          <w:lang w:val="lt-LT"/>
        </w:rPr>
        <w:t>endra vienai įmonei suteiktos de minimis pagalbos suma kiekvienoje valstybėje narėje neviršija 200 000 EUR per bet kurį trejų finansinių metų laikotarpį</w:t>
      </w:r>
      <w:r>
        <w:rPr>
          <w:rFonts w:ascii="Georgia" w:hAnsi="Georgia"/>
          <w:sz w:val="20"/>
          <w:szCs w:val="20"/>
          <w:lang w:val="lt-LT"/>
        </w:rPr>
        <w:t>, ir</w:t>
      </w:r>
    </w:p>
    <w:p w14:paraId="58322D98" w14:textId="77777777" w:rsidR="005A432A" w:rsidRDefault="005A432A" w:rsidP="005A432A">
      <w:pPr>
        <w:pStyle w:val="Sraopastraipa"/>
        <w:numPr>
          <w:ilvl w:val="0"/>
          <w:numId w:val="59"/>
        </w:numPr>
        <w:ind w:left="709"/>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 kai trukmė yra iki penkerių metų (arba 0,5 mln. EUR, kai trukmė yra iki dešimties metų), ir</w:t>
      </w:r>
    </w:p>
    <w:p w14:paraId="180C1423" w14:textId="77777777" w:rsidR="005A432A" w:rsidRDefault="005A432A" w:rsidP="005A432A">
      <w:pPr>
        <w:pStyle w:val="Sraopastraipa"/>
        <w:numPr>
          <w:ilvl w:val="0"/>
          <w:numId w:val="59"/>
        </w:numPr>
        <w:ind w:left="709"/>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61"/>
      </w:r>
      <w:r>
        <w:rPr>
          <w:rFonts w:ascii="Georgia" w:hAnsi="Georgia"/>
          <w:sz w:val="20"/>
          <w:szCs w:val="20"/>
          <w:lang w:val="lt-LT"/>
        </w:rPr>
        <w:t>, pridedant reikalingą maržą pagal rizikos lygį, taikytiną pagalbos suteikimo momentu.</w:t>
      </w:r>
    </w:p>
    <w:p w14:paraId="226D361E" w14:textId="77777777" w:rsidR="005A432A" w:rsidRDefault="005A432A" w:rsidP="005A432A">
      <w:pPr>
        <w:pStyle w:val="Sraopastraipa"/>
        <w:ind w:left="0"/>
        <w:jc w:val="both"/>
        <w:rPr>
          <w:rFonts w:ascii="Georgia" w:hAnsi="Georgia"/>
          <w:sz w:val="20"/>
          <w:szCs w:val="20"/>
          <w:lang w:val="lt-LT"/>
        </w:rPr>
      </w:pPr>
    </w:p>
    <w:p w14:paraId="52C1E79A" w14:textId="77777777" w:rsidR="005A432A" w:rsidRDefault="005A432A" w:rsidP="005A432A">
      <w:pPr>
        <w:pStyle w:val="Sraopastraipa"/>
        <w:ind w:left="0"/>
        <w:jc w:val="both"/>
        <w:rPr>
          <w:rFonts w:ascii="Georgia" w:hAnsi="Georgia"/>
          <w:sz w:val="20"/>
          <w:szCs w:val="20"/>
          <w:lang w:val="lt-LT"/>
        </w:rPr>
      </w:pPr>
      <w:r w:rsidRPr="005A3553">
        <w:rPr>
          <w:rFonts w:ascii="Georgia" w:hAnsi="Georgia"/>
          <w:sz w:val="20"/>
          <w:szCs w:val="20"/>
          <w:lang w:val="lt-LT"/>
        </w:rPr>
        <w:t xml:space="preserve">Pabrėžtina, kad </w:t>
      </w:r>
      <w:r w:rsidRPr="005A3553">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5A3553">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14:paraId="73DEDC74" w14:textId="77777777" w:rsidR="005A432A" w:rsidRDefault="005A432A" w:rsidP="005A432A">
      <w:pPr>
        <w:pStyle w:val="Sraopastraipa"/>
        <w:ind w:left="0"/>
        <w:jc w:val="both"/>
        <w:rPr>
          <w:rFonts w:ascii="Georgia" w:hAnsi="Georgia"/>
          <w:sz w:val="20"/>
          <w:szCs w:val="20"/>
          <w:lang w:val="lt-LT"/>
        </w:rPr>
      </w:pPr>
    </w:p>
    <w:p w14:paraId="47BC425B" w14:textId="77777777" w:rsidR="005A432A" w:rsidRDefault="005A432A" w:rsidP="005A432A">
      <w:pPr>
        <w:pStyle w:val="Sraopastraipa"/>
        <w:ind w:left="0"/>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14:paraId="1C4A6C69" w14:textId="77777777" w:rsidR="005A432A" w:rsidRDefault="005A432A" w:rsidP="005A432A">
      <w:pPr>
        <w:pStyle w:val="Sraopastraipa"/>
        <w:numPr>
          <w:ilvl w:val="0"/>
          <w:numId w:val="60"/>
        </w:numPr>
        <w:ind w:left="709" w:hanging="425"/>
        <w:jc w:val="both"/>
        <w:rPr>
          <w:rFonts w:ascii="Georgia" w:hAnsi="Georgia"/>
          <w:sz w:val="20"/>
          <w:szCs w:val="20"/>
          <w:lang w:val="lt-LT"/>
        </w:rPr>
      </w:pPr>
      <w:r>
        <w:rPr>
          <w:rFonts w:ascii="Georgia" w:hAnsi="Georgia"/>
          <w:sz w:val="20"/>
          <w:szCs w:val="20"/>
          <w:lang w:val="lt-LT"/>
        </w:rPr>
        <w:t>pagalba nėra teikiama ūkio subjektams, arba</w:t>
      </w:r>
    </w:p>
    <w:p w14:paraId="6E2DB954" w14:textId="77777777" w:rsidR="005A432A" w:rsidRDefault="005A432A" w:rsidP="005A432A">
      <w:pPr>
        <w:pStyle w:val="Sraopastraipa"/>
        <w:numPr>
          <w:ilvl w:val="0"/>
          <w:numId w:val="60"/>
        </w:numPr>
        <w:ind w:left="709" w:hanging="425"/>
        <w:rPr>
          <w:rFonts w:ascii="Georgia" w:hAnsi="Georgia"/>
          <w:sz w:val="20"/>
          <w:szCs w:val="20"/>
          <w:lang w:val="lt-LT"/>
        </w:rPr>
      </w:pPr>
      <w:r>
        <w:rPr>
          <w:rFonts w:ascii="Georgia" w:hAnsi="Georgia"/>
          <w:sz w:val="20"/>
          <w:szCs w:val="20"/>
          <w:lang w:val="lt-LT"/>
        </w:rPr>
        <w:t xml:space="preserve">teikiama pagalba atitinka </w:t>
      </w:r>
      <w:r>
        <w:rPr>
          <w:rFonts w:ascii="Georgia" w:hAnsi="Georgia"/>
          <w:i/>
          <w:sz w:val="20"/>
          <w:szCs w:val="20"/>
          <w:lang w:val="lt-LT"/>
        </w:rPr>
        <w:t>de minimis</w:t>
      </w:r>
      <w:r>
        <w:rPr>
          <w:rFonts w:ascii="Georgia" w:hAnsi="Georgia"/>
          <w:sz w:val="20"/>
          <w:szCs w:val="20"/>
          <w:lang w:val="lt-LT"/>
        </w:rPr>
        <w:t xml:space="preserve"> sąlygas;</w:t>
      </w:r>
    </w:p>
    <w:p w14:paraId="6B2BCCC4" w14:textId="77777777" w:rsidR="005A432A" w:rsidRDefault="005A432A" w:rsidP="005A432A">
      <w:pPr>
        <w:pStyle w:val="Sraopastraipa"/>
        <w:numPr>
          <w:ilvl w:val="0"/>
          <w:numId w:val="60"/>
        </w:numPr>
        <w:ind w:left="709" w:hanging="425"/>
        <w:rPr>
          <w:rFonts w:ascii="Georgia" w:hAnsi="Georgia"/>
          <w:sz w:val="20"/>
          <w:szCs w:val="20"/>
          <w:lang w:val="lt-LT"/>
        </w:rPr>
      </w:pPr>
      <w:r>
        <w:rPr>
          <w:rFonts w:ascii="Georgia" w:hAnsi="Georgia"/>
          <w:sz w:val="20"/>
          <w:szCs w:val="20"/>
          <w:lang w:val="lt-LT"/>
        </w:rPr>
        <w:t xml:space="preserve">teikiama pagalba atitinka Bendrosios išimties reglamento sąlygas, t.y. projektui teikiama pagalba neviršija 70 proc. išlaidų ir 10 mln. EUR vienam projektui, bei yra yra tenkinamos kitos Bendrosios išimties reglamento sąlygos, būtent įtvirtintos Bendrosios išimties reglamento 39 straipsnyje. </w:t>
      </w:r>
    </w:p>
    <w:p w14:paraId="0A5B61C9" w14:textId="77777777" w:rsidR="005A432A" w:rsidRDefault="005A432A" w:rsidP="005A432A">
      <w:pPr>
        <w:pStyle w:val="Sraopastraipa"/>
        <w:ind w:left="0"/>
        <w:jc w:val="both"/>
        <w:rPr>
          <w:rFonts w:ascii="Georgia" w:hAnsi="Georgia"/>
          <w:sz w:val="20"/>
          <w:szCs w:val="20"/>
          <w:lang w:val="lt-LT"/>
        </w:rPr>
      </w:pPr>
    </w:p>
    <w:p w14:paraId="6EC302C1" w14:textId="77777777" w:rsidR="005A432A" w:rsidRDefault="005A432A" w:rsidP="005A432A">
      <w:pPr>
        <w:pStyle w:val="Sraopastraipa"/>
        <w:ind w:left="0"/>
        <w:jc w:val="both"/>
        <w:rPr>
          <w:rFonts w:ascii="Georgia" w:hAnsi="Georgia"/>
          <w:sz w:val="20"/>
          <w:szCs w:val="20"/>
          <w:lang w:val="lt-LT"/>
        </w:rPr>
      </w:pPr>
      <w:r>
        <w:rPr>
          <w:rFonts w:ascii="Georgia" w:hAnsi="Georgia"/>
          <w:sz w:val="20"/>
          <w:szCs w:val="20"/>
          <w:lang w:val="lt-LT"/>
        </w:rPr>
        <w:lastRenderedPageBreak/>
        <w:t xml:space="preserve">Atsižvelgiant į valstybės pagalbos taisyklių reikalavimus, siūloma nustatyti, kad pagal numatomą įgyvendinti priemonę centrinės valdžios pastatai, kuriuose yra ūkio subjektų, neatitinkančių </w:t>
      </w:r>
      <w:r w:rsidRPr="00BC1A6B">
        <w:rPr>
          <w:rFonts w:ascii="Georgia" w:hAnsi="Georgia"/>
          <w:i/>
          <w:sz w:val="20"/>
          <w:szCs w:val="20"/>
          <w:lang w:val="lt-LT"/>
        </w:rPr>
        <w:t>de minimis</w:t>
      </w:r>
      <w:r>
        <w:rPr>
          <w:rFonts w:ascii="Georgia" w:hAnsi="Georgia"/>
          <w:sz w:val="20"/>
          <w:szCs w:val="20"/>
          <w:lang w:val="lt-LT"/>
        </w:rPr>
        <w:t xml:space="preserve"> reikalavimų, nėra tinkami pareiškėjai.</w:t>
      </w:r>
    </w:p>
    <w:p w14:paraId="4A4DA2CB" w14:textId="77777777" w:rsidR="005A432A" w:rsidRPr="001D5919" w:rsidRDefault="005A432A" w:rsidP="005A432A">
      <w:pPr>
        <w:pStyle w:val="Sraopastraipa"/>
        <w:ind w:left="0"/>
        <w:jc w:val="center"/>
        <w:rPr>
          <w:rFonts w:ascii="Georgia" w:hAnsi="Georgia"/>
          <w:sz w:val="20"/>
          <w:szCs w:val="20"/>
          <w:lang w:val="lt-LT"/>
        </w:rPr>
      </w:pPr>
    </w:p>
    <w:p w14:paraId="1F6B292E" w14:textId="77777777" w:rsidR="005A432A" w:rsidRPr="001D5919" w:rsidRDefault="005A432A" w:rsidP="005A432A">
      <w:pPr>
        <w:pStyle w:val="Sraopastraipa"/>
        <w:ind w:left="0"/>
        <w:jc w:val="both"/>
        <w:rPr>
          <w:rFonts w:ascii="Georgia" w:hAnsi="Georgia"/>
          <w:sz w:val="20"/>
          <w:szCs w:val="20"/>
          <w:lang w:val="lt-LT"/>
        </w:rPr>
      </w:pPr>
      <w:r w:rsidRPr="001D5919">
        <w:rPr>
          <w:rFonts w:ascii="Georgia" w:hAnsi="Georgia"/>
          <w:sz w:val="20"/>
          <w:szCs w:val="20"/>
          <w:lang w:val="lt-LT"/>
        </w:rPr>
        <w:t>Įvertinus pasirinkto priemonės įgyvendinimo mechanizmo struktūrą, darytinos šios išvados:</w:t>
      </w:r>
    </w:p>
    <w:p w14:paraId="6D177E9C" w14:textId="77777777" w:rsidR="005A432A" w:rsidRPr="001D5919" w:rsidRDefault="005A432A" w:rsidP="005A432A">
      <w:pPr>
        <w:pStyle w:val="Sraopastraipa"/>
        <w:numPr>
          <w:ilvl w:val="0"/>
          <w:numId w:val="61"/>
        </w:numPr>
        <w:ind w:left="709"/>
        <w:jc w:val="both"/>
        <w:rPr>
          <w:rFonts w:ascii="Georgia" w:hAnsi="Georgia"/>
          <w:sz w:val="20"/>
          <w:szCs w:val="20"/>
          <w:lang w:val="lt-LT"/>
        </w:rPr>
      </w:pPr>
      <w:r w:rsidRPr="001D5919">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centrinės valdžios pastatų savininkų/valdytojų, taip pat rangos darbus vykdančių asmenų atžvilgiu;</w:t>
      </w:r>
    </w:p>
    <w:p w14:paraId="396109A7" w14:textId="77777777" w:rsidR="005A432A" w:rsidRDefault="005A432A" w:rsidP="005A432A">
      <w:pPr>
        <w:pStyle w:val="Sraopastraipa"/>
        <w:numPr>
          <w:ilvl w:val="0"/>
          <w:numId w:val="61"/>
        </w:numPr>
        <w:ind w:left="709"/>
        <w:jc w:val="both"/>
        <w:rPr>
          <w:rFonts w:ascii="Georgia" w:hAnsi="Georgia"/>
          <w:sz w:val="20"/>
          <w:szCs w:val="20"/>
          <w:lang w:val="lt-LT"/>
        </w:rPr>
      </w:pPr>
      <w:r w:rsidRPr="001D5919">
        <w:rPr>
          <w:rFonts w:ascii="Georgia" w:hAnsi="Georgia"/>
          <w:sz w:val="20"/>
          <w:szCs w:val="20"/>
          <w:lang w:val="lt-LT"/>
        </w:rPr>
        <w:t xml:space="preserve">mechanizmo įgyvendinimas sąlygoja </w:t>
      </w:r>
      <w:r w:rsidRPr="00C6372C">
        <w:rPr>
          <w:rFonts w:ascii="Georgia" w:hAnsi="Georgia"/>
          <w:sz w:val="20"/>
          <w:szCs w:val="20"/>
          <w:lang w:val="lt-LT"/>
        </w:rPr>
        <w:t>de minimis</w:t>
      </w:r>
      <w:r w:rsidRPr="001D5919">
        <w:rPr>
          <w:rFonts w:ascii="Georgia" w:hAnsi="Georgia"/>
          <w:sz w:val="20"/>
          <w:szCs w:val="20"/>
          <w:lang w:val="lt-LT"/>
        </w:rPr>
        <w:t xml:space="preserve"> pagalbos atsiradimą </w:t>
      </w:r>
      <w:r>
        <w:rPr>
          <w:rFonts w:ascii="Georgia" w:hAnsi="Georgia"/>
          <w:sz w:val="20"/>
          <w:szCs w:val="20"/>
          <w:lang w:val="lt-LT"/>
        </w:rPr>
        <w:t>arba Bendrosios išimties reglamento taikymą,</w:t>
      </w:r>
      <w:r w:rsidRPr="001D5919">
        <w:rPr>
          <w:rFonts w:ascii="Georgia" w:hAnsi="Georgia"/>
          <w:sz w:val="20"/>
          <w:szCs w:val="20"/>
          <w:lang w:val="lt-LT"/>
        </w:rPr>
        <w:t xml:space="preserve"> jeigu laikomasi apibrėžtų sąlygų.</w:t>
      </w:r>
    </w:p>
    <w:p w14:paraId="2796C110" w14:textId="77777777" w:rsidR="005A432A" w:rsidRPr="005A432A" w:rsidRDefault="005A432A" w:rsidP="005A432A">
      <w:pPr>
        <w:rPr>
          <w:lang w:val="lt-LT"/>
        </w:rPr>
      </w:pPr>
    </w:p>
    <w:p w14:paraId="26AAF128" w14:textId="7840EC07" w:rsidR="00CE5A01" w:rsidRDefault="00CE5A01" w:rsidP="00CE5A01">
      <w:pPr>
        <w:pStyle w:val="Antrat2"/>
        <w:numPr>
          <w:ilvl w:val="2"/>
          <w:numId w:val="2"/>
        </w:numPr>
        <w:spacing w:after="240"/>
        <w:ind w:left="709"/>
        <w:rPr>
          <w:lang w:val="lt-LT"/>
        </w:rPr>
      </w:pPr>
      <w:bookmarkStart w:id="310" w:name="_Toc25589952"/>
      <w:r w:rsidRPr="002142B8">
        <w:rPr>
          <w:lang w:val="lt-LT"/>
        </w:rPr>
        <w:t>Gatvių apšvietimo finansinių priemonių vertinimas</w:t>
      </w:r>
      <w:bookmarkEnd w:id="310"/>
    </w:p>
    <w:p w14:paraId="384C2AE6" w14:textId="48A2F619" w:rsidR="005A432A" w:rsidRPr="00220170" w:rsidRDefault="005A432A" w:rsidP="005A432A">
      <w:pPr>
        <w:jc w:val="both"/>
        <w:rPr>
          <w:rFonts w:ascii="Georgia" w:hAnsi="Georgia"/>
          <w:sz w:val="20"/>
          <w:szCs w:val="20"/>
          <w:lang w:val="lt-LT"/>
        </w:rPr>
      </w:pPr>
      <w:r>
        <w:rPr>
          <w:rFonts w:ascii="Georgia" w:hAnsi="Georgia"/>
          <w:sz w:val="20"/>
          <w:szCs w:val="20"/>
          <w:lang w:val="lt-LT"/>
        </w:rPr>
        <w:t>Gatvių apšvietimui</w:t>
      </w:r>
      <w:r w:rsidRPr="00220170">
        <w:rPr>
          <w:rFonts w:ascii="Georgia" w:hAnsi="Georgia"/>
          <w:sz w:val="20"/>
          <w:szCs w:val="20"/>
          <w:lang w:val="lt-LT"/>
        </w:rPr>
        <w:t xml:space="preserve">, pagal alternatyvų vertinimo rezultatus, yra </w:t>
      </w:r>
      <w:r>
        <w:rPr>
          <w:rFonts w:ascii="Georgia" w:hAnsi="Georgia"/>
          <w:sz w:val="20"/>
          <w:szCs w:val="20"/>
          <w:lang w:val="lt-LT"/>
        </w:rPr>
        <w:t>taikoma garantijų</w:t>
      </w:r>
      <w:r w:rsidRPr="00220170">
        <w:rPr>
          <w:rFonts w:ascii="Georgia" w:hAnsi="Georgia"/>
          <w:sz w:val="20"/>
          <w:szCs w:val="20"/>
          <w:lang w:val="lt-LT"/>
        </w:rPr>
        <w:t xml:space="preserve"> finansinė priemonė, nesteigiant juridinio asmens statusą turinčio fondo.</w:t>
      </w:r>
    </w:p>
    <w:p w14:paraId="5D1692CB" w14:textId="77777777" w:rsidR="005A432A" w:rsidRPr="00220170" w:rsidRDefault="005A432A" w:rsidP="005A432A">
      <w:pPr>
        <w:jc w:val="both"/>
        <w:rPr>
          <w:rFonts w:ascii="Georgia" w:hAnsi="Georgia"/>
          <w:sz w:val="20"/>
          <w:szCs w:val="20"/>
          <w:lang w:val="lt-LT"/>
        </w:rPr>
      </w:pPr>
      <w:r w:rsidRPr="00220170">
        <w:rPr>
          <w:rFonts w:ascii="Georgia" w:hAnsi="Georgia"/>
          <w:sz w:val="20"/>
          <w:szCs w:val="20"/>
          <w:lang w:val="lt-LT"/>
        </w:rPr>
        <w:t>Įgyvendinant priemonę, dalyvauja šie ūkio subjektai</w:t>
      </w:r>
      <w:r>
        <w:rPr>
          <w:rFonts w:ascii="Georgia" w:hAnsi="Georgia"/>
          <w:sz w:val="20"/>
          <w:szCs w:val="20"/>
          <w:lang w:val="lt-LT"/>
        </w:rPr>
        <w:t>, kurių atžvilgiu kylanti valstybės pagalbos rizika turi būti vertinama, atsižvelgiant į 5.2 dalyje aptartus tikslinių grupių požymius ir veiklos pobūdį</w:t>
      </w:r>
      <w:r w:rsidRPr="00220170">
        <w:rPr>
          <w:rFonts w:ascii="Georgia" w:hAnsi="Georgia"/>
          <w:sz w:val="20"/>
          <w:szCs w:val="20"/>
          <w:lang w:val="lt-LT"/>
        </w:rPr>
        <w:t>:</w:t>
      </w:r>
    </w:p>
    <w:p w14:paraId="460A5C66" w14:textId="77777777" w:rsidR="005A432A" w:rsidRPr="00220170"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14:paraId="1687890D" w14:textId="77777777" w:rsidR="005A432A" w:rsidRPr="00220170"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14:paraId="68A182F3" w14:textId="77777777" w:rsidR="005A432A" w:rsidRPr="00220170"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14:paraId="17298C35" w14:textId="77777777" w:rsidR="005A432A" w:rsidRPr="00220170"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2FF47E42" w14:textId="77777777" w:rsidR="005A432A" w:rsidRPr="00220170"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14:paraId="519C7BDF" w14:textId="77777777" w:rsidR="005A432A" w:rsidRDefault="005A432A" w:rsidP="005A432A">
      <w:pPr>
        <w:pStyle w:val="Sraopastraipa"/>
        <w:numPr>
          <w:ilvl w:val="0"/>
          <w:numId w:val="62"/>
        </w:numPr>
        <w:ind w:left="709"/>
        <w:jc w:val="both"/>
        <w:rPr>
          <w:rFonts w:ascii="Georgia" w:hAnsi="Georgia"/>
          <w:sz w:val="20"/>
          <w:szCs w:val="20"/>
          <w:lang w:val="lt-LT"/>
        </w:rPr>
      </w:pPr>
      <w:r>
        <w:rPr>
          <w:rFonts w:ascii="Georgia" w:hAnsi="Georgia"/>
          <w:sz w:val="20"/>
          <w:szCs w:val="20"/>
          <w:lang w:val="lt-LT"/>
        </w:rPr>
        <w:t>gatvių apšvietimo taškų</w:t>
      </w:r>
      <w:r w:rsidRPr="00220170">
        <w:rPr>
          <w:rFonts w:ascii="Georgia" w:hAnsi="Georgia"/>
          <w:sz w:val="20"/>
          <w:szCs w:val="20"/>
          <w:lang w:val="lt-LT"/>
        </w:rPr>
        <w:t xml:space="preserve"> savininkai/valdytojai</w:t>
      </w:r>
      <w:r>
        <w:rPr>
          <w:rFonts w:ascii="Georgia" w:hAnsi="Georgia"/>
          <w:sz w:val="20"/>
          <w:szCs w:val="20"/>
          <w:lang w:val="lt-LT"/>
        </w:rPr>
        <w:t>;</w:t>
      </w:r>
    </w:p>
    <w:p w14:paraId="7B49084E" w14:textId="77777777" w:rsidR="005A432A" w:rsidRPr="004A23FF" w:rsidRDefault="005A432A" w:rsidP="005A432A">
      <w:pPr>
        <w:pStyle w:val="Sraopastraipa"/>
        <w:numPr>
          <w:ilvl w:val="0"/>
          <w:numId w:val="62"/>
        </w:numPr>
        <w:ind w:left="709"/>
        <w:jc w:val="both"/>
        <w:rPr>
          <w:rFonts w:ascii="Georgia" w:hAnsi="Georgia"/>
          <w:sz w:val="20"/>
          <w:szCs w:val="20"/>
          <w:lang w:val="lt-LT"/>
        </w:rPr>
      </w:pPr>
      <w:r>
        <w:rPr>
          <w:rFonts w:ascii="Georgia" w:hAnsi="Georgia"/>
          <w:sz w:val="20"/>
          <w:szCs w:val="20"/>
          <w:lang w:val="lt-LT"/>
        </w:rPr>
        <w:t>komerciniai bankai ar kitos kredito įstaigos;</w:t>
      </w:r>
    </w:p>
    <w:p w14:paraId="3BD08090" w14:textId="77777777" w:rsidR="005A432A" w:rsidRDefault="005A432A" w:rsidP="005A432A">
      <w:pPr>
        <w:pStyle w:val="Sraopastraipa"/>
        <w:numPr>
          <w:ilvl w:val="0"/>
          <w:numId w:val="62"/>
        </w:numPr>
        <w:ind w:left="709"/>
        <w:jc w:val="both"/>
        <w:rPr>
          <w:rFonts w:ascii="Georgia" w:hAnsi="Georgia"/>
          <w:sz w:val="20"/>
          <w:szCs w:val="20"/>
          <w:lang w:val="lt-LT"/>
        </w:rPr>
      </w:pPr>
      <w:r w:rsidRPr="00220170">
        <w:rPr>
          <w:rFonts w:ascii="Georgia" w:hAnsi="Georgia"/>
          <w:sz w:val="20"/>
          <w:szCs w:val="20"/>
          <w:lang w:val="lt-LT"/>
        </w:rPr>
        <w:t>rangos darbus vykdantys ūkio subjektai.</w:t>
      </w:r>
    </w:p>
    <w:p w14:paraId="48E0E143" w14:textId="77777777" w:rsidR="005A432A" w:rsidRDefault="005A432A" w:rsidP="005A432A">
      <w:pPr>
        <w:pStyle w:val="Sraopastraipa"/>
        <w:ind w:left="0"/>
        <w:jc w:val="both"/>
        <w:rPr>
          <w:rFonts w:ascii="Georgia" w:hAnsi="Georgia"/>
          <w:sz w:val="20"/>
          <w:szCs w:val="20"/>
          <w:lang w:val="lt-LT"/>
        </w:rPr>
      </w:pPr>
    </w:p>
    <w:p w14:paraId="4F508C38" w14:textId="77777777" w:rsidR="00833F44" w:rsidRDefault="00833F44" w:rsidP="00833F44">
      <w:pPr>
        <w:pStyle w:val="Sraopastraipa"/>
        <w:ind w:left="0"/>
        <w:jc w:val="both"/>
        <w:rPr>
          <w:rFonts w:ascii="Georgia" w:hAnsi="Georgia"/>
          <w:sz w:val="20"/>
          <w:szCs w:val="20"/>
          <w:lang w:val="lt-LT"/>
        </w:rPr>
      </w:pPr>
      <w:r>
        <w:rPr>
          <w:rFonts w:ascii="Georgia" w:hAnsi="Georgia"/>
          <w:sz w:val="20"/>
          <w:szCs w:val="20"/>
          <w:lang w:val="lt-LT"/>
        </w:rPr>
        <w:t>Atsižvelgiant į Komisijos Pranešimo dėl Sutarties dėl Europos Sąjungos veikimo 107 straipsnio 1 dalyje vartojomos valstybės pagalbos sąvokos (2016/C 262/01) (toliau – Pranešimas) nuostatas, valstybės pagalbos taisyklės taikomos tik tuo atveju, jeigu priemonės gavėjas yra įmonė – t.y. bet kokio juridinio statuso ir bet kokiu būdu finansuojamas subjektas, vykdantis ekonominę veiklą</w:t>
      </w:r>
      <w:r>
        <w:rPr>
          <w:rStyle w:val="Puslapioinaosnuoroda"/>
          <w:rFonts w:ascii="Georgia" w:hAnsi="Georgia"/>
          <w:sz w:val="20"/>
          <w:szCs w:val="20"/>
          <w:lang w:val="lt-LT"/>
        </w:rPr>
        <w:footnoteReference w:id="162"/>
      </w:r>
      <w:r>
        <w:rPr>
          <w:rFonts w:ascii="Georgia" w:hAnsi="Georgia"/>
          <w:sz w:val="20"/>
          <w:szCs w:val="20"/>
          <w:lang w:val="lt-LT"/>
        </w:rPr>
        <w:t xml:space="preserve">. Tuo atveju, jei ūkio subjektas vykdo tiek ekonominę, tiek neekonominę veiklą, valstybės pagalbos klausimas turi būti vertinamas tik finansuojamos veiklos apimtyje, o ūkio subjektui valstybės pagalbos taisyklės bus taikomos tik tuo atveju, jeigu iš viešųjų lėšų finansuojama veikla yra ekonominė (ir jei taikomi visi kiti valstybės pagalbos požymiai). Pranešimo 12 punkte nurodoma, kad ekonomine veikla laikoma bet kokia veikla, kurią sudaro prekių tiekimas ir paslaugų teikimas rinkoje, o Pranešimo 220 punkte nustatyta, kad viešo naudojimo keliai yra bendroji infrastruktūra ir jų viešajam finansavimui netaikomos valstybės pagalbos taisyklės, todėl vertinant gatvių apšvietimo projektus įgyvendinančius subjektus (gatvių apšvietimo taškų savininkus/valdytojus ar ESCO įmonės funkcijas vykdančius ūkio subjektus) pirmiausia būtina įvertinti, ar gatvių apšvietimo paslaugos laikytinos </w:t>
      </w:r>
      <w:r>
        <w:rPr>
          <w:rFonts w:ascii="Georgia" w:hAnsi="Georgia"/>
          <w:sz w:val="20"/>
          <w:szCs w:val="20"/>
          <w:lang w:val="lt-LT"/>
        </w:rPr>
        <w:lastRenderedPageBreak/>
        <w:t xml:space="preserve">rinkoje teikiamomis paslaugomis, ar veikla vykdant viešuosius įgaliojimus (atsižvelgiant į tai, kad gatvės ir modernizuoti jų apšvietimo tinklai yra nemokamo viešo naudojimo).  </w:t>
      </w:r>
    </w:p>
    <w:p w14:paraId="60D7BBE8" w14:textId="6020317C" w:rsidR="00833F44" w:rsidRDefault="00833F44" w:rsidP="00833F44">
      <w:pPr>
        <w:pStyle w:val="Sraopastraipa"/>
        <w:ind w:left="0"/>
        <w:jc w:val="both"/>
        <w:rPr>
          <w:rFonts w:ascii="Georgia" w:hAnsi="Georgia"/>
          <w:sz w:val="20"/>
          <w:szCs w:val="20"/>
          <w:lang w:val="lt-LT"/>
        </w:rPr>
      </w:pPr>
      <w:r>
        <w:rPr>
          <w:rFonts w:ascii="Georgia" w:hAnsi="Georgia"/>
          <w:sz w:val="20"/>
          <w:szCs w:val="20"/>
          <w:lang w:val="lt-LT"/>
        </w:rPr>
        <w:t>Taip pat būtina įvertinti, ar gatvių apšvietimo finansavimas iš viešųjų lėšų gali daryti poveikį prekybai tarp šalių narių. Vadovaujantis Pranešimo 210 punktu, vietos ir savivaldybių infrastruktūros viešasis finansavimas nedaro poveiklio valstybių narių tarpusavio prekybai, kadangi šios infrastruktūros pasiekimo zona daugiausia yra vietinė.</w:t>
      </w:r>
    </w:p>
    <w:p w14:paraId="6DF972C5" w14:textId="77777777" w:rsidR="00833F44" w:rsidRDefault="00833F44" w:rsidP="00833F44">
      <w:pPr>
        <w:pStyle w:val="Sraopastraipa"/>
        <w:ind w:left="0"/>
        <w:jc w:val="both"/>
        <w:rPr>
          <w:rFonts w:ascii="Georgia" w:hAnsi="Georgia"/>
          <w:sz w:val="20"/>
          <w:szCs w:val="20"/>
          <w:lang w:val="lt-LT"/>
        </w:rPr>
      </w:pPr>
    </w:p>
    <w:p w14:paraId="019D2801" w14:textId="024FCD41" w:rsidR="005A432A" w:rsidRDefault="005A432A" w:rsidP="005A432A">
      <w:pPr>
        <w:pStyle w:val="Sraopastraipa"/>
        <w:numPr>
          <w:ilvl w:val="0"/>
          <w:numId w:val="81"/>
        </w:numPr>
        <w:jc w:val="both"/>
        <w:rPr>
          <w:rFonts w:ascii="Georgia" w:hAnsi="Georgia"/>
          <w:sz w:val="20"/>
          <w:szCs w:val="20"/>
          <w:lang w:val="lt-LT"/>
        </w:rPr>
      </w:pPr>
    </w:p>
    <w:p w14:paraId="05146703" w14:textId="77777777" w:rsidR="005A432A" w:rsidRDefault="005A432A" w:rsidP="005A432A">
      <w:pPr>
        <w:keepNext/>
        <w:jc w:val="both"/>
        <w:rPr>
          <w:rFonts w:ascii="Georgia" w:hAnsi="Georgia"/>
          <w:sz w:val="20"/>
          <w:szCs w:val="20"/>
          <w:lang w:val="lt-LT"/>
        </w:rPr>
      </w:pPr>
      <w:r>
        <w:rPr>
          <w:rFonts w:ascii="Georgia" w:hAnsi="Georgia"/>
          <w:sz w:val="20"/>
          <w:szCs w:val="20"/>
          <w:lang w:val="lt-LT"/>
        </w:rPr>
        <w:t>Garantijomis teikiama valstybės pagalba taip pat gali būti de minimis valstybės pagalba, jeigu yra tenkinamos šios sąlygos:</w:t>
      </w:r>
    </w:p>
    <w:p w14:paraId="7AC09DDA" w14:textId="13C8DEB9" w:rsidR="005A432A" w:rsidRPr="00E30A3F" w:rsidRDefault="005A432A" w:rsidP="005A432A">
      <w:pPr>
        <w:pStyle w:val="Sraopastraipa"/>
        <w:numPr>
          <w:ilvl w:val="0"/>
          <w:numId w:val="182"/>
        </w:numPr>
        <w:jc w:val="both"/>
        <w:rPr>
          <w:rFonts w:ascii="Georgia" w:hAnsi="Georgia"/>
          <w:sz w:val="20"/>
          <w:szCs w:val="20"/>
          <w:lang w:val="lt-LT"/>
        </w:rPr>
      </w:pPr>
      <w:r w:rsidRPr="00E30A3F">
        <w:rPr>
          <w:rFonts w:ascii="Georgia" w:hAnsi="Georgia"/>
          <w:sz w:val="20"/>
          <w:szCs w:val="20"/>
          <w:lang w:val="lt-LT"/>
        </w:rPr>
        <w:t>pagalbos gavėjui netaikoma kolektyvinė nemokumo procedūra. Kai pagalbos gavėjas yra didelė įmonė, jos padėtis turi prilygti bent jau B kredito reitingui; ir</w:t>
      </w:r>
    </w:p>
    <w:p w14:paraId="4A74AFA2" w14:textId="7CCDE953" w:rsidR="005A432A" w:rsidRPr="00E30A3F" w:rsidRDefault="005A432A" w:rsidP="005A432A">
      <w:pPr>
        <w:pStyle w:val="Sraopastraipa"/>
        <w:numPr>
          <w:ilvl w:val="0"/>
          <w:numId w:val="182"/>
        </w:numPr>
        <w:jc w:val="both"/>
        <w:rPr>
          <w:rFonts w:ascii="Georgia" w:hAnsi="Georgia"/>
          <w:sz w:val="20"/>
          <w:szCs w:val="20"/>
          <w:lang w:val="lt-LT"/>
        </w:rPr>
      </w:pPr>
      <w:r w:rsidRPr="00E30A3F">
        <w:rPr>
          <w:rFonts w:ascii="Georgia" w:hAnsi="Georgia"/>
          <w:sz w:val="20"/>
          <w:szCs w:val="20"/>
          <w:lang w:val="lt-LT"/>
        </w:rPr>
        <w:t xml:space="preserve">garantija neviršija 80 % pagrindinės paskolos sumos ir garantuojama suma yra pirmuoju atveju: 1 500 000 EUR, o garantijos trukmė yra penkeri metai, arba antruoju atveju: 750 000 EUR, o garantijos trukmė yra dešimt metų; jeigu garantuojama suma sudaro mažesnę tų sumų dalį ir (arba) garantija suteikiama trumpesniam negu atitinkamai penkerių arba dešimties metų laikotarpiui, tos garantijos bendrasis subsidijos ekvivalentas apskaičiuojamas </w:t>
      </w:r>
      <w:r>
        <w:rPr>
          <w:rFonts w:ascii="Georgia" w:hAnsi="Georgia"/>
          <w:sz w:val="20"/>
          <w:szCs w:val="20"/>
          <w:lang w:val="lt-LT"/>
        </w:rPr>
        <w:t>viršutinė 200 000 EUR riba</w:t>
      </w:r>
      <w:r w:rsidRPr="00E30A3F">
        <w:rPr>
          <w:rFonts w:ascii="Georgia" w:hAnsi="Georgia"/>
          <w:sz w:val="20"/>
          <w:szCs w:val="20"/>
          <w:lang w:val="lt-LT"/>
        </w:rPr>
        <w:t>; arba</w:t>
      </w:r>
    </w:p>
    <w:p w14:paraId="7982C8F8" w14:textId="7749D051" w:rsidR="005A432A" w:rsidRPr="00E30A3F" w:rsidRDefault="005A432A" w:rsidP="005A432A">
      <w:pPr>
        <w:pStyle w:val="Sraopastraipa"/>
        <w:numPr>
          <w:ilvl w:val="0"/>
          <w:numId w:val="182"/>
        </w:numPr>
        <w:jc w:val="both"/>
        <w:rPr>
          <w:rFonts w:ascii="Georgia" w:hAnsi="Georgia"/>
          <w:sz w:val="20"/>
          <w:szCs w:val="20"/>
          <w:lang w:val="lt-LT"/>
        </w:rPr>
      </w:pPr>
      <w:r w:rsidRPr="00E30A3F">
        <w:rPr>
          <w:rFonts w:ascii="Georgia" w:hAnsi="Georgia"/>
          <w:sz w:val="20"/>
          <w:szCs w:val="20"/>
          <w:lang w:val="lt-LT"/>
        </w:rPr>
        <w:t>bendrasis subsidijos ekvivalentas buvo apskaičiuotas remiantis Komisijos pranešime nustatytomis saugumo garanto priemokomis (tame Komisijos pranešime – „saugaus uosto“ priemokos); arba</w:t>
      </w:r>
    </w:p>
    <w:p w14:paraId="2964BA3F" w14:textId="68EF7EB8" w:rsidR="005A432A" w:rsidRDefault="005A432A" w:rsidP="005A432A">
      <w:pPr>
        <w:pStyle w:val="Sraopastraipa"/>
        <w:numPr>
          <w:ilvl w:val="0"/>
          <w:numId w:val="182"/>
        </w:numPr>
        <w:jc w:val="both"/>
        <w:rPr>
          <w:rFonts w:ascii="Georgia" w:hAnsi="Georgia"/>
          <w:sz w:val="20"/>
          <w:szCs w:val="20"/>
          <w:lang w:val="lt-LT"/>
        </w:rPr>
      </w:pPr>
      <w:r w:rsidRPr="00E30A3F">
        <w:rPr>
          <w:rFonts w:ascii="Georgia" w:hAnsi="Georgia"/>
          <w:sz w:val="20"/>
          <w:szCs w:val="20"/>
          <w:lang w:val="lt-LT"/>
        </w:rPr>
        <w:t>iki įgyvendinimo:</w:t>
      </w:r>
      <w:r>
        <w:rPr>
          <w:rFonts w:ascii="Georgia" w:hAnsi="Georgia"/>
          <w:sz w:val="20"/>
          <w:szCs w:val="20"/>
          <w:lang w:val="lt-LT"/>
        </w:rPr>
        <w:t xml:space="preserve"> </w:t>
      </w:r>
      <w:r w:rsidRPr="00E30A3F">
        <w:rPr>
          <w:rFonts w:ascii="Georgia" w:hAnsi="Georgia"/>
          <w:sz w:val="20"/>
          <w:szCs w:val="20"/>
          <w:lang w:val="lt-LT"/>
        </w:rPr>
        <w:t>i)</w:t>
      </w:r>
      <w:r>
        <w:rPr>
          <w:rFonts w:ascii="Georgia" w:hAnsi="Georgia"/>
          <w:sz w:val="20"/>
          <w:szCs w:val="20"/>
          <w:lang w:val="lt-LT"/>
        </w:rPr>
        <w:t xml:space="preserve"> </w:t>
      </w:r>
      <w:r w:rsidRPr="00E30A3F">
        <w:rPr>
          <w:rFonts w:ascii="Georgia" w:hAnsi="Georgia"/>
          <w:sz w:val="20"/>
          <w:szCs w:val="20"/>
          <w:lang w:val="lt-LT"/>
        </w:rPr>
        <w:t>apie garantijos bendrajam subsidijos ekvivalentui apskaičiuoti naudotą metodiką buvo pranešta Komisijai pagal kitą tuo metu taikytą Komisijos priimtą reglamentą valstybės pagalbos srityje ir tą metodiką Komisija patvirtino kaip atitinkančią Garantijų pranešimą ar vėliau priimtą pranešimą, ir</w:t>
      </w:r>
      <w:r>
        <w:rPr>
          <w:rFonts w:ascii="Georgia" w:hAnsi="Georgia"/>
          <w:sz w:val="20"/>
          <w:szCs w:val="20"/>
          <w:lang w:val="lt-LT"/>
        </w:rPr>
        <w:t xml:space="preserve"> </w:t>
      </w:r>
      <w:r w:rsidRPr="00E30A3F">
        <w:rPr>
          <w:rFonts w:ascii="Georgia" w:hAnsi="Georgia"/>
          <w:sz w:val="20"/>
          <w:szCs w:val="20"/>
          <w:lang w:val="lt-LT"/>
        </w:rPr>
        <w:t>ii)</w:t>
      </w:r>
      <w:r>
        <w:rPr>
          <w:rFonts w:ascii="Georgia" w:hAnsi="Georgia"/>
          <w:sz w:val="20"/>
          <w:szCs w:val="20"/>
          <w:lang w:val="lt-LT"/>
        </w:rPr>
        <w:t xml:space="preserve"> </w:t>
      </w:r>
      <w:r w:rsidRPr="00E30A3F">
        <w:rPr>
          <w:rFonts w:ascii="Georgia" w:hAnsi="Georgia"/>
          <w:sz w:val="20"/>
          <w:szCs w:val="20"/>
          <w:lang w:val="lt-LT"/>
        </w:rPr>
        <w:t>toje metodikoje aiškiai apibrėžta garantijų rūšis ir pagrindinių sandorių rūšis atsižvelgiant į šio reglamento taikymą.</w:t>
      </w:r>
    </w:p>
    <w:p w14:paraId="1849C8F3" w14:textId="77777777" w:rsidR="005A432A" w:rsidRDefault="005A432A" w:rsidP="005A432A">
      <w:pPr>
        <w:keepNext/>
        <w:jc w:val="both"/>
        <w:rPr>
          <w:rFonts w:ascii="Georgia" w:hAnsi="Georgia"/>
          <w:sz w:val="20"/>
          <w:szCs w:val="20"/>
          <w:lang w:val="lt-LT"/>
        </w:rPr>
      </w:pPr>
      <w:r>
        <w:rPr>
          <w:rFonts w:ascii="Georgia" w:hAnsi="Georgia"/>
          <w:sz w:val="20"/>
          <w:szCs w:val="20"/>
          <w:lang w:val="lt-LT"/>
        </w:rPr>
        <w:t xml:space="preserve">Be to, garantija turi atitikti Bendrosios išimties reglamento 39 straipsnio sąlygas. </w:t>
      </w:r>
    </w:p>
    <w:p w14:paraId="61AEBF62" w14:textId="77777777" w:rsidR="005A432A" w:rsidRPr="00FB20ED" w:rsidRDefault="005A432A" w:rsidP="005A432A">
      <w:pPr>
        <w:keepNext/>
        <w:jc w:val="both"/>
        <w:rPr>
          <w:rFonts w:ascii="Georgia" w:hAnsi="Georgia"/>
          <w:sz w:val="20"/>
          <w:szCs w:val="20"/>
          <w:lang w:val="lt-LT"/>
        </w:rPr>
      </w:pPr>
      <w:r w:rsidRPr="00FB20ED">
        <w:rPr>
          <w:rFonts w:ascii="Georgia" w:hAnsi="Georgia"/>
          <w:sz w:val="20"/>
          <w:szCs w:val="20"/>
          <w:lang w:val="lt-LT"/>
        </w:rPr>
        <w:t>Įvertinus pasirinkto priemonės įgyvendinimo mechanizmo struktūrą, darytina išvada, kad mechanizmo įgyvendinimas nesukelia valstybės pagalbos atsiradimo rizikos, laikantis atitinkamuose skyriuose nurodytų sąlygų, visų tikslinių grupių, dalyvaujančių finansinės priemonės įgyvendinime atžvilgiu.</w:t>
      </w:r>
    </w:p>
    <w:p w14:paraId="101DC501" w14:textId="463AE912" w:rsidR="00F338B2" w:rsidRPr="002142B8" w:rsidRDefault="00F338B2" w:rsidP="0063781D">
      <w:pPr>
        <w:pStyle w:val="Antrat2"/>
        <w:numPr>
          <w:ilvl w:val="2"/>
          <w:numId w:val="2"/>
        </w:numPr>
        <w:spacing w:after="240"/>
        <w:ind w:left="709"/>
        <w:rPr>
          <w:lang w:val="lt-LT"/>
        </w:rPr>
      </w:pPr>
      <w:bookmarkStart w:id="311" w:name="_Toc25589953"/>
      <w:r w:rsidRPr="002142B8">
        <w:rPr>
          <w:lang w:val="lt-LT"/>
        </w:rPr>
        <w:t>Savivaldybių pastatų renovacijos finansinių priemonių vertinimas</w:t>
      </w:r>
      <w:bookmarkEnd w:id="311"/>
    </w:p>
    <w:p w14:paraId="623237E0" w14:textId="77777777" w:rsidR="0006117A" w:rsidRPr="00220170" w:rsidRDefault="0006117A" w:rsidP="0006117A">
      <w:pPr>
        <w:jc w:val="both"/>
        <w:rPr>
          <w:rFonts w:ascii="Georgia" w:hAnsi="Georgia"/>
          <w:sz w:val="20"/>
          <w:szCs w:val="20"/>
          <w:lang w:val="lt-LT"/>
        </w:rPr>
      </w:pPr>
      <w:r w:rsidRPr="00220170">
        <w:rPr>
          <w:rFonts w:ascii="Georgia" w:hAnsi="Georgia"/>
          <w:sz w:val="20"/>
          <w:szCs w:val="20"/>
          <w:lang w:val="lt-LT"/>
        </w:rPr>
        <w:t>Šiame skyriuje nagrinėjam</w:t>
      </w:r>
      <w:r>
        <w:rPr>
          <w:rFonts w:ascii="Georgia" w:hAnsi="Georgia"/>
          <w:sz w:val="20"/>
          <w:szCs w:val="20"/>
          <w:lang w:val="lt-LT"/>
        </w:rPr>
        <w:t>i</w:t>
      </w:r>
      <w:r w:rsidRPr="00220170">
        <w:rPr>
          <w:rFonts w:ascii="Georgia" w:hAnsi="Georgia"/>
          <w:sz w:val="20"/>
          <w:szCs w:val="20"/>
          <w:lang w:val="lt-LT"/>
        </w:rPr>
        <w:t xml:space="preserve"> </w:t>
      </w:r>
      <w:r>
        <w:rPr>
          <w:rFonts w:ascii="Georgia" w:hAnsi="Georgia"/>
          <w:sz w:val="20"/>
          <w:szCs w:val="20"/>
          <w:lang w:val="lt-LT"/>
        </w:rPr>
        <w:t>aptartoms</w:t>
      </w:r>
      <w:r w:rsidRPr="00220170">
        <w:rPr>
          <w:rFonts w:ascii="Georgia" w:hAnsi="Georgia"/>
          <w:sz w:val="20"/>
          <w:szCs w:val="20"/>
          <w:lang w:val="lt-LT"/>
        </w:rPr>
        <w:t xml:space="preserve"> </w:t>
      </w:r>
      <w:r>
        <w:rPr>
          <w:rFonts w:ascii="Georgia" w:hAnsi="Georgia"/>
          <w:sz w:val="20"/>
          <w:szCs w:val="20"/>
          <w:lang w:val="lt-LT"/>
        </w:rPr>
        <w:t>savivaldybių pastatų renovacijai</w:t>
      </w:r>
      <w:r w:rsidRPr="00220170">
        <w:rPr>
          <w:rFonts w:ascii="Georgia" w:hAnsi="Georgia"/>
          <w:sz w:val="20"/>
          <w:szCs w:val="20"/>
          <w:lang w:val="lt-LT"/>
        </w:rPr>
        <w:t xml:space="preserve"> skirtų finansinių priemonių alternatyv</w:t>
      </w:r>
      <w:r>
        <w:rPr>
          <w:rFonts w:ascii="Georgia" w:hAnsi="Georgia"/>
          <w:sz w:val="20"/>
          <w:szCs w:val="20"/>
          <w:lang w:val="lt-LT"/>
        </w:rPr>
        <w:t>oms aktualūs reikalavimai dėl priemonių atitikties valstybės pagalbos reikalavimams</w:t>
      </w:r>
      <w:r w:rsidRPr="00220170">
        <w:rPr>
          <w:rFonts w:ascii="Georgia" w:hAnsi="Georgia"/>
          <w:sz w:val="20"/>
          <w:szCs w:val="20"/>
          <w:lang w:val="lt-LT"/>
        </w:rPr>
        <w:t xml:space="preserve">. </w:t>
      </w:r>
      <w:r>
        <w:rPr>
          <w:rFonts w:ascii="Georgia" w:hAnsi="Georgia"/>
          <w:sz w:val="20"/>
          <w:szCs w:val="20"/>
          <w:lang w:val="lt-LT"/>
        </w:rPr>
        <w:t xml:space="preserve">Savivaldybės pastatų renovacijos valstybės pagalbos vertinimui taikytinos ir tos pačios taisyklės, išdėstytos šios analizės 5.1 ir 5.2 dalyse. </w:t>
      </w:r>
    </w:p>
    <w:p w14:paraId="3B967979" w14:textId="77777777" w:rsidR="0006117A" w:rsidRDefault="0006117A" w:rsidP="0006117A">
      <w:pPr>
        <w:jc w:val="both"/>
        <w:rPr>
          <w:rFonts w:ascii="Georgia" w:hAnsi="Georgia"/>
          <w:sz w:val="20"/>
          <w:szCs w:val="20"/>
          <w:lang w:val="lt-LT"/>
        </w:rPr>
      </w:pPr>
      <w:r>
        <w:rPr>
          <w:rFonts w:ascii="Georgia" w:hAnsi="Georgia"/>
          <w:sz w:val="20"/>
          <w:szCs w:val="20"/>
          <w:lang w:val="lt-LT"/>
        </w:rPr>
        <w:t>Bendrąja prasme nagrinėjamas priemones galima skirstyti į dvi grupes: (i) paskolos ir (ii) garantijos. Atkreiptinas dėmesys, kad garantija turi būti apribota iki 80 proc. pagrindinės sumos, o valstybės narės prisiimti nuostoliai apribojami 25 proc. pagrindinio garantuojamo portfelio.</w:t>
      </w:r>
    </w:p>
    <w:p w14:paraId="16BEDC6B" w14:textId="77777777" w:rsidR="0006117A" w:rsidRDefault="0006117A" w:rsidP="0006117A">
      <w:pPr>
        <w:jc w:val="both"/>
        <w:rPr>
          <w:rFonts w:ascii="Georgia" w:hAnsi="Georgia"/>
          <w:sz w:val="20"/>
          <w:szCs w:val="20"/>
          <w:lang w:val="lt-LT"/>
        </w:rPr>
      </w:pPr>
      <w:r w:rsidRPr="00A00272">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331AB6F5" w14:textId="77777777" w:rsidR="0006117A" w:rsidRPr="00220170" w:rsidRDefault="0006117A" w:rsidP="0006117A">
      <w:pPr>
        <w:jc w:val="both"/>
        <w:rPr>
          <w:rFonts w:ascii="Georgia" w:hAnsi="Georgia"/>
          <w:sz w:val="20"/>
          <w:szCs w:val="20"/>
          <w:lang w:val="lt-LT"/>
        </w:rPr>
      </w:pPr>
      <w:r>
        <w:rPr>
          <w:rFonts w:ascii="Georgia" w:hAnsi="Georgia"/>
          <w:sz w:val="20"/>
          <w:szCs w:val="20"/>
          <w:lang w:val="lt-LT"/>
        </w:rPr>
        <w:t>Įvertinus numatomą mechanizmą, į</w:t>
      </w:r>
      <w:r w:rsidRPr="00220170">
        <w:rPr>
          <w:rFonts w:ascii="Georgia" w:hAnsi="Georgia"/>
          <w:sz w:val="20"/>
          <w:szCs w:val="20"/>
          <w:lang w:val="lt-LT"/>
        </w:rPr>
        <w:t>gyvendinant</w:t>
      </w:r>
      <w:r>
        <w:rPr>
          <w:rFonts w:ascii="Georgia" w:hAnsi="Georgia"/>
          <w:sz w:val="20"/>
          <w:szCs w:val="20"/>
          <w:lang w:val="lt-LT"/>
        </w:rPr>
        <w:t xml:space="preserve"> savivaldybės viešųjų pastatų renovacijos</w:t>
      </w:r>
      <w:r w:rsidRPr="00220170">
        <w:rPr>
          <w:rFonts w:ascii="Georgia" w:hAnsi="Georgia"/>
          <w:sz w:val="20"/>
          <w:szCs w:val="20"/>
          <w:lang w:val="lt-LT"/>
        </w:rPr>
        <w:t xml:space="preserve"> priemon</w:t>
      </w:r>
      <w:r>
        <w:rPr>
          <w:rFonts w:ascii="Georgia" w:hAnsi="Georgia"/>
          <w:sz w:val="20"/>
          <w:szCs w:val="20"/>
          <w:lang w:val="lt-LT"/>
        </w:rPr>
        <w:t>es</w:t>
      </w:r>
      <w:r w:rsidRPr="00220170">
        <w:rPr>
          <w:rFonts w:ascii="Georgia" w:hAnsi="Georgia"/>
          <w:sz w:val="20"/>
          <w:szCs w:val="20"/>
          <w:lang w:val="lt-LT"/>
        </w:rPr>
        <w:t xml:space="preserve">, </w:t>
      </w:r>
      <w:r>
        <w:rPr>
          <w:rFonts w:ascii="Georgia" w:hAnsi="Georgia"/>
          <w:sz w:val="20"/>
          <w:szCs w:val="20"/>
          <w:lang w:val="lt-LT"/>
        </w:rPr>
        <w:t xml:space="preserve">gali </w:t>
      </w:r>
      <w:r w:rsidRPr="00220170">
        <w:rPr>
          <w:rFonts w:ascii="Georgia" w:hAnsi="Georgia"/>
          <w:sz w:val="20"/>
          <w:szCs w:val="20"/>
          <w:lang w:val="lt-LT"/>
        </w:rPr>
        <w:t>dalyvau</w:t>
      </w:r>
      <w:r>
        <w:rPr>
          <w:rFonts w:ascii="Georgia" w:hAnsi="Georgia"/>
          <w:sz w:val="20"/>
          <w:szCs w:val="20"/>
          <w:lang w:val="lt-LT"/>
        </w:rPr>
        <w:t>ti</w:t>
      </w:r>
      <w:r w:rsidRPr="00220170">
        <w:rPr>
          <w:rFonts w:ascii="Georgia" w:hAnsi="Georgia"/>
          <w:sz w:val="20"/>
          <w:szCs w:val="20"/>
          <w:lang w:val="lt-LT"/>
        </w:rPr>
        <w:t xml:space="preserve"> šie subjektai:</w:t>
      </w:r>
    </w:p>
    <w:p w14:paraId="22E9B6CA" w14:textId="77777777" w:rsidR="0006117A" w:rsidRPr="00220170" w:rsidRDefault="0006117A" w:rsidP="0006117A">
      <w:pPr>
        <w:pStyle w:val="Sraopastraipa"/>
        <w:numPr>
          <w:ilvl w:val="0"/>
          <w:numId w:val="99"/>
        </w:numPr>
        <w:ind w:left="709" w:hanging="425"/>
        <w:jc w:val="both"/>
        <w:rPr>
          <w:rFonts w:ascii="Georgia" w:hAnsi="Georgia"/>
          <w:sz w:val="20"/>
          <w:szCs w:val="20"/>
          <w:lang w:val="lt-LT"/>
        </w:rPr>
      </w:pPr>
      <w:r w:rsidRPr="00220170">
        <w:rPr>
          <w:rFonts w:ascii="Georgia" w:hAnsi="Georgia"/>
          <w:sz w:val="20"/>
          <w:szCs w:val="20"/>
          <w:lang w:val="lt-LT"/>
        </w:rPr>
        <w:lastRenderedPageBreak/>
        <w:t xml:space="preserve">fondo steigimui reikalingą finansavimą suteikiančios bei </w:t>
      </w:r>
      <w:r w:rsidRPr="00BA094C">
        <w:rPr>
          <w:rFonts w:ascii="Georgia" w:hAnsi="Georgia"/>
          <w:sz w:val="20"/>
          <w:szCs w:val="20"/>
          <w:lang w:val="lt-LT"/>
        </w:rPr>
        <w:t>priežiūros komitete</w:t>
      </w:r>
      <w:r w:rsidRPr="00220170">
        <w:rPr>
          <w:rFonts w:ascii="Georgia" w:hAnsi="Georgia"/>
          <w:sz w:val="20"/>
          <w:szCs w:val="20"/>
          <w:lang w:val="lt-LT"/>
        </w:rPr>
        <w:t xml:space="preserve"> dalyvaujančios viešosios institucijos (Lietuvos Respublikos </w:t>
      </w:r>
      <w:r>
        <w:rPr>
          <w:rFonts w:ascii="Georgia" w:hAnsi="Georgia"/>
          <w:sz w:val="20"/>
          <w:szCs w:val="20"/>
          <w:lang w:val="lt-LT"/>
        </w:rPr>
        <w:t xml:space="preserve">aplinkos </w:t>
      </w:r>
      <w:r w:rsidRPr="00220170">
        <w:rPr>
          <w:rFonts w:ascii="Georgia" w:hAnsi="Georgia"/>
          <w:sz w:val="20"/>
          <w:szCs w:val="20"/>
          <w:lang w:val="lt-LT"/>
        </w:rPr>
        <w:t>ministerija, Lietuvos Respublikos finansų ministerija);</w:t>
      </w:r>
    </w:p>
    <w:p w14:paraId="7B16186E" w14:textId="77777777" w:rsidR="0006117A" w:rsidRPr="00BA094C" w:rsidRDefault="0006117A" w:rsidP="0006117A">
      <w:pPr>
        <w:pStyle w:val="Sraopastraipa"/>
        <w:numPr>
          <w:ilvl w:val="0"/>
          <w:numId w:val="99"/>
        </w:numPr>
        <w:ind w:left="709" w:hanging="425"/>
        <w:jc w:val="both"/>
        <w:rPr>
          <w:rFonts w:ascii="Georgia" w:hAnsi="Georgia"/>
          <w:sz w:val="20"/>
          <w:szCs w:val="20"/>
          <w:lang w:val="lt-LT"/>
        </w:rPr>
      </w:pPr>
      <w:r w:rsidRPr="00220170">
        <w:rPr>
          <w:rFonts w:ascii="Georgia" w:hAnsi="Georgia"/>
          <w:sz w:val="20"/>
          <w:szCs w:val="20"/>
          <w:lang w:val="lt-LT"/>
        </w:rPr>
        <w:t xml:space="preserve">fondo valdytojas, kuris vykdo fondo valdymo </w:t>
      </w:r>
      <w:r w:rsidRPr="00BA094C">
        <w:rPr>
          <w:rFonts w:ascii="Georgia" w:hAnsi="Georgia"/>
          <w:sz w:val="20"/>
          <w:szCs w:val="20"/>
          <w:lang w:val="lt-LT"/>
        </w:rPr>
        <w:t>priežiūros komiteto pavedimus, teikia fondo valdymo paslaugas nurodytoms viešosioms institucijoms ir galimiems investuotojams, valdydamas fondą, taip pat gaudamas fondo valdymo mokestį;</w:t>
      </w:r>
    </w:p>
    <w:p w14:paraId="19B424E1" w14:textId="77777777" w:rsidR="0006117A" w:rsidRPr="00BA094C" w:rsidRDefault="0006117A" w:rsidP="0006117A">
      <w:pPr>
        <w:pStyle w:val="Sraopastraipa"/>
        <w:numPr>
          <w:ilvl w:val="0"/>
          <w:numId w:val="99"/>
        </w:numPr>
        <w:ind w:left="709" w:hanging="425"/>
        <w:jc w:val="both"/>
        <w:rPr>
          <w:rFonts w:ascii="Georgia" w:hAnsi="Georgia"/>
          <w:sz w:val="20"/>
          <w:szCs w:val="20"/>
          <w:lang w:val="lt-LT"/>
        </w:rPr>
      </w:pPr>
      <w:r w:rsidRPr="00BA094C">
        <w:rPr>
          <w:rFonts w:ascii="Georgia" w:hAnsi="Georgia"/>
          <w:sz w:val="20"/>
          <w:szCs w:val="20"/>
          <w:lang w:val="lt-LT"/>
        </w:rPr>
        <w:t>privatūs instituciniai bei profesionalūs investuotojai;</w:t>
      </w:r>
    </w:p>
    <w:p w14:paraId="2EF79B63" w14:textId="77777777" w:rsidR="0006117A" w:rsidRPr="00BA094C" w:rsidRDefault="0006117A" w:rsidP="0006117A">
      <w:pPr>
        <w:pStyle w:val="Sraopastraipa"/>
        <w:numPr>
          <w:ilvl w:val="0"/>
          <w:numId w:val="99"/>
        </w:numPr>
        <w:ind w:left="709" w:hanging="425"/>
        <w:jc w:val="both"/>
        <w:rPr>
          <w:rFonts w:ascii="Georgia" w:hAnsi="Georgia"/>
          <w:sz w:val="20"/>
          <w:szCs w:val="20"/>
          <w:lang w:val="lt-LT"/>
        </w:rPr>
      </w:pPr>
      <w:r w:rsidRPr="00BA094C">
        <w:rPr>
          <w:rFonts w:ascii="Georgia" w:hAnsi="Georgia"/>
          <w:sz w:val="20"/>
          <w:szCs w:val="20"/>
          <w:lang w:val="lt-LT"/>
        </w:rPr>
        <w:t>fondas (kaip atskiras juridinis asmuo);</w:t>
      </w:r>
    </w:p>
    <w:p w14:paraId="6C110206" w14:textId="77777777" w:rsidR="0006117A" w:rsidRPr="00220170" w:rsidRDefault="0006117A" w:rsidP="0006117A">
      <w:pPr>
        <w:pStyle w:val="Sraopastraipa"/>
        <w:numPr>
          <w:ilvl w:val="0"/>
          <w:numId w:val="99"/>
        </w:numPr>
        <w:ind w:left="709" w:hanging="425"/>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638790F2" w14:textId="77777777" w:rsidR="0006117A" w:rsidRDefault="0006117A" w:rsidP="0006117A">
      <w:pPr>
        <w:pStyle w:val="Sraopastraipa"/>
        <w:numPr>
          <w:ilvl w:val="0"/>
          <w:numId w:val="99"/>
        </w:numPr>
        <w:ind w:left="709" w:hanging="425"/>
        <w:jc w:val="both"/>
        <w:rPr>
          <w:rFonts w:ascii="Georgia" w:hAnsi="Georgia"/>
          <w:sz w:val="20"/>
          <w:szCs w:val="20"/>
          <w:lang w:val="lt-LT"/>
        </w:rPr>
      </w:pPr>
      <w:r>
        <w:rPr>
          <w:rFonts w:ascii="Georgia" w:hAnsi="Georgia"/>
          <w:sz w:val="20"/>
          <w:szCs w:val="20"/>
          <w:lang w:val="lt-LT"/>
        </w:rPr>
        <w:t xml:space="preserve">finansų tarpininkai, jei </w:t>
      </w:r>
      <w:r w:rsidRPr="00220170">
        <w:rPr>
          <w:rFonts w:ascii="Georgia" w:hAnsi="Georgia"/>
          <w:sz w:val="20"/>
          <w:szCs w:val="20"/>
          <w:lang w:val="lt-LT"/>
        </w:rPr>
        <w:t>įgyvendinant priemonę</w:t>
      </w:r>
      <w:r>
        <w:rPr>
          <w:rFonts w:ascii="Georgia" w:hAnsi="Georgia"/>
          <w:sz w:val="20"/>
          <w:szCs w:val="20"/>
          <w:lang w:val="lt-LT"/>
        </w:rPr>
        <w:t xml:space="preserve"> būtų nuspręsta juos pasitelkti</w:t>
      </w:r>
      <w:r w:rsidRPr="00220170">
        <w:rPr>
          <w:rFonts w:ascii="Georgia" w:hAnsi="Georgia"/>
          <w:sz w:val="20"/>
          <w:szCs w:val="20"/>
          <w:lang w:val="lt-LT"/>
        </w:rPr>
        <w:t>;</w:t>
      </w:r>
    </w:p>
    <w:p w14:paraId="62D07BFD" w14:textId="77777777" w:rsidR="0006117A" w:rsidRPr="00220170" w:rsidRDefault="0006117A" w:rsidP="0006117A">
      <w:pPr>
        <w:pStyle w:val="Sraopastraipa"/>
        <w:numPr>
          <w:ilvl w:val="0"/>
          <w:numId w:val="99"/>
        </w:numPr>
        <w:ind w:left="709" w:hanging="425"/>
        <w:jc w:val="both"/>
        <w:rPr>
          <w:rFonts w:ascii="Georgia" w:hAnsi="Georgia"/>
          <w:sz w:val="20"/>
          <w:szCs w:val="20"/>
          <w:lang w:val="lt-LT"/>
        </w:rPr>
      </w:pPr>
      <w:r>
        <w:rPr>
          <w:rFonts w:ascii="Georgia" w:hAnsi="Georgia"/>
          <w:sz w:val="20"/>
          <w:szCs w:val="20"/>
          <w:lang w:val="lt-LT"/>
        </w:rPr>
        <w:t>savivaldybė, savivaldybės įmonės ir savivaldybės paskirti administratoriai;</w:t>
      </w:r>
    </w:p>
    <w:p w14:paraId="73317E36" w14:textId="77777777" w:rsidR="0006117A" w:rsidRDefault="0006117A" w:rsidP="0006117A">
      <w:pPr>
        <w:pStyle w:val="Sraopastraipa"/>
        <w:numPr>
          <w:ilvl w:val="0"/>
          <w:numId w:val="99"/>
        </w:numPr>
        <w:ind w:left="709" w:hanging="425"/>
        <w:jc w:val="both"/>
        <w:rPr>
          <w:rFonts w:ascii="Georgia" w:hAnsi="Georgia"/>
          <w:sz w:val="20"/>
          <w:szCs w:val="20"/>
          <w:lang w:val="lt-LT"/>
        </w:rPr>
      </w:pPr>
      <w:r>
        <w:rPr>
          <w:rFonts w:ascii="Georgia" w:hAnsi="Georgia"/>
          <w:sz w:val="20"/>
          <w:szCs w:val="20"/>
          <w:lang w:val="lt-LT"/>
        </w:rPr>
        <w:t>savivaldybės pastato</w:t>
      </w:r>
      <w:r w:rsidRPr="00220170">
        <w:rPr>
          <w:rFonts w:ascii="Georgia" w:hAnsi="Georgia"/>
          <w:sz w:val="20"/>
          <w:szCs w:val="20"/>
          <w:lang w:val="lt-LT"/>
        </w:rPr>
        <w:t xml:space="preserve"> savininkai/valdytojai</w:t>
      </w:r>
      <w:r>
        <w:rPr>
          <w:rFonts w:ascii="Georgia" w:hAnsi="Georgia"/>
          <w:sz w:val="20"/>
          <w:szCs w:val="20"/>
          <w:lang w:val="lt-LT"/>
        </w:rPr>
        <w:t>;</w:t>
      </w:r>
    </w:p>
    <w:p w14:paraId="4CC3CDA2" w14:textId="77777777" w:rsidR="0006117A" w:rsidRPr="00930686" w:rsidRDefault="0006117A" w:rsidP="0006117A">
      <w:pPr>
        <w:pStyle w:val="Sraopastraipa"/>
        <w:numPr>
          <w:ilvl w:val="0"/>
          <w:numId w:val="99"/>
        </w:numPr>
        <w:ind w:left="709" w:hanging="425"/>
        <w:jc w:val="both"/>
        <w:rPr>
          <w:rFonts w:ascii="Georgia" w:hAnsi="Georgia"/>
          <w:sz w:val="20"/>
          <w:szCs w:val="20"/>
          <w:lang w:val="lt-LT"/>
        </w:rPr>
      </w:pPr>
      <w:r>
        <w:rPr>
          <w:rFonts w:ascii="Georgia" w:hAnsi="Georgia"/>
          <w:sz w:val="20"/>
          <w:szCs w:val="20"/>
          <w:lang w:val="lt-LT"/>
        </w:rPr>
        <w:t xml:space="preserve">savivaldybės </w:t>
      </w:r>
      <w:r w:rsidRPr="00220170">
        <w:rPr>
          <w:rFonts w:ascii="Georgia" w:hAnsi="Georgia"/>
          <w:sz w:val="20"/>
          <w:szCs w:val="20"/>
          <w:lang w:val="lt-LT"/>
        </w:rPr>
        <w:t>pastatuose įsikūrę ir paslaugas teikiantys ūkio subjektai;</w:t>
      </w:r>
    </w:p>
    <w:p w14:paraId="0EB4AEF9" w14:textId="77777777" w:rsidR="0006117A" w:rsidRDefault="0006117A" w:rsidP="0006117A">
      <w:pPr>
        <w:pStyle w:val="Antrat2"/>
        <w:ind w:left="141"/>
        <w:rPr>
          <w:lang w:val="lt-LT"/>
        </w:rPr>
      </w:pPr>
      <w:bookmarkStart w:id="312" w:name="_Toc25589954"/>
      <w:r>
        <w:rPr>
          <w:lang w:val="lt-LT"/>
        </w:rPr>
        <w:t>5.2.4.1. Priemonės įgyvendinimo mechanizmo klasifikavimas</w:t>
      </w:r>
      <w:bookmarkEnd w:id="312"/>
    </w:p>
    <w:p w14:paraId="44A9483E" w14:textId="77777777" w:rsidR="0006117A" w:rsidRDefault="0006117A" w:rsidP="0006117A">
      <w:pPr>
        <w:jc w:val="both"/>
        <w:rPr>
          <w:rFonts w:ascii="Georgia" w:hAnsi="Georgia"/>
          <w:sz w:val="20"/>
          <w:szCs w:val="20"/>
          <w:lang w:val="lt-LT"/>
        </w:rPr>
      </w:pPr>
    </w:p>
    <w:p w14:paraId="2D455ECC" w14:textId="77777777" w:rsidR="0006117A" w:rsidRPr="00C6372C" w:rsidRDefault="0006117A" w:rsidP="0006117A">
      <w:pPr>
        <w:pStyle w:val="Sraopastraipa"/>
        <w:ind w:left="0"/>
        <w:jc w:val="both"/>
        <w:rPr>
          <w:rFonts w:ascii="Georgia" w:hAnsi="Georgia"/>
          <w:b/>
          <w:sz w:val="20"/>
          <w:szCs w:val="20"/>
          <w:lang w:val="lt-LT"/>
        </w:rPr>
      </w:pPr>
      <w:r w:rsidRPr="006D12E1">
        <w:rPr>
          <w:rFonts w:ascii="Georgia" w:hAnsi="Georgia"/>
          <w:b/>
          <w:sz w:val="20"/>
          <w:szCs w:val="20"/>
          <w:lang w:val="lt-LT"/>
        </w:rPr>
        <w:t>Fondo steigimui reikalingą finansavimą suteikiančios viešosios institucijos</w:t>
      </w:r>
    </w:p>
    <w:p w14:paraId="59527DA4" w14:textId="77777777" w:rsidR="0006117A" w:rsidRDefault="0006117A" w:rsidP="0006117A">
      <w:pPr>
        <w:jc w:val="both"/>
        <w:rPr>
          <w:rFonts w:ascii="Georgia" w:hAnsi="Georgia"/>
          <w:sz w:val="20"/>
          <w:szCs w:val="20"/>
          <w:lang w:val="lt-LT"/>
        </w:rPr>
      </w:pPr>
      <w:r>
        <w:rPr>
          <w:rFonts w:ascii="Georgia" w:hAnsi="Georgia"/>
          <w:sz w:val="20"/>
          <w:szCs w:val="20"/>
          <w:lang w:val="lt-LT"/>
        </w:rPr>
        <w:t>Aplinkos ministerija bei Finansų ministerija, vykdydamos jiems pavestas funkcijas pagal Bendrųjų nuostatų reglamento reikalavimus, taip pat pagal Lietuvos Respublikos biudžeto sandaros įstatymo, Lietuvos Respublikos Vyriausybės nutarimo Dėl atsakomybės ir funkcijų pasiskirstymo tarp institucijų, įgyvendinant 2014 – 2020 metų Europos sąjungos fondų investicijų veiksmų programos nuostatas, vykdo tik viešąsias funkcijas, tai yra šios finansinės priemonės kontekste vykdo neekonominę veiklą bei negali būti laikomi ūkio subjektais.</w:t>
      </w:r>
    </w:p>
    <w:p w14:paraId="4CAAEBFF" w14:textId="77777777" w:rsidR="0006117A" w:rsidRDefault="0006117A" w:rsidP="0006117A">
      <w:pPr>
        <w:jc w:val="both"/>
        <w:rPr>
          <w:rFonts w:ascii="Georgia" w:hAnsi="Georgia"/>
          <w:sz w:val="20"/>
          <w:szCs w:val="20"/>
          <w:lang w:val="lt-LT"/>
        </w:rPr>
      </w:pPr>
      <w:r>
        <w:rPr>
          <w:rFonts w:ascii="Georgia" w:hAnsi="Georgia"/>
          <w:sz w:val="20"/>
          <w:szCs w:val="20"/>
          <w:lang w:val="lt-LT"/>
        </w:rPr>
        <w:t>Kaip ir viešąsias funkcijas atliekančios ministerijos, savivaldybės vykdo neekonominę veiklą bei nėra laikomos ūkio subjektais. Todėl tuo atveju, kai naudos gavėjas yra pati savivaldybė ar savivaldybė dalyvauja administruojant ir/ar kontroliuojant finansavimo teikimą, tai nelaikytina valstybės pagalbos teikimu.</w:t>
      </w:r>
    </w:p>
    <w:p w14:paraId="542C734C" w14:textId="77777777" w:rsidR="0006117A" w:rsidRDefault="0006117A" w:rsidP="0006117A">
      <w:pPr>
        <w:jc w:val="both"/>
        <w:rPr>
          <w:rFonts w:ascii="Georgia" w:hAnsi="Georgia"/>
          <w:sz w:val="20"/>
          <w:szCs w:val="20"/>
          <w:lang w:val="lt-LT"/>
        </w:rPr>
      </w:pPr>
      <w:r>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48500665" w14:textId="77777777" w:rsidR="0006117A" w:rsidRPr="00C6372C" w:rsidRDefault="0006117A" w:rsidP="0006117A">
      <w:pPr>
        <w:pStyle w:val="Sraopastraipa"/>
        <w:ind w:left="0"/>
        <w:jc w:val="both"/>
        <w:rPr>
          <w:rFonts w:ascii="Georgia" w:hAnsi="Georgia"/>
          <w:b/>
          <w:sz w:val="20"/>
          <w:szCs w:val="20"/>
          <w:lang w:val="lt-LT"/>
        </w:rPr>
      </w:pPr>
      <w:r w:rsidRPr="00BF4020">
        <w:rPr>
          <w:rFonts w:ascii="Georgia" w:hAnsi="Georgia"/>
          <w:b/>
          <w:sz w:val="20"/>
          <w:szCs w:val="20"/>
          <w:lang w:val="lt-LT"/>
        </w:rPr>
        <w:t>Fondo valdytojas</w:t>
      </w:r>
    </w:p>
    <w:p w14:paraId="41123E16" w14:textId="77777777" w:rsidR="0006117A" w:rsidRPr="00BF4020" w:rsidRDefault="0006117A" w:rsidP="0006117A">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w:t>
      </w:r>
      <w:r>
        <w:rPr>
          <w:rFonts w:ascii="Georgia" w:hAnsi="Georgia"/>
          <w:sz w:val="20"/>
          <w:szCs w:val="20"/>
          <w:lang w:val="lt-LT"/>
        </w:rPr>
        <w:t>2</w:t>
      </w:r>
      <w:r w:rsidRPr="00BF4020">
        <w:rPr>
          <w:rFonts w:ascii="Georgia" w:hAnsi="Georgia"/>
          <w:sz w:val="20"/>
          <w:szCs w:val="20"/>
          <w:lang w:val="lt-LT"/>
        </w:rPr>
        <w:t>.1.1. skyriuje</w:t>
      </w:r>
      <w:r>
        <w:rPr>
          <w:rFonts w:ascii="Georgia" w:hAnsi="Georgia"/>
          <w:sz w:val="20"/>
          <w:szCs w:val="20"/>
          <w:lang w:val="lt-LT"/>
        </w:rPr>
        <w:t>.</w:t>
      </w:r>
    </w:p>
    <w:p w14:paraId="73E4B352" w14:textId="77777777" w:rsidR="0006117A" w:rsidRPr="00BF4020" w:rsidRDefault="0006117A" w:rsidP="0006117A">
      <w:pPr>
        <w:jc w:val="both"/>
        <w:rPr>
          <w:rFonts w:ascii="Georgia" w:hAnsi="Georgia"/>
          <w:sz w:val="20"/>
          <w:szCs w:val="20"/>
          <w:lang w:val="lt-LT"/>
        </w:rPr>
      </w:pPr>
      <w:r w:rsidRPr="00BF4020">
        <w:rPr>
          <w:rFonts w:ascii="Georgia" w:hAnsi="Georgia"/>
          <w:sz w:val="20"/>
          <w:szCs w:val="20"/>
          <w:lang w:val="lt-LT"/>
        </w:rPr>
        <w:t>Įvykdžius 5.</w:t>
      </w:r>
      <w:r>
        <w:rPr>
          <w:rFonts w:ascii="Georgia" w:hAnsi="Georgia"/>
          <w:sz w:val="20"/>
          <w:szCs w:val="20"/>
          <w:lang w:val="lt-LT"/>
        </w:rPr>
        <w:t>2</w:t>
      </w:r>
      <w:r w:rsidRPr="00BF4020">
        <w:rPr>
          <w:rFonts w:ascii="Georgia" w:hAnsi="Georgia"/>
          <w:sz w:val="20"/>
          <w:szCs w:val="20"/>
          <w:lang w:val="lt-LT"/>
        </w:rPr>
        <w:t>.1.1. skyriuje nurodytas sąlygas, laikytina, kad fondo valdytojas nėra valstybės pagalbos gavėjas, kadangi fondo valdytojui nebūtų suteikiamas ekonominis pranašumas.</w:t>
      </w:r>
      <w:r>
        <w:rPr>
          <w:rFonts w:ascii="Georgia" w:hAnsi="Georgia"/>
          <w:sz w:val="20"/>
          <w:szCs w:val="20"/>
          <w:lang w:val="lt-LT"/>
        </w:rPr>
        <w:t xml:space="preserve"> </w:t>
      </w:r>
    </w:p>
    <w:p w14:paraId="27C04F1F" w14:textId="77777777" w:rsidR="0006117A" w:rsidRPr="00B94678" w:rsidRDefault="0006117A" w:rsidP="0006117A">
      <w:pPr>
        <w:jc w:val="both"/>
        <w:rPr>
          <w:rFonts w:ascii="Georgia" w:hAnsi="Georgia"/>
          <w:b/>
          <w:sz w:val="20"/>
          <w:szCs w:val="20"/>
          <w:lang w:val="lt-LT"/>
        </w:rPr>
      </w:pPr>
      <w:r w:rsidRPr="00B94678">
        <w:rPr>
          <w:rFonts w:ascii="Georgia" w:hAnsi="Georgia"/>
          <w:b/>
          <w:sz w:val="20"/>
          <w:szCs w:val="20"/>
          <w:lang w:val="lt-LT"/>
        </w:rPr>
        <w:t>Fondas (kaip atskiras juridinis asmuo)</w:t>
      </w:r>
    </w:p>
    <w:p w14:paraId="17A81555" w14:textId="72E21EAE" w:rsidR="0006117A" w:rsidRPr="00B94678" w:rsidRDefault="0006117A" w:rsidP="00D23037">
      <w:pPr>
        <w:jc w:val="both"/>
        <w:rPr>
          <w:rFonts w:ascii="Georgia" w:hAnsi="Georgia"/>
          <w:sz w:val="20"/>
          <w:szCs w:val="20"/>
          <w:lang w:val="lt-LT"/>
        </w:rPr>
      </w:pPr>
      <w:r w:rsidRPr="00B94678">
        <w:rPr>
          <w:rFonts w:ascii="Georgia" w:hAnsi="Georgia"/>
          <w:sz w:val="20"/>
          <w:szCs w:val="20"/>
          <w:lang w:val="lt-LT"/>
        </w:rPr>
        <w:t xml:space="preserve">Pagal numatomą mechanizmą, </w:t>
      </w:r>
      <w:r w:rsidRPr="00A35AA6">
        <w:rPr>
          <w:rFonts w:ascii="Georgia" w:hAnsi="Georgia"/>
          <w:sz w:val="20"/>
          <w:szCs w:val="20"/>
          <w:lang w:val="lt-LT"/>
        </w:rPr>
        <w:t>fond</w:t>
      </w:r>
      <w:r>
        <w:rPr>
          <w:rFonts w:ascii="Georgia" w:hAnsi="Georgia"/>
          <w:sz w:val="20"/>
          <w:szCs w:val="20"/>
          <w:lang w:val="lt-LT"/>
        </w:rPr>
        <w:t>as</w:t>
      </w:r>
      <w:r w:rsidRPr="00A35AA6">
        <w:rPr>
          <w:rFonts w:ascii="Georgia" w:hAnsi="Georgia"/>
          <w:sz w:val="20"/>
          <w:szCs w:val="20"/>
          <w:lang w:val="lt-LT"/>
        </w:rPr>
        <w:t xml:space="preserve"> galėtų būti steigiamas kaip atskiras juridinis asmuo  arba galėtų būti naudojama </w:t>
      </w:r>
      <w:r w:rsidR="00D23037">
        <w:rPr>
          <w:rFonts w:ascii="Georgia" w:hAnsi="Georgia"/>
          <w:sz w:val="20"/>
          <w:szCs w:val="20"/>
          <w:lang w:val="lt-LT"/>
        </w:rPr>
        <w:t>vieninga</w:t>
      </w:r>
      <w:r w:rsidR="008B3C84">
        <w:rPr>
          <w:rFonts w:ascii="Georgia" w:hAnsi="Georgia"/>
          <w:sz w:val="20"/>
          <w:szCs w:val="20"/>
          <w:lang w:val="lt-LT"/>
        </w:rPr>
        <w:t xml:space="preserve"> </w:t>
      </w:r>
      <w:r w:rsidR="00D23037">
        <w:rPr>
          <w:rFonts w:ascii="Georgia" w:hAnsi="Georgia"/>
          <w:sz w:val="20"/>
          <w:szCs w:val="20"/>
          <w:lang w:val="lt-LT"/>
        </w:rPr>
        <w:t xml:space="preserve">energinio efektyvumo projektų finansavimo </w:t>
      </w:r>
      <w:r w:rsidR="008B3C84">
        <w:rPr>
          <w:rFonts w:ascii="Georgia" w:hAnsi="Georgia"/>
          <w:sz w:val="20"/>
          <w:szCs w:val="20"/>
          <w:lang w:val="lt-LT"/>
        </w:rPr>
        <w:t xml:space="preserve">platforma (t.y. vienas </w:t>
      </w:r>
      <w:r w:rsidR="00D23037">
        <w:rPr>
          <w:rFonts w:ascii="Georgia" w:hAnsi="Georgia"/>
          <w:sz w:val="20"/>
          <w:szCs w:val="20"/>
          <w:lang w:val="lt-LT"/>
        </w:rPr>
        <w:t xml:space="preserve">juridinis asmuo - </w:t>
      </w:r>
      <w:r w:rsidR="008B3C84">
        <w:rPr>
          <w:rFonts w:ascii="Georgia" w:hAnsi="Georgia"/>
          <w:sz w:val="20"/>
          <w:szCs w:val="20"/>
          <w:lang w:val="lt-LT"/>
        </w:rPr>
        <w:t>KŪB)</w:t>
      </w:r>
      <w:r w:rsidRPr="00A35AA6">
        <w:rPr>
          <w:rFonts w:ascii="Georgia" w:hAnsi="Georgia"/>
          <w:sz w:val="20"/>
          <w:szCs w:val="20"/>
          <w:lang w:val="lt-LT"/>
        </w:rPr>
        <w:t>, skirta investicijoms</w:t>
      </w:r>
      <w:r w:rsidR="00D23037">
        <w:rPr>
          <w:rFonts w:ascii="Georgia" w:hAnsi="Georgia"/>
          <w:sz w:val="20"/>
          <w:szCs w:val="20"/>
          <w:lang w:val="lt-LT"/>
        </w:rPr>
        <w:t xml:space="preserve"> ne tik į savivaldybių (viešųjų) pastatų modernizavimą bet ir</w:t>
      </w:r>
      <w:r w:rsidRPr="00A35AA6">
        <w:rPr>
          <w:rFonts w:ascii="Georgia" w:hAnsi="Georgia"/>
          <w:sz w:val="20"/>
          <w:szCs w:val="20"/>
          <w:lang w:val="lt-LT"/>
        </w:rPr>
        <w:t xml:space="preserve"> </w:t>
      </w:r>
      <w:r w:rsidR="00D23037">
        <w:rPr>
          <w:rFonts w:ascii="Georgia" w:hAnsi="Georgia"/>
          <w:sz w:val="20"/>
          <w:szCs w:val="20"/>
          <w:lang w:val="lt-LT"/>
        </w:rPr>
        <w:t>d</w:t>
      </w:r>
      <w:r w:rsidR="00D23037" w:rsidRPr="00D23037">
        <w:rPr>
          <w:rFonts w:ascii="Georgia" w:hAnsi="Georgia"/>
          <w:sz w:val="20"/>
          <w:szCs w:val="20"/>
          <w:lang w:val="lt-LT"/>
        </w:rPr>
        <w:t>augiabučių nam</w:t>
      </w:r>
      <w:r w:rsidR="00D23037">
        <w:rPr>
          <w:rFonts w:ascii="Georgia" w:hAnsi="Georgia"/>
          <w:sz w:val="20"/>
          <w:szCs w:val="20"/>
          <w:lang w:val="lt-LT"/>
        </w:rPr>
        <w:t>ų atnaujinimą (modernizavimą), g</w:t>
      </w:r>
      <w:r w:rsidR="00D23037" w:rsidRPr="00F91954">
        <w:rPr>
          <w:rFonts w:ascii="Georgia" w:hAnsi="Georgia"/>
          <w:sz w:val="20"/>
          <w:szCs w:val="20"/>
          <w:lang w:val="lt-LT"/>
        </w:rPr>
        <w:t xml:space="preserve">atvių </w:t>
      </w:r>
      <w:r w:rsidR="00D23037" w:rsidRPr="00D23037">
        <w:rPr>
          <w:rFonts w:ascii="Georgia" w:hAnsi="Georgia"/>
          <w:sz w:val="20"/>
          <w:szCs w:val="20"/>
          <w:lang w:val="lt-LT"/>
        </w:rPr>
        <w:t>apšvietimo</w:t>
      </w:r>
      <w:r w:rsidR="00D23037">
        <w:rPr>
          <w:rFonts w:ascii="Georgia" w:hAnsi="Georgia"/>
          <w:sz w:val="20"/>
          <w:szCs w:val="20"/>
          <w:lang w:val="lt-LT"/>
        </w:rPr>
        <w:t xml:space="preserve"> tinklų modernizavimą bei kitus energinio efektyvumo projektus. </w:t>
      </w:r>
      <w:r w:rsidRPr="00A35AA6">
        <w:rPr>
          <w:rFonts w:ascii="Georgia" w:hAnsi="Georgia"/>
          <w:sz w:val="20"/>
          <w:szCs w:val="20"/>
          <w:lang w:val="lt-LT"/>
        </w:rPr>
        <w:t xml:space="preserve">Pastarasis juridinis asmuo yra neribotos atsakomybės juridinis asmuo, kuriame dalyvaujantys tikrieji nariai atsako pagal KŪB prievoles visu savo turtu, o komanditoriai - tik savo įnašų suma. Valstybės pagalbos taisyklių taikymo požiūriu, KŪB steigimo </w:t>
      </w:r>
      <w:r w:rsidRPr="00A35AA6">
        <w:rPr>
          <w:rFonts w:ascii="Georgia" w:hAnsi="Georgia"/>
          <w:sz w:val="20"/>
          <w:szCs w:val="20"/>
          <w:lang w:val="lt-LT"/>
        </w:rPr>
        <w:lastRenderedPageBreak/>
        <w:t>sutartyje iš anksto turi būti numatyta, kad savarankiškai vykdomos ekonominės veiklos KŪB nauda tenka fondo valdytojui, kadangi KŪB steigimo tikslas yra užtikrinti efektyvią fondų fondo veiklą.</w:t>
      </w:r>
      <w:r w:rsidRPr="00B94678">
        <w:rPr>
          <w:rFonts w:ascii="Georgia" w:hAnsi="Georgia"/>
          <w:sz w:val="20"/>
          <w:szCs w:val="20"/>
          <w:lang w:val="lt-LT"/>
        </w:rPr>
        <w:t xml:space="preserve">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14:paraId="264712C8" w14:textId="77777777" w:rsidR="0006117A" w:rsidRPr="000F2A27" w:rsidRDefault="0006117A" w:rsidP="0006117A">
      <w:pPr>
        <w:pStyle w:val="Sraopastraipa"/>
        <w:keepNext/>
        <w:ind w:left="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14:paraId="0FA83F47" w14:textId="77777777" w:rsidR="0006117A" w:rsidRDefault="0006117A" w:rsidP="0006117A">
      <w:pPr>
        <w:keepNext/>
        <w:jc w:val="both"/>
        <w:rPr>
          <w:rFonts w:ascii="Georgia" w:hAnsi="Georgia"/>
          <w:sz w:val="20"/>
          <w:szCs w:val="20"/>
          <w:lang w:val="lt-LT"/>
        </w:rPr>
      </w:pPr>
      <w:r w:rsidRPr="000F2A27">
        <w:rPr>
          <w:rFonts w:ascii="Georgia" w:hAnsi="Georgia"/>
          <w:sz w:val="20"/>
          <w:szCs w:val="20"/>
          <w:lang w:val="lt-LT"/>
        </w:rPr>
        <w:t>Pagal numatomą mechanizmą, valstybė dalyvaus fondo steigime ir valdyme</w:t>
      </w:r>
      <w:r>
        <w:rPr>
          <w:rFonts w:ascii="Georgia" w:hAnsi="Georgia"/>
          <w:sz w:val="20"/>
          <w:szCs w:val="20"/>
          <w:lang w:val="lt-LT"/>
        </w:rPr>
        <w:t xml:space="preserve"> </w:t>
      </w:r>
      <w:r w:rsidRPr="00C6372C">
        <w:rPr>
          <w:rFonts w:ascii="Georgia" w:hAnsi="Georgia"/>
          <w:sz w:val="20"/>
          <w:szCs w:val="20"/>
          <w:lang w:val="lt-LT"/>
        </w:rPr>
        <w:t>pari pa</w:t>
      </w:r>
      <w:r>
        <w:rPr>
          <w:rFonts w:ascii="Georgia" w:hAnsi="Georgia"/>
          <w:sz w:val="20"/>
          <w:szCs w:val="20"/>
          <w:lang w:val="lt-LT"/>
        </w:rPr>
        <w:t>s</w:t>
      </w:r>
      <w:r w:rsidRPr="00C6372C">
        <w:rPr>
          <w:rFonts w:ascii="Georgia" w:hAnsi="Georgia"/>
          <w:sz w:val="20"/>
          <w:szCs w:val="20"/>
          <w:lang w:val="lt-LT"/>
        </w:rPr>
        <w:t xml:space="preserve">su </w:t>
      </w:r>
      <w:r>
        <w:rPr>
          <w:rFonts w:ascii="Georgia" w:hAnsi="Georgia"/>
          <w:sz w:val="20"/>
          <w:szCs w:val="20"/>
          <w:lang w:val="lt-LT"/>
        </w:rPr>
        <w:t>principu</w:t>
      </w:r>
      <w:r w:rsidRPr="000F2A27">
        <w:rPr>
          <w:rFonts w:ascii="Georgia" w:hAnsi="Georgia"/>
          <w:sz w:val="20"/>
          <w:szCs w:val="20"/>
          <w:lang w:val="lt-LT"/>
        </w:rPr>
        <w:t xml:space="preserve">, tai yra </w:t>
      </w:r>
      <w:r>
        <w:rPr>
          <w:rFonts w:ascii="Georgia" w:hAnsi="Georgia"/>
          <w:sz w:val="20"/>
          <w:szCs w:val="20"/>
          <w:lang w:val="lt-LT"/>
        </w:rPr>
        <w:t>užtikrindama, kad investuotojams nėra suteikiamas ekonominis pranašumas dėl ekonominės veiklos įgyvendinimo. Tokiu atveju, pagal Rizikos kapitalo gairių 31 p., laikytina, kad tokios investicijos atitinka rinkos investuotojo principą bei nepažeidžia valstybės pagalbos teikimo reikalavimų.</w:t>
      </w:r>
    </w:p>
    <w:p w14:paraId="4490383F" w14:textId="77777777" w:rsidR="0006117A" w:rsidRPr="00017A00" w:rsidRDefault="0006117A" w:rsidP="0006117A">
      <w:pPr>
        <w:jc w:val="both"/>
        <w:rPr>
          <w:rFonts w:ascii="Georgia" w:hAnsi="Georgia"/>
          <w:sz w:val="20"/>
          <w:szCs w:val="20"/>
          <w:lang w:val="lt-LT"/>
        </w:rPr>
      </w:pPr>
      <w:r>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14:paraId="6BCA9E3A" w14:textId="77777777" w:rsidR="0006117A" w:rsidRDefault="0006117A" w:rsidP="0006117A">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papildomas priemones, kurios paskatintų privačių investuotojų aktyvesnį dalyvavimą fondo veikloje,</w:t>
      </w:r>
      <w:r>
        <w:rPr>
          <w:rFonts w:ascii="Georgia" w:hAnsi="Georgia"/>
          <w:sz w:val="20"/>
          <w:szCs w:val="20"/>
          <w:lang w:val="lt-LT"/>
        </w:rPr>
        <w:t xml:space="preserve"> pavyzdžiui, asimetrijos modelis,</w:t>
      </w:r>
      <w:r w:rsidRPr="000F2A27">
        <w:rPr>
          <w:rFonts w:ascii="Georgia" w:hAnsi="Georgia"/>
          <w:sz w:val="20"/>
          <w:szCs w:val="20"/>
          <w:lang w:val="lt-LT"/>
        </w:rPr>
        <w:t xml:space="preserve"> turi būti atliktas papildomas vertinimas valstybės pagalbos požiūriu.</w:t>
      </w:r>
      <w:r>
        <w:rPr>
          <w:rFonts w:ascii="Georgia" w:hAnsi="Georgia"/>
          <w:sz w:val="20"/>
          <w:szCs w:val="20"/>
          <w:lang w:val="lt-LT"/>
        </w:rPr>
        <w:t xml:space="preserve"> Tuo atveju, jei valstybė prisiimtų daugiau rizikos, nebūtų išlaikomi </w:t>
      </w:r>
      <w:r w:rsidRPr="00BA7BE9">
        <w:rPr>
          <w:rFonts w:ascii="Georgia" w:hAnsi="Georgia"/>
          <w:i/>
          <w:sz w:val="20"/>
          <w:szCs w:val="20"/>
          <w:lang w:val="lt-LT"/>
        </w:rPr>
        <w:t>pari passu</w:t>
      </w:r>
      <w:r>
        <w:rPr>
          <w:rFonts w:ascii="Georgia" w:hAnsi="Georgia"/>
          <w:sz w:val="20"/>
          <w:szCs w:val="20"/>
          <w:lang w:val="lt-LT"/>
        </w:rPr>
        <w:t xml:space="preserve"> reikalavimai ir privatūs investuotojai gautų ekonominę naudą. Bendrosios išimties reglamento 39 str. numato, kad tuo atveju, kai viešieji ir privatūs investuotojai nuostoliais dalijasi nelygiai, pirmieji viešojo investuotojo patirti nuostoliai apribojami 25 proc. visos investicijos. Jei asimetrijos modelis negali būti taikomas laikantis Bendrosios išimties reglamento 39 str. reikalavimų, tokia priemonė galėtų būti taikoma suderinus valstybės pagalbos teikimą su Europos Komisija.</w:t>
      </w:r>
    </w:p>
    <w:p w14:paraId="57251300" w14:textId="77777777" w:rsidR="0006117A" w:rsidRDefault="0006117A" w:rsidP="0006117A">
      <w:pPr>
        <w:pStyle w:val="Sraopastraipa"/>
        <w:ind w:left="0"/>
        <w:jc w:val="both"/>
        <w:rPr>
          <w:rFonts w:ascii="Georgia" w:hAnsi="Georgia"/>
          <w:sz w:val="20"/>
          <w:szCs w:val="20"/>
          <w:lang w:val="lt-LT"/>
        </w:rPr>
      </w:pPr>
      <w:r>
        <w:rPr>
          <w:rFonts w:ascii="Georgia" w:hAnsi="Georgia"/>
          <w:sz w:val="20"/>
          <w:szCs w:val="20"/>
          <w:lang w:val="lt-LT"/>
        </w:rPr>
        <w:t>Jeigu garantija privatiems investuotojams, t.y. komerciniams bankams, atitinka Bendrosios išimties reglamento 39 str. reikalavimus, ji gali būti taikoma atskirai nepranešus Europos Komisijai.</w:t>
      </w:r>
    </w:p>
    <w:p w14:paraId="4456D19F" w14:textId="77777777" w:rsidR="0006117A" w:rsidRDefault="0006117A" w:rsidP="0006117A">
      <w:pPr>
        <w:pStyle w:val="Sraopastraipa"/>
        <w:ind w:left="0"/>
        <w:jc w:val="both"/>
        <w:rPr>
          <w:rFonts w:ascii="Georgia" w:hAnsi="Georgia"/>
          <w:sz w:val="20"/>
          <w:szCs w:val="20"/>
          <w:lang w:val="lt-LT"/>
        </w:rPr>
      </w:pPr>
    </w:p>
    <w:p w14:paraId="64C47823" w14:textId="77777777" w:rsidR="00555882" w:rsidRDefault="00555882" w:rsidP="0006117A">
      <w:pPr>
        <w:pStyle w:val="Sraopastraipa"/>
        <w:ind w:left="0"/>
        <w:jc w:val="both"/>
        <w:rPr>
          <w:rFonts w:ascii="Georgia" w:hAnsi="Georgia"/>
          <w:b/>
          <w:sz w:val="20"/>
          <w:szCs w:val="20"/>
          <w:lang w:val="lt-LT"/>
        </w:rPr>
      </w:pPr>
    </w:p>
    <w:p w14:paraId="51B4ACCF" w14:textId="19B235BE" w:rsidR="0006117A" w:rsidRPr="00A93ECC" w:rsidRDefault="0006117A" w:rsidP="0006117A">
      <w:pPr>
        <w:pStyle w:val="Sraopastraipa"/>
        <w:ind w:left="0"/>
        <w:jc w:val="both"/>
        <w:rPr>
          <w:rFonts w:ascii="Georgia" w:hAnsi="Georgia"/>
          <w:b/>
          <w:sz w:val="20"/>
          <w:szCs w:val="20"/>
          <w:lang w:val="lt-LT"/>
        </w:rPr>
      </w:pPr>
      <w:r w:rsidRPr="00A93ECC">
        <w:rPr>
          <w:rFonts w:ascii="Georgia" w:hAnsi="Georgia"/>
          <w:b/>
          <w:sz w:val="20"/>
          <w:szCs w:val="20"/>
          <w:lang w:val="lt-LT"/>
        </w:rPr>
        <w:t>ESCO įmonės funkcijas vykdantys ūkio subjektai</w:t>
      </w:r>
    </w:p>
    <w:p w14:paraId="1B565832" w14:textId="77777777" w:rsidR="0006117A" w:rsidRPr="00A93ECC" w:rsidRDefault="0006117A" w:rsidP="0006117A">
      <w:pPr>
        <w:jc w:val="both"/>
        <w:rPr>
          <w:rFonts w:ascii="Georgia" w:hAnsi="Georgia"/>
          <w:sz w:val="20"/>
          <w:szCs w:val="20"/>
          <w:lang w:val="lt-LT"/>
        </w:rPr>
      </w:pPr>
      <w:r w:rsidRPr="00A93ECC">
        <w:rPr>
          <w:rFonts w:ascii="Georgia" w:hAnsi="Georgia"/>
          <w:sz w:val="20"/>
          <w:szCs w:val="20"/>
          <w:lang w:val="lt-LT"/>
        </w:rPr>
        <w:t xml:space="preserve">ESCO įmonė, pagal numatomą įgyvendinti mechanizmą, yra atskiras juridinis asmuo, kurio paskirtis yra užtikrinti savalaikį investicijų atlikimą, bei gauti mokėjimus už atliktas investicijas iš </w:t>
      </w:r>
      <w:r>
        <w:rPr>
          <w:rFonts w:ascii="Georgia" w:hAnsi="Georgia"/>
          <w:sz w:val="20"/>
          <w:szCs w:val="20"/>
          <w:lang w:val="lt-LT"/>
        </w:rPr>
        <w:t xml:space="preserve">savivaldybės </w:t>
      </w:r>
      <w:r w:rsidRPr="00A93ECC">
        <w:rPr>
          <w:rFonts w:ascii="Georgia" w:hAnsi="Georgia"/>
          <w:sz w:val="20"/>
          <w:szCs w:val="20"/>
          <w:lang w:val="lt-LT"/>
        </w:rPr>
        <w:t>pastato renovacijos projektą įgyvendinančio juridinio asmens.</w:t>
      </w:r>
    </w:p>
    <w:p w14:paraId="5A822538" w14:textId="77777777" w:rsidR="0006117A" w:rsidRDefault="0006117A" w:rsidP="0006117A">
      <w:pPr>
        <w:jc w:val="both"/>
        <w:rPr>
          <w:rFonts w:ascii="Georgia" w:hAnsi="Georgia"/>
          <w:sz w:val="20"/>
          <w:szCs w:val="20"/>
          <w:lang w:val="lt-LT"/>
        </w:rPr>
      </w:pPr>
      <w:r w:rsidRPr="00A93ECC">
        <w:rPr>
          <w:rFonts w:ascii="Georgia" w:hAnsi="Georgia"/>
          <w:sz w:val="20"/>
          <w:szCs w:val="20"/>
          <w:lang w:val="lt-LT"/>
        </w:rPr>
        <w:t>Taip pat numatoma, kad ESCO įmonė gaus paskolą, kurios tikslinė paskirtis yra renovacijos</w:t>
      </w:r>
      <w:r>
        <w:rPr>
          <w:rFonts w:ascii="Georgia" w:hAnsi="Georgia"/>
          <w:sz w:val="20"/>
          <w:szCs w:val="20"/>
          <w:lang w:val="lt-LT"/>
        </w:rPr>
        <w:t xml:space="preserve"> projekto įgyvendinimas. Kitaip tariant, ESCO įmonė negali gauti naudos iš suteikiamos paskolos, todėl ESCO įmonė negali būti laikoma investuotoju. Kita vertus, ESCO įmonė šiuo atveju atlieka finansų tarpininko vaidmenį, o už suteikiamas paslaugas gauna valdymo mokestį.</w:t>
      </w:r>
    </w:p>
    <w:p w14:paraId="4DDAB1E1" w14:textId="77777777" w:rsidR="0006117A" w:rsidRDefault="0006117A" w:rsidP="0006117A">
      <w:pPr>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 xml:space="preserve">Rizikos </w:t>
      </w:r>
      <w:r>
        <w:rPr>
          <w:rFonts w:ascii="Georgia" w:hAnsi="Georgia"/>
          <w:sz w:val="20"/>
          <w:szCs w:val="20"/>
          <w:lang w:val="lt-LT"/>
        </w:rPr>
        <w:t>kapitalo</w:t>
      </w:r>
      <w:r w:rsidRPr="00A20F4A">
        <w:rPr>
          <w:rFonts w:ascii="Georgia" w:hAnsi="Georgia"/>
          <w:sz w:val="20"/>
          <w:szCs w:val="20"/>
          <w:lang w:val="lt-LT"/>
        </w:rPr>
        <w:t xml:space="preserve">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14:paraId="59E6EB17" w14:textId="77777777" w:rsidR="0006117A" w:rsidRPr="00BF4020" w:rsidRDefault="0006117A" w:rsidP="0006117A">
      <w:pPr>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14:paraId="0AD5AFD8" w14:textId="77777777" w:rsidR="0006117A" w:rsidRPr="00A93ECC" w:rsidRDefault="0006117A" w:rsidP="0006117A">
      <w:pPr>
        <w:pStyle w:val="Sraopastraipa"/>
        <w:keepNext/>
        <w:ind w:left="0"/>
        <w:jc w:val="both"/>
        <w:rPr>
          <w:rFonts w:ascii="Georgia" w:hAnsi="Georgia"/>
          <w:b/>
          <w:sz w:val="20"/>
          <w:szCs w:val="20"/>
          <w:lang w:val="lt-LT"/>
        </w:rPr>
      </w:pPr>
      <w:r>
        <w:rPr>
          <w:rFonts w:ascii="Georgia" w:hAnsi="Georgia"/>
          <w:b/>
          <w:sz w:val="20"/>
          <w:szCs w:val="20"/>
          <w:lang w:val="lt-LT"/>
        </w:rPr>
        <w:lastRenderedPageBreak/>
        <w:t>Savivaldybės pastato</w:t>
      </w:r>
      <w:r w:rsidRPr="00A93ECC">
        <w:rPr>
          <w:rFonts w:ascii="Georgia" w:hAnsi="Georgia"/>
          <w:b/>
          <w:sz w:val="20"/>
          <w:szCs w:val="20"/>
          <w:lang w:val="lt-LT"/>
        </w:rPr>
        <w:t xml:space="preserve"> savininkai/valdytojai</w:t>
      </w:r>
    </w:p>
    <w:p w14:paraId="42C7A6D1" w14:textId="77777777" w:rsidR="0006117A" w:rsidRPr="000F32E2" w:rsidRDefault="0006117A" w:rsidP="0006117A">
      <w:pPr>
        <w:keepNext/>
        <w:jc w:val="both"/>
        <w:rPr>
          <w:rFonts w:ascii="Georgia" w:hAnsi="Georgia"/>
          <w:sz w:val="20"/>
          <w:szCs w:val="20"/>
          <w:lang w:val="lt-LT"/>
        </w:rPr>
      </w:pPr>
      <w:r>
        <w:rPr>
          <w:rFonts w:ascii="Georgia" w:hAnsi="Georgia"/>
          <w:sz w:val="20"/>
          <w:szCs w:val="20"/>
          <w:lang w:val="lt-LT"/>
        </w:rPr>
        <w:t>Savivaldybės</w:t>
      </w:r>
      <w:r w:rsidRPr="000F32E2">
        <w:rPr>
          <w:rFonts w:ascii="Georgia" w:hAnsi="Georgia"/>
          <w:sz w:val="20"/>
          <w:szCs w:val="20"/>
          <w:lang w:val="lt-LT"/>
        </w:rPr>
        <w:t xml:space="preserve"> pastat</w:t>
      </w:r>
      <w:r>
        <w:rPr>
          <w:rFonts w:ascii="Georgia" w:hAnsi="Georgia"/>
          <w:sz w:val="20"/>
          <w:szCs w:val="20"/>
          <w:lang w:val="lt-LT"/>
        </w:rPr>
        <w:t>o</w:t>
      </w:r>
      <w:r w:rsidRPr="000F32E2">
        <w:rPr>
          <w:rFonts w:ascii="Georgia" w:hAnsi="Georgia"/>
          <w:sz w:val="20"/>
          <w:szCs w:val="20"/>
          <w:lang w:val="lt-LT"/>
        </w:rPr>
        <w:t xml:space="preserve"> savininkai/valdytojai yra laikytini juridiniais asmenimis, kurie nevykdo ekonominės veiklos, tai yra nėra ūkio subjektai valstybės pagalbos taisyklių taikymo požiūriu.</w:t>
      </w:r>
    </w:p>
    <w:p w14:paraId="0057865B" w14:textId="77777777" w:rsidR="0006117A" w:rsidRPr="000F32E2" w:rsidRDefault="0006117A" w:rsidP="0006117A">
      <w:pPr>
        <w:jc w:val="both"/>
        <w:rPr>
          <w:rFonts w:ascii="Georgia" w:hAnsi="Georgia"/>
          <w:sz w:val="20"/>
          <w:szCs w:val="20"/>
          <w:lang w:val="lt-LT"/>
        </w:rPr>
      </w:pPr>
      <w:r w:rsidRPr="000F32E2">
        <w:rPr>
          <w:rFonts w:ascii="Georgia" w:hAnsi="Georgia"/>
          <w:sz w:val="20"/>
          <w:szCs w:val="20"/>
          <w:lang w:val="lt-LT"/>
        </w:rPr>
        <w:t>Įgyvendinant priemon</w:t>
      </w:r>
      <w:r>
        <w:rPr>
          <w:rFonts w:ascii="Georgia" w:hAnsi="Georgia"/>
          <w:sz w:val="20"/>
          <w:szCs w:val="20"/>
          <w:lang w:val="lt-LT"/>
        </w:rPr>
        <w:t>ę</w:t>
      </w:r>
      <w:r w:rsidRPr="000F32E2">
        <w:rPr>
          <w:rFonts w:ascii="Georgia" w:hAnsi="Georgia"/>
          <w:sz w:val="20"/>
          <w:szCs w:val="20"/>
          <w:lang w:val="lt-LT"/>
        </w:rPr>
        <w:t>,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rizika.</w:t>
      </w:r>
    </w:p>
    <w:p w14:paraId="38CA1026" w14:textId="77777777" w:rsidR="0006117A" w:rsidRPr="00833D80" w:rsidRDefault="0006117A" w:rsidP="0006117A">
      <w:pPr>
        <w:pStyle w:val="Sraopastraipa"/>
        <w:ind w:left="0"/>
        <w:jc w:val="both"/>
        <w:rPr>
          <w:rFonts w:ascii="Georgia" w:hAnsi="Georgia"/>
          <w:b/>
          <w:sz w:val="20"/>
          <w:szCs w:val="20"/>
          <w:lang w:val="lt-LT"/>
        </w:rPr>
      </w:pPr>
      <w:r>
        <w:rPr>
          <w:rFonts w:ascii="Georgia" w:hAnsi="Georgia"/>
          <w:b/>
          <w:sz w:val="20"/>
          <w:szCs w:val="20"/>
          <w:lang w:val="lt-LT"/>
        </w:rPr>
        <w:t>Savivaldybės</w:t>
      </w:r>
      <w:r w:rsidRPr="00833D80">
        <w:rPr>
          <w:rFonts w:ascii="Georgia" w:hAnsi="Georgia"/>
          <w:b/>
          <w:sz w:val="20"/>
          <w:szCs w:val="20"/>
          <w:lang w:val="lt-LT"/>
        </w:rPr>
        <w:t xml:space="preserve"> pastatuose įsikūrę ir paslaugas teikiantys ūkio subjektai</w:t>
      </w:r>
    </w:p>
    <w:p w14:paraId="3ADA5966" w14:textId="77777777" w:rsidR="0006117A" w:rsidRDefault="0006117A" w:rsidP="0006117A">
      <w:pPr>
        <w:jc w:val="both"/>
        <w:rPr>
          <w:rFonts w:ascii="Georgia" w:hAnsi="Georgia"/>
          <w:sz w:val="20"/>
          <w:szCs w:val="20"/>
          <w:lang w:val="lt-LT"/>
        </w:rPr>
      </w:pPr>
      <w:r>
        <w:rPr>
          <w:rFonts w:ascii="Georgia" w:hAnsi="Georgia"/>
          <w:sz w:val="20"/>
          <w:szCs w:val="20"/>
          <w:lang w:val="lt-LT"/>
        </w:rPr>
        <w:t>Savivaldybės</w:t>
      </w:r>
      <w:r w:rsidRPr="00833D80">
        <w:rPr>
          <w:rFonts w:ascii="Georgia" w:hAnsi="Georgia"/>
          <w:sz w:val="20"/>
          <w:szCs w:val="20"/>
          <w:lang w:val="lt-LT"/>
        </w:rPr>
        <w:t xml:space="preserve"> pastatuose įsikūrę ir paslaugas teikiantys ūkio subjektai laikytini ekonominę veiklą vykdančiais ūkio subjektais valstybės pagalbos taisyklių požiūriu, tai yra </w:t>
      </w:r>
      <w:r>
        <w:rPr>
          <w:rFonts w:ascii="Georgia" w:hAnsi="Georgia"/>
          <w:sz w:val="20"/>
          <w:szCs w:val="20"/>
          <w:lang w:val="lt-LT"/>
        </w:rPr>
        <w:t>savivaldybės pastato</w:t>
      </w:r>
      <w:r w:rsidRPr="00833D80">
        <w:rPr>
          <w:rFonts w:ascii="Georgia" w:hAnsi="Georgia"/>
          <w:sz w:val="20"/>
          <w:szCs w:val="20"/>
          <w:lang w:val="lt-LT"/>
        </w:rPr>
        <w:t xml:space="preserve"> renovacijos projekto dėka sumažėtų šių asmenų įprastinės veiklos sąnaudos, kas yra laikytina ekonominiu pranašumu, todėl šių asmenų atžvilgiu turi būti atliktas priemonė</w:t>
      </w:r>
      <w:r>
        <w:rPr>
          <w:rFonts w:ascii="Georgia" w:hAnsi="Georgia"/>
          <w:sz w:val="20"/>
          <w:szCs w:val="20"/>
          <w:lang w:val="lt-LT"/>
        </w:rPr>
        <w:t>s</w:t>
      </w:r>
      <w:r w:rsidRPr="00833D80">
        <w:rPr>
          <w:rFonts w:ascii="Georgia" w:hAnsi="Georgia"/>
          <w:sz w:val="20"/>
          <w:szCs w:val="20"/>
          <w:lang w:val="lt-LT"/>
        </w:rPr>
        <w:t xml:space="preserve"> įgyvendinimo suderinamumo vertinimas.</w:t>
      </w:r>
      <w:r>
        <w:rPr>
          <w:rFonts w:ascii="Georgia" w:hAnsi="Georgia"/>
          <w:sz w:val="20"/>
          <w:szCs w:val="20"/>
          <w:lang w:val="lt-LT"/>
        </w:rPr>
        <w:t xml:space="preserve">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14:paraId="65A46CE1" w14:textId="77777777" w:rsidR="0006117A" w:rsidRDefault="0006117A" w:rsidP="0006117A">
      <w:pPr>
        <w:jc w:val="both"/>
        <w:rPr>
          <w:rFonts w:ascii="Georgia" w:hAnsi="Georgia"/>
          <w:sz w:val="20"/>
          <w:szCs w:val="20"/>
          <w:lang w:val="lt-LT"/>
        </w:rPr>
      </w:pPr>
      <w:r>
        <w:rPr>
          <w:rFonts w:ascii="Georgia" w:hAnsi="Georgia"/>
          <w:sz w:val="20"/>
          <w:szCs w:val="20"/>
          <w:lang w:val="lt-LT"/>
        </w:rPr>
        <w:t>Pažymėtina, kad savivaldybės įmonės paprastai yra įsikūrusios savivaldybės pastatuose, kuriuos valdo patikėjimo teise. Priklausomai nuo vykdomos veiklos pobūdžio, savivaldybės įmonės gali būti laikomos ūkio subjektais. Tais atvejais, kai galutiniai pagalbos gavėjai yra savivaldybių įmonės, reikėtų įvertinti, ar taikomos finansinės priemonės atitinka valstybės pagalbos taisykles.</w:t>
      </w:r>
    </w:p>
    <w:p w14:paraId="6FF1D0DF" w14:textId="77777777" w:rsidR="0006117A" w:rsidRPr="00C6372C" w:rsidRDefault="0006117A" w:rsidP="0006117A">
      <w:pPr>
        <w:pStyle w:val="Sraopastraipa"/>
        <w:ind w:left="0"/>
        <w:jc w:val="both"/>
        <w:rPr>
          <w:rFonts w:ascii="Georgia" w:hAnsi="Georgia"/>
          <w:b/>
          <w:sz w:val="20"/>
          <w:szCs w:val="20"/>
          <w:lang w:val="lt-LT"/>
        </w:rPr>
      </w:pPr>
      <w:r w:rsidRPr="00C6372C">
        <w:rPr>
          <w:rFonts w:ascii="Georgia" w:hAnsi="Georgia"/>
          <w:b/>
          <w:sz w:val="20"/>
          <w:szCs w:val="20"/>
          <w:lang w:val="lt-LT"/>
        </w:rPr>
        <w:t>Finans</w:t>
      </w:r>
      <w:r>
        <w:rPr>
          <w:rFonts w:ascii="Georgia" w:hAnsi="Georgia"/>
          <w:b/>
          <w:sz w:val="20"/>
          <w:szCs w:val="20"/>
          <w:lang w:val="lt-LT"/>
        </w:rPr>
        <w:t>ų</w:t>
      </w:r>
      <w:r w:rsidRPr="00C6372C">
        <w:rPr>
          <w:rFonts w:ascii="Georgia" w:hAnsi="Georgia"/>
          <w:b/>
          <w:sz w:val="20"/>
          <w:szCs w:val="20"/>
          <w:lang w:val="lt-LT"/>
        </w:rPr>
        <w:t xml:space="preserve"> tarpininkai</w:t>
      </w:r>
    </w:p>
    <w:p w14:paraId="2AE6F2C0" w14:textId="77777777" w:rsidR="0006117A" w:rsidRPr="000F2A27" w:rsidRDefault="0006117A" w:rsidP="0006117A">
      <w:pPr>
        <w:jc w:val="both"/>
        <w:rPr>
          <w:rFonts w:ascii="Georgia" w:hAnsi="Georgia"/>
          <w:sz w:val="20"/>
          <w:szCs w:val="20"/>
          <w:lang w:val="lt-LT"/>
        </w:rPr>
      </w:pPr>
      <w:r w:rsidRPr="000F2A27">
        <w:rPr>
          <w:rFonts w:ascii="Georgia" w:hAnsi="Georgia"/>
          <w:sz w:val="20"/>
          <w:szCs w:val="20"/>
          <w:lang w:val="lt-LT"/>
        </w:rPr>
        <w:t>Bendruoju atveju finans</w:t>
      </w:r>
      <w:r>
        <w:rPr>
          <w:rFonts w:ascii="Georgia" w:hAnsi="Georgia"/>
          <w:sz w:val="20"/>
          <w:szCs w:val="20"/>
          <w:lang w:val="lt-LT"/>
        </w:rPr>
        <w:t>ų</w:t>
      </w:r>
      <w:r w:rsidRPr="000F2A27">
        <w:rPr>
          <w:rFonts w:ascii="Georgia" w:hAnsi="Georgia"/>
          <w:sz w:val="20"/>
          <w:szCs w:val="20"/>
          <w:lang w:val="lt-LT"/>
        </w:rPr>
        <w:t xml:space="preserve"> tarpininkas yra laikytinas pagalbos pervedimo galutiniams naudos gavėjams priemone, todėl pats nėra laikomas valstybės pagalbos gavėju, tačiau turi būti užtikrinta, kad </w:t>
      </w:r>
      <w:r>
        <w:rPr>
          <w:rFonts w:ascii="Georgia" w:hAnsi="Georgia"/>
          <w:sz w:val="20"/>
          <w:szCs w:val="20"/>
          <w:lang w:val="lt-LT"/>
        </w:rPr>
        <w:t xml:space="preserve">finansų </w:t>
      </w:r>
      <w:r w:rsidRPr="000F2A27">
        <w:rPr>
          <w:rFonts w:ascii="Georgia" w:hAnsi="Georgia"/>
          <w:sz w:val="20"/>
          <w:szCs w:val="20"/>
          <w:lang w:val="lt-LT"/>
        </w:rPr>
        <w:t>tarpininkui taikomos sąlygos atitiktų rinkos investuotojo kriterijų, tai yra kad finans</w:t>
      </w:r>
      <w:r>
        <w:rPr>
          <w:rFonts w:ascii="Georgia" w:hAnsi="Georgia"/>
          <w:sz w:val="20"/>
          <w:szCs w:val="20"/>
          <w:lang w:val="lt-LT"/>
        </w:rPr>
        <w:t>ų</w:t>
      </w:r>
      <w:r w:rsidRPr="000F2A27">
        <w:rPr>
          <w:rFonts w:ascii="Georgia" w:hAnsi="Georgia"/>
          <w:sz w:val="20"/>
          <w:szCs w:val="20"/>
          <w:lang w:val="lt-LT"/>
        </w:rPr>
        <w:t xml:space="preserve"> tarpininkui nebūtų suteikiamas ekonominis pranašumas, kurio jis negautų rinkos sąlygomis. </w:t>
      </w:r>
      <w:r w:rsidRPr="00F16E34">
        <w:rPr>
          <w:rFonts w:ascii="Georgia" w:hAnsi="Georgia"/>
          <w:sz w:val="20"/>
          <w:szCs w:val="20"/>
          <w:lang w:val="lt-LT"/>
        </w:rPr>
        <w:t>Tos pačios taisyklės yra taikomos ir savivaldybės administratoriams, jei jie atlieka tik tas funkcijas, kurios reikalingos užtikrinti finansavimo teikimą galutiniams naudos gavėjams.</w:t>
      </w:r>
    </w:p>
    <w:p w14:paraId="78FB6D6A" w14:textId="77777777" w:rsidR="0006117A" w:rsidRDefault="0006117A" w:rsidP="0006117A">
      <w:pPr>
        <w:jc w:val="both"/>
        <w:rPr>
          <w:rFonts w:ascii="Georgia" w:hAnsi="Georgia"/>
          <w:sz w:val="20"/>
          <w:szCs w:val="20"/>
          <w:lang w:val="lt-LT"/>
        </w:rPr>
      </w:pPr>
      <w:r w:rsidRPr="009A6D4D">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 į iš anksto nustatytus atskirus finansų tarpininkus. Kitaip tariant, priemonės mechanizmas negali būti susijęs su atskirais iš anksto nustatytais finansų tarpininkais.</w:t>
      </w:r>
      <w:r>
        <w:rPr>
          <w:rFonts w:ascii="Georgia" w:hAnsi="Georgia"/>
          <w:sz w:val="20"/>
          <w:szCs w:val="20"/>
          <w:lang w:val="lt-LT"/>
        </w:rPr>
        <w:t xml:space="preserve"> </w:t>
      </w:r>
    </w:p>
    <w:p w14:paraId="60A16827" w14:textId="77777777" w:rsidR="0006117A" w:rsidRPr="000F2A27" w:rsidRDefault="0006117A" w:rsidP="0006117A">
      <w:pPr>
        <w:jc w:val="both"/>
        <w:rPr>
          <w:rFonts w:ascii="Georgia" w:hAnsi="Georgia"/>
          <w:sz w:val="20"/>
          <w:szCs w:val="20"/>
          <w:lang w:val="lt-LT"/>
        </w:rPr>
      </w:pPr>
      <w:r>
        <w:rPr>
          <w:rFonts w:ascii="Georgia" w:hAnsi="Georgia"/>
          <w:sz w:val="20"/>
          <w:szCs w:val="20"/>
          <w:lang w:val="lt-LT"/>
        </w:rPr>
        <w:t>Tačiau tuo atveju, jei finansų tarpininkams, kurie investuoja nuosavas lėšas, būtų nustatytas netolygus nuostolių paskirstymas viešųjų lėšų atžvilgiu, finansų tarpininkai įgytų ekonominį pranašumą, todėl tai turi būti įvertinama pagal valstybės pagalbos teikimo taisykles. Bendrosios išimties reglamento 39 str. leidžia įgyvendinant energijos vartojimo efektyvumo projektus nustatyti netolygų nuostolių paskirstymą tarp viešojo ir privataus investuotojo, todėl mechanizmas turi atitikti visas Bendrojo išimties reglamento 39 str. nuostatas, o viešojo investuotojo pirmasis nuostolis turi būti apribotas 25 proc. visos investicijos sumos.</w:t>
      </w:r>
    </w:p>
    <w:p w14:paraId="2B2588B2" w14:textId="77777777" w:rsidR="0006117A" w:rsidRDefault="0006117A" w:rsidP="0006117A">
      <w:pPr>
        <w:jc w:val="both"/>
        <w:rPr>
          <w:rFonts w:ascii="Georgia" w:hAnsi="Georgia"/>
          <w:sz w:val="20"/>
          <w:szCs w:val="20"/>
          <w:lang w:val="lt-LT"/>
        </w:rPr>
      </w:pPr>
      <w:r w:rsidRPr="000F2A27">
        <w:rPr>
          <w:rFonts w:ascii="Georgia" w:hAnsi="Georgia"/>
          <w:sz w:val="20"/>
          <w:szCs w:val="20"/>
          <w:lang w:val="lt-LT"/>
        </w:rPr>
        <w:t xml:space="preserve">Pabrėžtina, kad teikiant paskolas per finansų tarpininką, būtina laikytis Europos Komisijos komunikato dėl orientacinių ir diskonto normų nustatymo metodo pakeitimo reikalavimų, tai yra </w:t>
      </w:r>
      <w:r w:rsidRPr="000F2A27">
        <w:rPr>
          <w:rFonts w:ascii="Georgia" w:hAnsi="Georgia"/>
          <w:sz w:val="20"/>
          <w:szCs w:val="20"/>
          <w:lang w:val="lt-LT"/>
        </w:rPr>
        <w:lastRenderedPageBreak/>
        <w:t>laikytis bazinės normos bei maržos kitimo ribų, priklausomai nuo įmonės naudos gavėjos reitingo ir įkeičiamo turto</w:t>
      </w:r>
      <w:r w:rsidRPr="000F2A27">
        <w:rPr>
          <w:rStyle w:val="Puslapioinaosnuoroda"/>
          <w:rFonts w:ascii="Georgia" w:hAnsi="Georgia"/>
          <w:sz w:val="20"/>
          <w:szCs w:val="20"/>
          <w:lang w:val="lt-LT"/>
        </w:rPr>
        <w:footnoteReference w:id="163"/>
      </w:r>
      <w:r w:rsidRPr="000F2A27">
        <w:rPr>
          <w:rFonts w:ascii="Georgia" w:hAnsi="Georgia"/>
          <w:sz w:val="20"/>
          <w:szCs w:val="20"/>
          <w:lang w:val="lt-LT"/>
        </w:rPr>
        <w:t>.</w:t>
      </w:r>
    </w:p>
    <w:p w14:paraId="59F9D70D" w14:textId="77777777" w:rsidR="0006117A" w:rsidRPr="00833D80" w:rsidRDefault="0006117A" w:rsidP="0006117A">
      <w:pPr>
        <w:jc w:val="both"/>
        <w:rPr>
          <w:rFonts w:ascii="Georgia" w:hAnsi="Georgia"/>
          <w:sz w:val="20"/>
          <w:szCs w:val="20"/>
          <w:lang w:val="lt-LT"/>
        </w:rPr>
      </w:pPr>
    </w:p>
    <w:p w14:paraId="60BBE503" w14:textId="77777777" w:rsidR="0006117A" w:rsidRDefault="0006117A" w:rsidP="0006117A">
      <w:pPr>
        <w:pStyle w:val="Antrat2"/>
        <w:rPr>
          <w:lang w:val="lt-LT"/>
        </w:rPr>
      </w:pPr>
      <w:bookmarkStart w:id="313" w:name="_Toc25589955"/>
      <w:r>
        <w:rPr>
          <w:lang w:val="lt-LT"/>
        </w:rPr>
        <w:t>5.2.4.2. Priemonės įgyvendinimo suderinamumo vertinimas</w:t>
      </w:r>
      <w:bookmarkEnd w:id="313"/>
    </w:p>
    <w:p w14:paraId="234D9562" w14:textId="77777777" w:rsidR="0006117A" w:rsidRDefault="0006117A" w:rsidP="0006117A">
      <w:pPr>
        <w:keepNext/>
        <w:jc w:val="both"/>
        <w:rPr>
          <w:rFonts w:ascii="Georgia" w:hAnsi="Georgia"/>
          <w:sz w:val="20"/>
          <w:szCs w:val="20"/>
          <w:lang w:val="lt-LT"/>
        </w:rPr>
      </w:pPr>
    </w:p>
    <w:p w14:paraId="72689CA7" w14:textId="77777777" w:rsidR="0006117A" w:rsidRDefault="0006117A" w:rsidP="0006117A">
      <w:pPr>
        <w:keepNext/>
        <w:jc w:val="both"/>
        <w:rPr>
          <w:rFonts w:ascii="Georgia" w:hAnsi="Georgia"/>
          <w:sz w:val="20"/>
          <w:szCs w:val="20"/>
          <w:lang w:val="lt-LT"/>
        </w:rPr>
      </w:pPr>
      <w:r w:rsidRPr="009A6D4D">
        <w:rPr>
          <w:rFonts w:ascii="Georgia" w:hAnsi="Georgia"/>
          <w:sz w:val="20"/>
          <w:szCs w:val="20"/>
          <w:lang w:val="lt-LT"/>
        </w:rPr>
        <w:t>Atlikus mechanizmo klasifikavimą, pripažintina, kad valstybės pagalbos požymius atitinka mechanizmo sąlygos, sudaromos savivaldybės pastatuose įsikūrusiems ir paslaugas teikiantiems ūkio subjektams</w:t>
      </w:r>
      <w:r>
        <w:rPr>
          <w:rFonts w:ascii="Georgia" w:hAnsi="Georgia"/>
          <w:sz w:val="20"/>
          <w:szCs w:val="20"/>
          <w:lang w:val="lt-LT"/>
        </w:rPr>
        <w:t>, tam tikrais atvejais valstybės pagalbos klausimas gali atsirasti finansų tarpininkams,</w:t>
      </w:r>
      <w:r w:rsidRPr="009A6D4D">
        <w:rPr>
          <w:rFonts w:ascii="Georgia" w:hAnsi="Georgia"/>
          <w:sz w:val="20"/>
          <w:szCs w:val="20"/>
          <w:lang w:val="lt-LT"/>
        </w:rPr>
        <w:t xml:space="preserve"> arba tuo atveju, jei nustatomas netolygus nuostolių pasiskirstymas tarp viešojo ir privataus investuotojo, valstybės pagalbos požymi</w:t>
      </w:r>
      <w:r>
        <w:rPr>
          <w:rFonts w:ascii="Georgia" w:hAnsi="Georgia"/>
          <w:sz w:val="20"/>
          <w:szCs w:val="20"/>
          <w:lang w:val="lt-LT"/>
        </w:rPr>
        <w:t>ų gali atsirasti</w:t>
      </w:r>
      <w:r w:rsidRPr="009A6D4D">
        <w:rPr>
          <w:rFonts w:ascii="Georgia" w:hAnsi="Georgia"/>
          <w:sz w:val="20"/>
          <w:szCs w:val="20"/>
          <w:lang w:val="lt-LT"/>
        </w:rPr>
        <w:t xml:space="preserve"> ir </w:t>
      </w:r>
      <w:r>
        <w:rPr>
          <w:rFonts w:ascii="Georgia" w:hAnsi="Georgia"/>
          <w:sz w:val="20"/>
          <w:szCs w:val="20"/>
          <w:lang w:val="lt-LT"/>
        </w:rPr>
        <w:t xml:space="preserve">privačių investuotojų </w:t>
      </w:r>
      <w:r w:rsidRPr="009A6D4D">
        <w:rPr>
          <w:rFonts w:ascii="Georgia" w:hAnsi="Georgia"/>
          <w:sz w:val="20"/>
          <w:szCs w:val="20"/>
          <w:lang w:val="lt-LT"/>
        </w:rPr>
        <w:t>lygmenyje, todėl įgyvendinant mechanizmą su netolygiu nuostolių paskirstymu būtina užtikrinti Bendrosios išimties reglamento 39 str. nuostatų įgyvendinimą.</w:t>
      </w:r>
    </w:p>
    <w:p w14:paraId="324E9A85" w14:textId="77777777" w:rsidR="0006117A" w:rsidRDefault="0006117A" w:rsidP="0006117A">
      <w:pPr>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14:paraId="0C8AB0DE" w14:textId="77777777" w:rsidR="0006117A" w:rsidRDefault="0006117A" w:rsidP="0006117A">
      <w:pPr>
        <w:pStyle w:val="Sraopastraipa"/>
        <w:keepNext/>
        <w:ind w:left="0" w:firstLine="284"/>
        <w:jc w:val="both"/>
        <w:rPr>
          <w:rFonts w:ascii="Georgia" w:hAnsi="Georgia"/>
          <w:sz w:val="20"/>
          <w:szCs w:val="20"/>
          <w:lang w:val="lt-LT"/>
        </w:rPr>
      </w:pPr>
    </w:p>
    <w:p w14:paraId="3FAFF23D" w14:textId="77777777" w:rsidR="0006117A" w:rsidRPr="00BC4BD2" w:rsidRDefault="0006117A" w:rsidP="0006117A">
      <w:pPr>
        <w:pStyle w:val="Sraopastraipa"/>
        <w:keepNext/>
        <w:ind w:left="0"/>
        <w:jc w:val="both"/>
        <w:rPr>
          <w:rFonts w:ascii="Georgia" w:hAnsi="Georgia"/>
          <w:b/>
          <w:sz w:val="20"/>
          <w:szCs w:val="20"/>
          <w:lang w:val="lt-LT"/>
        </w:rPr>
      </w:pPr>
      <w:r>
        <w:rPr>
          <w:rFonts w:ascii="Georgia" w:hAnsi="Georgia"/>
          <w:b/>
          <w:sz w:val="20"/>
          <w:szCs w:val="20"/>
          <w:lang w:val="lt-LT"/>
        </w:rPr>
        <w:t>Savivaldybės</w:t>
      </w:r>
      <w:r w:rsidRPr="00BC4BD2">
        <w:rPr>
          <w:rFonts w:ascii="Georgia" w:hAnsi="Georgia"/>
          <w:b/>
          <w:sz w:val="20"/>
          <w:szCs w:val="20"/>
          <w:lang w:val="lt-LT"/>
        </w:rPr>
        <w:t xml:space="preserve"> pastatuose įsikūrę ir paslaugas teikiantys ūkio subjektai</w:t>
      </w:r>
      <w:r>
        <w:rPr>
          <w:rFonts w:ascii="Georgia" w:hAnsi="Georgia"/>
          <w:b/>
          <w:sz w:val="20"/>
          <w:szCs w:val="20"/>
          <w:lang w:val="lt-LT"/>
        </w:rPr>
        <w:t xml:space="preserve"> </w:t>
      </w:r>
    </w:p>
    <w:p w14:paraId="5BECF3D6" w14:textId="77777777" w:rsidR="0006117A" w:rsidRDefault="0006117A" w:rsidP="0006117A">
      <w:pPr>
        <w:keepNext/>
        <w:jc w:val="both"/>
        <w:rPr>
          <w:rFonts w:ascii="Georgia" w:hAnsi="Georgia"/>
          <w:sz w:val="20"/>
          <w:szCs w:val="20"/>
          <w:lang w:val="lt-LT"/>
        </w:rPr>
      </w:pPr>
      <w:r>
        <w:rPr>
          <w:rFonts w:ascii="Georgia" w:hAnsi="Georgia"/>
          <w:sz w:val="20"/>
          <w:szCs w:val="20"/>
          <w:lang w:val="lt-LT"/>
        </w:rPr>
        <w:t>Šiems ūkio subjektams teikiama pagalba atitinka de minimis pagalbos sąlygas, jeigu:</w:t>
      </w:r>
    </w:p>
    <w:p w14:paraId="2C53453D" w14:textId="67BFF3DE" w:rsidR="0006117A" w:rsidRDefault="0006117A" w:rsidP="0006117A">
      <w:pPr>
        <w:pStyle w:val="Sraopastraipa"/>
        <w:keepNext/>
        <w:numPr>
          <w:ilvl w:val="0"/>
          <w:numId w:val="100"/>
        </w:numPr>
        <w:ind w:left="709"/>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4 d.) pastate nėra nei vieno ūkio subjekto, kuriam būtų taikoma nemokumo procedūra, ir</w:t>
      </w:r>
    </w:p>
    <w:p w14:paraId="11940F9A" w14:textId="77777777" w:rsidR="0006117A" w:rsidRPr="006554AF" w:rsidRDefault="0006117A" w:rsidP="0006117A">
      <w:pPr>
        <w:pStyle w:val="Sraopastraipa"/>
        <w:numPr>
          <w:ilvl w:val="0"/>
          <w:numId w:val="100"/>
        </w:numPr>
        <w:ind w:left="709"/>
        <w:rPr>
          <w:rFonts w:ascii="Georgia" w:hAnsi="Georgia"/>
          <w:sz w:val="20"/>
          <w:szCs w:val="20"/>
          <w:lang w:val="lt-LT"/>
        </w:rPr>
      </w:pPr>
      <w:r w:rsidRPr="0054277A">
        <w:rPr>
          <w:rFonts w:ascii="Georgia" w:hAnsi="Georgia"/>
          <w:sz w:val="20"/>
          <w:szCs w:val="20"/>
          <w:lang w:val="lt-LT"/>
        </w:rPr>
        <w:t xml:space="preserve">bendra vienai įmonei suteiktos </w:t>
      </w:r>
      <w:r w:rsidRPr="0054277A">
        <w:rPr>
          <w:rFonts w:ascii="Georgia" w:hAnsi="Georgia"/>
          <w:i/>
          <w:sz w:val="20"/>
          <w:szCs w:val="20"/>
          <w:lang w:val="lt-LT"/>
        </w:rPr>
        <w:t>de minimis</w:t>
      </w:r>
      <w:r w:rsidRPr="0054277A">
        <w:rPr>
          <w:rFonts w:ascii="Georgia" w:hAnsi="Georgia"/>
          <w:sz w:val="20"/>
          <w:szCs w:val="20"/>
          <w:lang w:val="lt-LT"/>
        </w:rPr>
        <w:t xml:space="preserve"> pagalbos suma kiekvienoje valstybėje narėje neviršija 200 000 </w:t>
      </w:r>
      <w:r>
        <w:rPr>
          <w:rFonts w:ascii="Georgia" w:hAnsi="Georgia"/>
          <w:sz w:val="20"/>
          <w:szCs w:val="20"/>
          <w:lang w:val="lt-LT"/>
        </w:rPr>
        <w:t>eurų</w:t>
      </w:r>
      <w:r w:rsidRPr="0054277A">
        <w:rPr>
          <w:rFonts w:ascii="Georgia" w:hAnsi="Georgia"/>
          <w:sz w:val="20"/>
          <w:szCs w:val="20"/>
          <w:lang w:val="lt-LT"/>
        </w:rPr>
        <w:t xml:space="preserve"> per bet kurį trejų finansinių metų laikotarpį, ir</w:t>
      </w:r>
    </w:p>
    <w:p w14:paraId="782743A2" w14:textId="77777777" w:rsidR="0006117A" w:rsidRDefault="0006117A" w:rsidP="0006117A">
      <w:pPr>
        <w:pStyle w:val="Sraopastraipa"/>
        <w:numPr>
          <w:ilvl w:val="0"/>
          <w:numId w:val="100"/>
        </w:numPr>
        <w:ind w:left="709"/>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eurų, kai trukmė yra iki penkerių metų (arba 0,5 mln. eurų, kai trukmė yra iki dešimties metų), arba</w:t>
      </w:r>
    </w:p>
    <w:p w14:paraId="155AA301" w14:textId="77777777" w:rsidR="0006117A" w:rsidRDefault="0006117A" w:rsidP="0006117A">
      <w:pPr>
        <w:pStyle w:val="Sraopastraipa"/>
        <w:numPr>
          <w:ilvl w:val="0"/>
          <w:numId w:val="100"/>
        </w:numPr>
        <w:ind w:left="709"/>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64"/>
      </w:r>
      <w:r>
        <w:rPr>
          <w:rFonts w:ascii="Georgia" w:hAnsi="Georgia"/>
          <w:sz w:val="20"/>
          <w:szCs w:val="20"/>
          <w:lang w:val="lt-LT"/>
        </w:rPr>
        <w:t>, pridedant reikalingą maržą pagal rizikos lygį, taikytiną pagalbos suteikimo momentu.</w:t>
      </w:r>
    </w:p>
    <w:p w14:paraId="512C084C" w14:textId="77777777" w:rsidR="0006117A" w:rsidRDefault="0006117A" w:rsidP="0006117A">
      <w:pPr>
        <w:jc w:val="both"/>
        <w:rPr>
          <w:rFonts w:ascii="Georgia" w:hAnsi="Georgia"/>
          <w:sz w:val="20"/>
          <w:szCs w:val="20"/>
          <w:lang w:val="lt-LT"/>
        </w:rPr>
      </w:pPr>
      <w:r w:rsidRPr="005A3553">
        <w:rPr>
          <w:rFonts w:ascii="Georgia" w:hAnsi="Georgia"/>
          <w:sz w:val="20"/>
          <w:szCs w:val="20"/>
          <w:lang w:val="lt-LT"/>
        </w:rPr>
        <w:t xml:space="preserve">Pabrėžtina, kad </w:t>
      </w:r>
      <w:r w:rsidRPr="006554AF">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6554AF">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14:paraId="21472886" w14:textId="77777777" w:rsidR="0006117A" w:rsidRDefault="0006117A" w:rsidP="0006117A">
      <w:pPr>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14:paraId="41EA5926" w14:textId="77777777" w:rsidR="0006117A" w:rsidRDefault="0006117A" w:rsidP="004E7AD5">
      <w:pPr>
        <w:pStyle w:val="Sraopastraipa"/>
        <w:numPr>
          <w:ilvl w:val="0"/>
          <w:numId w:val="101"/>
        </w:numPr>
        <w:ind w:left="709"/>
        <w:jc w:val="both"/>
        <w:rPr>
          <w:rFonts w:ascii="Georgia" w:hAnsi="Georgia"/>
          <w:sz w:val="20"/>
          <w:szCs w:val="20"/>
          <w:lang w:val="lt-LT"/>
        </w:rPr>
      </w:pPr>
      <w:r>
        <w:rPr>
          <w:rFonts w:ascii="Georgia" w:hAnsi="Georgia"/>
          <w:sz w:val="20"/>
          <w:szCs w:val="20"/>
          <w:lang w:val="lt-LT"/>
        </w:rPr>
        <w:t>savivaldybės pastate nėra ūkio subjektų, arba</w:t>
      </w:r>
    </w:p>
    <w:p w14:paraId="566AD0AF" w14:textId="77777777" w:rsidR="0006117A" w:rsidRDefault="0006117A" w:rsidP="00F91954">
      <w:pPr>
        <w:pStyle w:val="Sraopastraipa"/>
        <w:numPr>
          <w:ilvl w:val="0"/>
          <w:numId w:val="101"/>
        </w:numPr>
        <w:ind w:left="709"/>
        <w:jc w:val="both"/>
        <w:rPr>
          <w:rFonts w:ascii="Georgia" w:hAnsi="Georgia"/>
          <w:sz w:val="20"/>
          <w:szCs w:val="20"/>
          <w:lang w:val="lt-LT"/>
        </w:rPr>
      </w:pPr>
      <w:r>
        <w:rPr>
          <w:rFonts w:ascii="Georgia" w:hAnsi="Georgia"/>
          <w:sz w:val="20"/>
          <w:szCs w:val="20"/>
          <w:lang w:val="lt-LT"/>
        </w:rPr>
        <w:t xml:space="preserve">savivaldybės pastate yra ūkio subjektų, kurie atitinka nurodytas </w:t>
      </w:r>
      <w:r>
        <w:rPr>
          <w:rFonts w:ascii="Georgia" w:hAnsi="Georgia"/>
          <w:i/>
          <w:sz w:val="20"/>
          <w:szCs w:val="20"/>
          <w:lang w:val="lt-LT"/>
        </w:rPr>
        <w:t>de minimis</w:t>
      </w:r>
      <w:r>
        <w:rPr>
          <w:rFonts w:ascii="Georgia" w:hAnsi="Georgia"/>
          <w:sz w:val="20"/>
          <w:szCs w:val="20"/>
          <w:lang w:val="lt-LT"/>
        </w:rPr>
        <w:t xml:space="preserve"> sąlygas, arba</w:t>
      </w:r>
    </w:p>
    <w:p w14:paraId="2B1DA4B7" w14:textId="6E5D346D" w:rsidR="0006117A" w:rsidRPr="005D745D" w:rsidRDefault="0006117A" w:rsidP="00F91954">
      <w:pPr>
        <w:pStyle w:val="Sraopastraipa"/>
        <w:numPr>
          <w:ilvl w:val="0"/>
          <w:numId w:val="101"/>
        </w:numPr>
        <w:ind w:left="709"/>
        <w:jc w:val="both"/>
        <w:rPr>
          <w:rFonts w:ascii="Georgia" w:hAnsi="Georgia"/>
          <w:sz w:val="20"/>
          <w:szCs w:val="20"/>
          <w:lang w:val="lt-LT"/>
        </w:rPr>
      </w:pPr>
      <w:r w:rsidRPr="00834DFE">
        <w:rPr>
          <w:rFonts w:ascii="Georgia" w:hAnsi="Georgia"/>
          <w:sz w:val="20"/>
          <w:szCs w:val="20"/>
          <w:lang w:val="lt-LT"/>
        </w:rPr>
        <w:t>teikiama pagalba atitinka Bendrosios išimties reglamento 39 str. sąlygas</w:t>
      </w:r>
      <w:r w:rsidR="005D745D">
        <w:rPr>
          <w:rFonts w:ascii="Georgia" w:hAnsi="Georgia"/>
          <w:sz w:val="20"/>
          <w:szCs w:val="20"/>
          <w:lang w:val="lt-LT"/>
        </w:rPr>
        <w:t>, kurios gali būti taikomos</w:t>
      </w:r>
      <w:r w:rsidR="005C562D">
        <w:rPr>
          <w:rFonts w:ascii="Georgia" w:hAnsi="Georgia"/>
          <w:sz w:val="20"/>
          <w:szCs w:val="20"/>
          <w:lang w:val="lt-LT"/>
        </w:rPr>
        <w:t xml:space="preserve"> </w:t>
      </w:r>
      <w:r w:rsidR="005D745D">
        <w:rPr>
          <w:rFonts w:ascii="Georgia" w:hAnsi="Georgia"/>
          <w:sz w:val="20"/>
          <w:szCs w:val="20"/>
          <w:lang w:val="lt-LT"/>
        </w:rPr>
        <w:t>savaivaldybės pastatuose įsikūrusiems ir paslaugas teikiantiems ūkio subjektams.</w:t>
      </w:r>
      <w:r w:rsidR="00834DFE">
        <w:rPr>
          <w:rFonts w:ascii="Georgia" w:hAnsi="Georgia"/>
          <w:sz w:val="20"/>
          <w:szCs w:val="20"/>
          <w:lang w:val="lt-LT"/>
        </w:rPr>
        <w:t xml:space="preserve"> </w:t>
      </w:r>
      <w:r w:rsidRPr="00834DFE">
        <w:rPr>
          <w:rFonts w:ascii="Georgia" w:hAnsi="Georgia"/>
          <w:sz w:val="20"/>
          <w:szCs w:val="20"/>
          <w:lang w:val="lt-LT"/>
        </w:rPr>
        <w:t xml:space="preserve">Atsižvelgiant į valstybės pagalbos taisyklių reikalavimus, siūloma nustatyti, kad pagal numatomą įgyvendinti priemonę savivaldybės pastatai, kuriuose yra ūkio subjektų, neatitinkančių </w:t>
      </w:r>
      <w:r w:rsidRPr="005D745D">
        <w:rPr>
          <w:rFonts w:ascii="Georgia" w:hAnsi="Georgia"/>
          <w:i/>
          <w:sz w:val="20"/>
          <w:szCs w:val="20"/>
          <w:lang w:val="lt-LT"/>
        </w:rPr>
        <w:t>de minimis</w:t>
      </w:r>
      <w:r w:rsidRPr="005D745D">
        <w:rPr>
          <w:rFonts w:ascii="Georgia" w:hAnsi="Georgia"/>
          <w:sz w:val="20"/>
          <w:szCs w:val="20"/>
          <w:lang w:val="lt-LT"/>
        </w:rPr>
        <w:t xml:space="preserve"> reikalavimų, nėra tinkami pareiškėjai.</w:t>
      </w:r>
    </w:p>
    <w:p w14:paraId="3C8738EA" w14:textId="77777777" w:rsidR="005C562D" w:rsidRDefault="005C562D">
      <w:pPr>
        <w:rPr>
          <w:rFonts w:ascii="Georgia" w:hAnsi="Georgia"/>
          <w:b/>
          <w:sz w:val="20"/>
          <w:szCs w:val="20"/>
          <w:lang w:val="lt-LT"/>
        </w:rPr>
      </w:pPr>
      <w:r>
        <w:rPr>
          <w:rFonts w:ascii="Georgia" w:hAnsi="Georgia"/>
          <w:b/>
          <w:sz w:val="20"/>
          <w:szCs w:val="20"/>
          <w:lang w:val="lt-LT"/>
        </w:rPr>
        <w:br w:type="page"/>
      </w:r>
    </w:p>
    <w:p w14:paraId="2B44CBA3" w14:textId="5756EB21" w:rsidR="0006117A" w:rsidRDefault="0006117A" w:rsidP="0006117A">
      <w:pPr>
        <w:jc w:val="both"/>
        <w:rPr>
          <w:rFonts w:ascii="Georgia" w:hAnsi="Georgia"/>
          <w:b/>
          <w:sz w:val="20"/>
          <w:szCs w:val="20"/>
          <w:lang w:val="lt-LT"/>
        </w:rPr>
      </w:pPr>
      <w:r>
        <w:rPr>
          <w:rFonts w:ascii="Georgia" w:hAnsi="Georgia"/>
          <w:b/>
          <w:sz w:val="20"/>
          <w:szCs w:val="20"/>
          <w:lang w:val="lt-LT"/>
        </w:rPr>
        <w:lastRenderedPageBreak/>
        <w:t>Netolygus nuostolių paskirstymas tarp privataus ir viešojo investuotojo</w:t>
      </w:r>
    </w:p>
    <w:p w14:paraId="0944E6D0" w14:textId="77777777" w:rsidR="0006117A" w:rsidRDefault="0006117A" w:rsidP="0006117A">
      <w:pPr>
        <w:jc w:val="both"/>
        <w:rPr>
          <w:rFonts w:ascii="Georgia" w:hAnsi="Georgia"/>
          <w:sz w:val="20"/>
          <w:szCs w:val="20"/>
          <w:lang w:val="lt-LT"/>
        </w:rPr>
      </w:pPr>
      <w:r w:rsidRPr="009A6D4D">
        <w:rPr>
          <w:rFonts w:ascii="Georgia" w:hAnsi="Georgia"/>
          <w:sz w:val="20"/>
          <w:szCs w:val="20"/>
          <w:lang w:val="lt-LT"/>
        </w:rPr>
        <w:t>Esant</w:t>
      </w:r>
      <w:r>
        <w:rPr>
          <w:rFonts w:ascii="Georgia" w:hAnsi="Georgia"/>
          <w:sz w:val="20"/>
          <w:szCs w:val="20"/>
          <w:lang w:val="lt-LT"/>
        </w:rPr>
        <w:t xml:space="preserve"> netolygiam nuostolių paskirstymui tarp privataus ir viešojo investuotojo valstybės pagalba atsirastų dviejuose lygmenyse: privataus investuotojo ar finansų tarpininko, kurie skiria nuosavas lėšas, ir savivaldybės pastatuose įsikūrusiems ir paslaugas teikiantiems ūkio subjektams. Šiems subjektams teikiama pagalba yra suderinama su vidaus rinka, jei ji atitinka Bendrosios išimties reglamento 39 str. nustatytus reikalavimus, įskaitant pvz.:</w:t>
      </w:r>
    </w:p>
    <w:p w14:paraId="33576EB0" w14:textId="77777777" w:rsidR="0006117A" w:rsidRDefault="0006117A" w:rsidP="0006117A">
      <w:pPr>
        <w:pStyle w:val="Sraopastraipa"/>
        <w:numPr>
          <w:ilvl w:val="0"/>
          <w:numId w:val="103"/>
        </w:numPr>
        <w:jc w:val="both"/>
        <w:rPr>
          <w:rFonts w:ascii="Georgia" w:hAnsi="Georgia"/>
          <w:sz w:val="20"/>
          <w:szCs w:val="20"/>
          <w:lang w:val="lt-LT"/>
        </w:rPr>
      </w:pPr>
      <w:r>
        <w:rPr>
          <w:rFonts w:ascii="Georgia" w:hAnsi="Georgia"/>
          <w:sz w:val="20"/>
          <w:szCs w:val="20"/>
          <w:lang w:val="lt-LT"/>
        </w:rPr>
        <w:t>paskolos nominalioji vertė neviršija 10 mln. Eur vienam projektui galutiniams naudos gavėjams;</w:t>
      </w:r>
    </w:p>
    <w:p w14:paraId="3C3E2776" w14:textId="77777777" w:rsidR="0006117A" w:rsidRDefault="0006117A" w:rsidP="0006117A">
      <w:pPr>
        <w:pStyle w:val="Sraopastraipa"/>
        <w:numPr>
          <w:ilvl w:val="0"/>
          <w:numId w:val="103"/>
        </w:numPr>
        <w:jc w:val="both"/>
        <w:rPr>
          <w:rFonts w:ascii="Georgia" w:hAnsi="Georgia"/>
          <w:sz w:val="20"/>
          <w:szCs w:val="20"/>
          <w:lang w:val="lt-LT"/>
        </w:rPr>
      </w:pPr>
      <w:r>
        <w:rPr>
          <w:rFonts w:ascii="Georgia" w:hAnsi="Georgia"/>
          <w:sz w:val="20"/>
          <w:szCs w:val="20"/>
          <w:lang w:val="lt-LT"/>
        </w:rPr>
        <w:t>pritraukiama privačių investuotojų dalis yra ne mažesnė kaip 30 proc. viso skiriamo viešojo finansavimo;</w:t>
      </w:r>
    </w:p>
    <w:p w14:paraId="377CA552" w14:textId="77777777" w:rsidR="0006117A" w:rsidRDefault="0006117A" w:rsidP="0006117A">
      <w:pPr>
        <w:pStyle w:val="Sraopastraipa"/>
        <w:numPr>
          <w:ilvl w:val="0"/>
          <w:numId w:val="103"/>
        </w:numPr>
        <w:jc w:val="both"/>
        <w:rPr>
          <w:rFonts w:ascii="Georgia" w:hAnsi="Georgia"/>
          <w:sz w:val="20"/>
          <w:szCs w:val="20"/>
          <w:lang w:val="lt-LT"/>
        </w:rPr>
      </w:pPr>
      <w:r>
        <w:rPr>
          <w:rFonts w:ascii="Georgia" w:hAnsi="Georgia"/>
          <w:sz w:val="20"/>
          <w:szCs w:val="20"/>
          <w:lang w:val="lt-LT"/>
        </w:rPr>
        <w:t>finansų tarpininkai ir/ar privatūs investuotojai atrenkam pagal atvirą, skaidrią ir nediskriminacinę procedūrą;</w:t>
      </w:r>
    </w:p>
    <w:p w14:paraId="43DF1142" w14:textId="77777777" w:rsidR="0006117A" w:rsidRDefault="0006117A" w:rsidP="0006117A">
      <w:pPr>
        <w:pStyle w:val="Sraopastraipa"/>
        <w:numPr>
          <w:ilvl w:val="0"/>
          <w:numId w:val="103"/>
        </w:numPr>
        <w:jc w:val="both"/>
        <w:rPr>
          <w:rFonts w:ascii="Georgia" w:hAnsi="Georgia"/>
          <w:sz w:val="20"/>
          <w:szCs w:val="20"/>
          <w:lang w:val="lt-LT"/>
        </w:rPr>
      </w:pPr>
      <w:r>
        <w:rPr>
          <w:rFonts w:ascii="Georgia" w:hAnsi="Georgia"/>
          <w:sz w:val="20"/>
          <w:szCs w:val="20"/>
          <w:lang w:val="lt-LT"/>
        </w:rPr>
        <w:t>pirmieji viešojo investuotojo patirti  nuostoliai apribojami 25 proc. visos investicijos.</w:t>
      </w:r>
    </w:p>
    <w:p w14:paraId="5FA5DBFA" w14:textId="77777777" w:rsidR="0006117A" w:rsidRDefault="0006117A" w:rsidP="0006117A">
      <w:pPr>
        <w:jc w:val="both"/>
        <w:rPr>
          <w:rFonts w:ascii="Georgia" w:hAnsi="Georgia"/>
          <w:sz w:val="20"/>
          <w:szCs w:val="20"/>
          <w:lang w:val="lt-LT"/>
        </w:rPr>
      </w:pPr>
    </w:p>
    <w:p w14:paraId="78F4FF33" w14:textId="77777777" w:rsidR="0006117A" w:rsidRDefault="0006117A" w:rsidP="0006117A">
      <w:pPr>
        <w:pStyle w:val="Antrat2"/>
        <w:rPr>
          <w:lang w:val="lt-LT"/>
        </w:rPr>
      </w:pPr>
      <w:bookmarkStart w:id="314" w:name="_Toc25589956"/>
      <w:r>
        <w:rPr>
          <w:lang w:val="lt-LT"/>
        </w:rPr>
        <w:t xml:space="preserve">5.2.4.3. </w:t>
      </w:r>
      <w:r w:rsidRPr="001D5919">
        <w:rPr>
          <w:lang w:val="lt-LT"/>
        </w:rPr>
        <w:t>Priemonės įgyvendinimo vertinimo išvada</w:t>
      </w:r>
      <w:bookmarkEnd w:id="314"/>
    </w:p>
    <w:p w14:paraId="69EF519E" w14:textId="77777777" w:rsidR="0006117A" w:rsidRPr="0034136D" w:rsidRDefault="0006117A" w:rsidP="0006117A">
      <w:pPr>
        <w:rPr>
          <w:lang w:val="lt-LT"/>
        </w:rPr>
      </w:pPr>
    </w:p>
    <w:p w14:paraId="1D1B119D" w14:textId="77777777" w:rsidR="0006117A" w:rsidRPr="00541A2C" w:rsidRDefault="0006117A" w:rsidP="0006117A">
      <w:pPr>
        <w:jc w:val="both"/>
        <w:rPr>
          <w:rFonts w:ascii="Georgia" w:hAnsi="Georgia"/>
          <w:sz w:val="20"/>
          <w:szCs w:val="20"/>
          <w:lang w:val="lt-LT"/>
        </w:rPr>
      </w:pPr>
      <w:r w:rsidRPr="00541A2C">
        <w:rPr>
          <w:rFonts w:ascii="Georgia" w:hAnsi="Georgia"/>
          <w:sz w:val="20"/>
          <w:szCs w:val="20"/>
          <w:lang w:val="lt-LT"/>
        </w:rPr>
        <w:t>Įvertinus pasirinkto priemonės įgyvendinimo mechanizmo struktūrą, darytinos šios išvados:</w:t>
      </w:r>
    </w:p>
    <w:p w14:paraId="327F6723" w14:textId="08B13B27" w:rsidR="0006117A" w:rsidRPr="00541A2C" w:rsidRDefault="0006117A" w:rsidP="0006117A">
      <w:pPr>
        <w:pStyle w:val="Sraopastraipa"/>
        <w:keepNext/>
        <w:numPr>
          <w:ilvl w:val="0"/>
          <w:numId w:val="102"/>
        </w:numPr>
        <w:ind w:left="709"/>
        <w:jc w:val="both"/>
        <w:rPr>
          <w:rFonts w:ascii="Georgia" w:hAnsi="Georgia"/>
          <w:sz w:val="20"/>
          <w:szCs w:val="20"/>
          <w:lang w:val="lt-LT"/>
        </w:rPr>
      </w:pPr>
      <w:r w:rsidRPr="00541A2C">
        <w:rPr>
          <w:rFonts w:ascii="Georgia" w:hAnsi="Georgia"/>
          <w:sz w:val="20"/>
          <w:szCs w:val="20"/>
          <w:lang w:val="lt-LT"/>
        </w:rPr>
        <w:t xml:space="preserve">mechanizmo įgyvendinimas nesukelia valstybės pagalbos atsiradimo rizikos, laikantis atitinkamuose skyriuose nurodytų sąlygų, finansavimą suteikiančių viešųjų institucijų, </w:t>
      </w:r>
      <w:r>
        <w:rPr>
          <w:rFonts w:ascii="Georgia" w:hAnsi="Georgia"/>
          <w:sz w:val="20"/>
          <w:szCs w:val="20"/>
          <w:lang w:val="lt-LT"/>
        </w:rPr>
        <w:t xml:space="preserve">savivaldybės, </w:t>
      </w:r>
      <w:r w:rsidRPr="00541A2C">
        <w:rPr>
          <w:rFonts w:ascii="Georgia" w:hAnsi="Georgia"/>
          <w:sz w:val="20"/>
          <w:szCs w:val="20"/>
          <w:lang w:val="lt-LT"/>
        </w:rPr>
        <w:t xml:space="preserve">fondo valdytojo, savivaldybės pastatų savininkų/valdytojų, </w:t>
      </w:r>
      <w:r>
        <w:rPr>
          <w:rFonts w:ascii="Georgia" w:hAnsi="Georgia"/>
          <w:sz w:val="20"/>
          <w:szCs w:val="20"/>
          <w:lang w:val="lt-LT"/>
        </w:rPr>
        <w:t>fondo, kaip atskiro juridinio asmens bei ESCO įmonės atžvilgiu</w:t>
      </w:r>
      <w:r w:rsidRPr="00541A2C">
        <w:rPr>
          <w:rFonts w:ascii="Georgia" w:hAnsi="Georgia"/>
          <w:sz w:val="20"/>
          <w:szCs w:val="20"/>
          <w:lang w:val="lt-LT"/>
        </w:rPr>
        <w:t>;</w:t>
      </w:r>
    </w:p>
    <w:p w14:paraId="5CA47EE8" w14:textId="77777777" w:rsidR="0006117A" w:rsidRPr="00541A2C" w:rsidRDefault="0006117A" w:rsidP="0006117A">
      <w:pPr>
        <w:pStyle w:val="Sraopastraipa"/>
        <w:keepNext/>
        <w:numPr>
          <w:ilvl w:val="0"/>
          <w:numId w:val="102"/>
        </w:numPr>
        <w:ind w:left="709"/>
        <w:jc w:val="both"/>
        <w:rPr>
          <w:rFonts w:ascii="Georgia" w:hAnsi="Georgia"/>
          <w:sz w:val="20"/>
          <w:szCs w:val="20"/>
          <w:lang w:val="lt-LT"/>
        </w:rPr>
      </w:pPr>
      <w:r w:rsidRPr="00541A2C">
        <w:rPr>
          <w:rFonts w:ascii="Georgia" w:hAnsi="Georgia"/>
          <w:sz w:val="20"/>
          <w:szCs w:val="20"/>
          <w:lang w:val="lt-LT"/>
        </w:rPr>
        <w:t xml:space="preserve">mechanizmo įgyvendinimas sąlygoja </w:t>
      </w:r>
      <w:r w:rsidRPr="006554AF">
        <w:rPr>
          <w:rFonts w:ascii="Georgia" w:hAnsi="Georgia"/>
          <w:i/>
          <w:sz w:val="20"/>
          <w:szCs w:val="20"/>
          <w:lang w:val="lt-LT"/>
        </w:rPr>
        <w:t>de minimis</w:t>
      </w:r>
      <w:r w:rsidRPr="00541A2C">
        <w:rPr>
          <w:rFonts w:ascii="Georgia" w:hAnsi="Georgia"/>
          <w:sz w:val="20"/>
          <w:szCs w:val="20"/>
          <w:lang w:val="lt-LT"/>
        </w:rPr>
        <w:t xml:space="preserve"> pagalbos atsiradimą ūkio subjekt</w:t>
      </w:r>
      <w:r>
        <w:rPr>
          <w:rFonts w:ascii="Georgia" w:hAnsi="Georgia"/>
          <w:sz w:val="20"/>
          <w:szCs w:val="20"/>
          <w:lang w:val="lt-LT"/>
        </w:rPr>
        <w:t>ams</w:t>
      </w:r>
      <w:r w:rsidRPr="00541A2C">
        <w:rPr>
          <w:rFonts w:ascii="Georgia" w:hAnsi="Georgia"/>
          <w:sz w:val="20"/>
          <w:szCs w:val="20"/>
          <w:lang w:val="lt-LT"/>
        </w:rPr>
        <w:t>, veikian</w:t>
      </w:r>
      <w:r>
        <w:rPr>
          <w:rFonts w:ascii="Georgia" w:hAnsi="Georgia"/>
          <w:sz w:val="20"/>
          <w:szCs w:val="20"/>
          <w:lang w:val="lt-LT"/>
        </w:rPr>
        <w:t>tiems</w:t>
      </w:r>
      <w:r w:rsidRPr="00541A2C">
        <w:rPr>
          <w:rFonts w:ascii="Georgia" w:hAnsi="Georgia"/>
          <w:sz w:val="20"/>
          <w:szCs w:val="20"/>
          <w:lang w:val="lt-LT"/>
        </w:rPr>
        <w:t xml:space="preserve"> savivaldybės pastatuose, </w:t>
      </w:r>
      <w:r>
        <w:rPr>
          <w:rFonts w:ascii="Georgia" w:hAnsi="Georgia"/>
          <w:sz w:val="20"/>
          <w:szCs w:val="20"/>
          <w:lang w:val="lt-LT"/>
        </w:rPr>
        <w:t>įskaitant savivaldybės įmones,</w:t>
      </w:r>
      <w:r w:rsidRPr="00541A2C">
        <w:rPr>
          <w:rFonts w:ascii="Georgia" w:hAnsi="Georgia"/>
          <w:sz w:val="20"/>
          <w:szCs w:val="20"/>
          <w:lang w:val="lt-LT"/>
        </w:rPr>
        <w:t xml:space="preserve"> jeigu laikomasi apibrėžtų sąlygų</w:t>
      </w:r>
      <w:r>
        <w:rPr>
          <w:rFonts w:ascii="Georgia" w:hAnsi="Georgia"/>
          <w:sz w:val="20"/>
          <w:szCs w:val="20"/>
          <w:lang w:val="lt-LT"/>
        </w:rPr>
        <w:t>;</w:t>
      </w:r>
    </w:p>
    <w:p w14:paraId="2DA57847" w14:textId="77777777" w:rsidR="0006117A" w:rsidRPr="00541A2C" w:rsidRDefault="0006117A" w:rsidP="0006117A">
      <w:pPr>
        <w:pStyle w:val="Sraopastraipa"/>
        <w:keepNext/>
        <w:numPr>
          <w:ilvl w:val="0"/>
          <w:numId w:val="102"/>
        </w:numPr>
        <w:ind w:left="709"/>
        <w:jc w:val="both"/>
        <w:rPr>
          <w:rFonts w:ascii="Georgia" w:hAnsi="Georgia"/>
          <w:sz w:val="20"/>
          <w:szCs w:val="20"/>
          <w:lang w:val="lt-LT"/>
        </w:rPr>
      </w:pPr>
      <w:r w:rsidRPr="00541A2C">
        <w:rPr>
          <w:rFonts w:ascii="Georgia" w:hAnsi="Georgia"/>
          <w:sz w:val="20"/>
          <w:szCs w:val="20"/>
          <w:lang w:val="lt-LT"/>
        </w:rPr>
        <w:t xml:space="preserve">tuo atveju, jei nustatomas netolygus nuostolių paskirstymas tarp privataus ir viešojo investuotojo, tai sąlygoja valstybės pagalbos atsiradimą finansų tarpininko </w:t>
      </w:r>
      <w:r>
        <w:rPr>
          <w:rFonts w:ascii="Georgia" w:hAnsi="Georgia"/>
          <w:sz w:val="20"/>
          <w:szCs w:val="20"/>
          <w:lang w:val="lt-LT"/>
        </w:rPr>
        <w:t xml:space="preserve"> ir/ar </w:t>
      </w:r>
      <w:r w:rsidRPr="00541A2C">
        <w:rPr>
          <w:rFonts w:ascii="Georgia" w:hAnsi="Georgia"/>
          <w:sz w:val="20"/>
          <w:szCs w:val="20"/>
          <w:lang w:val="lt-LT"/>
        </w:rPr>
        <w:t>privataus investuotojo</w:t>
      </w:r>
      <w:r>
        <w:rPr>
          <w:rFonts w:ascii="Georgia" w:hAnsi="Georgia"/>
          <w:sz w:val="20"/>
          <w:szCs w:val="20"/>
          <w:lang w:val="lt-LT"/>
        </w:rPr>
        <w:t xml:space="preserve"> atžvilgiu</w:t>
      </w:r>
      <w:r w:rsidRPr="00541A2C">
        <w:rPr>
          <w:rFonts w:ascii="Georgia" w:hAnsi="Georgia"/>
          <w:sz w:val="20"/>
          <w:szCs w:val="20"/>
          <w:lang w:val="lt-LT"/>
        </w:rPr>
        <w:t xml:space="preserve"> ir tokiu atveju mechanizmas turi būti suderintas su Bendrosios išimties reglamento 39 str. reikalavimais. </w:t>
      </w:r>
    </w:p>
    <w:p w14:paraId="5942C614" w14:textId="77777777" w:rsidR="008D5EBC" w:rsidRPr="002142B8" w:rsidRDefault="008D5EBC" w:rsidP="00A73D0A">
      <w:pPr>
        <w:pStyle w:val="Sraopastraipa"/>
        <w:ind w:left="0"/>
        <w:jc w:val="both"/>
        <w:rPr>
          <w:rFonts w:ascii="Georgia" w:hAnsi="Georgia"/>
          <w:sz w:val="20"/>
          <w:szCs w:val="20"/>
          <w:lang w:val="lt-LT"/>
        </w:rPr>
      </w:pPr>
    </w:p>
    <w:p w14:paraId="7F4F5825" w14:textId="77777777" w:rsidR="00EF6FC0" w:rsidRPr="002142B8" w:rsidRDefault="00EF6FC0">
      <w:pPr>
        <w:rPr>
          <w:rFonts w:asciiTheme="majorHAnsi" w:eastAsiaTheme="majorEastAsia" w:hAnsiTheme="majorHAnsi" w:cstheme="majorBidi"/>
          <w:b/>
          <w:bCs/>
          <w:color w:val="365F91" w:themeColor="accent1" w:themeShade="BF"/>
          <w:sz w:val="28"/>
          <w:szCs w:val="28"/>
          <w:lang w:val="lt-LT"/>
        </w:rPr>
      </w:pPr>
      <w:r w:rsidRPr="002142B8">
        <w:rPr>
          <w:lang w:val="lt-LT"/>
        </w:rPr>
        <w:br w:type="page"/>
      </w:r>
    </w:p>
    <w:p w14:paraId="21F57CAD" w14:textId="77777777" w:rsidR="00E84A38" w:rsidRPr="002142B8" w:rsidRDefault="00E84A38" w:rsidP="00162BF5">
      <w:pPr>
        <w:pStyle w:val="Antrat1"/>
        <w:numPr>
          <w:ilvl w:val="0"/>
          <w:numId w:val="19"/>
        </w:numPr>
        <w:ind w:left="567" w:hanging="567"/>
        <w:rPr>
          <w:lang w:val="lt-LT"/>
        </w:rPr>
      </w:pPr>
      <w:bookmarkStart w:id="315" w:name="_Toc25589957"/>
      <w:r w:rsidRPr="002142B8">
        <w:rPr>
          <w:lang w:val="lt-LT"/>
        </w:rPr>
        <w:lastRenderedPageBreak/>
        <w:t>Finansinių priemonių patirtis Lietuvoje ir kitose šalyse</w:t>
      </w:r>
      <w:bookmarkEnd w:id="298"/>
      <w:bookmarkEnd w:id="315"/>
    </w:p>
    <w:p w14:paraId="61BCCECA" w14:textId="77777777" w:rsidR="009E5C05" w:rsidRPr="002142B8" w:rsidRDefault="009E5C05" w:rsidP="00E84A38">
      <w:pPr>
        <w:jc w:val="both"/>
        <w:rPr>
          <w:rFonts w:ascii="Georgia" w:hAnsi="Georgia"/>
          <w:sz w:val="20"/>
          <w:szCs w:val="20"/>
          <w:lang w:val="lt-LT"/>
        </w:rPr>
      </w:pPr>
    </w:p>
    <w:p w14:paraId="23560256" w14:textId="3FAA924E" w:rsidR="00451BC7" w:rsidRPr="002142B8" w:rsidRDefault="00451BC7" w:rsidP="00451BC7">
      <w:pPr>
        <w:jc w:val="both"/>
        <w:rPr>
          <w:rFonts w:ascii="Georgia" w:hAnsi="Georgia"/>
          <w:sz w:val="20"/>
          <w:szCs w:val="20"/>
          <w:lang w:val="lt-LT"/>
        </w:rPr>
      </w:pPr>
      <w:bookmarkStart w:id="316" w:name="_Toc395795825"/>
      <w:r w:rsidRPr="002142B8">
        <w:rPr>
          <w:rFonts w:ascii="Georgia" w:hAnsi="Georgia"/>
          <w:sz w:val="20"/>
          <w:szCs w:val="20"/>
          <w:lang w:val="lt-LT"/>
        </w:rPr>
        <w:t>Šioje e</w:t>
      </w:r>
      <w:r w:rsidR="00300FF4" w:rsidRPr="002142B8">
        <w:rPr>
          <w:rFonts w:ascii="Georgia" w:hAnsi="Georgia"/>
          <w:sz w:val="20"/>
          <w:szCs w:val="20"/>
          <w:lang w:val="lt-LT"/>
        </w:rPr>
        <w:t>x-ante</w:t>
      </w:r>
      <w:r w:rsidRPr="002142B8">
        <w:rPr>
          <w:rFonts w:ascii="Georgia" w:hAnsi="Georgia"/>
          <w:sz w:val="20"/>
          <w:szCs w:val="20"/>
          <w:lang w:val="lt-LT"/>
        </w:rPr>
        <w:t xml:space="preserve"> vertinimo  dalyje apžvelgiama finansinių priemonių įgyvendinimo patirtis orientuojantis į finansines priemones, finansuojančias projektus energijos efektyvumo/atsinaujinančių energijos išteklių sektoriuose, remiantis informacijos šaltiniais, kurie nurodyti 2014-2020 m. periodo finansinių priemonių e</w:t>
      </w:r>
      <w:r w:rsidR="00300FF4" w:rsidRPr="002142B8">
        <w:rPr>
          <w:rFonts w:ascii="Georgia" w:hAnsi="Georgia"/>
          <w:sz w:val="20"/>
          <w:szCs w:val="20"/>
          <w:lang w:val="lt-LT"/>
        </w:rPr>
        <w:t>x-ante</w:t>
      </w:r>
      <w:r w:rsidRPr="002142B8">
        <w:rPr>
          <w:rFonts w:ascii="Georgia" w:hAnsi="Georgia"/>
          <w:sz w:val="20"/>
          <w:szCs w:val="20"/>
          <w:lang w:val="lt-LT"/>
        </w:rPr>
        <w:t xml:space="preserve"> vertinimo metodikoje, ir kitais šaltiniais. Apžvalga parengta sukauptą patirtį identifikavus per šias priemones: atliktus interviu</w:t>
      </w:r>
      <w:r w:rsidRPr="002142B8">
        <w:rPr>
          <w:rStyle w:val="Puslapioinaosnuoroda"/>
          <w:rFonts w:ascii="Georgia" w:hAnsi="Georgia"/>
          <w:sz w:val="20"/>
          <w:szCs w:val="20"/>
          <w:lang w:val="lt-LT"/>
        </w:rPr>
        <w:footnoteReference w:id="165"/>
      </w:r>
      <w:r w:rsidRPr="002142B8">
        <w:rPr>
          <w:rFonts w:ascii="Georgia" w:hAnsi="Georgia"/>
          <w:sz w:val="20"/>
          <w:szCs w:val="20"/>
          <w:lang w:val="lt-LT"/>
        </w:rPr>
        <w:t xml:space="preserve">, atliktas tris atvejo studijas: JESSICA KF Lietuvoje, Energijos efektyvumo ir atsinaujinančių išteklių fondo Bulgarijoje ir Londono energetinio efektyvumo fondo Jungtinėje Karalystėje. </w:t>
      </w:r>
    </w:p>
    <w:p w14:paraId="35A466BF" w14:textId="77777777" w:rsidR="00E84A38" w:rsidRPr="002142B8" w:rsidRDefault="00E84A38" w:rsidP="00162BF5">
      <w:pPr>
        <w:pStyle w:val="Antrat2"/>
        <w:numPr>
          <w:ilvl w:val="1"/>
          <w:numId w:val="19"/>
        </w:numPr>
        <w:spacing w:after="240"/>
        <w:ind w:left="709"/>
        <w:rPr>
          <w:lang w:val="lt-LT"/>
        </w:rPr>
      </w:pPr>
      <w:bookmarkStart w:id="317" w:name="_Toc25589958"/>
      <w:r w:rsidRPr="002142B8">
        <w:rPr>
          <w:lang w:val="lt-LT"/>
        </w:rPr>
        <w:t>Finansinių priemonių identifikavimas</w:t>
      </w:r>
      <w:bookmarkEnd w:id="316"/>
      <w:bookmarkEnd w:id="317"/>
    </w:p>
    <w:p w14:paraId="7F068E7E"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 xml:space="preserve">Pateikta informacija remiasi suvestine DG REGIO informacija apie finansinių priemonių įgyvendinimą, kurią vadovaujančiosios institucijos Europos Komisijai teikė pagal 2006 m. liepos 11 d. Tarybos reglamento (EB) Nr. 1083/2006, nustatančio bendrąsias nuostatas dėl Europos regioninės plėtros fondo, Europos socialinio fondo ir Sanglaudos fondo bei panaikinančio Reglamentą (EB) N. 1260/1999, </w:t>
      </w:r>
      <w:r w:rsidRPr="002142B8">
        <w:rPr>
          <w:rFonts w:ascii="Georgia" w:hAnsi="Georgia" w:cs="Arial"/>
          <w:sz w:val="20"/>
          <w:szCs w:val="20"/>
          <w:lang w:val="lt-LT"/>
        </w:rPr>
        <w:t>67(2)(j) straipsnį.</w:t>
      </w:r>
      <w:r w:rsidRPr="002142B8">
        <w:rPr>
          <w:rFonts w:ascii="Georgia" w:hAnsi="Georgia" w:cs="Arial"/>
          <w:bCs/>
          <w:sz w:val="20"/>
          <w:szCs w:val="20"/>
          <w:lang w:val="lt-LT"/>
        </w:rPr>
        <w:t xml:space="preserve"> Šiuo metu viešai prieinama yra 2013 m. rugsėjo 19 d. ataskaita, kurioje pateikiami duomenys apie situaciją 2012 m. gruodžio 31 d.</w:t>
      </w:r>
      <w:r w:rsidRPr="002142B8">
        <w:rPr>
          <w:rFonts w:ascii="Georgia" w:hAnsi="Georgia" w:cs="Arial"/>
          <w:bCs/>
          <w:sz w:val="20"/>
          <w:szCs w:val="20"/>
          <w:vertAlign w:val="superscript"/>
          <w:lang w:val="lt-LT"/>
        </w:rPr>
        <w:footnoteReference w:id="166"/>
      </w:r>
    </w:p>
    <w:p w14:paraId="39956133"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2012 m. gruodžio 31 d. ES veikė 940 finansinių priemonių, finansuojamų struktūrinių fondų lėšomis (tarp kurių buvo 70 kontroliuojančiųjų fondų). 92 proc. šių priemonių skirta finansuoti įmones, 6 proc. miestų plėtrą ir mažiau nei 2 proc. – energijos efektyvumą/atsinaujinančius energijos išteklius. Finansinės priemonės finansuojamos iš 175 veiksmų programų 25 valstybėse narėse (finansinės priemonės nebuvo įgyvendinamos Airijoje ir Liuksemburge). 389 finansinės priemonės buvo įgyvendinamos tiesi</w:t>
      </w:r>
      <w:r w:rsidR="00AF1768" w:rsidRPr="002142B8">
        <w:rPr>
          <w:rFonts w:ascii="Georgia" w:hAnsi="Georgia" w:cs="Arial"/>
          <w:bCs/>
          <w:sz w:val="20"/>
          <w:szCs w:val="20"/>
          <w:lang w:val="lt-LT"/>
        </w:rPr>
        <w:t>ogiai (t. y. be kontroliuojančių</w:t>
      </w:r>
      <w:r w:rsidRPr="002142B8">
        <w:rPr>
          <w:rFonts w:ascii="Georgia" w:hAnsi="Georgia" w:cs="Arial"/>
          <w:bCs/>
          <w:sz w:val="20"/>
          <w:szCs w:val="20"/>
          <w:lang w:val="lt-LT"/>
        </w:rPr>
        <w:t>j</w:t>
      </w:r>
      <w:r w:rsidR="00AF1768" w:rsidRPr="002142B8">
        <w:rPr>
          <w:rFonts w:ascii="Georgia" w:hAnsi="Georgia" w:cs="Arial"/>
          <w:bCs/>
          <w:sz w:val="20"/>
          <w:szCs w:val="20"/>
          <w:lang w:val="lt-LT"/>
        </w:rPr>
        <w:t>ų</w:t>
      </w:r>
      <w:r w:rsidRPr="002142B8">
        <w:rPr>
          <w:rFonts w:ascii="Georgia" w:hAnsi="Georgia" w:cs="Arial"/>
          <w:bCs/>
          <w:sz w:val="20"/>
          <w:szCs w:val="20"/>
          <w:lang w:val="lt-LT"/>
        </w:rPr>
        <w:t xml:space="preserve"> fond</w:t>
      </w:r>
      <w:r w:rsidR="00AF1768" w:rsidRPr="002142B8">
        <w:rPr>
          <w:rFonts w:ascii="Georgia" w:hAnsi="Georgia" w:cs="Arial"/>
          <w:bCs/>
          <w:sz w:val="20"/>
          <w:szCs w:val="20"/>
          <w:lang w:val="lt-LT"/>
        </w:rPr>
        <w:t>ų</w:t>
      </w:r>
      <w:r w:rsidRPr="002142B8">
        <w:rPr>
          <w:rFonts w:ascii="Georgia" w:hAnsi="Georgia" w:cs="Arial"/>
          <w:bCs/>
          <w:sz w:val="20"/>
          <w:szCs w:val="20"/>
          <w:lang w:val="lt-LT"/>
        </w:rPr>
        <w:t>), o 481 – per 70 kontroliuojančiųjų fondų.</w:t>
      </w:r>
    </w:p>
    <w:p w14:paraId="32BEAAE2"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Informacija apie finansinių priemonių įgyvendinimo finansinę pažangą 2012 m. gruodžio 31 d. pateikiama žemiau esančioje lentelėje.</w:t>
      </w:r>
    </w:p>
    <w:p w14:paraId="57AE7345" w14:textId="3086CF02" w:rsidR="00451BC7" w:rsidRPr="008377C9" w:rsidRDefault="00451BC7" w:rsidP="00451BC7">
      <w:pPr>
        <w:pStyle w:val="Antrat"/>
        <w:rPr>
          <w:rFonts w:cs="Arial"/>
          <w:b w:val="0"/>
          <w:bCs w:val="0"/>
          <w:i/>
          <w:szCs w:val="20"/>
          <w:lang w:val="lt-LT"/>
        </w:rPr>
      </w:pPr>
      <w:bookmarkStart w:id="318" w:name="_Toc507939214"/>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92</w:t>
      </w:r>
      <w:r w:rsidRPr="008377C9">
        <w:rPr>
          <w:b w:val="0"/>
          <w:i/>
          <w:lang w:val="lt-LT"/>
        </w:rPr>
        <w:fldChar w:fldCharType="end"/>
      </w:r>
      <w:r w:rsidRPr="008377C9">
        <w:rPr>
          <w:b w:val="0"/>
          <w:i/>
          <w:lang w:val="lt-LT"/>
        </w:rPr>
        <w:t>. Finansinių priemonių įgyvendinimo finansinė pažanga</w:t>
      </w:r>
      <w:bookmarkEnd w:id="318"/>
    </w:p>
    <w:tbl>
      <w:tblPr>
        <w:tblStyle w:val="viesussraas2parykinimas"/>
        <w:tblW w:w="5098" w:type="pct"/>
        <w:tblLayout w:type="fixed"/>
        <w:tblLook w:val="04A0" w:firstRow="1" w:lastRow="0" w:firstColumn="1" w:lastColumn="0" w:noHBand="0" w:noVBand="1"/>
      </w:tblPr>
      <w:tblGrid>
        <w:gridCol w:w="1541"/>
        <w:gridCol w:w="1541"/>
        <w:gridCol w:w="1540"/>
        <w:gridCol w:w="1721"/>
        <w:gridCol w:w="1540"/>
        <w:gridCol w:w="1540"/>
      </w:tblGrid>
      <w:tr w:rsidR="00451BC7" w:rsidRPr="002142B8" w14:paraId="1AEEF309" w14:textId="77777777" w:rsidTr="00F919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8" w:type="pct"/>
            <w:vMerge w:val="restart"/>
          </w:tcPr>
          <w:p w14:paraId="5A890FBB" w14:textId="0DBB8F02" w:rsidR="00451BC7" w:rsidRPr="002142B8" w:rsidRDefault="00451BC7" w:rsidP="00451BC7">
            <w:pPr>
              <w:spacing w:after="120"/>
              <w:jc w:val="center"/>
              <w:rPr>
                <w:rFonts w:ascii="Georgia" w:hAnsi="Georgia" w:cs="Arial"/>
                <w:bCs w:val="0"/>
                <w:sz w:val="20"/>
                <w:szCs w:val="20"/>
              </w:rPr>
            </w:pPr>
            <w:r w:rsidRPr="002142B8">
              <w:rPr>
                <w:rFonts w:ascii="Georgia" w:hAnsi="Georgia" w:cs="Arial"/>
                <w:sz w:val="20"/>
                <w:szCs w:val="20"/>
              </w:rPr>
              <w:t xml:space="preserve">Bendri įsipareigojimai pagal finansinius susitarimus (mln. </w:t>
            </w:r>
            <w:r w:rsidR="00035974" w:rsidRPr="002142B8">
              <w:rPr>
                <w:rFonts w:ascii="Georgia" w:hAnsi="Georgia" w:cs="Arial"/>
                <w:sz w:val="20"/>
                <w:szCs w:val="20"/>
              </w:rPr>
              <w:t xml:space="preserve"> eurų</w:t>
            </w:r>
            <w:r w:rsidRPr="002142B8">
              <w:rPr>
                <w:rFonts w:ascii="Georgia" w:hAnsi="Georgia" w:cs="Arial"/>
                <w:sz w:val="20"/>
                <w:szCs w:val="20"/>
              </w:rPr>
              <w:t>)</w:t>
            </w:r>
          </w:p>
        </w:tc>
        <w:tc>
          <w:tcPr>
            <w:tcW w:w="818" w:type="pct"/>
            <w:vMerge w:val="restart"/>
          </w:tcPr>
          <w:p w14:paraId="572D67D4" w14:textId="001FAA7E"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 xml:space="preserve">Iš veiksmų programų finansi-nėms priemo-nėms pervestos lėšos (mln. </w:t>
            </w:r>
            <w:r w:rsidR="00035974" w:rsidRPr="002142B8">
              <w:rPr>
                <w:rFonts w:ascii="Georgia" w:hAnsi="Georgia" w:cs="Arial"/>
                <w:sz w:val="20"/>
                <w:szCs w:val="20"/>
              </w:rPr>
              <w:t xml:space="preserve"> eurų</w:t>
            </w:r>
            <w:r w:rsidRPr="002142B8">
              <w:rPr>
                <w:rFonts w:ascii="Georgia" w:hAnsi="Georgia" w:cs="Arial"/>
                <w:sz w:val="20"/>
                <w:szCs w:val="20"/>
              </w:rPr>
              <w:t>)</w:t>
            </w:r>
          </w:p>
        </w:tc>
        <w:tc>
          <w:tcPr>
            <w:tcW w:w="1730" w:type="pct"/>
            <w:gridSpan w:val="2"/>
          </w:tcPr>
          <w:p w14:paraId="03F50344" w14:textId="7777777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Finansų priemonės, įgyvendinamos per kontroliuojančiuosius fondus</w:t>
            </w:r>
          </w:p>
        </w:tc>
        <w:tc>
          <w:tcPr>
            <w:tcW w:w="817" w:type="pct"/>
            <w:vMerge w:val="restart"/>
          </w:tcPr>
          <w:p w14:paraId="698AF39C" w14:textId="74DB261E"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 xml:space="preserve">Lėšos pervestos tiesiogiai įgyvendi-namoms finansi-nėms priemonėms (mln. </w:t>
            </w:r>
            <w:r w:rsidR="00035974" w:rsidRPr="002142B8">
              <w:rPr>
                <w:rFonts w:ascii="Georgia" w:hAnsi="Georgia" w:cs="Arial"/>
                <w:sz w:val="20"/>
                <w:szCs w:val="20"/>
              </w:rPr>
              <w:t xml:space="preserve"> eurų</w:t>
            </w:r>
            <w:r w:rsidRPr="002142B8">
              <w:rPr>
                <w:rFonts w:ascii="Georgia" w:hAnsi="Georgia" w:cs="Arial"/>
                <w:sz w:val="20"/>
                <w:szCs w:val="20"/>
              </w:rPr>
              <w:t>)</w:t>
            </w:r>
          </w:p>
        </w:tc>
        <w:tc>
          <w:tcPr>
            <w:tcW w:w="817" w:type="pct"/>
            <w:vMerge w:val="restart"/>
          </w:tcPr>
          <w:p w14:paraId="12B09273" w14:textId="707367AE"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 xml:space="preserve">Lėšos skirtos galutiniams naudos gavėjams (mln. </w:t>
            </w:r>
            <w:r w:rsidR="00035974" w:rsidRPr="002142B8">
              <w:rPr>
                <w:rFonts w:ascii="Georgia" w:hAnsi="Georgia" w:cs="Arial"/>
                <w:sz w:val="20"/>
                <w:szCs w:val="20"/>
              </w:rPr>
              <w:t xml:space="preserve"> eurų</w:t>
            </w:r>
            <w:r w:rsidRPr="002142B8">
              <w:rPr>
                <w:rFonts w:ascii="Georgia" w:hAnsi="Georgia" w:cs="Arial"/>
                <w:sz w:val="20"/>
                <w:szCs w:val="20"/>
              </w:rPr>
              <w:t>)</w:t>
            </w:r>
          </w:p>
        </w:tc>
      </w:tr>
      <w:tr w:rsidR="00451BC7" w:rsidRPr="002142B8" w14:paraId="01E37DFF" w14:textId="77777777" w:rsidTr="00F919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8" w:type="pct"/>
            <w:vMerge/>
          </w:tcPr>
          <w:p w14:paraId="5BEE6F05" w14:textId="77777777" w:rsidR="00451BC7" w:rsidRPr="002142B8" w:rsidRDefault="00451BC7" w:rsidP="00451BC7">
            <w:pPr>
              <w:spacing w:after="120"/>
              <w:jc w:val="center"/>
              <w:rPr>
                <w:rFonts w:ascii="Georgia" w:hAnsi="Georgia" w:cs="Arial"/>
                <w:bCs w:val="0"/>
                <w:sz w:val="20"/>
                <w:szCs w:val="20"/>
              </w:rPr>
            </w:pPr>
          </w:p>
        </w:tc>
        <w:tc>
          <w:tcPr>
            <w:tcW w:w="818" w:type="pct"/>
            <w:vMerge/>
          </w:tcPr>
          <w:p w14:paraId="6525E8FB" w14:textId="7777777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817" w:type="pct"/>
          </w:tcPr>
          <w:p w14:paraId="7A67E109" w14:textId="165D70C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 xml:space="preserve">Kontroliuojantiesiems fondams sumokėtos lėšos (mln. </w:t>
            </w:r>
            <w:r w:rsidR="00035974" w:rsidRPr="002142B8">
              <w:rPr>
                <w:rFonts w:ascii="Georgia" w:hAnsi="Georgia" w:cs="Arial"/>
                <w:sz w:val="20"/>
                <w:szCs w:val="20"/>
              </w:rPr>
              <w:t xml:space="preserve"> eurų</w:t>
            </w:r>
            <w:r w:rsidRPr="002142B8">
              <w:rPr>
                <w:rFonts w:ascii="Georgia" w:hAnsi="Georgia" w:cs="Arial"/>
                <w:sz w:val="20"/>
                <w:szCs w:val="20"/>
              </w:rPr>
              <w:t>)</w:t>
            </w:r>
          </w:p>
        </w:tc>
        <w:tc>
          <w:tcPr>
            <w:tcW w:w="913" w:type="pct"/>
          </w:tcPr>
          <w:p w14:paraId="7E312022" w14:textId="7777777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2142B8">
              <w:rPr>
                <w:rFonts w:ascii="Georgia" w:hAnsi="Georgia" w:cs="Arial"/>
                <w:sz w:val="20"/>
                <w:szCs w:val="20"/>
              </w:rPr>
              <w:t>Kontroliuojančiųjų fondų lėšos pervestos finansiniams tarpininkams (mln. €)</w:t>
            </w:r>
          </w:p>
        </w:tc>
        <w:tc>
          <w:tcPr>
            <w:tcW w:w="817" w:type="pct"/>
            <w:vMerge/>
          </w:tcPr>
          <w:p w14:paraId="3DAAC0F2" w14:textId="7777777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817" w:type="pct"/>
            <w:vMerge/>
          </w:tcPr>
          <w:p w14:paraId="5AB8E2D9" w14:textId="77777777" w:rsidR="00451BC7" w:rsidRPr="002142B8"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r>
      <w:tr w:rsidR="00451BC7" w:rsidRPr="002142B8" w14:paraId="5A116356" w14:textId="77777777" w:rsidTr="00F9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Pr>
          <w:p w14:paraId="0F6546FA" w14:textId="77777777" w:rsidR="00451BC7" w:rsidRPr="002142B8" w:rsidRDefault="00451BC7" w:rsidP="0088418D">
            <w:pPr>
              <w:spacing w:after="120"/>
              <w:jc w:val="center"/>
              <w:rPr>
                <w:rFonts w:ascii="Georgia" w:hAnsi="Georgia" w:cs="Arial"/>
                <w:b w:val="0"/>
                <w:bCs w:val="0"/>
                <w:sz w:val="20"/>
                <w:szCs w:val="20"/>
              </w:rPr>
            </w:pPr>
            <w:r w:rsidRPr="002142B8">
              <w:rPr>
                <w:rFonts w:ascii="Georgia" w:hAnsi="Georgia" w:cs="Arial"/>
                <w:sz w:val="20"/>
                <w:szCs w:val="20"/>
              </w:rPr>
              <w:t>17</w:t>
            </w:r>
            <w:r w:rsidR="0088418D" w:rsidRPr="002142B8">
              <w:rPr>
                <w:rFonts w:ascii="Georgia" w:hAnsi="Georgia" w:cs="Arial"/>
                <w:sz w:val="20"/>
                <w:szCs w:val="20"/>
              </w:rPr>
              <w:t xml:space="preserve"> </w:t>
            </w:r>
            <w:r w:rsidRPr="002142B8">
              <w:rPr>
                <w:rFonts w:ascii="Georgia" w:hAnsi="Georgia" w:cs="Arial"/>
                <w:sz w:val="20"/>
                <w:szCs w:val="20"/>
              </w:rPr>
              <w:t>545,09</w:t>
            </w:r>
          </w:p>
        </w:tc>
        <w:tc>
          <w:tcPr>
            <w:tcW w:w="818" w:type="pct"/>
          </w:tcPr>
          <w:p w14:paraId="3B60A629" w14:textId="77777777" w:rsidR="00451BC7" w:rsidRPr="002142B8"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2142B8">
              <w:rPr>
                <w:rFonts w:ascii="Georgia" w:hAnsi="Georgia" w:cs="Arial"/>
                <w:bCs/>
                <w:sz w:val="20"/>
                <w:szCs w:val="20"/>
              </w:rPr>
              <w:t>12</w:t>
            </w:r>
            <w:r w:rsidR="0088418D" w:rsidRPr="002142B8">
              <w:rPr>
                <w:rFonts w:ascii="Georgia" w:hAnsi="Georgia" w:cs="Arial"/>
                <w:bCs/>
                <w:sz w:val="20"/>
                <w:szCs w:val="20"/>
              </w:rPr>
              <w:t xml:space="preserve"> </w:t>
            </w:r>
            <w:r w:rsidRPr="002142B8">
              <w:rPr>
                <w:rFonts w:ascii="Georgia" w:hAnsi="Georgia" w:cs="Arial"/>
                <w:bCs/>
                <w:sz w:val="20"/>
                <w:szCs w:val="20"/>
              </w:rPr>
              <w:t>558,23</w:t>
            </w:r>
          </w:p>
        </w:tc>
        <w:tc>
          <w:tcPr>
            <w:tcW w:w="817" w:type="pct"/>
          </w:tcPr>
          <w:p w14:paraId="05D34C5D" w14:textId="77777777" w:rsidR="00451BC7" w:rsidRPr="002142B8"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2142B8">
              <w:rPr>
                <w:rFonts w:ascii="Georgia" w:hAnsi="Georgia" w:cs="Arial"/>
                <w:bCs/>
                <w:sz w:val="20"/>
                <w:szCs w:val="20"/>
              </w:rPr>
              <w:t>5957,16</w:t>
            </w:r>
          </w:p>
        </w:tc>
        <w:tc>
          <w:tcPr>
            <w:tcW w:w="913" w:type="pct"/>
          </w:tcPr>
          <w:p w14:paraId="16253A9E" w14:textId="77777777" w:rsidR="00451BC7" w:rsidRPr="002142B8"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2142B8">
              <w:rPr>
                <w:rFonts w:ascii="Georgia" w:hAnsi="Georgia" w:cs="Arial"/>
                <w:bCs/>
                <w:sz w:val="20"/>
                <w:szCs w:val="20"/>
              </w:rPr>
              <w:t>2812,20</w:t>
            </w:r>
          </w:p>
        </w:tc>
        <w:tc>
          <w:tcPr>
            <w:tcW w:w="817" w:type="pct"/>
          </w:tcPr>
          <w:p w14:paraId="2D468708" w14:textId="77777777" w:rsidR="00451BC7" w:rsidRPr="002142B8" w:rsidRDefault="0088418D" w:rsidP="00451BC7">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2142B8">
              <w:rPr>
                <w:rFonts w:ascii="Georgia" w:hAnsi="Georgia" w:cs="Arial"/>
                <w:bCs/>
                <w:sz w:val="20"/>
                <w:szCs w:val="20"/>
              </w:rPr>
              <w:t>6</w:t>
            </w:r>
            <w:r w:rsidR="00451BC7" w:rsidRPr="002142B8">
              <w:rPr>
                <w:rFonts w:ascii="Georgia" w:hAnsi="Georgia" w:cs="Arial"/>
                <w:bCs/>
                <w:sz w:val="20"/>
                <w:szCs w:val="20"/>
              </w:rPr>
              <w:t>601,07</w:t>
            </w:r>
          </w:p>
        </w:tc>
        <w:tc>
          <w:tcPr>
            <w:tcW w:w="817" w:type="pct"/>
          </w:tcPr>
          <w:p w14:paraId="05B70A43" w14:textId="77777777" w:rsidR="00451BC7" w:rsidRPr="002142B8"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2142B8">
              <w:rPr>
                <w:rFonts w:ascii="Georgia" w:hAnsi="Georgia" w:cs="Arial"/>
                <w:bCs/>
                <w:sz w:val="20"/>
                <w:szCs w:val="20"/>
              </w:rPr>
              <w:t>4684,33</w:t>
            </w:r>
          </w:p>
        </w:tc>
      </w:tr>
    </w:tbl>
    <w:p w14:paraId="681CC084" w14:textId="77777777" w:rsidR="00451BC7" w:rsidRPr="002142B8" w:rsidRDefault="00451BC7" w:rsidP="00AF1768">
      <w:pPr>
        <w:pStyle w:val="Antrat"/>
        <w:rPr>
          <w:b w:val="0"/>
          <w:i/>
          <w:lang w:val="lt-LT"/>
        </w:rPr>
      </w:pPr>
      <w:r w:rsidRPr="002142B8">
        <w:rPr>
          <w:b w:val="0"/>
          <w:i/>
          <w:lang w:val="lt-LT"/>
        </w:rPr>
        <w:lastRenderedPageBreak/>
        <w:t>Šaltinis: DG REGIO informacija apie finansinių priemonių įgyvendinimą</w:t>
      </w:r>
    </w:p>
    <w:p w14:paraId="321285D5"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Prie finansinių priemonių įgyvendinimo 17-oje valstybių narių buvo prisidedama papildomais v</w:t>
      </w:r>
      <w:r w:rsidR="0088418D" w:rsidRPr="002142B8">
        <w:rPr>
          <w:rFonts w:ascii="Georgia" w:hAnsi="Georgia" w:cs="Arial"/>
          <w:bCs/>
          <w:sz w:val="20"/>
          <w:szCs w:val="20"/>
          <w:lang w:val="lt-LT"/>
        </w:rPr>
        <w:t>iešais/privačiais ištekliais (2</w:t>
      </w:r>
      <w:r w:rsidRPr="002142B8">
        <w:rPr>
          <w:rFonts w:ascii="Georgia" w:hAnsi="Georgia" w:cs="Arial"/>
          <w:bCs/>
          <w:sz w:val="20"/>
          <w:szCs w:val="20"/>
          <w:lang w:val="lt-LT"/>
        </w:rPr>
        <w:t>485,4 mln. € arba papildomai 25 proc. prie veiksmų programų indėlio). Finansavimas buvo skirtas daugiau nei 192</w:t>
      </w:r>
      <w:r w:rsidR="0088418D" w:rsidRPr="002142B8">
        <w:rPr>
          <w:rFonts w:ascii="Georgia" w:hAnsi="Georgia" w:cs="Arial"/>
          <w:bCs/>
          <w:sz w:val="20"/>
          <w:szCs w:val="20"/>
          <w:lang w:val="lt-LT"/>
        </w:rPr>
        <w:t xml:space="preserve"> </w:t>
      </w:r>
      <w:r w:rsidRPr="002142B8">
        <w:rPr>
          <w:rFonts w:ascii="Georgia" w:hAnsi="Georgia" w:cs="Arial"/>
          <w:bCs/>
          <w:sz w:val="20"/>
          <w:szCs w:val="20"/>
          <w:lang w:val="lt-LT"/>
        </w:rPr>
        <w:t>000 galutinių naudos gavėjų.</w:t>
      </w:r>
    </w:p>
    <w:p w14:paraId="0BA51C37" w14:textId="19BC51CB"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Atsižvelgiant į tai, jog e</w:t>
      </w:r>
      <w:r w:rsidR="00300FF4" w:rsidRPr="002142B8">
        <w:rPr>
          <w:rFonts w:ascii="Georgia" w:hAnsi="Georgia" w:cs="Arial"/>
          <w:bCs/>
          <w:sz w:val="20"/>
          <w:szCs w:val="20"/>
          <w:lang w:val="lt-LT"/>
        </w:rPr>
        <w:t>x-ante</w:t>
      </w:r>
      <w:r w:rsidRPr="002142B8">
        <w:rPr>
          <w:rFonts w:ascii="Georgia" w:hAnsi="Georgia" w:cs="Arial"/>
          <w:bCs/>
          <w:sz w:val="20"/>
          <w:szCs w:val="20"/>
          <w:lang w:val="lt-LT"/>
        </w:rPr>
        <w:t xml:space="preserve"> </w:t>
      </w:r>
      <w:r w:rsidR="00AF1768" w:rsidRPr="002142B8">
        <w:rPr>
          <w:rFonts w:ascii="Georgia" w:hAnsi="Georgia" w:cs="Arial"/>
          <w:bCs/>
          <w:sz w:val="20"/>
          <w:szCs w:val="20"/>
          <w:lang w:val="lt-LT"/>
        </w:rPr>
        <w:t>vertinimas</w:t>
      </w:r>
      <w:r w:rsidRPr="002142B8">
        <w:rPr>
          <w:rFonts w:ascii="Georgia" w:hAnsi="Georgia" w:cs="Arial"/>
          <w:bCs/>
          <w:sz w:val="20"/>
          <w:szCs w:val="20"/>
          <w:lang w:val="lt-LT"/>
        </w:rPr>
        <w:t xml:space="preserve"> skirta</w:t>
      </w:r>
      <w:r w:rsidR="00AF1768" w:rsidRPr="002142B8">
        <w:rPr>
          <w:rFonts w:ascii="Georgia" w:hAnsi="Georgia" w:cs="Arial"/>
          <w:bCs/>
          <w:sz w:val="20"/>
          <w:szCs w:val="20"/>
          <w:lang w:val="lt-LT"/>
        </w:rPr>
        <w:t>s</w:t>
      </w:r>
      <w:r w:rsidRPr="002142B8">
        <w:rPr>
          <w:rFonts w:ascii="Georgia" w:hAnsi="Georgia" w:cs="Arial"/>
          <w:bCs/>
          <w:sz w:val="20"/>
          <w:szCs w:val="20"/>
          <w:lang w:val="lt-LT"/>
        </w:rPr>
        <w:t xml:space="preserve"> investicijų</w:t>
      </w:r>
      <w:r w:rsidR="00AF1768" w:rsidRPr="002142B8">
        <w:rPr>
          <w:rFonts w:ascii="Georgia" w:hAnsi="Georgia" w:cs="Arial"/>
          <w:bCs/>
          <w:sz w:val="20"/>
          <w:szCs w:val="20"/>
          <w:lang w:val="lt-LT"/>
        </w:rPr>
        <w:t xml:space="preserve"> į energijos efektyvumą sektoriaus analizei</w:t>
      </w:r>
      <w:r w:rsidRPr="002142B8">
        <w:rPr>
          <w:rFonts w:ascii="Georgia" w:hAnsi="Georgia" w:cs="Arial"/>
          <w:bCs/>
          <w:sz w:val="20"/>
          <w:szCs w:val="20"/>
          <w:lang w:val="lt-LT"/>
        </w:rPr>
        <w:t>, toliau apžvelgiama tik miestų plėtrą</w:t>
      </w:r>
      <w:r w:rsidRPr="002142B8">
        <w:rPr>
          <w:rFonts w:ascii="Georgia" w:hAnsi="Georgia" w:cs="Arial"/>
          <w:bCs/>
          <w:sz w:val="20"/>
          <w:szCs w:val="20"/>
          <w:vertAlign w:val="superscript"/>
          <w:lang w:val="lt-LT"/>
        </w:rPr>
        <w:footnoteReference w:id="167"/>
      </w:r>
      <w:r w:rsidRPr="002142B8">
        <w:rPr>
          <w:rFonts w:ascii="Georgia" w:hAnsi="Georgia" w:cs="Arial"/>
          <w:bCs/>
          <w:sz w:val="20"/>
          <w:szCs w:val="20"/>
          <w:lang w:val="lt-LT"/>
        </w:rPr>
        <w:t xml:space="preserve"> ir energijos efektyvumą/atsinaujinančius energijos išteklius finansuojančių priemonių statistika. </w:t>
      </w:r>
    </w:p>
    <w:p w14:paraId="583829AB"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i/>
          <w:sz w:val="20"/>
          <w:szCs w:val="20"/>
          <w:lang w:val="lt-LT"/>
        </w:rPr>
        <w:t>Miestų plėtra</w:t>
      </w:r>
      <w:r w:rsidRPr="002142B8">
        <w:rPr>
          <w:rFonts w:ascii="Georgia" w:hAnsi="Georgia" w:cs="Arial"/>
          <w:bCs/>
          <w:sz w:val="20"/>
          <w:szCs w:val="20"/>
          <w:lang w:val="lt-LT"/>
        </w:rPr>
        <w:t>: 2007-2012 m. laikotarpiu veiksmų programų lėšomis buvo finansuojamos 56 finansinės priemonės, skirtos miestų plėtrai vienuolikoje valstybių</w:t>
      </w:r>
      <w:r w:rsidRPr="002142B8">
        <w:rPr>
          <w:rFonts w:ascii="Georgia" w:hAnsi="Georgia" w:cs="Arial"/>
          <w:bCs/>
          <w:sz w:val="20"/>
          <w:szCs w:val="20"/>
          <w:vertAlign w:val="superscript"/>
          <w:lang w:val="lt-LT"/>
        </w:rPr>
        <w:footnoteReference w:id="168"/>
      </w:r>
      <w:r w:rsidRPr="002142B8">
        <w:rPr>
          <w:rFonts w:ascii="Georgia" w:hAnsi="Georgia" w:cs="Arial"/>
          <w:bCs/>
          <w:sz w:val="20"/>
          <w:szCs w:val="20"/>
          <w:lang w:val="lt-LT"/>
        </w:rPr>
        <w:t>.</w:t>
      </w:r>
    </w:p>
    <w:p w14:paraId="7DA36E18" w14:textId="1026E8A9"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 xml:space="preserve">2012 m. pabaigoje kontroliuojantieji fondai finansų tarpininkams buvo pervedę pusę iš vadovaujančiųjų institucijų gautų lėšų (789,9 mln. </w:t>
      </w:r>
      <w:r w:rsidR="00035974" w:rsidRPr="002142B8">
        <w:rPr>
          <w:rFonts w:ascii="Georgia" w:hAnsi="Georgia" w:cs="Arial"/>
          <w:bCs/>
          <w:sz w:val="20"/>
          <w:szCs w:val="20"/>
          <w:lang w:val="lt-LT"/>
        </w:rPr>
        <w:t>eurų</w:t>
      </w:r>
      <w:r w:rsidRPr="002142B8">
        <w:rPr>
          <w:rFonts w:ascii="Georgia" w:hAnsi="Georgia" w:cs="Arial"/>
          <w:bCs/>
          <w:sz w:val="20"/>
          <w:szCs w:val="20"/>
          <w:lang w:val="lt-LT"/>
        </w:rPr>
        <w:t>). Likusios lėšos – 727,6 mln. € tuo metu dar buvo kontroliuojančiųjų fondų lygyje. 124,</w:t>
      </w:r>
      <w:r w:rsidR="0088418D" w:rsidRPr="002142B8">
        <w:rPr>
          <w:rFonts w:ascii="Georgia" w:hAnsi="Georgia" w:cs="Arial"/>
          <w:bCs/>
          <w:sz w:val="20"/>
          <w:szCs w:val="20"/>
          <w:lang w:val="lt-LT"/>
        </w:rPr>
        <w:t>4</w:t>
      </w:r>
      <w:r w:rsidRPr="002142B8">
        <w:rPr>
          <w:rFonts w:ascii="Georgia" w:hAnsi="Georgia" w:cs="Arial"/>
          <w:bCs/>
          <w:sz w:val="20"/>
          <w:szCs w:val="20"/>
          <w:lang w:val="lt-LT"/>
        </w:rPr>
        <w:t xml:space="preserve"> mln. </w:t>
      </w:r>
      <w:r w:rsidR="00035974" w:rsidRPr="002142B8">
        <w:rPr>
          <w:rFonts w:ascii="Georgia" w:hAnsi="Georgia" w:cs="Arial"/>
          <w:bCs/>
          <w:sz w:val="20"/>
          <w:szCs w:val="20"/>
          <w:lang w:val="lt-LT"/>
        </w:rPr>
        <w:t>eurų</w:t>
      </w:r>
      <w:r w:rsidRPr="002142B8">
        <w:rPr>
          <w:rFonts w:ascii="Georgia" w:hAnsi="Georgia" w:cs="Arial"/>
          <w:bCs/>
          <w:sz w:val="20"/>
          <w:szCs w:val="20"/>
          <w:lang w:val="lt-LT"/>
        </w:rPr>
        <w:t xml:space="preserve"> lėšų buvo pervesta tiesiogiai įgyvendinamoms finansinėms priemonėms.</w:t>
      </w:r>
    </w:p>
    <w:p w14:paraId="01C37AEB"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i/>
          <w:sz w:val="20"/>
          <w:szCs w:val="20"/>
          <w:lang w:val="lt-LT"/>
        </w:rPr>
        <w:t>Energijos efektyvumas/atsinaujinantys energijos ištekliai</w:t>
      </w:r>
      <w:r w:rsidRPr="002142B8">
        <w:rPr>
          <w:rFonts w:ascii="Georgia" w:hAnsi="Georgia" w:cs="Arial"/>
          <w:bCs/>
          <w:sz w:val="20"/>
          <w:szCs w:val="20"/>
          <w:lang w:val="lt-LT"/>
        </w:rPr>
        <w:t>: energijos efektyvumo ir atsinaujinančių energijos išteklių projektai kaip atskira finansavimo per finansines priemones sritis išskirta 2010 m. patvirtinus reglamentą (ES) 539/2010</w:t>
      </w:r>
      <w:r w:rsidRPr="002142B8">
        <w:rPr>
          <w:rFonts w:ascii="Georgia" w:hAnsi="Georgia" w:cs="Arial"/>
          <w:bCs/>
          <w:sz w:val="20"/>
          <w:szCs w:val="20"/>
          <w:vertAlign w:val="superscript"/>
          <w:lang w:val="lt-LT"/>
        </w:rPr>
        <w:footnoteReference w:id="169"/>
      </w:r>
      <w:r w:rsidRPr="002142B8">
        <w:rPr>
          <w:rFonts w:ascii="Georgia" w:hAnsi="Georgia" w:cs="Arial"/>
          <w:bCs/>
          <w:sz w:val="20"/>
          <w:szCs w:val="20"/>
          <w:lang w:val="lt-LT"/>
        </w:rPr>
        <w:t xml:space="preserve"> </w:t>
      </w:r>
      <w:r w:rsidRPr="002142B8">
        <w:rPr>
          <w:rFonts w:ascii="Georgia" w:hAnsi="Georgia" w:cs="Arial"/>
          <w:bCs/>
          <w:sz w:val="20"/>
          <w:szCs w:val="20"/>
          <w:vertAlign w:val="superscript"/>
          <w:lang w:val="lt-LT"/>
        </w:rPr>
        <w:footnoteReference w:id="170"/>
      </w:r>
      <w:r w:rsidRPr="002142B8">
        <w:rPr>
          <w:rFonts w:ascii="Georgia" w:hAnsi="Georgia" w:cs="Arial"/>
          <w:bCs/>
          <w:sz w:val="20"/>
          <w:szCs w:val="20"/>
          <w:lang w:val="lt-LT"/>
        </w:rPr>
        <w:t xml:space="preserve">. Iki tol šios srities projektai buvo finansuojami kaip miestų plėtros projektai, pvz., Lietuvos JESSICA </w:t>
      </w:r>
      <w:r w:rsidR="00AF1768" w:rsidRPr="002142B8">
        <w:rPr>
          <w:rFonts w:ascii="Georgia" w:hAnsi="Georgia" w:cs="Arial"/>
          <w:bCs/>
          <w:sz w:val="20"/>
          <w:szCs w:val="20"/>
          <w:lang w:val="lt-LT"/>
        </w:rPr>
        <w:t>KF</w:t>
      </w:r>
      <w:r w:rsidRPr="002142B8">
        <w:rPr>
          <w:rFonts w:ascii="Georgia" w:hAnsi="Georgia" w:cs="Arial"/>
          <w:bCs/>
          <w:sz w:val="20"/>
          <w:szCs w:val="20"/>
          <w:lang w:val="lt-LT"/>
        </w:rPr>
        <w:t>, kurio lėšomis finansuoti energijos efektyvumo projektai daugiabučiuose namuose.</w:t>
      </w:r>
    </w:p>
    <w:p w14:paraId="434F47F0" w14:textId="77777777" w:rsidR="00451BC7" w:rsidRPr="002142B8" w:rsidRDefault="00451BC7" w:rsidP="00451BC7">
      <w:pPr>
        <w:spacing w:after="120"/>
        <w:jc w:val="both"/>
        <w:rPr>
          <w:rFonts w:ascii="Georgia" w:hAnsi="Georgia" w:cs="Arial"/>
          <w:bCs/>
          <w:sz w:val="20"/>
          <w:szCs w:val="20"/>
          <w:lang w:val="lt-LT"/>
        </w:rPr>
      </w:pPr>
      <w:r w:rsidRPr="002142B8">
        <w:rPr>
          <w:rFonts w:ascii="Georgia" w:hAnsi="Georgia" w:cs="Arial"/>
          <w:bCs/>
          <w:sz w:val="20"/>
          <w:szCs w:val="20"/>
          <w:lang w:val="lt-LT"/>
        </w:rPr>
        <w:t>Iš viso iki 2012 m. pabaigos buvo įsteigta 20 finansinių priemonių</w:t>
      </w:r>
      <w:r w:rsidRPr="002142B8">
        <w:rPr>
          <w:rFonts w:ascii="Georgia" w:hAnsi="Georgia" w:cs="Arial"/>
          <w:bCs/>
          <w:sz w:val="20"/>
          <w:szCs w:val="20"/>
          <w:vertAlign w:val="superscript"/>
          <w:lang w:val="lt-LT"/>
        </w:rPr>
        <w:footnoteReference w:id="171"/>
      </w:r>
      <w:r w:rsidRPr="002142B8">
        <w:rPr>
          <w:rFonts w:ascii="Georgia" w:hAnsi="Georgia" w:cs="Arial"/>
          <w:bCs/>
          <w:sz w:val="20"/>
          <w:szCs w:val="20"/>
          <w:lang w:val="lt-LT"/>
        </w:rPr>
        <w:t>. 12 iš jų įsteigta be kontroliuojančiųjų fondų. Kontroliuojančiuosius fondus steigė Čekija, Graikija, Italija ir Nyderlandai.</w:t>
      </w:r>
    </w:p>
    <w:p w14:paraId="53878F5D" w14:textId="2F28AF2D" w:rsidR="00451BC7" w:rsidRPr="008377C9" w:rsidRDefault="00451BC7" w:rsidP="00451BC7">
      <w:pPr>
        <w:pStyle w:val="Antrat"/>
        <w:spacing w:line="276" w:lineRule="auto"/>
        <w:rPr>
          <w:b w:val="0"/>
          <w:i/>
          <w:lang w:val="lt-LT"/>
        </w:rPr>
      </w:pPr>
      <w:bookmarkStart w:id="319" w:name="_Toc507939215"/>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93</w:t>
      </w:r>
      <w:r w:rsidRPr="008377C9">
        <w:rPr>
          <w:b w:val="0"/>
          <w:i/>
          <w:lang w:val="lt-LT"/>
        </w:rPr>
        <w:fldChar w:fldCharType="end"/>
      </w:r>
      <w:r w:rsidRPr="008377C9">
        <w:rPr>
          <w:b w:val="0"/>
          <w:i/>
          <w:iCs/>
          <w:szCs w:val="20"/>
          <w:lang w:val="lt-LT"/>
        </w:rPr>
        <w:t xml:space="preserve">. </w:t>
      </w:r>
      <w:r w:rsidRPr="008377C9">
        <w:rPr>
          <w:b w:val="0"/>
          <w:i/>
          <w:lang w:val="lt-LT"/>
        </w:rPr>
        <w:t>Energijos efektyvumo/atsinaujinančių energijos išteklių projektus finansuoja</w:t>
      </w:r>
      <w:r w:rsidR="00AF1768" w:rsidRPr="008377C9">
        <w:rPr>
          <w:b w:val="0"/>
          <w:i/>
          <w:lang w:val="lt-LT"/>
        </w:rPr>
        <w:t>nčios finansinės priemonės</w:t>
      </w:r>
      <w:bookmarkEnd w:id="319"/>
    </w:p>
    <w:tbl>
      <w:tblPr>
        <w:tblStyle w:val="viesussraas2parykinimas1"/>
        <w:tblW w:w="5043" w:type="pct"/>
        <w:tblLayout w:type="fixed"/>
        <w:tblLook w:val="0420" w:firstRow="1" w:lastRow="0" w:firstColumn="0" w:lastColumn="0" w:noHBand="0" w:noVBand="1"/>
      </w:tblPr>
      <w:tblGrid>
        <w:gridCol w:w="944"/>
        <w:gridCol w:w="1514"/>
        <w:gridCol w:w="1514"/>
        <w:gridCol w:w="1514"/>
        <w:gridCol w:w="1993"/>
        <w:gridCol w:w="1842"/>
      </w:tblGrid>
      <w:tr w:rsidR="00451BC7" w:rsidRPr="002142B8" w14:paraId="3C3F6A65" w14:textId="77777777" w:rsidTr="00F91954">
        <w:trPr>
          <w:cnfStyle w:val="100000000000" w:firstRow="1" w:lastRow="0" w:firstColumn="0" w:lastColumn="0" w:oddVBand="0" w:evenVBand="0" w:oddHBand="0" w:evenHBand="0" w:firstRowFirstColumn="0" w:firstRowLastColumn="0" w:lastRowFirstColumn="0" w:lastRowLastColumn="0"/>
          <w:tblHeader/>
        </w:trPr>
        <w:tc>
          <w:tcPr>
            <w:tcW w:w="507" w:type="pct"/>
          </w:tcPr>
          <w:p w14:paraId="1293D714" w14:textId="77777777" w:rsidR="00451BC7" w:rsidRPr="002142B8" w:rsidRDefault="00451BC7" w:rsidP="00451BC7">
            <w:pPr>
              <w:rPr>
                <w:rFonts w:ascii="Georgia" w:hAnsi="Georgia"/>
                <w:bCs w:val="0"/>
                <w:sz w:val="20"/>
                <w:szCs w:val="20"/>
              </w:rPr>
            </w:pPr>
          </w:p>
        </w:tc>
        <w:tc>
          <w:tcPr>
            <w:tcW w:w="812" w:type="pct"/>
          </w:tcPr>
          <w:p w14:paraId="4CAECA25" w14:textId="77777777" w:rsidR="00451BC7" w:rsidRPr="002142B8" w:rsidRDefault="00451BC7" w:rsidP="00F91954">
            <w:pPr>
              <w:rPr>
                <w:rFonts w:ascii="Georgia" w:hAnsi="Georgia"/>
                <w:bCs w:val="0"/>
                <w:sz w:val="20"/>
                <w:szCs w:val="20"/>
              </w:rPr>
            </w:pPr>
            <w:r w:rsidRPr="002142B8">
              <w:rPr>
                <w:rFonts w:ascii="Georgia" w:hAnsi="Georgia"/>
                <w:sz w:val="20"/>
                <w:szCs w:val="20"/>
              </w:rPr>
              <w:t>Valstybė</w:t>
            </w:r>
          </w:p>
        </w:tc>
        <w:tc>
          <w:tcPr>
            <w:tcW w:w="812" w:type="pct"/>
          </w:tcPr>
          <w:p w14:paraId="688DC9E7" w14:textId="77777777" w:rsidR="00451BC7" w:rsidRPr="002142B8" w:rsidRDefault="00451BC7" w:rsidP="00451BC7">
            <w:pPr>
              <w:jc w:val="center"/>
              <w:rPr>
                <w:rFonts w:ascii="Georgia" w:hAnsi="Georgia"/>
                <w:bCs w:val="0"/>
                <w:sz w:val="20"/>
                <w:szCs w:val="20"/>
              </w:rPr>
            </w:pPr>
            <w:r w:rsidRPr="002142B8">
              <w:rPr>
                <w:rFonts w:ascii="Georgia" w:hAnsi="Georgia"/>
                <w:sz w:val="20"/>
                <w:szCs w:val="20"/>
              </w:rPr>
              <w:t>Finansinės priemonės (vnt.) (iš viso)</w:t>
            </w:r>
          </w:p>
        </w:tc>
        <w:tc>
          <w:tcPr>
            <w:tcW w:w="812" w:type="pct"/>
          </w:tcPr>
          <w:p w14:paraId="2287824E" w14:textId="3FB85C48" w:rsidR="00451BC7" w:rsidRPr="002142B8" w:rsidRDefault="00451BC7" w:rsidP="00035974">
            <w:pPr>
              <w:jc w:val="center"/>
              <w:rPr>
                <w:rFonts w:ascii="Georgia" w:hAnsi="Georgia"/>
                <w:bCs w:val="0"/>
                <w:sz w:val="20"/>
                <w:szCs w:val="20"/>
              </w:rPr>
            </w:pPr>
            <w:r w:rsidRPr="002142B8">
              <w:rPr>
                <w:rFonts w:ascii="Georgia" w:hAnsi="Georgia"/>
                <w:sz w:val="20"/>
                <w:szCs w:val="20"/>
              </w:rPr>
              <w:t>Kontroliuo</w:t>
            </w:r>
            <w:r w:rsidR="00035974" w:rsidRPr="002142B8">
              <w:rPr>
                <w:rFonts w:ascii="Georgia" w:hAnsi="Georgia"/>
                <w:sz w:val="20"/>
                <w:szCs w:val="20"/>
              </w:rPr>
              <w:t>-</w:t>
            </w:r>
            <w:r w:rsidRPr="002142B8">
              <w:rPr>
                <w:rFonts w:ascii="Georgia" w:hAnsi="Georgia"/>
                <w:sz w:val="20"/>
                <w:szCs w:val="20"/>
              </w:rPr>
              <w:t>jantieji fondai (vnt.)</w:t>
            </w:r>
          </w:p>
        </w:tc>
        <w:tc>
          <w:tcPr>
            <w:tcW w:w="1069" w:type="pct"/>
          </w:tcPr>
          <w:p w14:paraId="439EA694" w14:textId="1EB91B89" w:rsidR="00451BC7" w:rsidRPr="002142B8" w:rsidRDefault="00451BC7" w:rsidP="00451BC7">
            <w:pPr>
              <w:jc w:val="center"/>
              <w:rPr>
                <w:rFonts w:ascii="Georgia" w:hAnsi="Georgia"/>
                <w:bCs w:val="0"/>
                <w:sz w:val="20"/>
                <w:szCs w:val="20"/>
              </w:rPr>
            </w:pPr>
            <w:r w:rsidRPr="002142B8">
              <w:rPr>
                <w:rFonts w:ascii="Georgia" w:hAnsi="Georgia"/>
                <w:sz w:val="20"/>
                <w:szCs w:val="20"/>
              </w:rPr>
              <w:t>Finansinės priemonės įgyvendinamos per kontroliuojantįjį fondą (vnt.) (finansų tarpininkai)</w:t>
            </w:r>
          </w:p>
        </w:tc>
        <w:tc>
          <w:tcPr>
            <w:tcW w:w="988" w:type="pct"/>
          </w:tcPr>
          <w:p w14:paraId="3869571B" w14:textId="77777777" w:rsidR="00451BC7" w:rsidRPr="002142B8" w:rsidRDefault="00451BC7" w:rsidP="00451BC7">
            <w:pPr>
              <w:jc w:val="center"/>
              <w:rPr>
                <w:rFonts w:ascii="Georgia" w:hAnsi="Georgia"/>
                <w:bCs w:val="0"/>
                <w:sz w:val="20"/>
                <w:szCs w:val="20"/>
              </w:rPr>
            </w:pPr>
            <w:r w:rsidRPr="002142B8">
              <w:rPr>
                <w:rFonts w:ascii="Georgia" w:hAnsi="Georgia"/>
                <w:sz w:val="20"/>
                <w:szCs w:val="20"/>
              </w:rPr>
              <w:t>Tiesiogiai įgyvendinamos finansinės priemonės (vnt.)</w:t>
            </w:r>
          </w:p>
        </w:tc>
      </w:tr>
      <w:tr w:rsidR="00451BC7" w:rsidRPr="002142B8" w14:paraId="37A956DD" w14:textId="77777777" w:rsidTr="00F91954">
        <w:trPr>
          <w:cnfStyle w:val="000000100000" w:firstRow="0" w:lastRow="0" w:firstColumn="0" w:lastColumn="0" w:oddVBand="0" w:evenVBand="0" w:oddHBand="1" w:evenHBand="0" w:firstRowFirstColumn="0" w:firstRowLastColumn="0" w:lastRowFirstColumn="0" w:lastRowLastColumn="0"/>
        </w:trPr>
        <w:tc>
          <w:tcPr>
            <w:tcW w:w="507" w:type="pct"/>
          </w:tcPr>
          <w:p w14:paraId="67E17862" w14:textId="77777777" w:rsidR="00451BC7" w:rsidRPr="002142B8" w:rsidRDefault="00451BC7" w:rsidP="00451BC7">
            <w:pPr>
              <w:rPr>
                <w:rFonts w:ascii="Georgia" w:hAnsi="Georgia"/>
                <w:bCs/>
                <w:sz w:val="20"/>
                <w:szCs w:val="20"/>
              </w:rPr>
            </w:pPr>
            <w:r w:rsidRPr="002142B8">
              <w:rPr>
                <w:rFonts w:ascii="Georgia" w:hAnsi="Georgia"/>
                <w:bCs/>
                <w:sz w:val="20"/>
                <w:szCs w:val="20"/>
              </w:rPr>
              <w:t>1</w:t>
            </w:r>
          </w:p>
        </w:tc>
        <w:tc>
          <w:tcPr>
            <w:tcW w:w="812" w:type="pct"/>
          </w:tcPr>
          <w:p w14:paraId="4FD443AF" w14:textId="77777777" w:rsidR="00451BC7" w:rsidRPr="002142B8" w:rsidRDefault="00451BC7" w:rsidP="00451BC7">
            <w:pPr>
              <w:rPr>
                <w:rFonts w:ascii="Georgia" w:hAnsi="Georgia"/>
                <w:b/>
                <w:bCs/>
                <w:sz w:val="20"/>
                <w:szCs w:val="20"/>
              </w:rPr>
            </w:pPr>
            <w:r w:rsidRPr="002142B8">
              <w:rPr>
                <w:rFonts w:ascii="Georgia" w:hAnsi="Georgia"/>
                <w:b/>
                <w:bCs/>
                <w:sz w:val="20"/>
                <w:szCs w:val="20"/>
              </w:rPr>
              <w:t>Bulgarija</w:t>
            </w:r>
          </w:p>
        </w:tc>
        <w:tc>
          <w:tcPr>
            <w:tcW w:w="812" w:type="pct"/>
          </w:tcPr>
          <w:p w14:paraId="1D3562A0"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812" w:type="pct"/>
          </w:tcPr>
          <w:p w14:paraId="241543A2" w14:textId="3E622765"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1069" w:type="pct"/>
          </w:tcPr>
          <w:p w14:paraId="5ED05778" w14:textId="568E1240"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988" w:type="pct"/>
          </w:tcPr>
          <w:p w14:paraId="79B88A94"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r>
      <w:tr w:rsidR="00451BC7" w:rsidRPr="002142B8" w14:paraId="6079D891" w14:textId="77777777" w:rsidTr="00F91954">
        <w:tc>
          <w:tcPr>
            <w:tcW w:w="507" w:type="pct"/>
          </w:tcPr>
          <w:p w14:paraId="767622F1" w14:textId="77777777" w:rsidR="00451BC7" w:rsidRPr="002142B8" w:rsidRDefault="00451BC7" w:rsidP="00451BC7">
            <w:pPr>
              <w:rPr>
                <w:rFonts w:ascii="Georgia" w:hAnsi="Georgia"/>
                <w:bCs/>
                <w:sz w:val="20"/>
                <w:szCs w:val="20"/>
              </w:rPr>
            </w:pPr>
            <w:r w:rsidRPr="002142B8">
              <w:rPr>
                <w:rFonts w:ascii="Georgia" w:hAnsi="Georgia"/>
                <w:bCs/>
                <w:sz w:val="20"/>
                <w:szCs w:val="20"/>
              </w:rPr>
              <w:t>2</w:t>
            </w:r>
          </w:p>
        </w:tc>
        <w:tc>
          <w:tcPr>
            <w:tcW w:w="812" w:type="pct"/>
          </w:tcPr>
          <w:p w14:paraId="2D275C68" w14:textId="77777777" w:rsidR="00451BC7" w:rsidRPr="002142B8" w:rsidRDefault="00451BC7" w:rsidP="00451BC7">
            <w:pPr>
              <w:rPr>
                <w:rFonts w:ascii="Georgia" w:hAnsi="Georgia"/>
                <w:b/>
                <w:bCs/>
                <w:sz w:val="20"/>
                <w:szCs w:val="20"/>
              </w:rPr>
            </w:pPr>
            <w:r w:rsidRPr="002142B8">
              <w:rPr>
                <w:rFonts w:ascii="Georgia" w:hAnsi="Georgia"/>
                <w:b/>
                <w:bCs/>
                <w:sz w:val="20"/>
                <w:szCs w:val="20"/>
              </w:rPr>
              <w:t>Čekija</w:t>
            </w:r>
          </w:p>
        </w:tc>
        <w:tc>
          <w:tcPr>
            <w:tcW w:w="812" w:type="pct"/>
          </w:tcPr>
          <w:p w14:paraId="5A10C823"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812" w:type="pct"/>
          </w:tcPr>
          <w:p w14:paraId="50DAD60F"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1069" w:type="pct"/>
          </w:tcPr>
          <w:p w14:paraId="7652D423" w14:textId="235F02CF"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988" w:type="pct"/>
          </w:tcPr>
          <w:p w14:paraId="62A148FC" w14:textId="0EFB85B6"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r>
      <w:tr w:rsidR="00451BC7" w:rsidRPr="002142B8" w14:paraId="624A41BB" w14:textId="77777777" w:rsidTr="00F91954">
        <w:trPr>
          <w:cnfStyle w:val="000000100000" w:firstRow="0" w:lastRow="0" w:firstColumn="0" w:lastColumn="0" w:oddVBand="0" w:evenVBand="0" w:oddHBand="1" w:evenHBand="0" w:firstRowFirstColumn="0" w:firstRowLastColumn="0" w:lastRowFirstColumn="0" w:lastRowLastColumn="0"/>
        </w:trPr>
        <w:tc>
          <w:tcPr>
            <w:tcW w:w="507" w:type="pct"/>
          </w:tcPr>
          <w:p w14:paraId="3D761788" w14:textId="77777777" w:rsidR="00451BC7" w:rsidRPr="002142B8" w:rsidRDefault="00451BC7" w:rsidP="00451BC7">
            <w:pPr>
              <w:rPr>
                <w:rFonts w:ascii="Georgia" w:hAnsi="Georgia"/>
                <w:bCs/>
                <w:sz w:val="20"/>
                <w:szCs w:val="20"/>
              </w:rPr>
            </w:pPr>
            <w:r w:rsidRPr="002142B8">
              <w:rPr>
                <w:rFonts w:ascii="Georgia" w:hAnsi="Georgia"/>
                <w:bCs/>
                <w:sz w:val="20"/>
                <w:szCs w:val="20"/>
              </w:rPr>
              <w:t>3</w:t>
            </w:r>
          </w:p>
        </w:tc>
        <w:tc>
          <w:tcPr>
            <w:tcW w:w="812" w:type="pct"/>
          </w:tcPr>
          <w:p w14:paraId="7671829C" w14:textId="77777777" w:rsidR="00451BC7" w:rsidRPr="002142B8" w:rsidRDefault="00451BC7" w:rsidP="00451BC7">
            <w:pPr>
              <w:rPr>
                <w:rFonts w:ascii="Georgia" w:hAnsi="Georgia"/>
                <w:b/>
                <w:bCs/>
                <w:sz w:val="20"/>
                <w:szCs w:val="20"/>
              </w:rPr>
            </w:pPr>
            <w:r w:rsidRPr="002142B8">
              <w:rPr>
                <w:rFonts w:ascii="Georgia" w:hAnsi="Georgia"/>
                <w:b/>
                <w:bCs/>
                <w:sz w:val="20"/>
                <w:szCs w:val="20"/>
              </w:rPr>
              <w:t>Danija</w:t>
            </w:r>
          </w:p>
        </w:tc>
        <w:tc>
          <w:tcPr>
            <w:tcW w:w="812" w:type="pct"/>
          </w:tcPr>
          <w:p w14:paraId="7BACA270"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c>
          <w:tcPr>
            <w:tcW w:w="812" w:type="pct"/>
          </w:tcPr>
          <w:p w14:paraId="28E0A7FD" w14:textId="624547AB"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1069" w:type="pct"/>
          </w:tcPr>
          <w:p w14:paraId="4D994DC8" w14:textId="16DB5FF0"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988" w:type="pct"/>
          </w:tcPr>
          <w:p w14:paraId="0D49C654"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r>
      <w:tr w:rsidR="00451BC7" w:rsidRPr="002142B8" w14:paraId="0A8A6124" w14:textId="77777777" w:rsidTr="00F91954">
        <w:tc>
          <w:tcPr>
            <w:tcW w:w="507" w:type="pct"/>
          </w:tcPr>
          <w:p w14:paraId="55C88C22" w14:textId="77777777" w:rsidR="00451BC7" w:rsidRPr="002142B8" w:rsidRDefault="00451BC7" w:rsidP="00451BC7">
            <w:pPr>
              <w:rPr>
                <w:rFonts w:ascii="Georgia" w:hAnsi="Georgia"/>
                <w:bCs/>
                <w:sz w:val="20"/>
                <w:szCs w:val="20"/>
              </w:rPr>
            </w:pPr>
            <w:r w:rsidRPr="002142B8">
              <w:rPr>
                <w:rFonts w:ascii="Georgia" w:hAnsi="Georgia"/>
                <w:bCs/>
                <w:sz w:val="20"/>
                <w:szCs w:val="20"/>
              </w:rPr>
              <w:t>4</w:t>
            </w:r>
          </w:p>
        </w:tc>
        <w:tc>
          <w:tcPr>
            <w:tcW w:w="812" w:type="pct"/>
          </w:tcPr>
          <w:p w14:paraId="09B4CF18" w14:textId="77777777" w:rsidR="00451BC7" w:rsidRPr="002142B8" w:rsidRDefault="00451BC7" w:rsidP="00451BC7">
            <w:pPr>
              <w:rPr>
                <w:rFonts w:ascii="Georgia" w:hAnsi="Georgia"/>
                <w:b/>
                <w:bCs/>
                <w:sz w:val="20"/>
                <w:szCs w:val="20"/>
              </w:rPr>
            </w:pPr>
            <w:r w:rsidRPr="002142B8">
              <w:rPr>
                <w:rFonts w:ascii="Georgia" w:hAnsi="Georgia"/>
                <w:b/>
                <w:bCs/>
                <w:sz w:val="20"/>
                <w:szCs w:val="20"/>
              </w:rPr>
              <w:t>Estija</w:t>
            </w:r>
          </w:p>
        </w:tc>
        <w:tc>
          <w:tcPr>
            <w:tcW w:w="812" w:type="pct"/>
          </w:tcPr>
          <w:p w14:paraId="78797DEB"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812" w:type="pct"/>
          </w:tcPr>
          <w:p w14:paraId="67E09508" w14:textId="78FC347B"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1069" w:type="pct"/>
          </w:tcPr>
          <w:p w14:paraId="2DC24D11" w14:textId="7E7638A8"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988" w:type="pct"/>
          </w:tcPr>
          <w:p w14:paraId="12135401"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r>
      <w:tr w:rsidR="00451BC7" w:rsidRPr="002142B8" w14:paraId="355E194F" w14:textId="77777777" w:rsidTr="00F91954">
        <w:trPr>
          <w:cnfStyle w:val="000000100000" w:firstRow="0" w:lastRow="0" w:firstColumn="0" w:lastColumn="0" w:oddVBand="0" w:evenVBand="0" w:oddHBand="1" w:evenHBand="0" w:firstRowFirstColumn="0" w:firstRowLastColumn="0" w:lastRowFirstColumn="0" w:lastRowLastColumn="0"/>
        </w:trPr>
        <w:tc>
          <w:tcPr>
            <w:tcW w:w="507" w:type="pct"/>
          </w:tcPr>
          <w:p w14:paraId="79BD4D15" w14:textId="77777777" w:rsidR="00451BC7" w:rsidRPr="002142B8" w:rsidRDefault="00451BC7" w:rsidP="00451BC7">
            <w:pPr>
              <w:rPr>
                <w:rFonts w:ascii="Georgia" w:hAnsi="Georgia"/>
                <w:bCs/>
                <w:sz w:val="20"/>
                <w:szCs w:val="20"/>
              </w:rPr>
            </w:pPr>
            <w:r w:rsidRPr="002142B8">
              <w:rPr>
                <w:rFonts w:ascii="Georgia" w:hAnsi="Georgia"/>
                <w:bCs/>
                <w:sz w:val="20"/>
                <w:szCs w:val="20"/>
              </w:rPr>
              <w:t>5</w:t>
            </w:r>
          </w:p>
        </w:tc>
        <w:tc>
          <w:tcPr>
            <w:tcW w:w="812" w:type="pct"/>
          </w:tcPr>
          <w:p w14:paraId="6E4328DE" w14:textId="77777777" w:rsidR="00451BC7" w:rsidRPr="002142B8" w:rsidRDefault="00451BC7" w:rsidP="00451BC7">
            <w:pPr>
              <w:rPr>
                <w:rFonts w:ascii="Georgia" w:hAnsi="Georgia"/>
                <w:b/>
                <w:bCs/>
                <w:sz w:val="20"/>
                <w:szCs w:val="20"/>
              </w:rPr>
            </w:pPr>
            <w:r w:rsidRPr="002142B8">
              <w:rPr>
                <w:rFonts w:ascii="Georgia" w:hAnsi="Georgia"/>
                <w:b/>
                <w:bCs/>
                <w:sz w:val="20"/>
                <w:szCs w:val="20"/>
              </w:rPr>
              <w:t>Graikija</w:t>
            </w:r>
          </w:p>
        </w:tc>
        <w:tc>
          <w:tcPr>
            <w:tcW w:w="812" w:type="pct"/>
          </w:tcPr>
          <w:p w14:paraId="2183D1CC"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c>
          <w:tcPr>
            <w:tcW w:w="812" w:type="pct"/>
          </w:tcPr>
          <w:p w14:paraId="59145068"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1069" w:type="pct"/>
          </w:tcPr>
          <w:p w14:paraId="7B5D82B0"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988" w:type="pct"/>
          </w:tcPr>
          <w:p w14:paraId="4D6BA321" w14:textId="18688D7A"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r>
      <w:tr w:rsidR="00451BC7" w:rsidRPr="002142B8" w14:paraId="188830F8" w14:textId="77777777" w:rsidTr="00F91954">
        <w:tc>
          <w:tcPr>
            <w:tcW w:w="507" w:type="pct"/>
          </w:tcPr>
          <w:p w14:paraId="75FDA9E3" w14:textId="77777777" w:rsidR="00451BC7" w:rsidRPr="002142B8" w:rsidRDefault="00451BC7" w:rsidP="00451BC7">
            <w:pPr>
              <w:rPr>
                <w:rFonts w:ascii="Georgia" w:hAnsi="Georgia"/>
                <w:bCs/>
                <w:sz w:val="20"/>
                <w:szCs w:val="20"/>
              </w:rPr>
            </w:pPr>
            <w:r w:rsidRPr="002142B8">
              <w:rPr>
                <w:rFonts w:ascii="Georgia" w:hAnsi="Georgia"/>
                <w:bCs/>
                <w:sz w:val="20"/>
                <w:szCs w:val="20"/>
              </w:rPr>
              <w:t>6</w:t>
            </w:r>
          </w:p>
        </w:tc>
        <w:tc>
          <w:tcPr>
            <w:tcW w:w="812" w:type="pct"/>
          </w:tcPr>
          <w:p w14:paraId="1F6B6087" w14:textId="77777777" w:rsidR="00451BC7" w:rsidRPr="002142B8" w:rsidRDefault="00451BC7" w:rsidP="00451BC7">
            <w:pPr>
              <w:rPr>
                <w:rFonts w:ascii="Georgia" w:hAnsi="Georgia"/>
                <w:b/>
                <w:bCs/>
                <w:sz w:val="20"/>
                <w:szCs w:val="20"/>
              </w:rPr>
            </w:pPr>
            <w:r w:rsidRPr="002142B8">
              <w:rPr>
                <w:rFonts w:ascii="Georgia" w:hAnsi="Georgia"/>
                <w:b/>
                <w:bCs/>
                <w:sz w:val="20"/>
                <w:szCs w:val="20"/>
              </w:rPr>
              <w:t>Italija</w:t>
            </w:r>
          </w:p>
        </w:tc>
        <w:tc>
          <w:tcPr>
            <w:tcW w:w="812" w:type="pct"/>
          </w:tcPr>
          <w:p w14:paraId="7562E6A5"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6</w:t>
            </w:r>
          </w:p>
        </w:tc>
        <w:tc>
          <w:tcPr>
            <w:tcW w:w="812" w:type="pct"/>
          </w:tcPr>
          <w:p w14:paraId="6E372C58"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c>
          <w:tcPr>
            <w:tcW w:w="1069" w:type="pct"/>
          </w:tcPr>
          <w:p w14:paraId="55AD1518"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c>
          <w:tcPr>
            <w:tcW w:w="988" w:type="pct"/>
          </w:tcPr>
          <w:p w14:paraId="6C0F0D90"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w:t>
            </w:r>
          </w:p>
        </w:tc>
      </w:tr>
      <w:tr w:rsidR="00451BC7" w:rsidRPr="002142B8" w14:paraId="12E249B7" w14:textId="77777777" w:rsidTr="00F91954">
        <w:trPr>
          <w:cnfStyle w:val="000000100000" w:firstRow="0" w:lastRow="0" w:firstColumn="0" w:lastColumn="0" w:oddVBand="0" w:evenVBand="0" w:oddHBand="1" w:evenHBand="0" w:firstRowFirstColumn="0" w:firstRowLastColumn="0" w:lastRowFirstColumn="0" w:lastRowLastColumn="0"/>
        </w:trPr>
        <w:tc>
          <w:tcPr>
            <w:tcW w:w="507" w:type="pct"/>
          </w:tcPr>
          <w:p w14:paraId="3BCB640C" w14:textId="77777777" w:rsidR="00451BC7" w:rsidRPr="002142B8" w:rsidRDefault="00451BC7" w:rsidP="00451BC7">
            <w:pPr>
              <w:rPr>
                <w:rFonts w:ascii="Georgia" w:hAnsi="Georgia"/>
                <w:bCs/>
                <w:sz w:val="20"/>
                <w:szCs w:val="20"/>
              </w:rPr>
            </w:pPr>
            <w:r w:rsidRPr="002142B8">
              <w:rPr>
                <w:rFonts w:ascii="Georgia" w:hAnsi="Georgia"/>
                <w:bCs/>
                <w:sz w:val="20"/>
                <w:szCs w:val="20"/>
              </w:rPr>
              <w:t>7</w:t>
            </w:r>
          </w:p>
        </w:tc>
        <w:tc>
          <w:tcPr>
            <w:tcW w:w="812" w:type="pct"/>
          </w:tcPr>
          <w:p w14:paraId="04CA04EB" w14:textId="77777777" w:rsidR="00451BC7" w:rsidRPr="002142B8" w:rsidRDefault="00451BC7" w:rsidP="00451BC7">
            <w:pPr>
              <w:rPr>
                <w:rFonts w:ascii="Georgia" w:hAnsi="Georgia"/>
                <w:b/>
                <w:bCs/>
                <w:sz w:val="20"/>
                <w:szCs w:val="20"/>
              </w:rPr>
            </w:pPr>
            <w:r w:rsidRPr="002142B8">
              <w:rPr>
                <w:rFonts w:ascii="Georgia" w:hAnsi="Georgia"/>
                <w:b/>
                <w:bCs/>
                <w:sz w:val="20"/>
                <w:szCs w:val="20"/>
              </w:rPr>
              <w:t>Nyderlandai</w:t>
            </w:r>
          </w:p>
        </w:tc>
        <w:tc>
          <w:tcPr>
            <w:tcW w:w="812" w:type="pct"/>
          </w:tcPr>
          <w:p w14:paraId="552B55B4"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812" w:type="pct"/>
          </w:tcPr>
          <w:p w14:paraId="7A83CC47" w14:textId="7E085250"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1069" w:type="pct"/>
          </w:tcPr>
          <w:p w14:paraId="2D40C398"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w:t>
            </w:r>
          </w:p>
        </w:tc>
        <w:tc>
          <w:tcPr>
            <w:tcW w:w="988" w:type="pct"/>
          </w:tcPr>
          <w:p w14:paraId="289C652D" w14:textId="204AD4D4"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r>
      <w:tr w:rsidR="00451BC7" w:rsidRPr="002142B8" w14:paraId="1083CFE3" w14:textId="77777777" w:rsidTr="00F91954">
        <w:tc>
          <w:tcPr>
            <w:tcW w:w="507" w:type="pct"/>
          </w:tcPr>
          <w:p w14:paraId="0E32A735" w14:textId="77777777" w:rsidR="00451BC7" w:rsidRPr="002142B8" w:rsidRDefault="00451BC7" w:rsidP="00451BC7">
            <w:pPr>
              <w:rPr>
                <w:rFonts w:ascii="Georgia" w:hAnsi="Georgia"/>
                <w:bCs/>
                <w:sz w:val="20"/>
                <w:szCs w:val="20"/>
              </w:rPr>
            </w:pPr>
            <w:r w:rsidRPr="002142B8">
              <w:rPr>
                <w:rFonts w:ascii="Georgia" w:hAnsi="Georgia"/>
                <w:bCs/>
                <w:sz w:val="20"/>
                <w:szCs w:val="20"/>
              </w:rPr>
              <w:t>8</w:t>
            </w:r>
          </w:p>
        </w:tc>
        <w:tc>
          <w:tcPr>
            <w:tcW w:w="812" w:type="pct"/>
          </w:tcPr>
          <w:p w14:paraId="484558CC" w14:textId="77777777" w:rsidR="00451BC7" w:rsidRPr="002142B8" w:rsidRDefault="00451BC7" w:rsidP="00451BC7">
            <w:pPr>
              <w:rPr>
                <w:rFonts w:ascii="Georgia" w:hAnsi="Georgia"/>
                <w:b/>
                <w:bCs/>
                <w:sz w:val="20"/>
                <w:szCs w:val="20"/>
              </w:rPr>
            </w:pPr>
            <w:r w:rsidRPr="002142B8">
              <w:rPr>
                <w:rFonts w:ascii="Georgia" w:hAnsi="Georgia"/>
                <w:b/>
                <w:bCs/>
                <w:sz w:val="20"/>
                <w:szCs w:val="20"/>
              </w:rPr>
              <w:t>Jungtinė Karalystė</w:t>
            </w:r>
          </w:p>
        </w:tc>
        <w:tc>
          <w:tcPr>
            <w:tcW w:w="812" w:type="pct"/>
          </w:tcPr>
          <w:p w14:paraId="276C5AF5"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6</w:t>
            </w:r>
          </w:p>
        </w:tc>
        <w:tc>
          <w:tcPr>
            <w:tcW w:w="812" w:type="pct"/>
          </w:tcPr>
          <w:p w14:paraId="02EA4279" w14:textId="71D395F7"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1069" w:type="pct"/>
          </w:tcPr>
          <w:p w14:paraId="7004CAC9" w14:textId="5D2D1379" w:rsidR="00451BC7" w:rsidRPr="002142B8" w:rsidRDefault="00035974" w:rsidP="0063781D">
            <w:pPr>
              <w:jc w:val="right"/>
              <w:rPr>
                <w:rFonts w:ascii="Georgia" w:hAnsi="Georgia"/>
                <w:bCs/>
                <w:sz w:val="20"/>
                <w:szCs w:val="20"/>
              </w:rPr>
            </w:pPr>
            <w:r w:rsidRPr="002142B8">
              <w:rPr>
                <w:rFonts w:ascii="Georgia" w:hAnsi="Georgia"/>
                <w:bCs/>
                <w:sz w:val="20"/>
                <w:szCs w:val="20"/>
              </w:rPr>
              <w:t>-</w:t>
            </w:r>
          </w:p>
        </w:tc>
        <w:tc>
          <w:tcPr>
            <w:tcW w:w="988" w:type="pct"/>
          </w:tcPr>
          <w:p w14:paraId="02E46F05"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6</w:t>
            </w:r>
          </w:p>
        </w:tc>
      </w:tr>
      <w:tr w:rsidR="00451BC7" w:rsidRPr="002142B8" w14:paraId="61E948FE" w14:textId="77777777" w:rsidTr="00F91954">
        <w:trPr>
          <w:cnfStyle w:val="000000100000" w:firstRow="0" w:lastRow="0" w:firstColumn="0" w:lastColumn="0" w:oddVBand="0" w:evenVBand="0" w:oddHBand="1" w:evenHBand="0" w:firstRowFirstColumn="0" w:firstRowLastColumn="0" w:lastRowFirstColumn="0" w:lastRowLastColumn="0"/>
        </w:trPr>
        <w:tc>
          <w:tcPr>
            <w:tcW w:w="507" w:type="pct"/>
          </w:tcPr>
          <w:p w14:paraId="2BCAEC5E" w14:textId="77777777" w:rsidR="00451BC7" w:rsidRPr="002142B8" w:rsidRDefault="00451BC7" w:rsidP="00451BC7">
            <w:pPr>
              <w:keepNext/>
              <w:rPr>
                <w:rFonts w:ascii="Georgia" w:hAnsi="Georgia"/>
                <w:bCs/>
                <w:sz w:val="20"/>
                <w:szCs w:val="20"/>
              </w:rPr>
            </w:pPr>
          </w:p>
        </w:tc>
        <w:tc>
          <w:tcPr>
            <w:tcW w:w="812" w:type="pct"/>
          </w:tcPr>
          <w:p w14:paraId="22DAA5C5" w14:textId="77777777" w:rsidR="00451BC7" w:rsidRPr="002142B8" w:rsidRDefault="00A84FBE" w:rsidP="00451BC7">
            <w:pPr>
              <w:keepNext/>
              <w:rPr>
                <w:rFonts w:ascii="Georgia" w:hAnsi="Georgia"/>
                <w:b/>
                <w:bCs/>
                <w:sz w:val="20"/>
                <w:szCs w:val="20"/>
              </w:rPr>
            </w:pPr>
            <w:r w:rsidRPr="002142B8">
              <w:rPr>
                <w:rFonts w:ascii="Georgia" w:hAnsi="Georgia"/>
                <w:b/>
                <w:bCs/>
                <w:sz w:val="20"/>
                <w:szCs w:val="20"/>
              </w:rPr>
              <w:t>Iš viso:</w:t>
            </w:r>
          </w:p>
        </w:tc>
        <w:tc>
          <w:tcPr>
            <w:tcW w:w="812" w:type="pct"/>
          </w:tcPr>
          <w:p w14:paraId="39164551" w14:textId="77777777" w:rsidR="00451BC7" w:rsidRPr="002142B8" w:rsidRDefault="00451BC7" w:rsidP="0063781D">
            <w:pPr>
              <w:keepNext/>
              <w:jc w:val="right"/>
              <w:rPr>
                <w:rFonts w:ascii="Georgia" w:hAnsi="Georgia"/>
                <w:b/>
                <w:bCs/>
                <w:sz w:val="20"/>
                <w:szCs w:val="20"/>
              </w:rPr>
            </w:pPr>
            <w:r w:rsidRPr="002142B8">
              <w:rPr>
                <w:rFonts w:ascii="Georgia" w:hAnsi="Georgia"/>
                <w:b/>
                <w:bCs/>
                <w:sz w:val="20"/>
                <w:szCs w:val="20"/>
              </w:rPr>
              <w:t>20</w:t>
            </w:r>
          </w:p>
        </w:tc>
        <w:tc>
          <w:tcPr>
            <w:tcW w:w="812" w:type="pct"/>
          </w:tcPr>
          <w:p w14:paraId="266E0A98" w14:textId="77777777" w:rsidR="00451BC7" w:rsidRPr="002142B8" w:rsidRDefault="00451BC7" w:rsidP="0063781D">
            <w:pPr>
              <w:keepNext/>
              <w:jc w:val="right"/>
              <w:rPr>
                <w:rFonts w:ascii="Georgia" w:hAnsi="Georgia"/>
                <w:b/>
                <w:bCs/>
                <w:sz w:val="20"/>
                <w:szCs w:val="20"/>
              </w:rPr>
            </w:pPr>
            <w:r w:rsidRPr="002142B8">
              <w:rPr>
                <w:rFonts w:ascii="Georgia" w:hAnsi="Georgia"/>
                <w:b/>
                <w:bCs/>
                <w:sz w:val="20"/>
                <w:szCs w:val="20"/>
              </w:rPr>
              <w:t>4</w:t>
            </w:r>
          </w:p>
        </w:tc>
        <w:tc>
          <w:tcPr>
            <w:tcW w:w="1069" w:type="pct"/>
          </w:tcPr>
          <w:p w14:paraId="66993EB6" w14:textId="77777777" w:rsidR="00451BC7" w:rsidRPr="002142B8" w:rsidRDefault="00451BC7" w:rsidP="0063781D">
            <w:pPr>
              <w:keepNext/>
              <w:jc w:val="right"/>
              <w:rPr>
                <w:rFonts w:ascii="Georgia" w:hAnsi="Georgia"/>
                <w:b/>
                <w:bCs/>
                <w:sz w:val="20"/>
                <w:szCs w:val="20"/>
              </w:rPr>
            </w:pPr>
            <w:r w:rsidRPr="002142B8">
              <w:rPr>
                <w:rFonts w:ascii="Georgia" w:hAnsi="Georgia"/>
                <w:b/>
                <w:bCs/>
                <w:sz w:val="20"/>
                <w:szCs w:val="20"/>
              </w:rPr>
              <w:t>4</w:t>
            </w:r>
          </w:p>
        </w:tc>
        <w:tc>
          <w:tcPr>
            <w:tcW w:w="988" w:type="pct"/>
          </w:tcPr>
          <w:p w14:paraId="2007AFA0" w14:textId="77777777" w:rsidR="00451BC7" w:rsidRPr="002142B8" w:rsidRDefault="00451BC7" w:rsidP="0063781D">
            <w:pPr>
              <w:keepNext/>
              <w:jc w:val="right"/>
              <w:rPr>
                <w:rFonts w:ascii="Georgia" w:hAnsi="Georgia"/>
                <w:b/>
                <w:bCs/>
                <w:sz w:val="20"/>
                <w:szCs w:val="20"/>
              </w:rPr>
            </w:pPr>
            <w:r w:rsidRPr="002142B8">
              <w:rPr>
                <w:rFonts w:ascii="Georgia" w:hAnsi="Georgia"/>
                <w:b/>
                <w:bCs/>
                <w:sz w:val="20"/>
                <w:szCs w:val="20"/>
              </w:rPr>
              <w:t>12</w:t>
            </w:r>
          </w:p>
        </w:tc>
      </w:tr>
    </w:tbl>
    <w:p w14:paraId="4DA21722" w14:textId="77777777" w:rsidR="00451BC7" w:rsidRPr="002142B8" w:rsidRDefault="00451BC7" w:rsidP="00451BC7">
      <w:pPr>
        <w:rPr>
          <w:rFonts w:ascii="Georgia" w:hAnsi="Georgia"/>
          <w:bCs/>
          <w:i/>
          <w:sz w:val="20"/>
          <w:szCs w:val="20"/>
          <w:lang w:val="lt-LT"/>
        </w:rPr>
      </w:pPr>
      <w:r w:rsidRPr="002142B8">
        <w:rPr>
          <w:rFonts w:ascii="Georgia" w:eastAsia="PMingLiU" w:hAnsi="Georgia" w:cs="Times New Roman"/>
          <w:bCs/>
          <w:i/>
          <w:color w:val="A32020"/>
          <w:sz w:val="20"/>
          <w:szCs w:val="18"/>
          <w:lang w:val="lt-LT"/>
        </w:rPr>
        <w:t>Šaltinis: Europos Komisijos informacija apie finansinių priemonių įgyvendinimą</w:t>
      </w:r>
      <w:r w:rsidRPr="002142B8">
        <w:rPr>
          <w:rStyle w:val="Puslapioinaosnuoroda"/>
          <w:rFonts w:ascii="Georgia" w:hAnsi="Georgia"/>
          <w:bCs/>
          <w:i/>
          <w:sz w:val="20"/>
          <w:szCs w:val="20"/>
          <w:lang w:val="lt-LT"/>
        </w:rPr>
        <w:footnoteReference w:id="172"/>
      </w:r>
      <w:r w:rsidRPr="002142B8">
        <w:rPr>
          <w:rFonts w:ascii="Georgia" w:hAnsi="Georgia"/>
          <w:bCs/>
          <w:i/>
          <w:sz w:val="20"/>
          <w:szCs w:val="20"/>
          <w:lang w:val="lt-LT"/>
        </w:rPr>
        <w:t xml:space="preserve">  </w:t>
      </w:r>
    </w:p>
    <w:p w14:paraId="5E5E4B8A" w14:textId="77777777" w:rsidR="00451BC7" w:rsidRPr="002142B8" w:rsidRDefault="00451BC7" w:rsidP="00451BC7">
      <w:pPr>
        <w:keepNext/>
        <w:jc w:val="both"/>
        <w:rPr>
          <w:rFonts w:ascii="Georgia" w:hAnsi="Georgia"/>
          <w:bCs/>
          <w:sz w:val="20"/>
          <w:szCs w:val="20"/>
          <w:lang w:val="lt-LT"/>
        </w:rPr>
      </w:pPr>
      <w:r w:rsidRPr="002142B8">
        <w:rPr>
          <w:rFonts w:ascii="Georgia" w:hAnsi="Georgia"/>
          <w:bCs/>
          <w:sz w:val="20"/>
          <w:szCs w:val="20"/>
          <w:lang w:val="lt-LT"/>
        </w:rPr>
        <w:lastRenderedPageBreak/>
        <w:t>Žemiau esančioje lentelėje pateikiama informacija apie energijos efektyvumo ir atsinaujinančių energijos išteklių projektus finansuojamus per finansinių priemonių įgyvendinimą pagal siūlomų produktų tipus ir išmokėtas lėšas.</w:t>
      </w:r>
    </w:p>
    <w:p w14:paraId="6284E551" w14:textId="349215EB" w:rsidR="00451BC7" w:rsidRPr="008377C9" w:rsidRDefault="00451BC7" w:rsidP="00451BC7">
      <w:pPr>
        <w:pStyle w:val="Antrat"/>
        <w:spacing w:line="276" w:lineRule="auto"/>
        <w:jc w:val="both"/>
        <w:rPr>
          <w:b w:val="0"/>
          <w:i/>
          <w:lang w:val="lt-LT"/>
        </w:rPr>
      </w:pPr>
      <w:bookmarkStart w:id="320" w:name="_Toc507939216"/>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94</w:t>
      </w:r>
      <w:r w:rsidRPr="008377C9">
        <w:rPr>
          <w:b w:val="0"/>
          <w:i/>
          <w:lang w:val="lt-LT"/>
        </w:rPr>
        <w:fldChar w:fldCharType="end"/>
      </w:r>
      <w:r w:rsidRPr="008377C9">
        <w:rPr>
          <w:b w:val="0"/>
          <w:i/>
          <w:iCs/>
          <w:szCs w:val="20"/>
          <w:lang w:val="lt-LT"/>
        </w:rPr>
        <w:t xml:space="preserve">. </w:t>
      </w:r>
      <w:r w:rsidRPr="008377C9">
        <w:rPr>
          <w:b w:val="0"/>
          <w:i/>
          <w:lang w:val="lt-LT"/>
        </w:rPr>
        <w:t>Energijos efektyvumo ir atsinaujinančių energijos išteklių projektų finansavimas pagal siūlomų produktų tipus ir išmokėtas lėšas</w:t>
      </w:r>
      <w:bookmarkEnd w:id="320"/>
    </w:p>
    <w:tbl>
      <w:tblPr>
        <w:tblStyle w:val="viesussraas2parykinimas1"/>
        <w:tblW w:w="5000" w:type="pct"/>
        <w:tblLook w:val="0420" w:firstRow="1" w:lastRow="0" w:firstColumn="0" w:lastColumn="0" w:noHBand="0" w:noVBand="1"/>
      </w:tblPr>
      <w:tblGrid>
        <w:gridCol w:w="3460"/>
        <w:gridCol w:w="2785"/>
        <w:gridCol w:w="2997"/>
      </w:tblGrid>
      <w:tr w:rsidR="00451BC7" w:rsidRPr="002142B8" w14:paraId="2ADDA781" w14:textId="77777777" w:rsidTr="005B31C6">
        <w:trPr>
          <w:cnfStyle w:val="100000000000" w:firstRow="1" w:lastRow="0" w:firstColumn="0" w:lastColumn="0" w:oddVBand="0" w:evenVBand="0" w:oddHBand="0" w:evenHBand="0" w:firstRowFirstColumn="0" w:firstRowLastColumn="0" w:lastRowFirstColumn="0" w:lastRowLastColumn="0"/>
        </w:trPr>
        <w:tc>
          <w:tcPr>
            <w:tcW w:w="0" w:type="pct"/>
          </w:tcPr>
          <w:p w14:paraId="1F5E3BC1" w14:textId="77777777" w:rsidR="00451BC7" w:rsidRPr="002142B8" w:rsidRDefault="00451BC7" w:rsidP="0063781D">
            <w:pPr>
              <w:keepNext/>
              <w:rPr>
                <w:rFonts w:ascii="Georgia" w:hAnsi="Georgia"/>
                <w:bCs w:val="0"/>
                <w:sz w:val="20"/>
                <w:szCs w:val="20"/>
              </w:rPr>
            </w:pPr>
            <w:r w:rsidRPr="002142B8">
              <w:rPr>
                <w:rFonts w:ascii="Georgia" w:hAnsi="Georgia"/>
                <w:sz w:val="20"/>
                <w:szCs w:val="20"/>
              </w:rPr>
              <w:t>Produkto tipas</w:t>
            </w:r>
          </w:p>
        </w:tc>
        <w:tc>
          <w:tcPr>
            <w:tcW w:w="0" w:type="pct"/>
          </w:tcPr>
          <w:p w14:paraId="7D272118" w14:textId="77777777" w:rsidR="00451BC7" w:rsidRPr="002142B8" w:rsidRDefault="00451BC7" w:rsidP="0063781D">
            <w:pPr>
              <w:keepNext/>
              <w:jc w:val="right"/>
              <w:rPr>
                <w:rFonts w:ascii="Georgia" w:hAnsi="Georgia"/>
                <w:bCs w:val="0"/>
                <w:sz w:val="20"/>
                <w:szCs w:val="20"/>
              </w:rPr>
            </w:pPr>
            <w:r w:rsidRPr="002142B8">
              <w:rPr>
                <w:rFonts w:ascii="Georgia" w:hAnsi="Georgia"/>
                <w:sz w:val="20"/>
                <w:szCs w:val="20"/>
              </w:rPr>
              <w:t>Vienetai</w:t>
            </w:r>
          </w:p>
        </w:tc>
        <w:tc>
          <w:tcPr>
            <w:tcW w:w="0" w:type="pct"/>
          </w:tcPr>
          <w:p w14:paraId="612D8895" w14:textId="2550F4A2" w:rsidR="00451BC7" w:rsidRPr="002142B8" w:rsidRDefault="00451BC7" w:rsidP="0063781D">
            <w:pPr>
              <w:keepNext/>
              <w:jc w:val="right"/>
              <w:rPr>
                <w:rFonts w:ascii="Georgia" w:hAnsi="Georgia"/>
                <w:bCs w:val="0"/>
                <w:sz w:val="20"/>
                <w:szCs w:val="20"/>
              </w:rPr>
            </w:pPr>
            <w:r w:rsidRPr="002142B8">
              <w:rPr>
                <w:rFonts w:ascii="Georgia" w:hAnsi="Georgia"/>
                <w:sz w:val="20"/>
                <w:szCs w:val="20"/>
              </w:rPr>
              <w:t xml:space="preserve">Išmokėtos veiksmų programų lėšos (mln. </w:t>
            </w:r>
            <w:r w:rsidR="00035974" w:rsidRPr="002142B8">
              <w:rPr>
                <w:rFonts w:ascii="Georgia" w:hAnsi="Georgia"/>
                <w:sz w:val="20"/>
                <w:szCs w:val="20"/>
              </w:rPr>
              <w:t>eurų</w:t>
            </w:r>
            <w:r w:rsidRPr="002142B8">
              <w:rPr>
                <w:rFonts w:ascii="Georgia" w:hAnsi="Georgia"/>
                <w:sz w:val="20"/>
                <w:szCs w:val="20"/>
              </w:rPr>
              <w:t>)</w:t>
            </w:r>
          </w:p>
        </w:tc>
      </w:tr>
      <w:tr w:rsidR="00451BC7" w:rsidRPr="002142B8" w14:paraId="50976283"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146FBE82" w14:textId="77777777" w:rsidR="00451BC7" w:rsidRPr="002142B8" w:rsidRDefault="00451BC7" w:rsidP="00451BC7">
            <w:pPr>
              <w:keepNext/>
              <w:rPr>
                <w:rFonts w:ascii="Georgia" w:hAnsi="Georgia"/>
                <w:bCs/>
                <w:sz w:val="20"/>
                <w:szCs w:val="20"/>
              </w:rPr>
            </w:pPr>
            <w:r w:rsidRPr="002142B8">
              <w:rPr>
                <w:rFonts w:ascii="Georgia" w:hAnsi="Georgia"/>
                <w:bCs/>
                <w:sz w:val="20"/>
                <w:szCs w:val="20"/>
              </w:rPr>
              <w:t>Paskolos</w:t>
            </w:r>
          </w:p>
        </w:tc>
        <w:tc>
          <w:tcPr>
            <w:tcW w:w="0" w:type="pct"/>
          </w:tcPr>
          <w:p w14:paraId="1DEC2F03" w14:textId="77777777" w:rsidR="00451BC7" w:rsidRPr="002142B8" w:rsidRDefault="00451BC7" w:rsidP="0063781D">
            <w:pPr>
              <w:keepNext/>
              <w:jc w:val="right"/>
              <w:rPr>
                <w:rFonts w:ascii="Georgia" w:hAnsi="Georgia"/>
                <w:bCs/>
                <w:sz w:val="20"/>
                <w:szCs w:val="20"/>
              </w:rPr>
            </w:pPr>
            <w:r w:rsidRPr="002142B8">
              <w:rPr>
                <w:rFonts w:ascii="Georgia" w:hAnsi="Georgia"/>
                <w:bCs/>
                <w:sz w:val="20"/>
                <w:szCs w:val="20"/>
              </w:rPr>
              <w:t>13</w:t>
            </w:r>
            <w:r w:rsidR="0088418D" w:rsidRPr="002142B8">
              <w:rPr>
                <w:rFonts w:ascii="Georgia" w:hAnsi="Georgia"/>
                <w:bCs/>
                <w:sz w:val="20"/>
                <w:szCs w:val="20"/>
              </w:rPr>
              <w:t xml:space="preserve"> </w:t>
            </w:r>
            <w:r w:rsidRPr="002142B8">
              <w:rPr>
                <w:rFonts w:ascii="Georgia" w:hAnsi="Georgia"/>
                <w:bCs/>
                <w:sz w:val="20"/>
                <w:szCs w:val="20"/>
              </w:rPr>
              <w:t>392</w:t>
            </w:r>
          </w:p>
        </w:tc>
        <w:tc>
          <w:tcPr>
            <w:tcW w:w="0" w:type="pct"/>
          </w:tcPr>
          <w:p w14:paraId="08D438E5" w14:textId="77777777" w:rsidR="00451BC7" w:rsidRPr="002142B8" w:rsidRDefault="00451BC7" w:rsidP="0063781D">
            <w:pPr>
              <w:keepNext/>
              <w:jc w:val="right"/>
              <w:rPr>
                <w:rFonts w:ascii="Georgia" w:hAnsi="Georgia"/>
                <w:bCs/>
                <w:sz w:val="20"/>
                <w:szCs w:val="20"/>
              </w:rPr>
            </w:pPr>
            <w:r w:rsidRPr="002142B8">
              <w:rPr>
                <w:rFonts w:ascii="Georgia" w:hAnsi="Georgia"/>
                <w:bCs/>
                <w:sz w:val="20"/>
                <w:szCs w:val="20"/>
              </w:rPr>
              <w:t>86,4</w:t>
            </w:r>
          </w:p>
        </w:tc>
      </w:tr>
      <w:tr w:rsidR="00451BC7" w:rsidRPr="002142B8" w14:paraId="4A11623C" w14:textId="77777777" w:rsidTr="005B31C6">
        <w:tc>
          <w:tcPr>
            <w:tcW w:w="0" w:type="pct"/>
          </w:tcPr>
          <w:p w14:paraId="5AAB13B4" w14:textId="77777777" w:rsidR="00451BC7" w:rsidRPr="002142B8" w:rsidRDefault="00451BC7" w:rsidP="00451BC7">
            <w:pPr>
              <w:keepNext/>
              <w:rPr>
                <w:rFonts w:ascii="Georgia" w:hAnsi="Georgia"/>
                <w:bCs/>
                <w:sz w:val="20"/>
                <w:szCs w:val="20"/>
              </w:rPr>
            </w:pPr>
            <w:r w:rsidRPr="002142B8">
              <w:rPr>
                <w:rFonts w:ascii="Georgia" w:hAnsi="Georgia"/>
                <w:bCs/>
                <w:sz w:val="20"/>
                <w:szCs w:val="20"/>
              </w:rPr>
              <w:t>Garantijos</w:t>
            </w:r>
          </w:p>
        </w:tc>
        <w:tc>
          <w:tcPr>
            <w:tcW w:w="0" w:type="pct"/>
          </w:tcPr>
          <w:p w14:paraId="701FD19B" w14:textId="2DC59F01" w:rsidR="00451BC7" w:rsidRPr="002142B8" w:rsidRDefault="00035974" w:rsidP="0063781D">
            <w:pPr>
              <w:keepNext/>
              <w:jc w:val="right"/>
              <w:rPr>
                <w:rFonts w:ascii="Georgia" w:hAnsi="Georgia"/>
                <w:bCs/>
                <w:sz w:val="20"/>
                <w:szCs w:val="20"/>
              </w:rPr>
            </w:pPr>
            <w:r w:rsidRPr="002142B8">
              <w:rPr>
                <w:rFonts w:ascii="Georgia" w:hAnsi="Georgia"/>
                <w:bCs/>
                <w:sz w:val="20"/>
                <w:szCs w:val="20"/>
              </w:rPr>
              <w:t>-</w:t>
            </w:r>
          </w:p>
        </w:tc>
        <w:tc>
          <w:tcPr>
            <w:tcW w:w="0" w:type="pct"/>
          </w:tcPr>
          <w:p w14:paraId="0FB912C2" w14:textId="1171AD07" w:rsidR="00451BC7" w:rsidRPr="002142B8" w:rsidRDefault="00035974" w:rsidP="0063781D">
            <w:pPr>
              <w:keepNext/>
              <w:jc w:val="right"/>
              <w:rPr>
                <w:rFonts w:ascii="Georgia" w:hAnsi="Georgia"/>
                <w:bCs/>
                <w:sz w:val="20"/>
                <w:szCs w:val="20"/>
              </w:rPr>
            </w:pPr>
            <w:r w:rsidRPr="002142B8">
              <w:rPr>
                <w:rFonts w:ascii="Georgia" w:hAnsi="Georgia"/>
                <w:bCs/>
                <w:sz w:val="20"/>
                <w:szCs w:val="20"/>
              </w:rPr>
              <w:t>-</w:t>
            </w:r>
          </w:p>
        </w:tc>
      </w:tr>
      <w:tr w:rsidR="00451BC7" w:rsidRPr="002142B8" w14:paraId="396F06F0"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17F275C2" w14:textId="77777777" w:rsidR="00451BC7" w:rsidRPr="002142B8" w:rsidRDefault="00451BC7" w:rsidP="00451BC7">
            <w:pPr>
              <w:rPr>
                <w:rFonts w:ascii="Georgia" w:hAnsi="Georgia"/>
                <w:bCs/>
                <w:sz w:val="20"/>
                <w:szCs w:val="20"/>
              </w:rPr>
            </w:pPr>
            <w:r w:rsidRPr="002142B8">
              <w:rPr>
                <w:rFonts w:ascii="Georgia" w:hAnsi="Georgia"/>
                <w:bCs/>
                <w:sz w:val="20"/>
                <w:szCs w:val="20"/>
              </w:rPr>
              <w:t>Nuosavas/rizikos kapitalas</w:t>
            </w:r>
          </w:p>
        </w:tc>
        <w:tc>
          <w:tcPr>
            <w:tcW w:w="0" w:type="pct"/>
          </w:tcPr>
          <w:p w14:paraId="4B9C64C6"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N.A.</w:t>
            </w:r>
          </w:p>
        </w:tc>
        <w:tc>
          <w:tcPr>
            <w:tcW w:w="0" w:type="pct"/>
          </w:tcPr>
          <w:p w14:paraId="49D2DCD7"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2,9</w:t>
            </w:r>
          </w:p>
        </w:tc>
      </w:tr>
      <w:tr w:rsidR="00451BC7" w:rsidRPr="002142B8" w14:paraId="2EC5D36B" w14:textId="77777777" w:rsidTr="005B31C6">
        <w:tc>
          <w:tcPr>
            <w:tcW w:w="0" w:type="pct"/>
          </w:tcPr>
          <w:p w14:paraId="7369EF10" w14:textId="77777777" w:rsidR="00451BC7" w:rsidRPr="002142B8" w:rsidRDefault="00451BC7" w:rsidP="00451BC7">
            <w:pPr>
              <w:rPr>
                <w:rFonts w:ascii="Georgia" w:hAnsi="Georgia"/>
                <w:bCs/>
                <w:sz w:val="20"/>
                <w:szCs w:val="20"/>
              </w:rPr>
            </w:pPr>
            <w:r w:rsidRPr="002142B8">
              <w:rPr>
                <w:rFonts w:ascii="Georgia" w:hAnsi="Georgia"/>
                <w:bCs/>
                <w:sz w:val="20"/>
                <w:szCs w:val="20"/>
              </w:rPr>
              <w:t>Kiti produktai</w:t>
            </w:r>
          </w:p>
        </w:tc>
        <w:tc>
          <w:tcPr>
            <w:tcW w:w="0" w:type="pct"/>
          </w:tcPr>
          <w:p w14:paraId="42053CC3"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N.A.</w:t>
            </w:r>
          </w:p>
        </w:tc>
        <w:tc>
          <w:tcPr>
            <w:tcW w:w="0" w:type="pct"/>
          </w:tcPr>
          <w:p w14:paraId="5DF8D9BB"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0,3</w:t>
            </w:r>
          </w:p>
        </w:tc>
      </w:tr>
      <w:tr w:rsidR="00451BC7" w:rsidRPr="002142B8" w14:paraId="7E366414" w14:textId="77777777" w:rsidTr="005B31C6">
        <w:trPr>
          <w:cnfStyle w:val="000000100000" w:firstRow="0" w:lastRow="0" w:firstColumn="0" w:lastColumn="0" w:oddVBand="0" w:evenVBand="0" w:oddHBand="1" w:evenHBand="0" w:firstRowFirstColumn="0" w:firstRowLastColumn="0" w:lastRowFirstColumn="0" w:lastRowLastColumn="0"/>
        </w:trPr>
        <w:tc>
          <w:tcPr>
            <w:tcW w:w="0" w:type="pct"/>
          </w:tcPr>
          <w:p w14:paraId="764C8CB4" w14:textId="77777777" w:rsidR="00451BC7" w:rsidRPr="002142B8" w:rsidRDefault="00451BC7" w:rsidP="00451BC7">
            <w:pPr>
              <w:rPr>
                <w:rFonts w:ascii="Georgia" w:hAnsi="Georgia"/>
                <w:bCs/>
                <w:sz w:val="20"/>
                <w:szCs w:val="20"/>
              </w:rPr>
            </w:pPr>
            <w:r w:rsidRPr="002142B8">
              <w:rPr>
                <w:rFonts w:ascii="Georgia" w:hAnsi="Georgia"/>
                <w:bCs/>
                <w:sz w:val="20"/>
                <w:szCs w:val="20"/>
              </w:rPr>
              <w:t>Iš viso:</w:t>
            </w:r>
          </w:p>
        </w:tc>
        <w:tc>
          <w:tcPr>
            <w:tcW w:w="0" w:type="pct"/>
          </w:tcPr>
          <w:p w14:paraId="71BED79D"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13</w:t>
            </w:r>
            <w:r w:rsidR="0088418D" w:rsidRPr="002142B8">
              <w:rPr>
                <w:rFonts w:ascii="Georgia" w:hAnsi="Georgia"/>
                <w:bCs/>
                <w:sz w:val="20"/>
                <w:szCs w:val="20"/>
              </w:rPr>
              <w:t xml:space="preserve"> </w:t>
            </w:r>
            <w:r w:rsidRPr="002142B8">
              <w:rPr>
                <w:rFonts w:ascii="Georgia" w:hAnsi="Georgia"/>
                <w:bCs/>
                <w:sz w:val="20"/>
                <w:szCs w:val="20"/>
              </w:rPr>
              <w:t>392</w:t>
            </w:r>
          </w:p>
        </w:tc>
        <w:tc>
          <w:tcPr>
            <w:tcW w:w="0" w:type="pct"/>
          </w:tcPr>
          <w:p w14:paraId="4162968D" w14:textId="77777777" w:rsidR="00451BC7" w:rsidRPr="002142B8" w:rsidRDefault="00451BC7" w:rsidP="0063781D">
            <w:pPr>
              <w:jc w:val="right"/>
              <w:rPr>
                <w:rFonts w:ascii="Georgia" w:hAnsi="Georgia"/>
                <w:bCs/>
                <w:sz w:val="20"/>
                <w:szCs w:val="20"/>
              </w:rPr>
            </w:pPr>
            <w:r w:rsidRPr="002142B8">
              <w:rPr>
                <w:rFonts w:ascii="Georgia" w:hAnsi="Georgia"/>
                <w:bCs/>
                <w:sz w:val="20"/>
                <w:szCs w:val="20"/>
              </w:rPr>
              <w:t>89,6</w:t>
            </w:r>
          </w:p>
        </w:tc>
      </w:tr>
    </w:tbl>
    <w:p w14:paraId="07AA50B3" w14:textId="510799D8" w:rsidR="00451BC7" w:rsidRPr="002142B8" w:rsidRDefault="00451BC7" w:rsidP="00AF1768">
      <w:pPr>
        <w:pStyle w:val="Antrat"/>
        <w:spacing w:line="276" w:lineRule="auto"/>
        <w:jc w:val="both"/>
        <w:rPr>
          <w:b w:val="0"/>
          <w:i/>
          <w:lang w:val="lt-LT"/>
        </w:rPr>
      </w:pPr>
      <w:r w:rsidRPr="002142B8">
        <w:rPr>
          <w:b w:val="0"/>
          <w:i/>
          <w:lang w:val="lt-LT"/>
        </w:rPr>
        <w:t>Šaltinis: e</w:t>
      </w:r>
      <w:r w:rsidR="00300FF4" w:rsidRPr="002142B8">
        <w:rPr>
          <w:b w:val="0"/>
          <w:i/>
          <w:lang w:val="lt-LT"/>
        </w:rPr>
        <w:t>x-ante</w:t>
      </w:r>
      <w:r w:rsidRPr="002142B8">
        <w:rPr>
          <w:b w:val="0"/>
          <w:i/>
          <w:lang w:val="lt-LT"/>
        </w:rPr>
        <w:t xml:space="preserve"> vertinimo metodologijos IV dalies informacija</w:t>
      </w:r>
    </w:p>
    <w:p w14:paraId="2BE69934" w14:textId="1185EF9A" w:rsidR="00451BC7" w:rsidRPr="002142B8" w:rsidRDefault="00451BC7" w:rsidP="00451BC7">
      <w:pPr>
        <w:rPr>
          <w:rFonts w:ascii="Georgia" w:hAnsi="Georgia"/>
          <w:bCs/>
          <w:sz w:val="20"/>
          <w:szCs w:val="20"/>
          <w:lang w:val="lt-LT"/>
        </w:rPr>
      </w:pPr>
      <w:r w:rsidRPr="002142B8">
        <w:rPr>
          <w:rFonts w:ascii="Georgia" w:hAnsi="Georgia"/>
          <w:bCs/>
          <w:sz w:val="20"/>
          <w:szCs w:val="20"/>
          <w:lang w:val="lt-LT"/>
        </w:rPr>
        <w:t xml:space="preserve">89,6 mln. </w:t>
      </w:r>
      <w:r w:rsidR="00035974" w:rsidRPr="002142B8">
        <w:rPr>
          <w:rFonts w:ascii="Georgia" w:hAnsi="Georgia"/>
          <w:bCs/>
          <w:sz w:val="20"/>
          <w:szCs w:val="20"/>
          <w:lang w:val="lt-LT"/>
        </w:rPr>
        <w:t xml:space="preserve"> eurų</w:t>
      </w:r>
      <w:r w:rsidRPr="002142B8">
        <w:rPr>
          <w:rFonts w:ascii="Georgia" w:hAnsi="Georgia"/>
          <w:bCs/>
          <w:sz w:val="20"/>
          <w:szCs w:val="20"/>
          <w:lang w:val="lt-LT"/>
        </w:rPr>
        <w:t xml:space="preserve"> pasiekė galutinius naudos gavėjus. Suteiktos 13.392 paskolos. Vidutiniškai vienai paskolai teko </w:t>
      </w:r>
      <w:r w:rsidR="0088418D" w:rsidRPr="002142B8">
        <w:rPr>
          <w:rFonts w:ascii="Georgia" w:hAnsi="Georgia"/>
          <w:bCs/>
          <w:sz w:val="20"/>
          <w:szCs w:val="20"/>
          <w:lang w:val="lt-LT"/>
        </w:rPr>
        <w:t>100 tūkst.</w:t>
      </w:r>
      <w:r w:rsidRPr="002142B8">
        <w:rPr>
          <w:rFonts w:ascii="Georgia" w:hAnsi="Georgia"/>
          <w:bCs/>
          <w:sz w:val="20"/>
          <w:szCs w:val="20"/>
          <w:lang w:val="lt-LT"/>
        </w:rPr>
        <w:t xml:space="preserve"> </w:t>
      </w:r>
      <w:r w:rsidR="00035974" w:rsidRPr="002142B8">
        <w:rPr>
          <w:rFonts w:ascii="Georgia" w:hAnsi="Georgia"/>
          <w:bCs/>
          <w:sz w:val="20"/>
          <w:szCs w:val="20"/>
          <w:lang w:val="lt-LT"/>
        </w:rPr>
        <w:t xml:space="preserve"> eurų</w:t>
      </w:r>
      <w:r w:rsidRPr="002142B8">
        <w:rPr>
          <w:rFonts w:ascii="Georgia" w:hAnsi="Georgia"/>
          <w:bCs/>
          <w:sz w:val="20"/>
          <w:szCs w:val="20"/>
          <w:lang w:val="lt-LT"/>
        </w:rPr>
        <w:t>.</w:t>
      </w:r>
    </w:p>
    <w:p w14:paraId="48901FE1" w14:textId="77777777" w:rsidR="00451BC7" w:rsidRPr="002142B8" w:rsidRDefault="00451BC7" w:rsidP="00451BC7">
      <w:pPr>
        <w:rPr>
          <w:rFonts w:ascii="Georgia" w:hAnsi="Georgia"/>
          <w:bCs/>
          <w:i/>
          <w:sz w:val="20"/>
          <w:szCs w:val="20"/>
          <w:lang w:val="lt-LT"/>
        </w:rPr>
      </w:pPr>
      <w:r w:rsidRPr="002142B8">
        <w:rPr>
          <w:rFonts w:ascii="Georgia" w:hAnsi="Georgia"/>
          <w:bCs/>
          <w:i/>
          <w:sz w:val="20"/>
          <w:szCs w:val="20"/>
          <w:lang w:val="lt-LT"/>
        </w:rPr>
        <w:t>Apibendrinimas:</w:t>
      </w:r>
    </w:p>
    <w:p w14:paraId="5C23D939" w14:textId="77777777" w:rsidR="00451BC7" w:rsidRPr="002142B8" w:rsidRDefault="00451BC7" w:rsidP="00C03122">
      <w:pPr>
        <w:numPr>
          <w:ilvl w:val="0"/>
          <w:numId w:val="3"/>
        </w:numPr>
        <w:jc w:val="both"/>
        <w:rPr>
          <w:rFonts w:ascii="Georgia" w:hAnsi="Georgia"/>
          <w:bCs/>
          <w:sz w:val="20"/>
          <w:szCs w:val="20"/>
          <w:lang w:val="lt-LT"/>
        </w:rPr>
      </w:pPr>
      <w:r w:rsidRPr="002142B8">
        <w:rPr>
          <w:rFonts w:ascii="Georgia" w:hAnsi="Georgia"/>
          <w:bCs/>
          <w:sz w:val="20"/>
          <w:szCs w:val="20"/>
          <w:lang w:val="lt-LT"/>
        </w:rPr>
        <w:t xml:space="preserve">lyginant su įmonėms skirtomis finansinėmis priemonėmis, energijos efektyvumo/miestų plėtros priemonių buvo įgyvendinta ženkliai mažiau (8 proc.). Viena iš priežasčių yra ta, jog tarp naudos gavėjų dominuoja viešojo sektoriaus institucijos. Paskolos ar kitokie finansiniai produktai yra labiau įprasti verslui, be to, miestų plėtros/energijos efektyvumo/atsinaujinančius energijos išteklių projektai yra </w:t>
      </w:r>
      <w:r w:rsidR="00AF1768" w:rsidRPr="002142B8">
        <w:rPr>
          <w:rFonts w:ascii="Georgia" w:hAnsi="Georgia"/>
          <w:bCs/>
          <w:sz w:val="20"/>
          <w:szCs w:val="20"/>
          <w:lang w:val="lt-LT"/>
        </w:rPr>
        <w:t>labiau kompleksiški</w:t>
      </w:r>
      <w:r w:rsidRPr="002142B8">
        <w:rPr>
          <w:rFonts w:ascii="Georgia" w:hAnsi="Georgia"/>
          <w:bCs/>
          <w:sz w:val="20"/>
          <w:szCs w:val="20"/>
          <w:lang w:val="lt-LT"/>
        </w:rPr>
        <w:t xml:space="preserve"> ir/ar didesni. Atitinkamai sukaupta finansinių priemonių įgyvendinimo patirtis šiuose sektoriuose yra ne tokia didelė kaip JEREMIE iniciatyvoje;</w:t>
      </w:r>
    </w:p>
    <w:p w14:paraId="66513B6B" w14:textId="77777777" w:rsidR="00451BC7" w:rsidRPr="002142B8" w:rsidRDefault="00451BC7" w:rsidP="00C03122">
      <w:pPr>
        <w:numPr>
          <w:ilvl w:val="0"/>
          <w:numId w:val="3"/>
        </w:numPr>
        <w:jc w:val="both"/>
        <w:rPr>
          <w:rFonts w:ascii="Georgia" w:hAnsi="Georgia"/>
          <w:bCs/>
          <w:sz w:val="20"/>
          <w:szCs w:val="20"/>
          <w:lang w:val="lt-LT"/>
        </w:rPr>
      </w:pPr>
      <w:r w:rsidRPr="002142B8">
        <w:rPr>
          <w:rFonts w:ascii="Georgia" w:hAnsi="Georgia"/>
          <w:bCs/>
          <w:sz w:val="20"/>
          <w:szCs w:val="20"/>
          <w:lang w:val="lt-LT"/>
        </w:rPr>
        <w:t>miestų plėtros/energijos efektyvumo/atsinaujinanči</w:t>
      </w:r>
      <w:r w:rsidR="0078681E" w:rsidRPr="002142B8">
        <w:rPr>
          <w:rFonts w:ascii="Georgia" w:hAnsi="Georgia"/>
          <w:bCs/>
          <w:sz w:val="20"/>
          <w:szCs w:val="20"/>
          <w:lang w:val="lt-LT"/>
        </w:rPr>
        <w:t>ų</w:t>
      </w:r>
      <w:r w:rsidRPr="002142B8">
        <w:rPr>
          <w:rFonts w:ascii="Georgia" w:hAnsi="Georgia"/>
          <w:bCs/>
          <w:sz w:val="20"/>
          <w:szCs w:val="20"/>
          <w:lang w:val="lt-LT"/>
        </w:rPr>
        <w:t xml:space="preserve"> energijos išteklių finansinės priemonės ne tik skaičiumi, tačiau ir įgyvendinimo pažanga atsilieka nuo verslui skirtų finansinių priemonių. Tai nulemta </w:t>
      </w:r>
      <w:r w:rsidR="0078681E" w:rsidRPr="002142B8">
        <w:rPr>
          <w:rFonts w:ascii="Georgia" w:hAnsi="Georgia"/>
          <w:bCs/>
          <w:sz w:val="20"/>
          <w:szCs w:val="20"/>
          <w:lang w:val="lt-LT"/>
        </w:rPr>
        <w:t xml:space="preserve">dėl </w:t>
      </w:r>
      <w:r w:rsidRPr="002142B8">
        <w:rPr>
          <w:rFonts w:ascii="Georgia" w:hAnsi="Georgia"/>
          <w:bCs/>
          <w:sz w:val="20"/>
          <w:szCs w:val="20"/>
          <w:lang w:val="lt-LT"/>
        </w:rPr>
        <w:t>jau minėtų priežasčių – poreikio viešajam sektoriui persiorientuoti nuo subsidijų prie kitokio tipo finansinių priemonių, projektų kompleksiškumo ir/ar dydžio;</w:t>
      </w:r>
    </w:p>
    <w:p w14:paraId="55615E4C" w14:textId="77777777" w:rsidR="00451BC7" w:rsidRPr="002142B8" w:rsidRDefault="00451BC7" w:rsidP="00C03122">
      <w:pPr>
        <w:numPr>
          <w:ilvl w:val="0"/>
          <w:numId w:val="3"/>
        </w:numPr>
        <w:jc w:val="both"/>
        <w:rPr>
          <w:rFonts w:ascii="Georgia" w:hAnsi="Georgia"/>
          <w:bCs/>
          <w:sz w:val="20"/>
          <w:szCs w:val="20"/>
          <w:lang w:val="lt-LT"/>
        </w:rPr>
      </w:pPr>
      <w:r w:rsidRPr="002142B8">
        <w:rPr>
          <w:rFonts w:ascii="Georgia" w:hAnsi="Georgia"/>
          <w:bCs/>
          <w:sz w:val="20"/>
          <w:szCs w:val="20"/>
          <w:lang w:val="lt-LT"/>
        </w:rPr>
        <w:t xml:space="preserve">nepaisant to, finansinių priemonių skaičius šiuose sektoriuose auga, viešojo sektoriaus atstovai mato potencialą grįžtamose finansinėse priemonėse ir jau yra sėkmingų tokio tipo finansinių priemonių įgyvendinimo pavyzdžių. Vienas jų yra Lietuvoje įgyvendinamas JESSICA </w:t>
      </w:r>
      <w:r w:rsidR="0078681E" w:rsidRPr="002142B8">
        <w:rPr>
          <w:rFonts w:ascii="Georgia" w:hAnsi="Georgia"/>
          <w:bCs/>
          <w:sz w:val="20"/>
          <w:szCs w:val="20"/>
          <w:lang w:val="lt-LT"/>
        </w:rPr>
        <w:t>KF</w:t>
      </w:r>
      <w:r w:rsidRPr="002142B8">
        <w:rPr>
          <w:rFonts w:ascii="Georgia" w:hAnsi="Georgia"/>
          <w:bCs/>
          <w:sz w:val="20"/>
          <w:szCs w:val="20"/>
          <w:lang w:val="lt-LT"/>
        </w:rPr>
        <w:t>;</w:t>
      </w:r>
    </w:p>
    <w:p w14:paraId="136B6F11" w14:textId="5A4592ED" w:rsidR="00451BC7" w:rsidRPr="002142B8" w:rsidRDefault="00451BC7" w:rsidP="00C03122">
      <w:pPr>
        <w:numPr>
          <w:ilvl w:val="0"/>
          <w:numId w:val="3"/>
        </w:numPr>
        <w:jc w:val="both"/>
        <w:rPr>
          <w:rFonts w:ascii="Georgia" w:hAnsi="Georgia"/>
          <w:bCs/>
          <w:sz w:val="20"/>
          <w:szCs w:val="20"/>
          <w:lang w:val="lt-LT"/>
        </w:rPr>
      </w:pPr>
      <w:r w:rsidRPr="002142B8">
        <w:rPr>
          <w:rFonts w:ascii="Georgia" w:hAnsi="Georgia"/>
          <w:bCs/>
          <w:sz w:val="20"/>
          <w:szCs w:val="20"/>
          <w:lang w:val="lt-LT"/>
        </w:rPr>
        <w:t>dominuoja smulkūs projektai (apie 100</w:t>
      </w:r>
      <w:r w:rsidR="00035974" w:rsidRPr="002142B8">
        <w:rPr>
          <w:rFonts w:ascii="Georgia" w:hAnsi="Georgia"/>
          <w:bCs/>
          <w:sz w:val="20"/>
          <w:szCs w:val="20"/>
          <w:lang w:val="lt-LT"/>
        </w:rPr>
        <w:t xml:space="preserve"> </w:t>
      </w:r>
      <w:r w:rsidRPr="002142B8">
        <w:rPr>
          <w:rFonts w:ascii="Georgia" w:hAnsi="Georgia"/>
          <w:bCs/>
          <w:sz w:val="20"/>
          <w:szCs w:val="20"/>
          <w:lang w:val="lt-LT"/>
        </w:rPr>
        <w:t>000 eurų);</w:t>
      </w:r>
    </w:p>
    <w:p w14:paraId="1B909068" w14:textId="77777777" w:rsidR="00451BC7" w:rsidRPr="002142B8" w:rsidRDefault="00451BC7" w:rsidP="00C03122">
      <w:pPr>
        <w:numPr>
          <w:ilvl w:val="0"/>
          <w:numId w:val="3"/>
        </w:numPr>
        <w:jc w:val="both"/>
        <w:rPr>
          <w:rFonts w:ascii="Georgia" w:hAnsi="Georgia"/>
          <w:bCs/>
          <w:sz w:val="20"/>
          <w:szCs w:val="20"/>
          <w:lang w:val="lt-LT"/>
        </w:rPr>
      </w:pPr>
      <w:r w:rsidRPr="002142B8">
        <w:rPr>
          <w:rFonts w:ascii="Georgia" w:hAnsi="Georgia"/>
          <w:bCs/>
          <w:sz w:val="20"/>
          <w:szCs w:val="20"/>
          <w:lang w:val="lt-LT"/>
        </w:rPr>
        <w:t xml:space="preserve">2007-2013 m. periodu energijos efektyvumo/atsinaujinančių energijos išteklių priemonės dažniausiai steigiamos be kontroliuojančiųjų fondų. Iki tol šios srities projektai buvo finansuojami kaip miestų plėtros projektai, pvz., Lietuvos JESSICA </w:t>
      </w:r>
      <w:r w:rsidR="0078681E" w:rsidRPr="002142B8">
        <w:rPr>
          <w:rFonts w:ascii="Georgia" w:hAnsi="Georgia"/>
          <w:bCs/>
          <w:sz w:val="20"/>
          <w:szCs w:val="20"/>
          <w:lang w:val="lt-LT"/>
        </w:rPr>
        <w:t>KF</w:t>
      </w:r>
      <w:r w:rsidRPr="002142B8">
        <w:rPr>
          <w:rFonts w:ascii="Georgia" w:hAnsi="Georgia"/>
          <w:bCs/>
          <w:sz w:val="20"/>
          <w:szCs w:val="20"/>
          <w:lang w:val="lt-LT"/>
        </w:rPr>
        <w:t>, kurio lėšomis finansuoti energijos efektyvumo projektai daugiabučiuose namuose;</w:t>
      </w:r>
    </w:p>
    <w:p w14:paraId="1400A639" w14:textId="77777777" w:rsidR="00451BC7" w:rsidRPr="002142B8" w:rsidRDefault="00451BC7" w:rsidP="00C03122">
      <w:pPr>
        <w:numPr>
          <w:ilvl w:val="0"/>
          <w:numId w:val="3"/>
        </w:numPr>
        <w:jc w:val="both"/>
        <w:rPr>
          <w:rFonts w:ascii="Georgia" w:hAnsi="Georgia"/>
          <w:sz w:val="20"/>
          <w:szCs w:val="20"/>
          <w:lang w:val="lt-LT"/>
        </w:rPr>
      </w:pPr>
      <w:r w:rsidRPr="002142B8">
        <w:rPr>
          <w:rFonts w:ascii="Georgia" w:hAnsi="Georgia"/>
          <w:bCs/>
          <w:sz w:val="20"/>
          <w:szCs w:val="20"/>
          <w:lang w:val="lt-LT"/>
        </w:rPr>
        <w:t>2012 m. pabaigos duomenimis aptariamuose sektoriuose buvo siūlomos lengvatinės paskolos ir investicijos į kapitalą. Paskolos yra patraukliausi finansiniai produktai būsto projektams, nes yra tinkamos projektams, turintiems gana ilgą atsipirkimo laiką ir mažas kapitalo sąnaudas bei atitinka būsto projektų rizikos lygį ir tikėtiną grąžą.</w:t>
      </w:r>
    </w:p>
    <w:p w14:paraId="77F59446" w14:textId="77777777" w:rsidR="00451BC7" w:rsidRPr="002142B8" w:rsidRDefault="00451BC7" w:rsidP="00162BF5">
      <w:pPr>
        <w:pStyle w:val="Antrat2"/>
        <w:numPr>
          <w:ilvl w:val="1"/>
          <w:numId w:val="19"/>
        </w:numPr>
        <w:spacing w:after="240"/>
        <w:ind w:left="709"/>
        <w:rPr>
          <w:lang w:val="lt-LT"/>
        </w:rPr>
      </w:pPr>
      <w:bookmarkStart w:id="321" w:name="_Toc25589959"/>
      <w:r w:rsidRPr="002142B8">
        <w:rPr>
          <w:lang w:val="lt-LT"/>
        </w:rPr>
        <w:lastRenderedPageBreak/>
        <w:t>Įgyta patirtis bei atvejų studijos</w:t>
      </w:r>
      <w:bookmarkEnd w:id="321"/>
    </w:p>
    <w:p w14:paraId="23462AC8" w14:textId="588F2A9A" w:rsidR="00451BC7" w:rsidRPr="002142B8" w:rsidRDefault="00451BC7" w:rsidP="00451BC7">
      <w:pPr>
        <w:jc w:val="both"/>
        <w:rPr>
          <w:rFonts w:ascii="Georgia" w:hAnsi="Georgia"/>
          <w:bCs/>
          <w:sz w:val="20"/>
          <w:szCs w:val="20"/>
          <w:lang w:val="lt-LT"/>
        </w:rPr>
      </w:pPr>
      <w:r w:rsidRPr="002142B8">
        <w:rPr>
          <w:rFonts w:ascii="Georgia" w:hAnsi="Georgia"/>
          <w:bCs/>
          <w:sz w:val="20"/>
          <w:szCs w:val="20"/>
          <w:lang w:val="lt-LT"/>
        </w:rPr>
        <w:t xml:space="preserve">Identifikuojant finansinių priemonių patirtį buvo išanalizuoti 2014-2020 m. </w:t>
      </w:r>
      <w:r w:rsidR="0078681E" w:rsidRPr="002142B8">
        <w:rPr>
          <w:rFonts w:ascii="Georgia" w:hAnsi="Georgia"/>
          <w:bCs/>
          <w:sz w:val="20"/>
          <w:szCs w:val="20"/>
          <w:lang w:val="lt-LT"/>
        </w:rPr>
        <w:t>period</w:t>
      </w:r>
      <w:r w:rsidRPr="002142B8">
        <w:rPr>
          <w:rFonts w:ascii="Georgia" w:hAnsi="Georgia"/>
          <w:bCs/>
          <w:sz w:val="20"/>
          <w:szCs w:val="20"/>
          <w:lang w:val="lt-LT"/>
        </w:rPr>
        <w:t xml:space="preserve">o finansinių priemonių </w:t>
      </w:r>
      <w:r w:rsidR="0078681E" w:rsidRPr="002142B8">
        <w:rPr>
          <w:rFonts w:ascii="Georgia" w:hAnsi="Georgia"/>
          <w:bCs/>
          <w:sz w:val="20"/>
          <w:szCs w:val="20"/>
          <w:lang w:val="lt-LT"/>
        </w:rPr>
        <w:t>e</w:t>
      </w:r>
      <w:r w:rsidR="00300FF4" w:rsidRPr="002142B8">
        <w:rPr>
          <w:rFonts w:ascii="Georgia" w:hAnsi="Georgia"/>
          <w:bCs/>
          <w:sz w:val="20"/>
          <w:szCs w:val="20"/>
          <w:lang w:val="lt-LT"/>
        </w:rPr>
        <w:t>x-ante</w:t>
      </w:r>
      <w:r w:rsidRPr="002142B8">
        <w:rPr>
          <w:rFonts w:ascii="Georgia" w:hAnsi="Georgia"/>
          <w:bCs/>
          <w:sz w:val="20"/>
          <w:szCs w:val="20"/>
          <w:lang w:val="lt-LT"/>
        </w:rPr>
        <w:t xml:space="preserve"> vertinimo metodikoje rekomenduojami pagrindiniai informacijos šaltiniai, taip pat kiti šaltiniai, nagrinėjantys energijos efektyvumo priemonių įgyvendinimo patirtį 2007-2013 m. </w:t>
      </w:r>
      <w:r w:rsidR="0078681E" w:rsidRPr="002142B8">
        <w:rPr>
          <w:rFonts w:ascii="Georgia" w:hAnsi="Georgia"/>
          <w:bCs/>
          <w:sz w:val="20"/>
          <w:szCs w:val="20"/>
          <w:lang w:val="lt-LT"/>
        </w:rPr>
        <w:t>periodu</w:t>
      </w:r>
      <w:r w:rsidRPr="002142B8">
        <w:rPr>
          <w:rFonts w:ascii="Georgia" w:hAnsi="Georgia"/>
          <w:bCs/>
          <w:sz w:val="20"/>
          <w:szCs w:val="20"/>
          <w:lang w:val="lt-LT"/>
        </w:rPr>
        <w:t>, atlikti interviu su atsakingų institucijų darbuotojais.</w:t>
      </w:r>
    </w:p>
    <w:p w14:paraId="55E3FD1E" w14:textId="77777777" w:rsidR="00451BC7" w:rsidRPr="002142B8" w:rsidRDefault="00451BC7" w:rsidP="00451BC7">
      <w:pPr>
        <w:jc w:val="both"/>
        <w:rPr>
          <w:rFonts w:ascii="Georgia" w:hAnsi="Georgia"/>
          <w:bCs/>
          <w:sz w:val="20"/>
          <w:szCs w:val="20"/>
          <w:lang w:val="lt-LT"/>
        </w:rPr>
      </w:pPr>
      <w:r w:rsidRPr="002142B8">
        <w:rPr>
          <w:rFonts w:ascii="Georgia" w:hAnsi="Georgia"/>
          <w:bCs/>
          <w:sz w:val="20"/>
          <w:szCs w:val="20"/>
          <w:lang w:val="lt-LT"/>
        </w:rPr>
        <w:t>Identifikuojant išmoktas pamokas buvo išanalizuota:</w:t>
      </w:r>
    </w:p>
    <w:p w14:paraId="26724629" w14:textId="77777777" w:rsidR="00451BC7" w:rsidRPr="002142B8" w:rsidRDefault="00451BC7" w:rsidP="00C03122">
      <w:pPr>
        <w:numPr>
          <w:ilvl w:val="0"/>
          <w:numId w:val="4"/>
        </w:numPr>
        <w:spacing w:after="0"/>
        <w:ind w:left="714" w:hanging="357"/>
        <w:jc w:val="both"/>
        <w:rPr>
          <w:rFonts w:ascii="Georgia" w:hAnsi="Georgia"/>
          <w:bCs/>
          <w:sz w:val="20"/>
          <w:szCs w:val="20"/>
          <w:lang w:val="lt-LT"/>
        </w:rPr>
      </w:pPr>
      <w:r w:rsidRPr="002142B8">
        <w:rPr>
          <w:rFonts w:ascii="Georgia" w:hAnsi="Georgia"/>
          <w:bCs/>
          <w:sz w:val="20"/>
          <w:szCs w:val="20"/>
          <w:lang w:val="lt-LT"/>
        </w:rPr>
        <w:t xml:space="preserve">Europos Audito Rūmų 2012 m. specialioji ataskaita Nr. 2 „Iš </w:t>
      </w:r>
      <w:r w:rsidR="0078681E" w:rsidRPr="002142B8">
        <w:rPr>
          <w:rFonts w:ascii="Georgia" w:hAnsi="Georgia"/>
          <w:bCs/>
          <w:sz w:val="20"/>
          <w:szCs w:val="20"/>
          <w:lang w:val="lt-LT"/>
        </w:rPr>
        <w:t>ERPF</w:t>
      </w:r>
      <w:r w:rsidRPr="002142B8">
        <w:rPr>
          <w:rFonts w:ascii="Georgia" w:hAnsi="Georgia"/>
          <w:bCs/>
          <w:sz w:val="20"/>
          <w:szCs w:val="20"/>
          <w:lang w:val="lt-LT"/>
        </w:rPr>
        <w:t xml:space="preserve"> bendrai finansuoto MVĮ skirtos finansinės priemonės“</w:t>
      </w:r>
      <w:r w:rsidRPr="002142B8">
        <w:rPr>
          <w:rFonts w:ascii="Georgia" w:hAnsi="Georgia"/>
          <w:sz w:val="20"/>
          <w:szCs w:val="20"/>
          <w:vertAlign w:val="superscript"/>
          <w:lang w:val="lt-LT"/>
        </w:rPr>
        <w:footnoteReference w:id="173"/>
      </w:r>
      <w:r w:rsidRPr="002142B8">
        <w:rPr>
          <w:rFonts w:ascii="Georgia" w:hAnsi="Georgia"/>
          <w:bCs/>
          <w:sz w:val="20"/>
          <w:szCs w:val="20"/>
          <w:lang w:val="lt-LT"/>
        </w:rPr>
        <w:t>;</w:t>
      </w:r>
    </w:p>
    <w:p w14:paraId="08FA59B5" w14:textId="77777777" w:rsidR="00451BC7" w:rsidRPr="002142B8" w:rsidRDefault="00451BC7" w:rsidP="00C03122">
      <w:pPr>
        <w:numPr>
          <w:ilvl w:val="0"/>
          <w:numId w:val="4"/>
        </w:numPr>
        <w:spacing w:after="0"/>
        <w:ind w:left="714" w:hanging="357"/>
        <w:jc w:val="both"/>
        <w:rPr>
          <w:rFonts w:ascii="Georgia" w:hAnsi="Georgia"/>
          <w:bCs/>
          <w:sz w:val="20"/>
          <w:szCs w:val="20"/>
          <w:lang w:val="lt-LT"/>
        </w:rPr>
      </w:pPr>
      <w:r w:rsidRPr="002142B8">
        <w:rPr>
          <w:rFonts w:ascii="Georgia" w:hAnsi="Georgia"/>
          <w:bCs/>
          <w:sz w:val="20"/>
          <w:szCs w:val="20"/>
          <w:lang w:val="lt-LT"/>
        </w:rPr>
        <w:t>DG REGIO 2013 m. rugsėjo 19 d. metinė ataskaita apie finansinių priemonių įgyvendinimo pažangą, kurioje pateikiami duomenys apie situaciją 2012 m. gruodžio 31 d.;</w:t>
      </w:r>
    </w:p>
    <w:p w14:paraId="07501AD2" w14:textId="77777777" w:rsidR="00451BC7" w:rsidRPr="002142B8" w:rsidRDefault="00451BC7" w:rsidP="00C03122">
      <w:pPr>
        <w:numPr>
          <w:ilvl w:val="0"/>
          <w:numId w:val="4"/>
        </w:numPr>
        <w:spacing w:after="0"/>
        <w:ind w:left="714" w:hanging="357"/>
        <w:jc w:val="both"/>
        <w:rPr>
          <w:rFonts w:ascii="Georgia" w:hAnsi="Georgia"/>
          <w:bCs/>
          <w:sz w:val="20"/>
          <w:szCs w:val="20"/>
          <w:lang w:val="lt-LT"/>
        </w:rPr>
      </w:pPr>
      <w:r w:rsidRPr="002142B8">
        <w:rPr>
          <w:rFonts w:ascii="Georgia" w:hAnsi="Georgia"/>
          <w:bCs/>
          <w:sz w:val="20"/>
          <w:szCs w:val="20"/>
          <w:lang w:val="lt-LT"/>
        </w:rPr>
        <w:t>audito ataskaitos: Lietuvos Respublikos valstybės kontrolė</w:t>
      </w:r>
      <w:r w:rsidR="0078681E" w:rsidRPr="002142B8">
        <w:rPr>
          <w:rFonts w:ascii="Georgia" w:hAnsi="Georgia"/>
          <w:bCs/>
          <w:sz w:val="20"/>
          <w:szCs w:val="20"/>
          <w:lang w:val="lt-LT"/>
        </w:rPr>
        <w:t>s</w:t>
      </w:r>
      <w:r w:rsidRPr="002142B8">
        <w:rPr>
          <w:rFonts w:ascii="Georgia" w:hAnsi="Georgia"/>
          <w:bCs/>
          <w:sz w:val="20"/>
          <w:szCs w:val="20"/>
          <w:lang w:val="lt-LT"/>
        </w:rPr>
        <w:t xml:space="preserve"> Valstybinio audito ataskaita „Daugiabučių namų atnaujinimas (modernizavimas)“, 2010 m. rugsėjo 10 d., Nr. VA-P-20-1-14, Lietuvos Respublikos valstybės kontrolė Valstybinio audito ataskaita „Dėl veiksmų programų, įgyvendinančių Lietuvos 2007-2013 m. ES struktūrinės paramos panaudojimo strategiją Konvergencijos tikslui įgyvendinti, valdymo ir kontrolės sistemos veikimo bei Europos Komisijai 2011 metais deklaruotų išlaidų (metinė kontrolės ataskaita pagal reglamento (EB) Nr. 1083/2006 62 str.), 2012 m. gruodžio 20 d. Nr. FA-P-80-1-62;</w:t>
      </w:r>
    </w:p>
    <w:p w14:paraId="2721A842" w14:textId="07624B70" w:rsidR="00451BC7" w:rsidRPr="002142B8" w:rsidRDefault="00451BC7" w:rsidP="00C03122">
      <w:pPr>
        <w:numPr>
          <w:ilvl w:val="0"/>
          <w:numId w:val="4"/>
        </w:numPr>
        <w:spacing w:after="0"/>
        <w:ind w:left="714" w:hanging="357"/>
        <w:jc w:val="both"/>
        <w:rPr>
          <w:rFonts w:ascii="Georgia" w:hAnsi="Georgia"/>
          <w:bCs/>
          <w:sz w:val="20"/>
          <w:szCs w:val="20"/>
          <w:lang w:val="lt-LT"/>
        </w:rPr>
      </w:pPr>
      <w:r w:rsidRPr="002142B8">
        <w:rPr>
          <w:rFonts w:ascii="Georgia" w:hAnsi="Georgia"/>
          <w:bCs/>
          <w:sz w:val="20"/>
          <w:szCs w:val="20"/>
          <w:lang w:val="lt-LT"/>
        </w:rPr>
        <w:t>taip pat kiti dokumentai/studijos, pvz., Europos Komisijos tarnybų darbo dokumentas „Finansinių priemonių panaudojimas įgyvendinant Sanglaudos politiką“ Briuselis, 27.2.2012 SWD(2012) 36 galutinis</w:t>
      </w:r>
      <w:r w:rsidRPr="002142B8">
        <w:rPr>
          <w:rFonts w:ascii="Georgia" w:hAnsi="Georgia"/>
          <w:bCs/>
          <w:sz w:val="20"/>
          <w:szCs w:val="20"/>
          <w:vertAlign w:val="superscript"/>
          <w:lang w:val="lt-LT"/>
        </w:rPr>
        <w:footnoteReference w:id="174"/>
      </w:r>
      <w:r w:rsidRPr="002142B8">
        <w:rPr>
          <w:rFonts w:ascii="Georgia" w:hAnsi="Georgia"/>
          <w:bCs/>
          <w:sz w:val="20"/>
          <w:szCs w:val="20"/>
          <w:lang w:val="lt-LT"/>
        </w:rPr>
        <w:t>; Europos Komisij</w:t>
      </w:r>
      <w:r w:rsidR="00394EBB" w:rsidRPr="002142B8">
        <w:rPr>
          <w:rFonts w:ascii="Georgia" w:hAnsi="Georgia"/>
          <w:bCs/>
          <w:sz w:val="20"/>
          <w:szCs w:val="20"/>
          <w:lang w:val="lt-LT"/>
        </w:rPr>
        <w:t>os</w:t>
      </w:r>
      <w:r w:rsidRPr="002142B8">
        <w:rPr>
          <w:rFonts w:ascii="Georgia" w:hAnsi="Georgia"/>
          <w:bCs/>
          <w:sz w:val="20"/>
          <w:szCs w:val="20"/>
          <w:lang w:val="lt-LT"/>
        </w:rPr>
        <w:t xml:space="preserve">, </w:t>
      </w:r>
      <w:r w:rsidR="0078681E" w:rsidRPr="002142B8">
        <w:rPr>
          <w:rFonts w:ascii="Georgia" w:hAnsi="Georgia"/>
          <w:bCs/>
          <w:sz w:val="20"/>
          <w:szCs w:val="20"/>
          <w:lang w:val="lt-LT"/>
        </w:rPr>
        <w:t>EIB ir</w:t>
      </w:r>
      <w:r w:rsidRPr="002142B8">
        <w:rPr>
          <w:rFonts w:ascii="Georgia" w:hAnsi="Georgia"/>
          <w:bCs/>
          <w:sz w:val="20"/>
          <w:szCs w:val="20"/>
          <w:lang w:val="lt-LT"/>
        </w:rPr>
        <w:t xml:space="preserve"> </w:t>
      </w:r>
      <w:r w:rsidR="0078681E" w:rsidRPr="002142B8">
        <w:rPr>
          <w:rFonts w:ascii="Georgia" w:hAnsi="Georgia"/>
          <w:bCs/>
          <w:sz w:val="20"/>
          <w:szCs w:val="20"/>
          <w:lang w:val="lt-LT"/>
        </w:rPr>
        <w:t>CEB ataskaita</w:t>
      </w:r>
      <w:r w:rsidRPr="002142B8">
        <w:rPr>
          <w:rFonts w:ascii="Georgia" w:hAnsi="Georgia"/>
          <w:bCs/>
          <w:sz w:val="20"/>
          <w:szCs w:val="20"/>
          <w:lang w:val="lt-LT"/>
        </w:rPr>
        <w:t xml:space="preserve"> „JESSICA įgyvendinimo finansinis valdymas, </w:t>
      </w:r>
      <w:r w:rsidR="0078681E" w:rsidRPr="002142B8">
        <w:rPr>
          <w:rFonts w:ascii="Georgia" w:hAnsi="Georgia"/>
          <w:bCs/>
          <w:sz w:val="20"/>
          <w:szCs w:val="20"/>
          <w:lang w:val="lt-LT"/>
        </w:rPr>
        <w:t>g</w:t>
      </w:r>
      <w:r w:rsidRPr="002142B8">
        <w:rPr>
          <w:rFonts w:ascii="Georgia" w:hAnsi="Georgia"/>
          <w:bCs/>
          <w:sz w:val="20"/>
          <w:szCs w:val="20"/>
          <w:lang w:val="lt-LT"/>
        </w:rPr>
        <w:t>arantijų priemonių projektavimas“, 2013 m. liepa</w:t>
      </w:r>
      <w:r w:rsidRPr="002142B8">
        <w:rPr>
          <w:rFonts w:ascii="Georgia" w:hAnsi="Georgia"/>
          <w:sz w:val="20"/>
          <w:szCs w:val="20"/>
          <w:vertAlign w:val="superscript"/>
          <w:lang w:val="lt-LT"/>
        </w:rPr>
        <w:footnoteReference w:id="175"/>
      </w:r>
      <w:r w:rsidRPr="002142B8">
        <w:rPr>
          <w:rFonts w:ascii="Georgia" w:hAnsi="Georgia"/>
          <w:bCs/>
          <w:sz w:val="20"/>
          <w:szCs w:val="20"/>
          <w:lang w:val="lt-LT"/>
        </w:rPr>
        <w:t xml:space="preserve">; </w:t>
      </w:r>
      <w:r w:rsidR="00394EBB" w:rsidRPr="002142B8">
        <w:rPr>
          <w:rFonts w:ascii="Georgia" w:hAnsi="Georgia"/>
          <w:bCs/>
          <w:sz w:val="20"/>
          <w:szCs w:val="20"/>
          <w:lang w:val="lt-LT"/>
        </w:rPr>
        <w:t>EIB apžvalga</w:t>
      </w:r>
      <w:r w:rsidRPr="002142B8">
        <w:rPr>
          <w:rFonts w:ascii="Georgia" w:hAnsi="Georgia"/>
          <w:bCs/>
          <w:sz w:val="20"/>
          <w:szCs w:val="20"/>
          <w:lang w:val="lt-LT"/>
        </w:rPr>
        <w:t xml:space="preserve"> „Energijos sektoriaus miestų plėtros fondai“, 2012 m. gruodis</w:t>
      </w:r>
      <w:r w:rsidRPr="002142B8">
        <w:rPr>
          <w:rFonts w:ascii="Georgia" w:hAnsi="Georgia"/>
          <w:sz w:val="20"/>
          <w:szCs w:val="20"/>
          <w:vertAlign w:val="superscript"/>
          <w:lang w:val="lt-LT"/>
        </w:rPr>
        <w:footnoteReference w:id="176"/>
      </w:r>
      <w:r w:rsidR="00394EBB" w:rsidRPr="002142B8">
        <w:rPr>
          <w:rFonts w:ascii="Georgia" w:hAnsi="Georgia"/>
          <w:bCs/>
          <w:sz w:val="20"/>
          <w:szCs w:val="20"/>
          <w:lang w:val="lt-LT"/>
        </w:rPr>
        <w:t>;</w:t>
      </w:r>
      <w:r w:rsidRPr="002142B8">
        <w:rPr>
          <w:rFonts w:ascii="Georgia" w:hAnsi="Georgia"/>
          <w:bCs/>
          <w:sz w:val="20"/>
          <w:szCs w:val="20"/>
          <w:lang w:val="lt-LT"/>
        </w:rPr>
        <w:t xml:space="preserve"> Europos Komisij</w:t>
      </w:r>
      <w:r w:rsidR="00394EBB" w:rsidRPr="002142B8">
        <w:rPr>
          <w:rFonts w:ascii="Georgia" w:hAnsi="Georgia"/>
          <w:bCs/>
          <w:sz w:val="20"/>
          <w:szCs w:val="20"/>
          <w:lang w:val="lt-LT"/>
        </w:rPr>
        <w:t>os</w:t>
      </w:r>
      <w:r w:rsidRPr="002142B8">
        <w:rPr>
          <w:rFonts w:ascii="Georgia" w:hAnsi="Georgia"/>
          <w:bCs/>
          <w:sz w:val="20"/>
          <w:szCs w:val="20"/>
          <w:lang w:val="lt-LT"/>
        </w:rPr>
        <w:t xml:space="preserve">, </w:t>
      </w:r>
      <w:r w:rsidR="00394EBB" w:rsidRPr="002142B8">
        <w:rPr>
          <w:rFonts w:ascii="Georgia" w:hAnsi="Georgia"/>
          <w:bCs/>
          <w:sz w:val="20"/>
          <w:szCs w:val="20"/>
          <w:lang w:val="lt-LT"/>
        </w:rPr>
        <w:t xml:space="preserve">EIB ir </w:t>
      </w:r>
      <w:r w:rsidR="0011549E" w:rsidRPr="002142B8">
        <w:rPr>
          <w:rFonts w:ascii="Georgia" w:hAnsi="Georgia"/>
          <w:bCs/>
          <w:sz w:val="20"/>
          <w:szCs w:val="20"/>
          <w:lang w:val="lt-LT"/>
        </w:rPr>
        <w:t xml:space="preserve">ETVB </w:t>
      </w:r>
      <w:r w:rsidR="00394EBB" w:rsidRPr="002142B8">
        <w:rPr>
          <w:rFonts w:ascii="Georgia" w:hAnsi="Georgia"/>
          <w:bCs/>
          <w:sz w:val="20"/>
          <w:szCs w:val="20"/>
          <w:lang w:val="lt-LT"/>
        </w:rPr>
        <w:t>ataskaita</w:t>
      </w:r>
      <w:r w:rsidRPr="002142B8">
        <w:rPr>
          <w:rFonts w:ascii="Georgia" w:hAnsi="Georgia"/>
          <w:bCs/>
          <w:sz w:val="20"/>
          <w:szCs w:val="20"/>
          <w:lang w:val="lt-LT"/>
        </w:rPr>
        <w:t xml:space="preserve"> „JESSICA iniciatyva būsto sektoriuje“, 2013 m. birželis</w:t>
      </w:r>
      <w:r w:rsidRPr="002142B8">
        <w:rPr>
          <w:rFonts w:ascii="Georgia" w:hAnsi="Georgia"/>
          <w:bCs/>
          <w:sz w:val="20"/>
          <w:szCs w:val="20"/>
          <w:vertAlign w:val="superscript"/>
          <w:lang w:val="lt-LT"/>
        </w:rPr>
        <w:footnoteReference w:id="177"/>
      </w:r>
      <w:r w:rsidRPr="002142B8">
        <w:rPr>
          <w:rFonts w:ascii="Georgia" w:hAnsi="Georgia"/>
          <w:bCs/>
          <w:sz w:val="20"/>
          <w:szCs w:val="20"/>
          <w:lang w:val="lt-LT"/>
        </w:rPr>
        <w:t xml:space="preserve"> ir t. t.</w:t>
      </w:r>
    </w:p>
    <w:p w14:paraId="5140A7C5" w14:textId="77777777" w:rsidR="00451BC7" w:rsidRPr="002142B8" w:rsidRDefault="00451BC7" w:rsidP="00451BC7">
      <w:pPr>
        <w:jc w:val="both"/>
        <w:rPr>
          <w:rFonts w:ascii="Georgia" w:hAnsi="Georgia"/>
          <w:sz w:val="20"/>
          <w:szCs w:val="20"/>
          <w:lang w:val="lt-LT"/>
        </w:rPr>
      </w:pPr>
    </w:p>
    <w:p w14:paraId="3871087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Aktualios pamokos sugrupuotos pagal finansinių priemonių įgyvendinimo ciklą. Žemiau pateikiami apibendrinti analizės rezultatai.</w:t>
      </w:r>
    </w:p>
    <w:p w14:paraId="635E4CD0" w14:textId="77777777" w:rsidR="00451BC7" w:rsidRPr="002142B8" w:rsidRDefault="00451BC7" w:rsidP="00451BC7">
      <w:pPr>
        <w:pStyle w:val="Pagrindinistekstas"/>
        <w:rPr>
          <w:i/>
          <w:lang w:val="lt-LT"/>
        </w:rPr>
      </w:pPr>
      <w:r w:rsidRPr="002142B8">
        <w:rPr>
          <w:i/>
          <w:lang w:val="lt-LT"/>
        </w:rPr>
        <w:t>Finansinių priemonių patirtis pagal įgyvendinimo ciklą</w:t>
      </w:r>
    </w:p>
    <w:p w14:paraId="33B5BF60" w14:textId="77777777" w:rsidR="00451BC7" w:rsidRPr="002142B8" w:rsidRDefault="00451BC7" w:rsidP="00451BC7">
      <w:pPr>
        <w:jc w:val="both"/>
        <w:rPr>
          <w:rFonts w:ascii="Georgia" w:hAnsi="Georgia"/>
          <w:i/>
          <w:sz w:val="20"/>
          <w:szCs w:val="20"/>
          <w:lang w:val="lt-LT"/>
        </w:rPr>
      </w:pPr>
      <w:r w:rsidRPr="002142B8">
        <w:rPr>
          <w:rFonts w:ascii="Georgia" w:hAnsi="Georgia"/>
          <w:i/>
          <w:sz w:val="20"/>
          <w:szCs w:val="20"/>
          <w:lang w:val="lt-LT"/>
        </w:rPr>
        <w:t>Vizijos ir tikslų nustatymas</w:t>
      </w:r>
    </w:p>
    <w:p w14:paraId="5E7B8A5C"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Kuriant finansines priemones svarbu užtikrinti, jog priemonės vizija ir tikslai atitiktų regiono/tikslinės teritorijos strateginiuose dokumentuose apibrėžtus tikslus ir prisidėtų prie jų įgyvendinimo. Tikslai turi būti savalaikiai, konkretūs ir pasiekiami.</w:t>
      </w:r>
    </w:p>
    <w:p w14:paraId="4477C603"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 xml:space="preserve">Sutartys dėl energijos vartojimo efektyvumo </w:t>
      </w:r>
      <w:r w:rsidRPr="002142B8">
        <w:rPr>
          <w:rFonts w:ascii="Georgia" w:hAnsi="Georgia"/>
          <w:sz w:val="20"/>
          <w:szCs w:val="20"/>
          <w:lang w:val="lt-LT"/>
        </w:rPr>
        <w:t>(ESCO)</w:t>
      </w:r>
    </w:p>
    <w:p w14:paraId="41F42BB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ESCO turi potencialą tapti standartizuotu ir plačiai naudojamu miestų energijos efektyvumo projektų įgyvendinimo modeliu.</w:t>
      </w:r>
    </w:p>
    <w:p w14:paraId="4F3E0863"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Remiantis Vokietijos gerąja patirtimi</w:t>
      </w:r>
      <w:r w:rsidRPr="002142B8">
        <w:rPr>
          <w:rFonts w:ascii="Georgia" w:hAnsi="Georgia"/>
          <w:sz w:val="20"/>
          <w:szCs w:val="20"/>
          <w:vertAlign w:val="superscript"/>
          <w:lang w:val="lt-LT"/>
        </w:rPr>
        <w:footnoteReference w:id="178"/>
      </w:r>
      <w:r w:rsidRPr="002142B8">
        <w:rPr>
          <w:rFonts w:ascii="Georgia" w:hAnsi="Georgia"/>
          <w:sz w:val="20"/>
          <w:szCs w:val="20"/>
          <w:lang w:val="lt-LT"/>
        </w:rPr>
        <w:t xml:space="preserve">, institucijos, norėdamos skatinti ESCO, turėtų visų pirma pasirūpinti parama šiai koncepcijai aukščiausiu politiniu lygiu, taip pat stabilios teisinės bazės sukūrimu, nustatyti patikimų ESCO įmonių sąrašą, išanalizuoti pastatų/projektų grupavimo </w:t>
      </w:r>
      <w:r w:rsidRPr="002142B8">
        <w:rPr>
          <w:rFonts w:ascii="Georgia" w:hAnsi="Georgia"/>
          <w:sz w:val="20"/>
          <w:szCs w:val="20"/>
          <w:lang w:val="lt-LT"/>
        </w:rPr>
        <w:lastRenderedPageBreak/>
        <w:t>galimybes, leisti ESCO būti miestų plėtros fondų finansavimo galutiniais naudos gavėjais, užtikrinti tinkamą techninę pagalbą ir pasiūlyti standartizuotas dokumentų formas.</w:t>
      </w:r>
    </w:p>
    <w:p w14:paraId="19D48FF0"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Struktūra</w:t>
      </w:r>
    </w:p>
    <w:p w14:paraId="0AA2B91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2007-2013 m. </w:t>
      </w:r>
      <w:r w:rsidR="00381237" w:rsidRPr="002142B8">
        <w:rPr>
          <w:rFonts w:ascii="Georgia" w:hAnsi="Georgia"/>
          <w:sz w:val="20"/>
          <w:szCs w:val="20"/>
          <w:lang w:val="lt-LT"/>
        </w:rPr>
        <w:t>periodu</w:t>
      </w:r>
      <w:r w:rsidRPr="002142B8">
        <w:rPr>
          <w:rFonts w:ascii="Georgia" w:hAnsi="Georgia"/>
          <w:sz w:val="20"/>
          <w:szCs w:val="20"/>
          <w:lang w:val="lt-LT"/>
        </w:rPr>
        <w:t xml:space="preserve"> miestų plėtros fondai, kurie finansavo gyvenamųjų namų sektorių, buvo daugiausiai įsteigti kaip esamos finansų įstaigos ar banko atskiras finansinis padalinys. Ši organizacinė struktūra turi savo privalumų investuojant į atskirus būstus, kadangi finansinis tarpininkas gali pasinaudoti savo klientų duomenų baze. Vienas iš paskolų rizikos perkėlimo vietinėms finansų institucijoms privalumų yra tai, kad finansinės institucijos turi informaciją apie paskolos gavėjų kredito istoriją ir gali geriau įvertinti paskolų teikimo jiems riziką ir grąžą.</w:t>
      </w:r>
    </w:p>
    <w:p w14:paraId="1FA36519"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Tuo tarpu, kai kalbama apie socialinio būsto projektus, tinkamesnis galėtų būti atskiro juridinio asmens steigimas (pvz., specialaus būsto fondo), kadangi skiriasi galutiniai naudos gavėjai, susijusios rizikos ir investicijų grąža. Socialinio būsto projektuose paprastai dalyvauja didesnis būstų skaičius, paskolą ima ir grąžina vietos savivaldos institucijos arba socialinio būsto organizacijos. Socialinio būsto projektų rizika yra mažesnė, kadangi savivaldos institucijos arba socialinio būsto organizacijos paprastai turi aukštą kredito reitingą. Specialus fondas investuoja, pritraukia ir koordinuoja finansavimą iš įvairių šaltinių, veikia kaip tarpininkas tarp suinteresuotų šalių ir gali greitai pasiekti būtiną techninę ekspertizę įgyvendinant didelės apimties projektus. Analogiški principai taikomi ir kitoms energijos efektyvumo sektoriaus sritims.</w:t>
      </w:r>
    </w:p>
    <w:p w14:paraId="5A6A3D5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Modeliams, kurie daugiausiai skirti finansuoti energijos efektyvumo priemones individualiuose gyvenamuosiuose namuose arba daugiabučiuose gyvenamuosiuose namuose, rekomenduojama struktūra, kurioje kontroliuojantysis fondas finansiniams tarpininkams suteikia finansavimą kaip kredito liniją arba skolos finansinę priemonę.</w:t>
      </w:r>
    </w:p>
    <w:p w14:paraId="38BFCA22"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Ilgai trunkantis steigimo procesas</w:t>
      </w:r>
    </w:p>
    <w:p w14:paraId="30BA558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Finansinės priemonės reikalauja didesnių laiko sąnaudų jas sukurti ir yra </w:t>
      </w:r>
      <w:r w:rsidR="00381237" w:rsidRPr="002142B8">
        <w:rPr>
          <w:rFonts w:ascii="Georgia" w:hAnsi="Georgia"/>
          <w:sz w:val="20"/>
          <w:szCs w:val="20"/>
          <w:lang w:val="lt-LT"/>
        </w:rPr>
        <w:t>labiau kompleksinės</w:t>
      </w:r>
      <w:r w:rsidRPr="002142B8">
        <w:rPr>
          <w:rFonts w:ascii="Georgia" w:hAnsi="Georgia"/>
          <w:sz w:val="20"/>
          <w:szCs w:val="20"/>
          <w:lang w:val="lt-LT"/>
        </w:rPr>
        <w:t xml:space="preserve"> lyginant su subsidijų mechanizmais arba privačiais investiciniais fondais, kuriuose nėra naudojamos viešojo sektoriaus lėšos. Tai yra dar labiau aktualu, kai teisinė aplinka yra sudėtinga, o priemonės naujos suinteresuotoms šalims.</w:t>
      </w:r>
    </w:p>
    <w:p w14:paraId="77706B24"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Procesas nuo paraiškos pateikimo iki miestų plėtros fondo veiklos pradžios gali trukti net iki trejų metų. Tai gali būti nulemta įvairių priežasčių, pvz., ilgai trukęs ekspertų samdomų miestų plėtros fondų valdytojų atrankai paraiškų vertinimas, ilga procedūra dėl pateiktų pasiūlymų skaičiaus, dokumentų, dėl kurių buvo deramasi, kompleksiškumas ir pan. Taip pat ilgai trunka atitikties struktūrinių fondų reikalavimams ir valstybės pagalbos taisyklėms užtikrinimas.</w:t>
      </w:r>
    </w:p>
    <w:p w14:paraId="2ECB4661"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Taip pat konkrečių projektų lygiu parengti miestų plėtros projektus paprastai trunka ilgiau nei kitus projektus, o projektų grupavimas, kuris vykdomas, kad būtų užtikrinama pakankama finansinė grąža, gali būti iššūkis. Tačiau ilgas finansinių priemonių kūrimo procesas </w:t>
      </w:r>
      <w:r w:rsidR="00381237" w:rsidRPr="002142B8">
        <w:rPr>
          <w:rFonts w:ascii="Georgia" w:hAnsi="Georgia"/>
          <w:sz w:val="20"/>
          <w:szCs w:val="20"/>
          <w:lang w:val="lt-LT"/>
        </w:rPr>
        <w:t xml:space="preserve">didina lėšų grąžinimo į ES </w:t>
      </w:r>
      <w:r w:rsidRPr="002142B8">
        <w:rPr>
          <w:rFonts w:ascii="Georgia" w:hAnsi="Georgia"/>
          <w:sz w:val="20"/>
          <w:szCs w:val="20"/>
          <w:lang w:val="lt-LT"/>
        </w:rPr>
        <w:t>biudžetą tikimybę.</w:t>
      </w:r>
    </w:p>
    <w:p w14:paraId="4757CC48"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Patirties stoka</w:t>
      </w:r>
      <w:r w:rsidRPr="002142B8">
        <w:rPr>
          <w:rFonts w:ascii="Georgia" w:hAnsi="Georgia"/>
          <w:sz w:val="20"/>
          <w:szCs w:val="20"/>
          <w:lang w:val="lt-LT"/>
        </w:rPr>
        <w:t xml:space="preserve"> </w:t>
      </w:r>
    </w:p>
    <w:p w14:paraId="0E44C63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2007-2013 m. </w:t>
      </w:r>
      <w:r w:rsidR="00381237" w:rsidRPr="002142B8">
        <w:rPr>
          <w:rFonts w:ascii="Georgia" w:hAnsi="Georgia"/>
          <w:sz w:val="20"/>
          <w:szCs w:val="20"/>
          <w:lang w:val="lt-LT"/>
        </w:rPr>
        <w:t xml:space="preserve">periodu </w:t>
      </w:r>
      <w:r w:rsidRPr="002142B8">
        <w:rPr>
          <w:rFonts w:ascii="Georgia" w:hAnsi="Georgia"/>
          <w:sz w:val="20"/>
          <w:szCs w:val="20"/>
          <w:lang w:val="lt-LT"/>
        </w:rPr>
        <w:t>viešasis sektorius neturėjo darbo su finansinėmis priemonėmis patirties, todėl reikėjo skubiai mokytis ir prisitaikyti prie pokyčių. Žinių apie finansines priemones viešajame sektoriuje trūkumas ir tokių priemonių traktavimas kaip konkuruojančių su subsidijomis, kurios yra mažiau kompleksiškos, produktų, slopino paklausą, net jei projektai buvo tinkami fi</w:t>
      </w:r>
      <w:r w:rsidR="00381237" w:rsidRPr="002142B8">
        <w:rPr>
          <w:rFonts w:ascii="Georgia" w:hAnsi="Georgia"/>
          <w:sz w:val="20"/>
          <w:szCs w:val="20"/>
          <w:lang w:val="lt-LT"/>
        </w:rPr>
        <w:t>nansuoti per finansines priemones</w:t>
      </w:r>
      <w:r w:rsidRPr="002142B8">
        <w:rPr>
          <w:rFonts w:ascii="Georgia" w:hAnsi="Georgia"/>
          <w:sz w:val="20"/>
          <w:szCs w:val="20"/>
          <w:lang w:val="lt-LT"/>
        </w:rPr>
        <w:t>.</w:t>
      </w:r>
    </w:p>
    <w:p w14:paraId="7F750092" w14:textId="77777777" w:rsidR="00451BC7" w:rsidRPr="002142B8" w:rsidRDefault="00451BC7" w:rsidP="0088418D">
      <w:pPr>
        <w:keepNext/>
        <w:jc w:val="both"/>
        <w:rPr>
          <w:rFonts w:ascii="Georgia" w:hAnsi="Georgia"/>
          <w:i/>
          <w:sz w:val="20"/>
          <w:szCs w:val="20"/>
          <w:lang w:val="lt-LT"/>
        </w:rPr>
      </w:pPr>
      <w:r w:rsidRPr="002142B8">
        <w:rPr>
          <w:rFonts w:ascii="Georgia" w:hAnsi="Georgia"/>
          <w:i/>
          <w:sz w:val="20"/>
          <w:szCs w:val="20"/>
          <w:lang w:val="lt-LT"/>
        </w:rPr>
        <w:lastRenderedPageBreak/>
        <w:t>Platus suinteresuotų šalių įtraukimas</w:t>
      </w:r>
    </w:p>
    <w:p w14:paraId="46A3E403" w14:textId="77777777" w:rsidR="00451BC7" w:rsidRPr="002142B8" w:rsidRDefault="00451BC7" w:rsidP="0088418D">
      <w:pPr>
        <w:keepNext/>
        <w:jc w:val="both"/>
        <w:rPr>
          <w:rFonts w:ascii="Georgia" w:hAnsi="Georgia"/>
          <w:sz w:val="20"/>
          <w:szCs w:val="20"/>
          <w:lang w:val="lt-LT"/>
        </w:rPr>
      </w:pPr>
      <w:r w:rsidRPr="002142B8">
        <w:rPr>
          <w:rFonts w:ascii="Georgia" w:hAnsi="Georgia"/>
          <w:sz w:val="20"/>
          <w:szCs w:val="20"/>
          <w:lang w:val="lt-LT"/>
        </w:rPr>
        <w:t xml:space="preserve">Teigiamai vertinamos atsakingų institucijų pastangos įtraukti kuo platesnį suinteresuotųjų institucijų ratą (viešąjį sektorių, nevyriausybines organizacijas, verslą ir privačius asmenis) į visus finansinių priemonių kūrimo ir įgyvendinimo etapus ir lygius. </w:t>
      </w:r>
    </w:p>
    <w:p w14:paraId="186F346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Bendradarbiavimas su suinteresuotosiomis šalimis yra ypač svarbus tiems miestų plėtros fondams, kurie apima keletą savivaldybių/regionų, kadangi dalyvaujančių šalių politinis įsipareigojimas ir finansinis dalyvavimas dažnai yra būtinas siekiant užtikrinti projektų srautą ir sėkmingai įgyvendinti projektus.</w:t>
      </w:r>
    </w:p>
    <w:p w14:paraId="7D3A7A81"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Tiesa, platus suinteresuotųjų šalių įtraukimas gali sukelti ir tam tikrų problemų, pvz., ilgai trunkančias derybas dėl didelio dalyvių skaičiaus ir struktūros kompleksiškumo ir pan. Taip pat gali kilti ir valdymo funkcijų ir atsakomybių pasiskirstymo klausimai tarp nacionalinio ir regioninio lygių, nacionalinių institucijų ir tarptautinių finansinių institucijų ir pan.</w:t>
      </w:r>
    </w:p>
    <w:p w14:paraId="477AA950" w14:textId="77777777" w:rsidR="00451BC7" w:rsidRPr="002142B8" w:rsidRDefault="00451BC7" w:rsidP="00451BC7">
      <w:pPr>
        <w:jc w:val="both"/>
        <w:rPr>
          <w:rFonts w:ascii="Georgia" w:hAnsi="Georgia"/>
          <w:i/>
          <w:sz w:val="20"/>
          <w:szCs w:val="20"/>
          <w:lang w:val="lt-LT"/>
        </w:rPr>
      </w:pPr>
      <w:r w:rsidRPr="002142B8">
        <w:rPr>
          <w:rFonts w:ascii="Georgia" w:hAnsi="Georgia"/>
          <w:i/>
          <w:sz w:val="20"/>
          <w:szCs w:val="20"/>
          <w:lang w:val="lt-LT"/>
        </w:rPr>
        <w:t xml:space="preserve">Finansinių produktų parinkimas </w:t>
      </w:r>
    </w:p>
    <w:p w14:paraId="47BE450B"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Bendruoju atveju mažo rizikingumo projektams, turintiems stabilią (netgi jei ji maža) grąžą, labiausiai tinka paskoliniai produktai. Jei rinkos palūkanų norma yra tinkama, miestų plėtros fondų valdytojai gali pritraukti investicijų iš privačių bankų ar investicinių fondų.</w:t>
      </w:r>
    </w:p>
    <w:p w14:paraId="696B8EC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Labiau rizikingiems projektams, kuriems reikalingos didesnės investicijos, tačiau taip pat turintiems didesnės grąžos potencialą, gali būti svarstoma kapitalo investicijų galimybė. Tokiais atvejais fondo valdytojas galėtų bandyti pritraukti finansavimą iš rizikos kapitalo fondų ar kitų privataus kapitalo šaltinių.</w:t>
      </w:r>
    </w:p>
    <w:p w14:paraId="5E5296E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Aukštos rizikos projektų, kurie greičiausiai negeneruos didelės grąžos, pvz., energijos sistemų decentralizacijos projektai, atveju šalia finansinių priemonių gali būti svarstoma ESI fondų arba kitų šaltinių subsidijų galimybė.</w:t>
      </w:r>
    </w:p>
    <w:p w14:paraId="217417D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Įvertinus esamų fondų patirtį finansuojant renovacijos projektus, panašu, jog paskolos yra </w:t>
      </w:r>
      <w:r w:rsidR="006B09E7" w:rsidRPr="002142B8">
        <w:rPr>
          <w:rFonts w:ascii="Georgia" w:hAnsi="Georgia"/>
          <w:sz w:val="20"/>
          <w:szCs w:val="20"/>
          <w:lang w:val="lt-LT"/>
        </w:rPr>
        <w:t>vienas iš tinkamiausių finansinių</w:t>
      </w:r>
      <w:r w:rsidRPr="002142B8">
        <w:rPr>
          <w:rFonts w:ascii="Georgia" w:hAnsi="Georgia"/>
          <w:sz w:val="20"/>
          <w:szCs w:val="20"/>
          <w:lang w:val="lt-LT"/>
        </w:rPr>
        <w:t xml:space="preserve"> produkt</w:t>
      </w:r>
      <w:r w:rsidR="006B09E7" w:rsidRPr="002142B8">
        <w:rPr>
          <w:rFonts w:ascii="Georgia" w:hAnsi="Georgia"/>
          <w:sz w:val="20"/>
          <w:szCs w:val="20"/>
          <w:lang w:val="lt-LT"/>
        </w:rPr>
        <w:t>ų</w:t>
      </w:r>
      <w:r w:rsidRPr="002142B8">
        <w:rPr>
          <w:rFonts w:ascii="Georgia" w:hAnsi="Georgia"/>
          <w:sz w:val="20"/>
          <w:szCs w:val="20"/>
          <w:lang w:val="lt-LT"/>
        </w:rPr>
        <w:t>, atsižvelgiant į palyginti ilgą projektų atsipirkimo laikotarpį, mažas sąnaudas, rizikos lygį ir tokių projektų grąžą.</w:t>
      </w:r>
    </w:p>
    <w:p w14:paraId="7DC3CA4D"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Garantijos gali būti naudojamos būsto projektams, kad projektų plėtotojai (ypač mažos organizacijos), pavyzdžiui, namų asociacijos, ESCO turėtų galimybę gauti paskolas iš finansinių institucijų.</w:t>
      </w:r>
    </w:p>
    <w:p w14:paraId="5B34F072"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Be to, prieš kuriant finansines priemones būtina atsakingai įsivertinti energijos efektyvumo projektų paklausą, pvz., fondai, veikiantys regioniniu lygiu, gali būti nepajėgūs pritraukti reikiamą kritinę projektų masę, dėl ko intervencijos poveikis bus išsklaidytas ir bus patiriamos didesnės administravimo išlaidos.</w:t>
      </w:r>
    </w:p>
    <w:p w14:paraId="18F924A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Taip pat svarbu, kad dar prieš kuriant finansinius produktus būtų įvertintas kitų projektų ir programų, kurios yra finansuojamos iš struktūrinių fondų ir kitų šaltinių, mastas ir intervencijos sritys.</w:t>
      </w:r>
    </w:p>
    <w:p w14:paraId="28FFC8FA"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Galutiniai naudos gavėjai</w:t>
      </w:r>
      <w:r w:rsidRPr="002142B8">
        <w:rPr>
          <w:rFonts w:ascii="Georgia" w:hAnsi="Georgia"/>
          <w:sz w:val="20"/>
          <w:szCs w:val="20"/>
          <w:lang w:val="lt-LT"/>
        </w:rPr>
        <w:t xml:space="preserve"> </w:t>
      </w:r>
    </w:p>
    <w:p w14:paraId="77CDDC09"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Patirtis rodo, jog praktiškai neįmanoma sudaryti galutinių naudos gavėjų, kuriems turėtų būti skirtos energijos efektyvumą finansuojančios finansinės priemonės, galutinio sąrašo. Tai priklauso nuo konkretaus finansinio produkto tinkamų finansuoti tikslų ir intervencijos sričių. Prieš apibrėždamos galutinius naudos gavėjus, atsakingos institucijos turi įvertinti visas grupes, kurioms skiriamas finansavimas galėtų būtų aktualus.</w:t>
      </w:r>
    </w:p>
    <w:p w14:paraId="2F7F2E78" w14:textId="77777777" w:rsidR="00451BC7" w:rsidRPr="002142B8" w:rsidRDefault="00451BC7" w:rsidP="00451BC7">
      <w:pPr>
        <w:keepNext/>
        <w:jc w:val="both"/>
        <w:rPr>
          <w:rFonts w:ascii="Georgia" w:hAnsi="Georgia"/>
          <w:sz w:val="20"/>
          <w:szCs w:val="20"/>
          <w:lang w:val="lt-LT"/>
        </w:rPr>
      </w:pPr>
      <w:r w:rsidRPr="002142B8">
        <w:rPr>
          <w:rFonts w:ascii="Georgia" w:hAnsi="Georgia"/>
          <w:i/>
          <w:sz w:val="20"/>
          <w:szCs w:val="20"/>
          <w:lang w:val="lt-LT"/>
        </w:rPr>
        <w:lastRenderedPageBreak/>
        <w:t>Lankstumas</w:t>
      </w:r>
      <w:r w:rsidRPr="002142B8">
        <w:rPr>
          <w:rFonts w:ascii="Georgia" w:hAnsi="Georgia"/>
          <w:sz w:val="20"/>
          <w:szCs w:val="20"/>
          <w:lang w:val="lt-LT"/>
        </w:rPr>
        <w:t xml:space="preserve"> </w:t>
      </w:r>
    </w:p>
    <w:p w14:paraId="3D268C55" w14:textId="77777777" w:rsidR="00451BC7" w:rsidRPr="002142B8" w:rsidRDefault="00451BC7" w:rsidP="00451BC7">
      <w:pPr>
        <w:keepNext/>
        <w:jc w:val="both"/>
        <w:rPr>
          <w:rFonts w:ascii="Georgia" w:hAnsi="Georgia"/>
          <w:sz w:val="20"/>
          <w:szCs w:val="20"/>
          <w:lang w:val="lt-LT"/>
        </w:rPr>
      </w:pPr>
      <w:r w:rsidRPr="002142B8">
        <w:rPr>
          <w:rFonts w:ascii="Georgia" w:hAnsi="Georgia"/>
          <w:sz w:val="20"/>
          <w:szCs w:val="20"/>
          <w:lang w:val="lt-LT"/>
        </w:rPr>
        <w:t xml:space="preserve">Finansinėms priemonėms svarbus lankstumas. 2007-2013 m. </w:t>
      </w:r>
      <w:r w:rsidR="00074273" w:rsidRPr="002142B8">
        <w:rPr>
          <w:rFonts w:ascii="Georgia" w:hAnsi="Georgia"/>
          <w:sz w:val="20"/>
          <w:szCs w:val="20"/>
          <w:lang w:val="lt-LT"/>
        </w:rPr>
        <w:t xml:space="preserve">periodu </w:t>
      </w:r>
      <w:r w:rsidRPr="002142B8">
        <w:rPr>
          <w:rFonts w:ascii="Georgia" w:hAnsi="Georgia"/>
          <w:sz w:val="20"/>
          <w:szCs w:val="20"/>
          <w:lang w:val="lt-LT"/>
        </w:rPr>
        <w:t>maždaug 50 proc. atvejų steigiant finansines priemones buvo nukrypta nuo vertinimo studijos rekomendacijų, nubrėžtų planavimo etape.</w:t>
      </w:r>
    </w:p>
    <w:p w14:paraId="0AE27173"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Trečdaliu atvejų tai įvyko dėl politinės situacijos pokyčių, pokyčių vertinant finansinę riziką, techninių aspektų arba administracinių gebėjimų stokos. 66 proc. situacijų strategijos pakeitimai buvo sukelti paklausos pokyčių, atsiradusių dėl ekonominės ir finansinės krizės. Daugumoje atvejų (66 proc.), rinkos sąlygų pokyčiai paskatino naujų produktų diegimą.</w:t>
      </w:r>
    </w:p>
    <w:p w14:paraId="2C26F0B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Pažymėtina, kad 2007-2013 m. </w:t>
      </w:r>
      <w:r w:rsidR="00074273" w:rsidRPr="002142B8">
        <w:rPr>
          <w:rFonts w:ascii="Georgia" w:hAnsi="Georgia"/>
          <w:sz w:val="20"/>
          <w:szCs w:val="20"/>
          <w:lang w:val="lt-LT"/>
        </w:rPr>
        <w:t xml:space="preserve">periodu atliktų </w:t>
      </w:r>
      <w:r w:rsidRPr="002142B8">
        <w:rPr>
          <w:rFonts w:ascii="Georgia" w:hAnsi="Georgia"/>
          <w:sz w:val="20"/>
          <w:szCs w:val="20"/>
          <w:lang w:val="lt-LT"/>
        </w:rPr>
        <w:t xml:space="preserve">vertinimų kokybė ne visais atvejais atitiko keliamus lūkesčius. Kai kurios finansinės priemonės patyrė sunkumus įgyvendinant investavimo strategiją, kuri buvo orientuota į siaurą tikslinę grupę, ypač jei kartu buvo taikomi ir geografiniai apribojimai. Todėl atsakingos institucijos turi nuolat sekti finansinių priemonių įgyvendinimo efektyvumą ir lanksčiai reaguoti </w:t>
      </w:r>
      <w:r w:rsidR="00074273" w:rsidRPr="002142B8">
        <w:rPr>
          <w:rFonts w:ascii="Georgia" w:hAnsi="Georgia"/>
          <w:sz w:val="20"/>
          <w:szCs w:val="20"/>
          <w:lang w:val="lt-LT"/>
        </w:rPr>
        <w:t>pasikeitus rinkos poreikiams</w:t>
      </w:r>
      <w:r w:rsidRPr="002142B8">
        <w:rPr>
          <w:rFonts w:ascii="Georgia" w:hAnsi="Georgia"/>
          <w:sz w:val="20"/>
          <w:szCs w:val="20"/>
          <w:lang w:val="lt-LT"/>
        </w:rPr>
        <w:t>.</w:t>
      </w:r>
    </w:p>
    <w:p w14:paraId="6CED6F33" w14:textId="77777777" w:rsidR="00451BC7" w:rsidRPr="002142B8" w:rsidRDefault="00451BC7" w:rsidP="00451BC7">
      <w:pPr>
        <w:jc w:val="both"/>
        <w:rPr>
          <w:rFonts w:ascii="Georgia" w:hAnsi="Georgia"/>
          <w:i/>
          <w:sz w:val="20"/>
          <w:szCs w:val="20"/>
          <w:lang w:val="lt-LT"/>
        </w:rPr>
      </w:pPr>
      <w:r w:rsidRPr="002142B8">
        <w:rPr>
          <w:rFonts w:ascii="Georgia" w:hAnsi="Georgia"/>
          <w:i/>
          <w:sz w:val="20"/>
          <w:szCs w:val="20"/>
          <w:lang w:val="lt-LT"/>
        </w:rPr>
        <w:t xml:space="preserve">Privačių partnerių pritraukimas </w:t>
      </w:r>
    </w:p>
    <w:p w14:paraId="6BCFE5BF" w14:textId="77777777" w:rsidR="00451BC7" w:rsidRPr="002142B8" w:rsidRDefault="00451BC7" w:rsidP="00451BC7">
      <w:pPr>
        <w:jc w:val="both"/>
        <w:rPr>
          <w:rFonts w:ascii="Georgia" w:hAnsi="Georgia"/>
          <w:i/>
          <w:sz w:val="20"/>
          <w:szCs w:val="20"/>
          <w:lang w:val="lt-LT"/>
        </w:rPr>
      </w:pPr>
      <w:r w:rsidRPr="002142B8">
        <w:rPr>
          <w:rFonts w:ascii="Georgia" w:hAnsi="Georgia"/>
          <w:sz w:val="20"/>
          <w:szCs w:val="20"/>
          <w:lang w:val="lt-LT"/>
        </w:rPr>
        <w:t xml:space="preserve">Viena iš pagrindinių problemų, </w:t>
      </w:r>
      <w:r w:rsidR="00074273" w:rsidRPr="002142B8">
        <w:rPr>
          <w:rFonts w:ascii="Georgia" w:hAnsi="Georgia"/>
          <w:sz w:val="20"/>
          <w:szCs w:val="20"/>
          <w:lang w:val="lt-LT"/>
        </w:rPr>
        <w:t>kilusių</w:t>
      </w:r>
      <w:r w:rsidRPr="002142B8">
        <w:rPr>
          <w:rFonts w:ascii="Georgia" w:hAnsi="Georgia"/>
          <w:sz w:val="20"/>
          <w:szCs w:val="20"/>
          <w:lang w:val="lt-LT"/>
        </w:rPr>
        <w:t xml:space="preserve"> 2007-2013 m. </w:t>
      </w:r>
      <w:r w:rsidR="00074273" w:rsidRPr="002142B8">
        <w:rPr>
          <w:rFonts w:ascii="Georgia" w:hAnsi="Georgia"/>
          <w:sz w:val="20"/>
          <w:szCs w:val="20"/>
          <w:lang w:val="lt-LT"/>
        </w:rPr>
        <w:t>periodu</w:t>
      </w:r>
      <w:r w:rsidRPr="002142B8">
        <w:rPr>
          <w:rFonts w:ascii="Georgia" w:hAnsi="Georgia"/>
          <w:sz w:val="20"/>
          <w:szCs w:val="20"/>
          <w:lang w:val="lt-LT"/>
        </w:rPr>
        <w:t>, buvo privataus sektoriaus pritraukimas dalyvauti finansinėse priemonėse.</w:t>
      </w:r>
    </w:p>
    <w:p w14:paraId="21ADB1B9" w14:textId="77777777" w:rsidR="00451BC7" w:rsidRPr="002142B8" w:rsidRDefault="00C648A7" w:rsidP="00451BC7">
      <w:pPr>
        <w:jc w:val="both"/>
        <w:rPr>
          <w:rFonts w:ascii="Georgia" w:hAnsi="Georgia"/>
          <w:sz w:val="20"/>
          <w:szCs w:val="20"/>
          <w:lang w:val="lt-LT"/>
        </w:rPr>
      </w:pPr>
      <w:r w:rsidRPr="002142B8">
        <w:rPr>
          <w:rFonts w:ascii="Georgia" w:hAnsi="Georgia"/>
          <w:sz w:val="20"/>
          <w:szCs w:val="20"/>
          <w:lang w:val="lt-LT"/>
        </w:rPr>
        <w:t>Energijos efektyvumo projektai</w:t>
      </w:r>
      <w:r w:rsidR="00451BC7" w:rsidRPr="002142B8">
        <w:rPr>
          <w:rFonts w:ascii="Georgia" w:hAnsi="Georgia"/>
          <w:sz w:val="20"/>
          <w:szCs w:val="20"/>
          <w:lang w:val="lt-LT"/>
        </w:rPr>
        <w:t xml:space="preserve"> </w:t>
      </w:r>
      <w:r w:rsidRPr="002142B8">
        <w:rPr>
          <w:rFonts w:ascii="Georgia" w:hAnsi="Georgia"/>
          <w:sz w:val="20"/>
          <w:szCs w:val="20"/>
          <w:lang w:val="lt-LT"/>
        </w:rPr>
        <w:t>privataus sektoriaus vis dar yra vertinami skeptiškai</w:t>
      </w:r>
      <w:r w:rsidR="00451BC7" w:rsidRPr="002142B8">
        <w:rPr>
          <w:rFonts w:ascii="Georgia" w:hAnsi="Georgia"/>
          <w:sz w:val="20"/>
          <w:szCs w:val="20"/>
          <w:lang w:val="lt-LT"/>
        </w:rPr>
        <w:t>,</w:t>
      </w:r>
      <w:r w:rsidRPr="002142B8">
        <w:rPr>
          <w:rFonts w:ascii="Georgia" w:hAnsi="Georgia"/>
          <w:sz w:val="20"/>
          <w:szCs w:val="20"/>
          <w:lang w:val="lt-LT"/>
        </w:rPr>
        <w:t xml:space="preserve"> kadangi šie projektai yra</w:t>
      </w:r>
      <w:r w:rsidR="00451BC7" w:rsidRPr="002142B8">
        <w:rPr>
          <w:rFonts w:ascii="Georgia" w:hAnsi="Georgia"/>
          <w:sz w:val="20"/>
          <w:szCs w:val="20"/>
          <w:lang w:val="lt-LT"/>
        </w:rPr>
        <w:t xml:space="preserve"> kompleksišk</w:t>
      </w:r>
      <w:r w:rsidRPr="002142B8">
        <w:rPr>
          <w:rFonts w:ascii="Georgia" w:hAnsi="Georgia"/>
          <w:sz w:val="20"/>
          <w:szCs w:val="20"/>
          <w:lang w:val="lt-LT"/>
        </w:rPr>
        <w:t>i, sunkiai apskaičiuojamas jų pelningumas ir sudėtinga juos kokybiškai</w:t>
      </w:r>
      <w:r w:rsidR="00451BC7" w:rsidRPr="002142B8">
        <w:rPr>
          <w:rFonts w:ascii="Georgia" w:hAnsi="Georgia"/>
          <w:sz w:val="20"/>
          <w:szCs w:val="20"/>
          <w:lang w:val="lt-LT"/>
        </w:rPr>
        <w:t xml:space="preserve"> įgyvendinti. Situaciją galima pakeisti tik su viešojo sektoriaus pagalba, lyderyste ir finansavimu. Daug pastangų reikia siekiant įtikinti privataus sektoriaus investuotojus, jog fondo lėšos bus investuojamos pagal privataus sektoriaus principus, ypač kalbant apie greitį ir investavimo sprendimų pobūdį. Remiantis gerąja praktika rekomenduojama, jog miesto plėtros fondo arba konkretaus projekto lygiu būtų bent minimalus privačių lėšų indėlis. Lietuvoje iki šiol nebuvo reikalavimo finansiniams tarpinink</w:t>
      </w:r>
      <w:r w:rsidRPr="002142B8">
        <w:rPr>
          <w:rFonts w:ascii="Georgia" w:hAnsi="Georgia"/>
          <w:sz w:val="20"/>
          <w:szCs w:val="20"/>
          <w:lang w:val="lt-LT"/>
        </w:rPr>
        <w:t xml:space="preserve">ams investuoti privačias lėšas, tačiau 2014-2020 m. periodu tai yra labai siektina. </w:t>
      </w:r>
    </w:p>
    <w:p w14:paraId="1F87B7E3"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Dalies rizikų perdavimas viešajam sektoriui galėtų paskatinti privačius investuotojus aktyviau investuoti į projektus, kurie nėra patrauklūs be viešojo sektoriaus įsikišimo. Išskirtinės sąlygos yra svarbus veiksnys norint pritraukti privačius investuotojus investuoti kartu su viešosiomis lėšomis didelės rizikos/mažos grąžos srityse siekiant viešosios politikos tikslų. Tiesa, svarbu, jog privatiems investuotojams nebūtų sudarytos išskirtinės sąlygos, kurios pažeistų valstybės pagalbos taisyklių nuostatas.</w:t>
      </w:r>
    </w:p>
    <w:p w14:paraId="34A6435A" w14:textId="77777777" w:rsidR="00451BC7" w:rsidRPr="002142B8" w:rsidRDefault="00451BC7" w:rsidP="00451BC7">
      <w:pPr>
        <w:keepNext/>
        <w:jc w:val="both"/>
        <w:rPr>
          <w:rFonts w:ascii="Georgia" w:hAnsi="Georgia"/>
          <w:sz w:val="20"/>
          <w:szCs w:val="20"/>
          <w:lang w:val="lt-LT"/>
        </w:rPr>
      </w:pPr>
      <w:r w:rsidRPr="002142B8">
        <w:rPr>
          <w:rFonts w:ascii="Georgia" w:hAnsi="Georgia"/>
          <w:i/>
          <w:sz w:val="20"/>
          <w:szCs w:val="20"/>
          <w:lang w:val="lt-LT"/>
        </w:rPr>
        <w:t>Techninė pagalba</w:t>
      </w:r>
    </w:p>
    <w:p w14:paraId="69729CE6" w14:textId="77777777" w:rsidR="00451BC7" w:rsidRPr="002142B8" w:rsidRDefault="00451BC7" w:rsidP="00451BC7">
      <w:pPr>
        <w:keepNext/>
        <w:jc w:val="both"/>
        <w:rPr>
          <w:rFonts w:ascii="Georgia" w:hAnsi="Georgia"/>
          <w:sz w:val="20"/>
          <w:szCs w:val="20"/>
          <w:lang w:val="lt-LT"/>
        </w:rPr>
      </w:pPr>
      <w:r w:rsidRPr="002142B8">
        <w:rPr>
          <w:rFonts w:ascii="Georgia" w:hAnsi="Georgia"/>
          <w:sz w:val="20"/>
          <w:szCs w:val="20"/>
          <w:lang w:val="lt-LT"/>
        </w:rPr>
        <w:t>Techninė pagalba nurodoma kaip vienas svarbiausių energijos efektyvumo ir atsinaujinančių energijos išteklių projektų sėkmės elementų.</w:t>
      </w:r>
    </w:p>
    <w:p w14:paraId="6CFA0F26" w14:textId="77777777" w:rsidR="00451BC7" w:rsidRPr="002142B8" w:rsidRDefault="00C83F1B" w:rsidP="00451BC7">
      <w:pPr>
        <w:jc w:val="both"/>
        <w:rPr>
          <w:rFonts w:ascii="Georgia" w:hAnsi="Georgia"/>
          <w:sz w:val="20"/>
          <w:szCs w:val="20"/>
          <w:lang w:val="lt-LT"/>
        </w:rPr>
      </w:pPr>
      <w:r w:rsidRPr="002142B8">
        <w:rPr>
          <w:rFonts w:ascii="Georgia" w:hAnsi="Georgia"/>
          <w:sz w:val="20"/>
          <w:szCs w:val="20"/>
          <w:lang w:val="lt-LT"/>
        </w:rPr>
        <w:t>Egzistuoja keli techninės pagalbos teikimo modeliai</w:t>
      </w:r>
      <w:r w:rsidR="00451BC7" w:rsidRPr="002142B8">
        <w:rPr>
          <w:rFonts w:ascii="Georgia" w:hAnsi="Georgia"/>
          <w:sz w:val="20"/>
          <w:szCs w:val="20"/>
          <w:lang w:val="lt-LT"/>
        </w:rPr>
        <w:t>. Šiuo metu daugumoje miestų plėtros fondų techninė pagalba teikiama išorės institucijų (pvz., BETA Lietuvoje), kadangi miestų plėtros fondų valdytojų funkcijos yra patikėtos komerciniams bankams, kurie neturi reikiamų vidinių techninių išteklių</w:t>
      </w:r>
      <w:r w:rsidRPr="002142B8">
        <w:rPr>
          <w:rFonts w:ascii="Georgia" w:hAnsi="Georgia"/>
          <w:sz w:val="20"/>
          <w:szCs w:val="20"/>
          <w:lang w:val="lt-LT"/>
        </w:rPr>
        <w:t xml:space="preserve"> ir pakankamai patirties užtikrinti techninę pagalbą</w:t>
      </w:r>
      <w:r w:rsidR="00451BC7" w:rsidRPr="002142B8">
        <w:rPr>
          <w:rFonts w:ascii="Georgia" w:hAnsi="Georgia"/>
          <w:sz w:val="20"/>
          <w:szCs w:val="20"/>
          <w:lang w:val="lt-LT"/>
        </w:rPr>
        <w:t>. Tačiau techninę pagalbą taip pat gali teikti institucijos/organizacijos, kurios dalyvauja miestų plėtros fondą valdančiame konsorciume (pvz., „</w:t>
      </w:r>
      <w:r w:rsidR="00451BC7" w:rsidRPr="002142B8">
        <w:rPr>
          <w:rFonts w:ascii="Georgia" w:hAnsi="Georgia"/>
          <w:i/>
          <w:sz w:val="20"/>
          <w:szCs w:val="20"/>
          <w:lang w:val="lt-LT"/>
        </w:rPr>
        <w:t>Arup</w:t>
      </w:r>
      <w:r w:rsidR="00451BC7" w:rsidRPr="002142B8">
        <w:rPr>
          <w:rFonts w:ascii="Georgia" w:hAnsi="Georgia"/>
          <w:sz w:val="20"/>
          <w:szCs w:val="20"/>
          <w:lang w:val="lt-LT"/>
        </w:rPr>
        <w:t xml:space="preserve">“ LEEF atveju) arba miestų plėtros fondų valdytojai, kurie turi pakankamus techninius išteklius. </w:t>
      </w:r>
    </w:p>
    <w:p w14:paraId="50241EB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Nebūtinai viena institucija turi būti atsakinga už techninės pagalbos teikimą visuose lygiuose. Atsakingos institucijos turėtų aktyviai bendradarbiauti su nacionalinėmis energetikos agentūromis, nepriklausomomis akredituotomis energijos auditorių įmonėmis, vietiniais konsultantais ir kitomis institucijomis ir organizacijomis, kurios galėtų padėti užtikrinti reikalingą techninę paramą finansiniams tarpininkams ir galutiniams naudos gavėjams. Atsižvelgiant į konkrečią situaciją, </w:t>
      </w:r>
      <w:r w:rsidRPr="002142B8">
        <w:rPr>
          <w:rFonts w:ascii="Georgia" w:hAnsi="Georgia"/>
          <w:sz w:val="20"/>
          <w:szCs w:val="20"/>
          <w:lang w:val="lt-LT"/>
        </w:rPr>
        <w:lastRenderedPageBreak/>
        <w:t>funkcijos turėtų būti priskirtos institucijoms ir organizacijoms pagal jų kompetencijos sritis ir išteklius.</w:t>
      </w:r>
    </w:p>
    <w:p w14:paraId="14BB1A5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JESSICA KF 3-iojo kvietimo finansiniams tarpininkams atrinkti reikalavimuose buvo nustatytas techninės pagalbos teikimas projektams (t.y. aukštosioms mokykloms ar profesinio mokymo įstaigoms). Kadangi techninės pagalbos teikimas šiems projektams apėmė tokias veiklas, kurios nėra tipinės komercinio banko veiklos (pavyzdžiui, viešųjų pirkimų priežiūra, dokumentacijos parengimas, statybų priežiūra), komerciniai bankai, dalyvavę finansinio tarpininko atrankoje pagal 3-iąjį kvietimą, nebuvo suinteresuoti teikti techninę pagalbą projektams ir prisiimti papildomų funkcijų. Atsižvelgiant į tai, po ilgų derybų su komerciniais bankais finansavimo sutartis buvo pasirašyta su VIPA, kuri kaip valstybės įsteigta finansų įstaiga buvo suinteresuota ir pajėgi užtikrinti techninės pagalbos teikimą.</w:t>
      </w:r>
    </w:p>
    <w:p w14:paraId="68EE367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Įvertinus 2007-2013 m. </w:t>
      </w:r>
      <w:r w:rsidR="00C83F1B" w:rsidRPr="002142B8">
        <w:rPr>
          <w:rFonts w:ascii="Georgia" w:hAnsi="Georgia"/>
          <w:sz w:val="20"/>
          <w:szCs w:val="20"/>
          <w:lang w:val="lt-LT"/>
        </w:rPr>
        <w:t>periodo</w:t>
      </w:r>
      <w:r w:rsidRPr="002142B8">
        <w:rPr>
          <w:rFonts w:ascii="Georgia" w:hAnsi="Georgia"/>
          <w:sz w:val="20"/>
          <w:szCs w:val="20"/>
          <w:lang w:val="lt-LT"/>
        </w:rPr>
        <w:t xml:space="preserve"> patirtį galima teigti, jog techninės pagalbos poreikis išlieka aktualus visuose įgyvendinimo ciklo etapuose (tiek finansinių priemonių, tiek konkrečių projektų lygiu), nuo inicijavimo iki užbaigimo ir tolimesnės stebėsenos.</w:t>
      </w:r>
    </w:p>
    <w:p w14:paraId="15AD9D80"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Žmogiškųjų išteklių gebėjimų stiprinimas buvo aktualus visoms finansinių priemonių įgyvendinime dalyvaujančioms šalims, įskaitant nacionalines valdžios institucijas, vadovaujančias institucijas, konkrečių projektų rengėjus ir t. t. Pavyzdžiui, dalis projektų buvo nepakankamai išbaigti todėl, kad savivaldybės neturėjo pakankamų gebėjimų paruošti tinkamus projektus ir užtikrinti, kad būtų pasirengta investicijoms. Žinių stoka galėtų būti sprendžiama organizuojant atsakingų institucijų darbuotojų mokymus ir informacijos jų tarpe sklaidą.</w:t>
      </w:r>
    </w:p>
    <w:p w14:paraId="407FF88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Techninei pagalbai teikti gali būti pasinaudojama ELENA ištekliais arba ESI fondų lėšomis.</w:t>
      </w:r>
    </w:p>
    <w:p w14:paraId="086E9316"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Viešinimo veiklos</w:t>
      </w:r>
      <w:r w:rsidRPr="002142B8">
        <w:rPr>
          <w:rFonts w:ascii="Georgia" w:hAnsi="Georgia"/>
          <w:sz w:val="20"/>
          <w:szCs w:val="20"/>
          <w:lang w:val="lt-LT"/>
        </w:rPr>
        <w:t xml:space="preserve"> </w:t>
      </w:r>
    </w:p>
    <w:p w14:paraId="150D7B60"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Nuo tinkamai parinktų ir įgyvendintų rinkodaros ir viešinimo veiklų ženkliai priklauso konkrečios finansinės priemonės įgyvendinimo sėkmė. Tinkama viešinimo kampanija padeda užtikrinti </w:t>
      </w:r>
      <w:r w:rsidR="00C83F1B" w:rsidRPr="002142B8">
        <w:rPr>
          <w:rFonts w:ascii="Georgia" w:hAnsi="Georgia"/>
          <w:sz w:val="20"/>
          <w:szCs w:val="20"/>
          <w:lang w:val="lt-LT"/>
        </w:rPr>
        <w:t xml:space="preserve">projektų vykdytojų pasitikėjimą, informacijos sklaidą, gerosios praktikos pavyzdžių viešinimą, todėl generuojamas stabilus projektų srautas. </w:t>
      </w:r>
      <w:r w:rsidRPr="002142B8">
        <w:rPr>
          <w:rFonts w:ascii="Georgia" w:hAnsi="Georgia"/>
          <w:sz w:val="20"/>
          <w:szCs w:val="20"/>
          <w:lang w:val="lt-LT"/>
        </w:rPr>
        <w:t>Viešinimo veiklos ypač svarbios tiems miestų plėtros fondams, kurie investuoja į energijos efektyvumą būstuose, kadangi jų tikslinė grupė yra labai plati ir sėkmė didžiąja dalimi priklauso nuo pritrauktų klientų skaičiaus.</w:t>
      </w:r>
    </w:p>
    <w:p w14:paraId="4142D72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Rekomenduojama praktika, kai fondų valdytojai skirtingiems finansiniams produktams kuria skirtingus prekės ženklus ir taiko strategijas, kurios labiausiai atitinka konkrečių produktų turinį.</w:t>
      </w:r>
    </w:p>
    <w:p w14:paraId="3C460097"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Stebėsena</w:t>
      </w:r>
    </w:p>
    <w:p w14:paraId="64916484"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Finansinių priemonių įgyvendinimo stebėsena yra sudėtingas procesas, reikalaujantis apgalvoto rodiklių, kurie geriausiai iliustruotų fondo teikiamą naudą, pasirinkimo. </w:t>
      </w:r>
    </w:p>
    <w:p w14:paraId="38C9F69E"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2007-2013 m. </w:t>
      </w:r>
      <w:r w:rsidR="00132D6F" w:rsidRPr="002142B8">
        <w:rPr>
          <w:rFonts w:ascii="Georgia" w:hAnsi="Georgia"/>
          <w:sz w:val="20"/>
          <w:szCs w:val="20"/>
          <w:lang w:val="lt-LT"/>
        </w:rPr>
        <w:t xml:space="preserve">periodu </w:t>
      </w:r>
      <w:r w:rsidRPr="002142B8">
        <w:rPr>
          <w:rFonts w:ascii="Georgia" w:hAnsi="Georgia"/>
          <w:sz w:val="20"/>
          <w:szCs w:val="20"/>
          <w:lang w:val="lt-LT"/>
        </w:rPr>
        <w:t>ESI fondų programose trūko rodiklių, kurie būtų tinkami finansinių priemonių stebėsenai, nebuvo takoskyros tarp finansinių priemonių ir subsidijų rodiklių.</w:t>
      </w:r>
    </w:p>
    <w:p w14:paraId="3706DCF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Energijos efektyvumo projektuose stebėsenos sistema rodiklių pagalba turėtų leisti įvertinti projekto techninę pažangą, energijos sutaupymus po projekto įgyvendinimo bei finansinę finansinių priemonės veiklos pažangą. Visose grupėse svarbu nustatyti pradines identifikuotų rodiklių reikšmes.</w:t>
      </w:r>
    </w:p>
    <w:p w14:paraId="1D58F50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Geroji praktika identifikuoja platesnio socialinio ir ekonominio poveikio matavimo rodiklius, pavyzdžiui, sumažinto degalų skurdo</w:t>
      </w:r>
      <w:r w:rsidRPr="002142B8">
        <w:rPr>
          <w:rStyle w:val="Puslapioinaosnuoroda"/>
          <w:rFonts w:ascii="Georgia" w:hAnsi="Georgia"/>
          <w:sz w:val="20"/>
          <w:szCs w:val="20"/>
          <w:lang w:val="lt-LT"/>
        </w:rPr>
        <w:footnoteReference w:id="179"/>
      </w:r>
      <w:r w:rsidRPr="002142B8">
        <w:rPr>
          <w:rFonts w:ascii="Georgia" w:hAnsi="Georgia"/>
          <w:sz w:val="20"/>
          <w:szCs w:val="20"/>
          <w:lang w:val="lt-LT"/>
        </w:rPr>
        <w:t xml:space="preserve"> arba sukurtų darbo vietų skaičiaus ir pan. kurie įtraukiami į miestų plėtros fondų veiklos stebėsenos sistemą. Kita vertus, tokie rodikliai ne visada yra matuojami </w:t>
      </w:r>
      <w:r w:rsidRPr="002142B8">
        <w:rPr>
          <w:rFonts w:ascii="Georgia" w:hAnsi="Georgia"/>
          <w:sz w:val="20"/>
          <w:szCs w:val="20"/>
          <w:lang w:val="lt-LT"/>
        </w:rPr>
        <w:lastRenderedPageBreak/>
        <w:t>regionų lygiu, todėl jų sekimas gali pareikalauti papildomų finansinių išteklių, o tokių rodiklių vertinimas sudėtingas.</w:t>
      </w:r>
    </w:p>
    <w:p w14:paraId="78BE12CB"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Rekomenduotina praktika yra fondų valdytojų vykdoma kokybės kontrolės peržiūra, atsižvelgiant į bendrus projekto stebėsenos ir vertinimo procesus, pavyzdžiui, užtikrinant, kad įgyvendinamo projekto išlaidos atitiks prognozes, o darbai atitiks kokybės reikalavimus.</w:t>
      </w:r>
    </w:p>
    <w:p w14:paraId="2EE3E77D"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Energijos efektyvumo didinimo projektuose, taip pat turėtų būti įvertintas ir stebėsenos finansinei priemonei baigus aktyvios veiklos etapą poreikis.</w:t>
      </w:r>
    </w:p>
    <w:p w14:paraId="7834760E"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Kiti aspektai</w:t>
      </w:r>
      <w:r w:rsidRPr="002142B8">
        <w:rPr>
          <w:rFonts w:ascii="Georgia" w:hAnsi="Georgia"/>
          <w:sz w:val="20"/>
          <w:szCs w:val="20"/>
          <w:lang w:val="lt-LT"/>
        </w:rPr>
        <w:t xml:space="preserve"> </w:t>
      </w:r>
    </w:p>
    <w:p w14:paraId="0FA1FA83"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Skaidrumas yra svarbus finansinių priemonių veiklos elementas, pvz., aiškūs investavimo kriterijai, pagrįstas administravimo mokestis ir pan.</w:t>
      </w:r>
    </w:p>
    <w:p w14:paraId="54143E2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Rekomenduotina praktika yra finansuojamų projektų </w:t>
      </w:r>
      <w:r w:rsidR="007A49C1" w:rsidRPr="002142B8">
        <w:rPr>
          <w:rFonts w:ascii="Georgia" w:hAnsi="Georgia"/>
          <w:sz w:val="20"/>
          <w:szCs w:val="20"/>
          <w:lang w:val="lt-LT"/>
        </w:rPr>
        <w:t>kompleksinis planavimas ir lankstumas</w:t>
      </w:r>
      <w:r w:rsidRPr="002142B8">
        <w:rPr>
          <w:rFonts w:ascii="Georgia" w:hAnsi="Georgia"/>
          <w:sz w:val="20"/>
          <w:szCs w:val="20"/>
          <w:lang w:val="lt-LT"/>
        </w:rPr>
        <w:t>, pavyzdžiui, sporto infrastruktūros kaip integralios miesto plėtros plano dalies įtraukimas. Pažymėtina, jog įgyvendinant finansines priemones pastebimas poreikis didesniam lankstumui perkeliant lėšas tarp skirtingų finansinės priemonių.</w:t>
      </w:r>
    </w:p>
    <w:p w14:paraId="27A0E104" w14:textId="77777777" w:rsidR="00451BC7" w:rsidRPr="002142B8" w:rsidRDefault="00451BC7" w:rsidP="00451BC7">
      <w:pPr>
        <w:pStyle w:val="Pagrindinistekstas"/>
        <w:rPr>
          <w:i/>
          <w:lang w:val="lt-LT"/>
        </w:rPr>
      </w:pPr>
      <w:r w:rsidRPr="002142B8">
        <w:rPr>
          <w:i/>
          <w:lang w:val="lt-LT"/>
        </w:rPr>
        <w:t>Atvejo studijos</w:t>
      </w:r>
    </w:p>
    <w:p w14:paraId="61E52C8B" w14:textId="77777777" w:rsidR="00451BC7" w:rsidRPr="002142B8" w:rsidRDefault="00451BC7" w:rsidP="00451BC7">
      <w:pPr>
        <w:jc w:val="both"/>
        <w:rPr>
          <w:rFonts w:ascii="Georgia" w:hAnsi="Georgia"/>
          <w:bCs/>
          <w:sz w:val="20"/>
          <w:szCs w:val="20"/>
          <w:lang w:val="lt-LT"/>
        </w:rPr>
      </w:pPr>
      <w:r w:rsidRPr="002142B8">
        <w:rPr>
          <w:rFonts w:ascii="Georgia" w:hAnsi="Georgia"/>
          <w:bCs/>
          <w:sz w:val="20"/>
          <w:szCs w:val="20"/>
          <w:lang w:val="lt-LT"/>
        </w:rPr>
        <w:t xml:space="preserve">Identifikuojant aktualias išmoktas pamokas taip pat buvo atlikta išsami trijų atvejų studijų analizė. Analizei buvo pasirinkti JESSICA </w:t>
      </w:r>
      <w:r w:rsidR="007A49C1" w:rsidRPr="002142B8">
        <w:rPr>
          <w:rFonts w:ascii="Georgia" w:hAnsi="Georgia"/>
          <w:bCs/>
          <w:sz w:val="20"/>
          <w:szCs w:val="20"/>
          <w:lang w:val="lt-LT"/>
        </w:rPr>
        <w:t>KF</w:t>
      </w:r>
      <w:r w:rsidRPr="002142B8">
        <w:rPr>
          <w:rFonts w:ascii="Georgia" w:hAnsi="Georgia"/>
          <w:bCs/>
          <w:sz w:val="20"/>
          <w:szCs w:val="20"/>
          <w:lang w:val="lt-LT"/>
        </w:rPr>
        <w:t xml:space="preserve"> Lietuvoje, Energijos efektyvumo ir atsinaujinančių išteklių fondas Bulgarijoje (</w:t>
      </w:r>
      <w:r w:rsidRPr="002142B8">
        <w:rPr>
          <w:rFonts w:ascii="Georgia" w:hAnsi="Georgia"/>
          <w:sz w:val="20"/>
          <w:szCs w:val="20"/>
          <w:lang w:val="lt-LT"/>
        </w:rPr>
        <w:t xml:space="preserve">EERSF) </w:t>
      </w:r>
      <w:r w:rsidRPr="002142B8">
        <w:rPr>
          <w:rFonts w:ascii="Georgia" w:hAnsi="Georgia"/>
          <w:bCs/>
          <w:sz w:val="20"/>
          <w:szCs w:val="20"/>
          <w:lang w:val="lt-LT"/>
        </w:rPr>
        <w:t>ir Londono energetinio efektyvumo fondas Jungtinėje Karalystėje (LEEF).</w:t>
      </w:r>
    </w:p>
    <w:p w14:paraId="2FEAC563" w14:textId="4017CD59" w:rsidR="00451BC7" w:rsidRPr="002142B8" w:rsidRDefault="00451BC7" w:rsidP="00451BC7">
      <w:pPr>
        <w:jc w:val="both"/>
        <w:rPr>
          <w:rFonts w:ascii="Georgia" w:hAnsi="Georgia"/>
          <w:sz w:val="20"/>
          <w:szCs w:val="20"/>
          <w:lang w:val="lt-LT"/>
        </w:rPr>
      </w:pPr>
      <w:r w:rsidRPr="002142B8">
        <w:rPr>
          <w:rFonts w:ascii="Georgia" w:hAnsi="Georgia"/>
          <w:bCs/>
          <w:sz w:val="20"/>
          <w:szCs w:val="20"/>
          <w:lang w:val="lt-LT"/>
        </w:rPr>
        <w:t xml:space="preserve">Analizė atlikta pagal 2014-2020 m. </w:t>
      </w:r>
      <w:r w:rsidR="007A49C1" w:rsidRPr="002142B8">
        <w:rPr>
          <w:rFonts w:ascii="Georgia" w:hAnsi="Georgia"/>
          <w:bCs/>
          <w:sz w:val="20"/>
          <w:szCs w:val="20"/>
          <w:lang w:val="lt-LT"/>
        </w:rPr>
        <w:t xml:space="preserve">periodo </w:t>
      </w:r>
      <w:r w:rsidRPr="002142B8">
        <w:rPr>
          <w:rFonts w:ascii="Georgia" w:hAnsi="Georgia"/>
          <w:bCs/>
          <w:sz w:val="20"/>
          <w:szCs w:val="20"/>
          <w:lang w:val="lt-LT"/>
        </w:rPr>
        <w:t>finansinių priemonių e</w:t>
      </w:r>
      <w:r w:rsidR="00300FF4" w:rsidRPr="002142B8">
        <w:rPr>
          <w:rFonts w:ascii="Georgia" w:hAnsi="Georgia"/>
          <w:bCs/>
          <w:sz w:val="20"/>
          <w:szCs w:val="20"/>
          <w:lang w:val="lt-LT"/>
        </w:rPr>
        <w:t>x-ante</w:t>
      </w:r>
      <w:r w:rsidRPr="002142B8">
        <w:rPr>
          <w:rFonts w:ascii="Georgia" w:hAnsi="Georgia"/>
          <w:bCs/>
          <w:sz w:val="20"/>
          <w:szCs w:val="20"/>
          <w:lang w:val="lt-LT"/>
        </w:rPr>
        <w:t xml:space="preserve"> vertinimo metodikoje rekomenduojamą struktūrą, t. y. valstybės/regiono ekonominis ir politinis kontekstas, f</w:t>
      </w:r>
      <w:r w:rsidRPr="002142B8">
        <w:rPr>
          <w:rFonts w:ascii="Georgia" w:hAnsi="Georgia"/>
          <w:sz w:val="20"/>
          <w:szCs w:val="20"/>
          <w:lang w:val="lt-LT"/>
        </w:rPr>
        <w:t>inansinės priemonės tikslai, tikslinė rinka, pateikiamas išsamus finansinio produkto aprašymas (finansinio produkto tipas, finansinio produkto sąlygos, tinkami galutiniai naudos gavėjai, įgyvendinančios institucijos, organizacinė finansinės priemonės struktūra, privatiems investuotojams taikomos lengvatos/paskatos, rezultatai), finansinės priemonės indėlis į veiksmų programos tikslų pasiekimą, sėkmės faktoriai, pasiteisinusios idėjos/elementai, problemos, su kuriomis susidurta, didesnio rizikingumo aspektai ir pasiūlymai. Ši informacija pateikiama 3-6 prieduose.</w:t>
      </w:r>
    </w:p>
    <w:p w14:paraId="5CA3283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JESSICA </w:t>
      </w:r>
      <w:r w:rsidR="007A49C1" w:rsidRPr="002142B8">
        <w:rPr>
          <w:rFonts w:ascii="Georgia" w:hAnsi="Georgia"/>
          <w:sz w:val="20"/>
          <w:szCs w:val="20"/>
          <w:lang w:val="lt-LT"/>
        </w:rPr>
        <w:t>KF</w:t>
      </w:r>
      <w:r w:rsidRPr="002142B8">
        <w:rPr>
          <w:rFonts w:ascii="Georgia" w:hAnsi="Georgia"/>
          <w:sz w:val="20"/>
          <w:szCs w:val="20"/>
          <w:lang w:val="lt-LT"/>
        </w:rPr>
        <w:t xml:space="preserve"> Lietuvoje pasirinktas todėl, kad 2014-2020 m. </w:t>
      </w:r>
      <w:r w:rsidR="007A49C1" w:rsidRPr="002142B8">
        <w:rPr>
          <w:rFonts w:ascii="Georgia" w:hAnsi="Georgia"/>
          <w:sz w:val="20"/>
          <w:szCs w:val="20"/>
          <w:lang w:val="lt-LT"/>
        </w:rPr>
        <w:t>periodo</w:t>
      </w:r>
      <w:r w:rsidRPr="002142B8">
        <w:rPr>
          <w:rFonts w:ascii="Georgia" w:hAnsi="Georgia"/>
          <w:sz w:val="20"/>
          <w:szCs w:val="20"/>
          <w:lang w:val="lt-LT"/>
        </w:rPr>
        <w:t xml:space="preserve"> finansinės priemonės neišvengiamai pasinaudos dalimi šio fondo sukauptos patirties. Taip pat, JESSICA </w:t>
      </w:r>
      <w:r w:rsidR="007A49C1" w:rsidRPr="002142B8">
        <w:rPr>
          <w:rFonts w:ascii="Georgia" w:hAnsi="Georgia"/>
          <w:sz w:val="20"/>
          <w:szCs w:val="20"/>
          <w:lang w:val="lt-LT"/>
        </w:rPr>
        <w:t>KF</w:t>
      </w:r>
      <w:r w:rsidRPr="002142B8">
        <w:rPr>
          <w:rFonts w:ascii="Georgia" w:hAnsi="Georgia"/>
          <w:sz w:val="20"/>
          <w:szCs w:val="20"/>
          <w:lang w:val="lt-LT"/>
        </w:rPr>
        <w:t xml:space="preserve"> Lietuvoje pavyzdys naudingas dėl specifinių teisinės ir socialinės aplinkos aspektų, kurių nebūtų galima identifikuoti analizuojant kitų valstybių patirtį.</w:t>
      </w:r>
    </w:p>
    <w:p w14:paraId="7A4B1AEC"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EERSF yra įdomus dėl ESCO teikiamų garantijų bei dėl pamokų, kurias galima išmokti iš priemonių, finansuojamų be struktūrinių fondų pagalbos. Kita priežastis yra ta, jog nepaisant to, kad </w:t>
      </w:r>
      <w:r w:rsidR="007A49C1" w:rsidRPr="002142B8">
        <w:rPr>
          <w:rFonts w:ascii="Georgia" w:hAnsi="Georgia"/>
          <w:sz w:val="20"/>
          <w:szCs w:val="20"/>
          <w:lang w:val="lt-LT"/>
        </w:rPr>
        <w:t>egzis</w:t>
      </w:r>
      <w:r w:rsidRPr="002142B8">
        <w:rPr>
          <w:rFonts w:ascii="Georgia" w:hAnsi="Georgia"/>
          <w:sz w:val="20"/>
          <w:szCs w:val="20"/>
          <w:lang w:val="lt-LT"/>
        </w:rPr>
        <w:t>tuoja</w:t>
      </w:r>
      <w:r w:rsidR="007A49C1" w:rsidRPr="002142B8">
        <w:rPr>
          <w:rFonts w:ascii="Georgia" w:hAnsi="Georgia"/>
          <w:sz w:val="20"/>
          <w:szCs w:val="20"/>
          <w:lang w:val="lt-LT"/>
        </w:rPr>
        <w:t xml:space="preserve"> energijos sektoriuje veikiantys</w:t>
      </w:r>
      <w:r w:rsidRPr="002142B8">
        <w:rPr>
          <w:rFonts w:ascii="Georgia" w:hAnsi="Georgia"/>
          <w:sz w:val="20"/>
          <w:szCs w:val="20"/>
          <w:lang w:val="lt-LT"/>
        </w:rPr>
        <w:t xml:space="preserve"> miestų plėtros fondai, fondų, kuriuose jau įgyvendinami projektai, skaičius yra ribotas. Dar mažiau yra fondų ir įgyvendinimo modelių, kurie pasiteisino įgyvendinant energijos efektyvumo sektoriaus projektus ir turėjo realų poveikį diegiant energijos vartojimo efektyvumo ir atsinaujinančiųjų energijos išteklių sprendimus siekiant tvarios miestų plėtros.</w:t>
      </w:r>
    </w:p>
    <w:p w14:paraId="2E54D87B" w14:textId="77777777" w:rsidR="00451BC7" w:rsidRPr="002142B8" w:rsidRDefault="00451BC7" w:rsidP="00451BC7">
      <w:pPr>
        <w:jc w:val="both"/>
        <w:rPr>
          <w:lang w:val="lt-LT"/>
        </w:rPr>
      </w:pPr>
      <w:r w:rsidRPr="002142B8">
        <w:rPr>
          <w:rFonts w:ascii="Georgia" w:hAnsi="Georgia"/>
          <w:sz w:val="20"/>
          <w:szCs w:val="20"/>
          <w:lang w:val="lt-LT"/>
        </w:rPr>
        <w:t xml:space="preserve">LEEF pasirinktas todėl, kad Jungtinė Karalystė turi bene daugiausiai finansinių priemonių, finansuojamų struktūrinių fondų lėšomis, įgyvendinimo patirties. Priemonės buvo pradėtos įgyvendinti 2000-2006 m. laikotarpiu Škotijoje, Šiaurės Airijoje, Anglijoje ir Velse. Vien Anglijoje ir Velse veikė 21 rizikos kapitalo paskolų fondas, kurie valdė beveik 1 mlrd. eurų. Taigi, Jungtinės Karalystės patirtis įdomi dėl sukauptos patirties, kuri galėtų būti pritaikyta naujoviškoms finansinėms priemonėms. Taip pat, LEEF buvo vienas pirmųjų miestų plėtros fondų, pradėjusių veikti 2007-2013 m. </w:t>
      </w:r>
      <w:r w:rsidR="007A49C1" w:rsidRPr="002142B8">
        <w:rPr>
          <w:rFonts w:ascii="Georgia" w:hAnsi="Georgia"/>
          <w:sz w:val="20"/>
          <w:szCs w:val="20"/>
          <w:lang w:val="lt-LT"/>
        </w:rPr>
        <w:t>periodu</w:t>
      </w:r>
      <w:r w:rsidRPr="002142B8">
        <w:rPr>
          <w:rFonts w:ascii="Georgia" w:hAnsi="Georgia"/>
          <w:sz w:val="20"/>
          <w:szCs w:val="20"/>
          <w:lang w:val="lt-LT"/>
        </w:rPr>
        <w:t>, ir yra geras fondo kaip nepriklausomo juridinio asmens steigimo pavyzdys. Fondas pasižymi efektyvia valdymo struktūra, kurioje dalyvauja viešos ir privačios institucijos.</w:t>
      </w:r>
    </w:p>
    <w:p w14:paraId="0801AD32" w14:textId="77777777" w:rsidR="00451BC7" w:rsidRPr="002142B8" w:rsidRDefault="00451BC7" w:rsidP="00451BC7">
      <w:pPr>
        <w:pStyle w:val="Pagrindinistekstas"/>
        <w:rPr>
          <w:i/>
          <w:lang w:val="lt-LT"/>
        </w:rPr>
      </w:pPr>
      <w:r w:rsidRPr="002142B8">
        <w:rPr>
          <w:i/>
          <w:lang w:val="lt-LT"/>
        </w:rPr>
        <w:lastRenderedPageBreak/>
        <w:t xml:space="preserve">JESSICA </w:t>
      </w:r>
      <w:r w:rsidR="007A49C1" w:rsidRPr="002142B8">
        <w:rPr>
          <w:i/>
          <w:lang w:val="lt-LT"/>
        </w:rPr>
        <w:t>KF</w:t>
      </w:r>
      <w:r w:rsidRPr="002142B8">
        <w:rPr>
          <w:i/>
          <w:lang w:val="lt-LT"/>
        </w:rPr>
        <w:t xml:space="preserve"> Lietuvoje</w:t>
      </w:r>
    </w:p>
    <w:p w14:paraId="435E07B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JESSICA KF Lietuvoje siekia 1) skatinti daugiabučių namų savininkus atnaujinti (modernizuoti) daugiabučius namus, didinant energinį jų naudingumą, ir 2) modernizuoti bendrabučius, pastatytus pagal iki 1993 metų galiojusius statybos techninius normatyvus, pagerinti studentų bei mokinių gyvenimo sąlygas, taupyti energiją. Fondas finansuoja lengvatines paskolas, teikiamas kartu su kita valstybės parama. Tinkami galutiniai naudos gavėjai yra butų ir patalpų savininkai, atstovaujami daugiabučio namo bendrojo naudojimo objektų valdytojo, daugiabučio namo bendrojo naudojimo objektų valdytojai, daugiabučių namų savininkų bendrijos, savivaldybių administracijos, universitetai.</w:t>
      </w:r>
    </w:p>
    <w:p w14:paraId="095AEC4C"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Svarbiausios pamokos</w:t>
      </w:r>
    </w:p>
    <w:p w14:paraId="0027D9E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Pradžioje, kai kuriuose projektuose buvo susidurta su žema statybos darbų kokybe – naudojamos kitos medžiagos nei numatyta arba darbai atliekami nekokybiškai. Pažymėtina, kad darbų klaidos ar nekokybiškų medžiagų naudojimo pasekmės gali pasireikšti net po keleto metų po darbų priėmimo akto pasirašymo. Be to, dažnai, įgyvendinant projektus, siekiama sutaupyti, todėl projektai yra skaičiuojami pagal minimalius reikalavimus, kurie yra numatyti techniniame plane. Tai viena iš priežasčių dėl </w:t>
      </w:r>
      <w:r w:rsidR="00DC5D31" w:rsidRPr="002142B8">
        <w:rPr>
          <w:rFonts w:ascii="Georgia" w:hAnsi="Georgia"/>
          <w:sz w:val="20"/>
          <w:szCs w:val="20"/>
          <w:lang w:val="lt-LT"/>
        </w:rPr>
        <w:t>susidarančio skirtumo</w:t>
      </w:r>
      <w:r w:rsidRPr="002142B8">
        <w:rPr>
          <w:rFonts w:ascii="Georgia" w:hAnsi="Georgia"/>
          <w:sz w:val="20"/>
          <w:szCs w:val="20"/>
          <w:lang w:val="lt-LT"/>
        </w:rPr>
        <w:t xml:space="preserve"> tarp lūkesčių ir realių rezultatų įgyvendinus projektą.</w:t>
      </w:r>
    </w:p>
    <w:p w14:paraId="13DF58E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Visuomenės pozicija daugiabučių namų atnaujinimo proceso atžvilgiu yra nuosaiki. Gana </w:t>
      </w:r>
      <w:r w:rsidR="00DC5D31" w:rsidRPr="002142B8">
        <w:rPr>
          <w:rFonts w:ascii="Georgia" w:hAnsi="Georgia"/>
          <w:sz w:val="20"/>
          <w:szCs w:val="20"/>
          <w:lang w:val="lt-LT"/>
        </w:rPr>
        <w:t>saikingą</w:t>
      </w:r>
      <w:r w:rsidRPr="002142B8">
        <w:rPr>
          <w:rFonts w:ascii="Georgia" w:hAnsi="Georgia"/>
          <w:sz w:val="20"/>
          <w:szCs w:val="20"/>
          <w:lang w:val="lt-LT"/>
        </w:rPr>
        <w:t xml:space="preserve"> lietuvių poziciją daugiausiai lemia neaiški ekonominė situacija ir pinigų stygius, t. y. žmonės nenori investuoti, kai nėra tikri dėl savo finansinės ateities.</w:t>
      </w:r>
    </w:p>
    <w:p w14:paraId="7A622B32"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Pasirinkus finansinės priemonės kūrimą per kontroliuojančiojo fondo valdymo schemą, kūrimo procesas užtrunka ilgiau ir lėšos galutinius naudos gavėjus pasiekia vėliau nei per finansinę priemonę be kontroliuojančiojo fondo. JESSICA </w:t>
      </w:r>
      <w:r w:rsidR="00DC5D31" w:rsidRPr="002142B8">
        <w:rPr>
          <w:rFonts w:ascii="Georgia" w:hAnsi="Georgia"/>
          <w:sz w:val="20"/>
          <w:szCs w:val="20"/>
          <w:lang w:val="lt-LT"/>
        </w:rPr>
        <w:t>KF</w:t>
      </w:r>
      <w:r w:rsidRPr="002142B8">
        <w:rPr>
          <w:rFonts w:ascii="Georgia" w:hAnsi="Georgia"/>
          <w:sz w:val="20"/>
          <w:szCs w:val="20"/>
          <w:lang w:val="lt-LT"/>
        </w:rPr>
        <w:t xml:space="preserve"> atveju po finansavimo sutarties dėl kontroliuojančiojo fondo steigimo pasirašymo prireikė 6 mėnesių kol buvo paskelbtas konkursas finansiniams tarpininkams atrinkti, ir tik po metų buvo pasirašyta pirmoji sutartis su finansiniu tarpininku, o po pusantrų metų – pasirašyta pirmoji paskolos sutartis su galutiniu naudos gavėju.</w:t>
      </w:r>
    </w:p>
    <w:p w14:paraId="23201BDA"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2007-2013 m. buvo pirmasis </w:t>
      </w:r>
      <w:r w:rsidR="00DC5D31" w:rsidRPr="002142B8">
        <w:rPr>
          <w:rFonts w:ascii="Georgia" w:hAnsi="Georgia"/>
          <w:sz w:val="20"/>
          <w:szCs w:val="20"/>
          <w:lang w:val="lt-LT"/>
        </w:rPr>
        <w:t>periodas</w:t>
      </w:r>
      <w:r w:rsidRPr="002142B8">
        <w:rPr>
          <w:rFonts w:ascii="Georgia" w:hAnsi="Georgia"/>
          <w:sz w:val="20"/>
          <w:szCs w:val="20"/>
          <w:lang w:val="lt-LT"/>
        </w:rPr>
        <w:t>, kurio metu</w:t>
      </w:r>
      <w:r w:rsidR="00DC5D31" w:rsidRPr="002142B8">
        <w:rPr>
          <w:rFonts w:ascii="Georgia" w:hAnsi="Georgia"/>
          <w:sz w:val="20"/>
          <w:szCs w:val="20"/>
          <w:lang w:val="lt-LT"/>
        </w:rPr>
        <w:t xml:space="preserve"> ES</w:t>
      </w:r>
      <w:r w:rsidRPr="002142B8">
        <w:rPr>
          <w:rFonts w:ascii="Georgia" w:hAnsi="Georgia"/>
          <w:sz w:val="20"/>
          <w:szCs w:val="20"/>
          <w:lang w:val="lt-LT"/>
        </w:rPr>
        <w:t xml:space="preserve"> buvo taip plačiai įgyvendinamos finansinės priemonės finansuojamos ESI fondų lėšomis. Tuo tarpu ESI fondų teisinė bazė buvo labiau pritaikyta subsidijoms – ES teisės aktai nepateikė aiškių atsakymų, susijusių su finansini</w:t>
      </w:r>
      <w:r w:rsidR="00DC5D31" w:rsidRPr="002142B8">
        <w:rPr>
          <w:rFonts w:ascii="Georgia" w:hAnsi="Georgia"/>
          <w:sz w:val="20"/>
          <w:szCs w:val="20"/>
          <w:lang w:val="lt-LT"/>
        </w:rPr>
        <w:t xml:space="preserve">ų priemonių įgyvendinimu, todėl </w:t>
      </w:r>
      <w:r w:rsidRPr="002142B8">
        <w:rPr>
          <w:rFonts w:ascii="Georgia" w:hAnsi="Georgia"/>
          <w:sz w:val="20"/>
          <w:szCs w:val="20"/>
          <w:lang w:val="lt-LT"/>
        </w:rPr>
        <w:t xml:space="preserve">steigiant JESSICA </w:t>
      </w:r>
      <w:r w:rsidR="00DC5D31" w:rsidRPr="002142B8">
        <w:rPr>
          <w:rFonts w:ascii="Georgia" w:hAnsi="Georgia"/>
          <w:sz w:val="20"/>
          <w:szCs w:val="20"/>
          <w:lang w:val="lt-LT"/>
        </w:rPr>
        <w:t>KF</w:t>
      </w:r>
      <w:r w:rsidRPr="002142B8">
        <w:rPr>
          <w:rFonts w:ascii="Georgia" w:hAnsi="Georgia"/>
          <w:sz w:val="20"/>
          <w:szCs w:val="20"/>
          <w:lang w:val="lt-LT"/>
        </w:rPr>
        <w:t xml:space="preserve"> ir vėliau, projektų įgyvendinimo metu, teko aktyviai konsultuotis su Europos Komisija, kitomis institucijomis ir ekspertais, kas reikalavo papildomų laiko sąnaudų.</w:t>
      </w:r>
    </w:p>
    <w:p w14:paraId="21D93B7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Sukurtos standartinės formos ir pavyzdiniai dokumentai ženkliai prisidėjo prie daugiabučių namų atnaujinimo projektų įgyvendinimo proceso supaprastinimo, patrauklumo ir skaidrumo didinimo. Ypač svarbus yra taisyklių</w:t>
      </w:r>
      <w:r w:rsidR="00DC5D31" w:rsidRPr="002142B8">
        <w:rPr>
          <w:rFonts w:ascii="Georgia" w:hAnsi="Georgia"/>
          <w:sz w:val="20"/>
          <w:szCs w:val="20"/>
          <w:lang w:val="lt-LT"/>
        </w:rPr>
        <w:t xml:space="preserve"> ir teisinės bazės</w:t>
      </w:r>
      <w:r w:rsidRPr="002142B8">
        <w:rPr>
          <w:rFonts w:ascii="Georgia" w:hAnsi="Georgia"/>
          <w:sz w:val="20"/>
          <w:szCs w:val="20"/>
          <w:lang w:val="lt-LT"/>
        </w:rPr>
        <w:t xml:space="preserve"> pastovumas, kuris didina pasitikėjimą visa daugiabučių atnaujinimo programa. </w:t>
      </w:r>
    </w:p>
    <w:p w14:paraId="25CAD95D"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Rekomenduotina praktika yra parengiamųjų projekto darbų finansavimas sąskaitų apmokėjimo būdu deklaruojant patirtas, bet dar neapmokėtas išlaidas. Taip pat pasiteisino praktika, kai daugiabučių namų atnaujinimo projektuose nebuvo taikomas reikalavimas užstatyti turtą, bei susiekti paskolą su renovuotinu turtu.</w:t>
      </w:r>
    </w:p>
    <w:p w14:paraId="720180CD"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Atliekant viešąjį pirkimą per CPO buvo identifikuotas avanso poreikis. Nors teisinėje bazėje ir numatyta galimybė statybinėms įmonėms sumokėti iki 30 proc. avansą, perkant per CPO tokios galimybės nėra. Todėl visos statybų sutartys buvo perkamos be avanso, o statybininkams trūko apyvartinių lėšų.</w:t>
      </w:r>
    </w:p>
    <w:p w14:paraId="3EB7254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JESSICA </w:t>
      </w:r>
      <w:r w:rsidR="00DC5D31" w:rsidRPr="002142B8">
        <w:rPr>
          <w:rFonts w:ascii="Georgia" w:hAnsi="Georgia"/>
          <w:sz w:val="20"/>
          <w:szCs w:val="20"/>
          <w:lang w:val="lt-LT"/>
        </w:rPr>
        <w:t>KF</w:t>
      </w:r>
      <w:r w:rsidRPr="002142B8">
        <w:rPr>
          <w:rFonts w:ascii="Georgia" w:hAnsi="Georgia"/>
          <w:sz w:val="20"/>
          <w:szCs w:val="20"/>
          <w:lang w:val="lt-LT"/>
        </w:rPr>
        <w:t xml:space="preserve"> sėkmės faktoriai, pasiteisinusios idėjos/elementai, problemos, su kuriomis susidurta, įvairūs rizikingumo aspektai detaliai aptariami 3 priede, taip pat pateikti pasiūlymai, kurie galėtų būti aktualūs kuriant finansines priemones 2014-2020 m. </w:t>
      </w:r>
      <w:r w:rsidR="00DC5D31" w:rsidRPr="002142B8">
        <w:rPr>
          <w:rFonts w:ascii="Georgia" w:hAnsi="Georgia"/>
          <w:sz w:val="20"/>
          <w:szCs w:val="20"/>
          <w:lang w:val="lt-LT"/>
        </w:rPr>
        <w:t>periodu</w:t>
      </w:r>
      <w:r w:rsidRPr="002142B8">
        <w:rPr>
          <w:rFonts w:ascii="Georgia" w:hAnsi="Georgia"/>
          <w:sz w:val="20"/>
          <w:szCs w:val="20"/>
          <w:lang w:val="lt-LT"/>
        </w:rPr>
        <w:t xml:space="preserve"> Lietuvoje.</w:t>
      </w:r>
    </w:p>
    <w:p w14:paraId="131D9805" w14:textId="77777777" w:rsidR="00451BC7" w:rsidRPr="002142B8" w:rsidRDefault="00451BC7" w:rsidP="00451BC7">
      <w:pPr>
        <w:pStyle w:val="Pagrindinistekstas"/>
        <w:spacing w:before="240"/>
        <w:rPr>
          <w:i/>
          <w:lang w:val="lt-LT"/>
        </w:rPr>
      </w:pPr>
      <w:r w:rsidRPr="002142B8">
        <w:rPr>
          <w:i/>
          <w:lang w:val="lt-LT"/>
        </w:rPr>
        <w:lastRenderedPageBreak/>
        <w:t>Energijos efektyvumo ir atsinaujinančių išteklių fondas Bulgarijoje</w:t>
      </w:r>
    </w:p>
    <w:p w14:paraId="715DA40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Šio fondo tikslas – palengvinti energijos efektyvumo investicijas bei paskatinti energijos efektyvumo sektoriaus rinkos plėtrą ir atsinaujinančių energijos išteklių projektų įgyvendinimą. Fondas teikia paskolas, dalines garantijas ir ESCO portfelines garantijas. Daugiausiai yra investuojama į viešųjų pastatų projektus. Tinkami galutiniai naudos gavėjai yra savivaldybės, verslo įmonės, universitetai, ligoninės ir pan.</w:t>
      </w:r>
    </w:p>
    <w:p w14:paraId="306A5A77"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Svarbiausios pamokos</w:t>
      </w:r>
    </w:p>
    <w:p w14:paraId="7B1D4A70"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Pastebėta, jog siekiant sėkmingai įgyvendinti fondo tikslus svarbu tinkamą dėmesį skirti informacijos sklaidos veikloms, taip pat aktyviai bendradarbiauti su tikslinėmis grupėmis, kurioms skirti fondo produktai.</w:t>
      </w:r>
    </w:p>
    <w:p w14:paraId="2DBDA845"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Pastebėtas neigiamas tame pačiame sektoriuje vykdomų viešųjų intervencijų/kitų finansinių priemonių poveikis EERSF produktų paklausai (ypač pagal Bulgarijos ES</w:t>
      </w:r>
      <w:r w:rsidR="00DC5D31" w:rsidRPr="002142B8">
        <w:rPr>
          <w:rFonts w:ascii="Georgia" w:hAnsi="Georgia"/>
          <w:sz w:val="20"/>
          <w:szCs w:val="20"/>
          <w:lang w:val="lt-LT"/>
        </w:rPr>
        <w:t>I</w:t>
      </w:r>
      <w:r w:rsidRPr="002142B8">
        <w:rPr>
          <w:rFonts w:ascii="Georgia" w:hAnsi="Georgia"/>
          <w:sz w:val="20"/>
          <w:szCs w:val="20"/>
          <w:lang w:val="lt-LT"/>
        </w:rPr>
        <w:t xml:space="preserve"> fondų veiksmų programas skiriamų subsidijų). Todėl rekomenduotina įvertinti konkuruojančių finansinių priemonių sukūrimo naudą, bei kitas intervencijos priemones skirtas tikslinei rinkai.</w:t>
      </w:r>
    </w:p>
    <w:p w14:paraId="5FED230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Siūlomų produktų trukmė turėtų būti nustatoma atsižvelgiant į projektų specifiką ir atsipirkimo laiką. Priešingu atveju tai taip pat gali ženkliai įtakoti paklausą.</w:t>
      </w:r>
    </w:p>
    <w:p w14:paraId="276593B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Sveikintina praktika yra platus įvairių organizacijų ir ekspertų įtraukimas į fondo valdymo struktūrą. Tai padeda suformuoti įvairiapusišką poziciją, įvertinti poveikį skirtingoms interesų grupėms. Taip pat pažymėtinas fondo lankstumas, kuris leidžia operatyviai reaguoti į rinkos ir konkurencinės aplinkos pokyčius visuose projekto etapuose.</w:t>
      </w:r>
    </w:p>
    <w:p w14:paraId="7EE0BAF4"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Svarbi yra vyriausybės parama, ypač jei organizacija ar priemonė yra nauja. Taip pat prie sėkmės ženkliai prisideda patikima ir aiški teisinė bazė. Tai ypač aktualu kalbant apie ESCO rinkos plėtrą.</w:t>
      </w:r>
    </w:p>
    <w:p w14:paraId="0E711CED"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Pastebėta, kad finansinės programos nebuvo sistemingai vertinamos efektyvumo ir poveikio aspektais. Iniciatyvos dažnai nebuvo tarpusavyje koordinuojamos ir optimaliai suprojektuotos, dėl ko atsirasdavo persidengimas bei būdavo nepakankamai išnaudojamas finansinių priemonių potencialas.</w:t>
      </w:r>
    </w:p>
    <w:p w14:paraId="246F745C"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EERSF sėkmės faktoriai, pasiteisinusios idėjos/elementai, problemos, su kuriomis susidurta, didesnio rizikingumo aspektai detaliai aptariami 4 priede, taip pat pateikti pasiūlymai, kurie galėtų būti aktualūs kuriant finansines priemones 2014-2020 m. finansiniu laikotarpiu Lietuvoje.</w:t>
      </w:r>
    </w:p>
    <w:p w14:paraId="62CFB31A" w14:textId="77777777" w:rsidR="00451BC7" w:rsidRPr="002142B8" w:rsidRDefault="00451BC7" w:rsidP="00451BC7">
      <w:pPr>
        <w:pStyle w:val="Pagrindinistekstas"/>
        <w:keepNext/>
        <w:spacing w:before="240"/>
        <w:rPr>
          <w:i/>
          <w:lang w:val="lt-LT"/>
        </w:rPr>
      </w:pPr>
      <w:r w:rsidRPr="002142B8">
        <w:rPr>
          <w:i/>
          <w:lang w:val="lt-LT"/>
        </w:rPr>
        <w:t>Londono energetinio efektyvumo fondas Jungtinėje Karalystėje</w:t>
      </w:r>
    </w:p>
    <w:p w14:paraId="5516E9CD" w14:textId="77777777" w:rsidR="00451BC7" w:rsidRPr="002142B8" w:rsidRDefault="00451BC7" w:rsidP="00451BC7">
      <w:pPr>
        <w:keepNext/>
        <w:jc w:val="both"/>
        <w:rPr>
          <w:rFonts w:ascii="Georgia" w:hAnsi="Georgia"/>
          <w:sz w:val="20"/>
          <w:szCs w:val="20"/>
          <w:lang w:val="lt-LT"/>
        </w:rPr>
      </w:pPr>
      <w:r w:rsidRPr="002142B8">
        <w:rPr>
          <w:rFonts w:ascii="Georgia" w:hAnsi="Georgia"/>
          <w:sz w:val="20"/>
          <w:szCs w:val="20"/>
          <w:lang w:val="lt-LT"/>
        </w:rPr>
        <w:t xml:space="preserve">Šis fondas finansuoja investicijas į energijos vartojimo efektyvumo didinimo priemones privataus ir viešojo sektoriaus pastatuose. LEEF iki 2015 m. gruodžio siekia investuoti ne mažiau kaip 70 mln. </w:t>
      </w:r>
      <w:r w:rsidR="00F918A0" w:rsidRPr="002142B8">
        <w:rPr>
          <w:rFonts w:ascii="Georgia" w:hAnsi="Georgia"/>
          <w:sz w:val="20"/>
          <w:szCs w:val="20"/>
          <w:lang w:val="lt-LT"/>
        </w:rPr>
        <w:t>svarų sterlingų</w:t>
      </w:r>
      <w:r w:rsidRPr="002142B8">
        <w:rPr>
          <w:rFonts w:ascii="Georgia" w:hAnsi="Georgia"/>
          <w:sz w:val="20"/>
          <w:szCs w:val="20"/>
          <w:lang w:val="lt-LT"/>
        </w:rPr>
        <w:t xml:space="preserve"> daugiausia pirmaeilių (privilegijuotųjų) paskolų bei tarpinio pobūdžio paskolų</w:t>
      </w:r>
      <w:r w:rsidRPr="002142B8">
        <w:rPr>
          <w:rStyle w:val="Puslapioinaosnuoroda"/>
          <w:rFonts w:ascii="Georgia" w:hAnsi="Georgia"/>
          <w:sz w:val="20"/>
          <w:szCs w:val="20"/>
          <w:lang w:val="lt-LT"/>
        </w:rPr>
        <w:footnoteReference w:id="180"/>
      </w:r>
      <w:r w:rsidRPr="002142B8">
        <w:rPr>
          <w:rFonts w:ascii="Georgia" w:hAnsi="Georgia"/>
          <w:sz w:val="20"/>
          <w:szCs w:val="20"/>
          <w:lang w:val="lt-LT"/>
        </w:rPr>
        <w:t xml:space="preserve"> (laikantis ESI fondų programos reikalavimų) forma. Šiuo metu LEEF yra sukaupusi daugiau nei 100 mln. </w:t>
      </w:r>
      <w:r w:rsidR="00F918A0" w:rsidRPr="002142B8">
        <w:rPr>
          <w:rFonts w:ascii="Georgia" w:hAnsi="Georgia"/>
          <w:sz w:val="20"/>
          <w:szCs w:val="20"/>
          <w:lang w:val="lt-LT"/>
        </w:rPr>
        <w:t>svarų sterlingų</w:t>
      </w:r>
      <w:r w:rsidRPr="002142B8">
        <w:rPr>
          <w:rFonts w:ascii="Georgia" w:hAnsi="Georgia"/>
          <w:sz w:val="20"/>
          <w:szCs w:val="20"/>
          <w:lang w:val="lt-LT"/>
        </w:rPr>
        <w:t xml:space="preserve"> lėšų (50 mln. </w:t>
      </w:r>
      <w:r w:rsidR="00F918A0" w:rsidRPr="002142B8">
        <w:rPr>
          <w:rFonts w:ascii="Georgia" w:hAnsi="Georgia"/>
          <w:sz w:val="20"/>
          <w:szCs w:val="20"/>
          <w:lang w:val="lt-LT"/>
        </w:rPr>
        <w:t>GBP</w:t>
      </w:r>
      <w:r w:rsidRPr="002142B8">
        <w:rPr>
          <w:rFonts w:ascii="Georgia" w:hAnsi="Georgia"/>
          <w:sz w:val="20"/>
          <w:szCs w:val="20"/>
          <w:lang w:val="lt-LT"/>
        </w:rPr>
        <w:t xml:space="preserve"> iš LGF ir daugiau nei 50 mln. </w:t>
      </w:r>
      <w:r w:rsidR="00F918A0" w:rsidRPr="002142B8">
        <w:rPr>
          <w:rFonts w:ascii="Georgia" w:hAnsi="Georgia"/>
          <w:sz w:val="20"/>
          <w:szCs w:val="20"/>
          <w:lang w:val="lt-LT"/>
        </w:rPr>
        <w:t>GBP</w:t>
      </w:r>
      <w:r w:rsidRPr="002142B8">
        <w:rPr>
          <w:rFonts w:ascii="Georgia" w:hAnsi="Georgia"/>
          <w:sz w:val="20"/>
          <w:szCs w:val="20"/>
          <w:lang w:val="lt-LT"/>
        </w:rPr>
        <w:t xml:space="preserve"> papildomo privataus finansavimo). Fondas teikia paskolas (išskirtiniais atvejais gali būti investuojamas ir kapitalas). Kiekvienas projektas privalo sutaupyti mažiausiai 20 proc. energijos lyginant su situacija iki projekto įgyvendinimo ir sumažinti metinį anglies dvideginio kiekį bent viena CO</w:t>
      </w:r>
      <w:r w:rsidRPr="002142B8">
        <w:rPr>
          <w:rFonts w:ascii="Georgia" w:hAnsi="Georgia"/>
          <w:sz w:val="20"/>
          <w:szCs w:val="20"/>
          <w:vertAlign w:val="subscript"/>
          <w:lang w:val="lt-LT"/>
        </w:rPr>
        <w:t>2</w:t>
      </w:r>
      <w:r w:rsidRPr="002142B8">
        <w:rPr>
          <w:rFonts w:ascii="Georgia" w:hAnsi="Georgia"/>
          <w:sz w:val="20"/>
          <w:szCs w:val="20"/>
          <w:lang w:val="lt-LT"/>
        </w:rPr>
        <w:t xml:space="preserve"> tona už 5000 </w:t>
      </w:r>
      <w:r w:rsidR="00F918A0" w:rsidRPr="002142B8">
        <w:rPr>
          <w:rFonts w:ascii="Georgia" w:hAnsi="Georgia"/>
          <w:sz w:val="20"/>
          <w:szCs w:val="20"/>
          <w:lang w:val="lt-LT"/>
        </w:rPr>
        <w:t>svarų sterlingų</w:t>
      </w:r>
      <w:r w:rsidRPr="002142B8">
        <w:rPr>
          <w:rFonts w:ascii="Georgia" w:hAnsi="Georgia"/>
          <w:sz w:val="20"/>
          <w:szCs w:val="20"/>
          <w:lang w:val="lt-LT"/>
        </w:rPr>
        <w:t xml:space="preserve"> investicijų. Tinkami galutiniai naudos gavėjai yra viešojo sektoriaus organizacijos, pvz., vietos savivaldos institucijos, universitetai, privatus sektorius, pvz., ESCO, statybų rangovai, patalpų </w:t>
      </w:r>
      <w:r w:rsidRPr="002142B8">
        <w:rPr>
          <w:rFonts w:ascii="Georgia" w:hAnsi="Georgia"/>
          <w:sz w:val="20"/>
          <w:szCs w:val="20"/>
          <w:lang w:val="lt-LT"/>
        </w:rPr>
        <w:lastRenderedPageBreak/>
        <w:t>savininkai. Taip pat LEEF gali investuoti į bendrų įmonių</w:t>
      </w:r>
      <w:r w:rsidRPr="002142B8">
        <w:rPr>
          <w:rStyle w:val="Puslapioinaosnuoroda"/>
          <w:rFonts w:ascii="Georgia" w:hAnsi="Georgia"/>
          <w:sz w:val="20"/>
          <w:szCs w:val="20"/>
          <w:lang w:val="lt-LT"/>
        </w:rPr>
        <w:footnoteReference w:id="181"/>
      </w:r>
      <w:r w:rsidRPr="002142B8">
        <w:rPr>
          <w:rFonts w:ascii="Georgia" w:hAnsi="Georgia"/>
          <w:sz w:val="20"/>
          <w:szCs w:val="20"/>
          <w:lang w:val="lt-LT"/>
        </w:rPr>
        <w:t>, specialios paskirties įmonių valdomus projektus, viešo ir privataus sektorių partnerystės būdu įgyvendinamus projektus.</w:t>
      </w:r>
    </w:p>
    <w:p w14:paraId="6B1432E3" w14:textId="77777777" w:rsidR="00451BC7" w:rsidRPr="002142B8" w:rsidRDefault="00451BC7" w:rsidP="00451BC7">
      <w:pPr>
        <w:jc w:val="both"/>
        <w:rPr>
          <w:rFonts w:ascii="Georgia" w:hAnsi="Georgia"/>
          <w:sz w:val="20"/>
          <w:szCs w:val="20"/>
          <w:lang w:val="lt-LT"/>
        </w:rPr>
      </w:pPr>
      <w:r w:rsidRPr="002142B8">
        <w:rPr>
          <w:rFonts w:ascii="Georgia" w:hAnsi="Georgia"/>
          <w:i/>
          <w:sz w:val="20"/>
          <w:szCs w:val="20"/>
          <w:lang w:val="lt-LT"/>
        </w:rPr>
        <w:t>Svarbiausios pamokos</w:t>
      </w:r>
      <w:r w:rsidRPr="002142B8">
        <w:rPr>
          <w:rFonts w:ascii="Georgia" w:hAnsi="Georgia"/>
          <w:sz w:val="20"/>
          <w:szCs w:val="20"/>
          <w:lang w:val="lt-LT"/>
        </w:rPr>
        <w:t xml:space="preserve"> </w:t>
      </w:r>
    </w:p>
    <w:p w14:paraId="00F1315E"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Pastebėta, jog būtina tiksliai įsivertinti rinkos situaciją ir remiantis šiuo vertinimu apibrėžti konkrečias siūlomo produkto sąlygas (kainą, trukmę, tikslines grupes ir t. t.). Kitas svarbus elementas yra efektyvus priemonių valdymas. Už fondo valdymą atsakinga struktūra turi būti pajėgi priimti nepriklausomus, kompetentingus ir patikimus sprendimus.</w:t>
      </w:r>
    </w:p>
    <w:p w14:paraId="3FFFA33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Nefinansinių tikslų nustatymas, kuris yra inovacija Jungtinėje Karalystėje, padeda pasiekti didesnę socialinę-ekonominę naudą. Pažymėtina, kad miesto plėtros fondams nuo CO</w:t>
      </w:r>
      <w:r w:rsidRPr="002142B8">
        <w:rPr>
          <w:rFonts w:ascii="Georgia" w:hAnsi="Georgia"/>
          <w:sz w:val="20"/>
          <w:szCs w:val="20"/>
          <w:vertAlign w:val="subscript"/>
          <w:lang w:val="lt-LT"/>
        </w:rPr>
        <w:t>2</w:t>
      </w:r>
      <w:r w:rsidRPr="002142B8">
        <w:rPr>
          <w:rFonts w:ascii="Georgia" w:hAnsi="Georgia"/>
          <w:sz w:val="20"/>
          <w:szCs w:val="20"/>
          <w:lang w:val="lt-LT"/>
        </w:rPr>
        <w:t xml:space="preserve"> taršos sumažėjimo priklauso ir jiems mokamas atlygis, paprastai tai nėra būdinga privačiam sektoriui.</w:t>
      </w:r>
    </w:p>
    <w:p w14:paraId="4D253412"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Svarbus aktyvus bendradarbiavimas su Europos Komisija, ypač sprendžiant klausimus, susijusius su finansinių priemonių įgyvendinimu bei papildomų subsidijų </w:t>
      </w:r>
      <w:r w:rsidR="00F918A0" w:rsidRPr="002142B8">
        <w:rPr>
          <w:rFonts w:ascii="Georgia" w:hAnsi="Georgia"/>
          <w:sz w:val="20"/>
          <w:szCs w:val="20"/>
          <w:lang w:val="lt-LT"/>
        </w:rPr>
        <w:t>teikimu</w:t>
      </w:r>
      <w:r w:rsidRPr="002142B8">
        <w:rPr>
          <w:rFonts w:ascii="Georgia" w:hAnsi="Georgia"/>
          <w:sz w:val="20"/>
          <w:szCs w:val="20"/>
          <w:lang w:val="lt-LT"/>
        </w:rPr>
        <w:t xml:space="preserve"> pasirinktame modelyje. Deramas dėmesys turėtų būti skiriamas papildomo privataus finansavimo pritraukimui tiek fondo, tiek ir konkrečių projektų lygiu. Kita vertus, dėl privačių lėšų kainos gali mažėti paskolų patrauklumas. LEEF lėšos yra pigios, bet susietos su privačiomis lėšomis – pabrangsta. Tai gali turėti neigiamą poveikį produktų konkurencingumui.</w:t>
      </w:r>
    </w:p>
    <w:p w14:paraId="274B7999"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LEEF atveju labai svarbi ilgalaikė vizija ir įsipareigojimas siekiant įveikti fondo gyvavimo pradžioje kilusias problemas. Taip pat reikia stengtis išlaikyti tas nuostatas, kurios veikia praktikoje, ir tobulinti tik tuos elementus, kurie neveikia, o ne visą modelį kurti iš naujo.</w:t>
      </w:r>
    </w:p>
    <w:p w14:paraId="15849B02"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Modelio kūrimo procesas užtruko ilgiau nei planuota. 2007-2013 m. Londono ERPF veiksmų programa buvo patvirtinta 2007 m. gruodį. Nuo šios datos iki pirmos investicijos praėjo 4 metai. Miestų plėtros fondai pradėjo veikti praėjus 30 mėnesių po kontroliuojančiojo fondo įsteigimo. Buvo tikimasi, kad pirmojo miesto plėtros fondo valdytojo atrankos metu įgyta patirtis bus pritaikyta kituose pirkimuose ir dėl to jie vyks greičiau ir paprasčiau. Tačiau LGF atveju miesto plėtros fondai turi unikalią struktūrą, todėl buvo būtina adaptacija siekiant atspindėti skirtumus.</w:t>
      </w:r>
    </w:p>
    <w:p w14:paraId="1B3B469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Projektai, ne visada atitinka fondo reikalavimus, todėl kartais nesusidaro prognozuotas projektų srautas. Siekiant sumažinti šią riziką reikia užtikrinant aktyvesnį darbą su potencialiais projektais iki fondo veiklos pradžios. Taip pat padėtų didesnis fondo įgyvendinimo taisyklių lankstumas siekiant prisitaikyti prie kintančių rinkos sąlygų.</w:t>
      </w:r>
    </w:p>
    <w:p w14:paraId="4C0FBE6F"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Pastebėta, jog labai svarbu tinkamai suplanuoti viešinimo veiklas ir skirti joms pakankamus žmogiškuosius ir finansinius išteklius.</w:t>
      </w:r>
    </w:p>
    <w:p w14:paraId="13098F47"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Papildoma pridėtinė nauda gali būti sukurta identifikavus ir sukūrus efektyvų bendradarbiavimo mechanizmą su kitomis finansinėmis priemonėmis, pvz., RE:FIT programa LEEF atveju. </w:t>
      </w:r>
    </w:p>
    <w:p w14:paraId="70CA604C"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Vienas didžiausių iššūkių LEEF buvo ERPF taisyklių, kurios iš principo buvo skirtos subsidijoms, taikymas komercinei aplinkai. ES</w:t>
      </w:r>
      <w:r w:rsidR="00F918A0" w:rsidRPr="002142B8">
        <w:rPr>
          <w:rFonts w:ascii="Georgia" w:hAnsi="Georgia"/>
          <w:sz w:val="20"/>
          <w:szCs w:val="20"/>
          <w:lang w:val="lt-LT"/>
        </w:rPr>
        <w:t>I</w:t>
      </w:r>
      <w:r w:rsidRPr="002142B8">
        <w:rPr>
          <w:rFonts w:ascii="Georgia" w:hAnsi="Georgia"/>
          <w:sz w:val="20"/>
          <w:szCs w:val="20"/>
          <w:lang w:val="lt-LT"/>
        </w:rPr>
        <w:t xml:space="preserve"> fondams taikomos nuostatos pasižymi nelankstumu ir papildomomis sąlygomis, t. y. buvo siūloma komercinė paskola, kuri apipinta papildomais reikalavimais. </w:t>
      </w:r>
    </w:p>
    <w:p w14:paraId="1EDD24B8"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LEEF sėkmės faktoriai, pasiteisinusios idėjos/elementai, problemos, su kuriomis susidurta, įvairaus rizikingumo aspektai detaliai aptariami 5 priede, ten pat pateikti pasiūlymai, kurie galėtų būti aktualūs kuriant finansines priemones 2014-2020 m. </w:t>
      </w:r>
      <w:r w:rsidR="00F918A0" w:rsidRPr="002142B8">
        <w:rPr>
          <w:rFonts w:ascii="Georgia" w:hAnsi="Georgia"/>
          <w:sz w:val="20"/>
          <w:szCs w:val="20"/>
          <w:lang w:val="lt-LT"/>
        </w:rPr>
        <w:t xml:space="preserve">periodu </w:t>
      </w:r>
      <w:r w:rsidRPr="002142B8">
        <w:rPr>
          <w:rFonts w:ascii="Georgia" w:hAnsi="Georgia"/>
          <w:sz w:val="20"/>
          <w:szCs w:val="20"/>
          <w:lang w:val="lt-LT"/>
        </w:rPr>
        <w:t>Lietuvoje.</w:t>
      </w:r>
    </w:p>
    <w:p w14:paraId="24D669E8" w14:textId="6C2D9FF4"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lastRenderedPageBreak/>
        <w:t xml:space="preserve">Atvejo studijų analizė daugeliu atvejų patvirtino informacijos šaltinių, kurie nurodyti </w:t>
      </w:r>
      <w:r w:rsidR="00F918A0" w:rsidRPr="002142B8">
        <w:rPr>
          <w:rFonts w:ascii="Georgia" w:hAnsi="Georgia"/>
          <w:sz w:val="20"/>
          <w:szCs w:val="20"/>
          <w:lang w:val="lt-LT"/>
        </w:rPr>
        <w:t>E</w:t>
      </w:r>
      <w:r w:rsidR="00300FF4" w:rsidRPr="002142B8">
        <w:rPr>
          <w:rFonts w:ascii="Georgia" w:hAnsi="Georgia"/>
          <w:sz w:val="20"/>
          <w:szCs w:val="20"/>
          <w:lang w:val="lt-LT"/>
        </w:rPr>
        <w:t>x-ante</w:t>
      </w:r>
      <w:r w:rsidR="00F918A0" w:rsidRPr="002142B8">
        <w:rPr>
          <w:rFonts w:ascii="Georgia" w:hAnsi="Georgia"/>
          <w:sz w:val="20"/>
          <w:szCs w:val="20"/>
          <w:lang w:val="lt-LT"/>
        </w:rPr>
        <w:t xml:space="preserve"> vertinimo metodologijoje</w:t>
      </w:r>
      <w:r w:rsidRPr="002142B8">
        <w:rPr>
          <w:rFonts w:ascii="Georgia" w:hAnsi="Georgia"/>
          <w:sz w:val="20"/>
          <w:szCs w:val="20"/>
          <w:lang w:val="lt-LT"/>
        </w:rPr>
        <w:t>, ir kitų šaltinių apžvalgos bei interviu rezultatus.</w:t>
      </w:r>
    </w:p>
    <w:p w14:paraId="50A9B28F" w14:textId="77777777" w:rsidR="00451BC7" w:rsidRPr="002142B8" w:rsidRDefault="00451BC7" w:rsidP="00162BF5">
      <w:pPr>
        <w:pStyle w:val="Antrat2"/>
        <w:numPr>
          <w:ilvl w:val="1"/>
          <w:numId w:val="19"/>
        </w:numPr>
        <w:spacing w:after="240"/>
        <w:ind w:left="709"/>
        <w:rPr>
          <w:lang w:val="lt-LT"/>
        </w:rPr>
      </w:pPr>
      <w:bookmarkStart w:id="322" w:name="_Toc395795827"/>
      <w:bookmarkStart w:id="323" w:name="_Toc25589960"/>
      <w:r w:rsidRPr="002142B8">
        <w:rPr>
          <w:lang w:val="lt-LT"/>
        </w:rPr>
        <w:t xml:space="preserve">Patirties pritaikymas Lietuvoje – rizikos </w:t>
      </w:r>
      <w:bookmarkEnd w:id="322"/>
      <w:r w:rsidRPr="002142B8">
        <w:rPr>
          <w:lang w:val="lt-LT"/>
        </w:rPr>
        <w:t>analizė</w:t>
      </w:r>
      <w:bookmarkEnd w:id="323"/>
    </w:p>
    <w:p w14:paraId="19340A84"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 xml:space="preserve">Atliekant rizikos analizę identifikuoti sėkmės faktoriai, pasiteisinusios idėjos/elementai, problemos, su kuriomis susidurta, įvairaus rizikingumo aspektų pagrindu buvo išskirti rizikos veiksniai, kurie galėtų būti aktualūs projektuojant energijos efektyvumo sektoriui skirtas finansines priemones Lietuvoje 2014-2020 m. </w:t>
      </w:r>
      <w:r w:rsidR="00F918A0" w:rsidRPr="002142B8">
        <w:rPr>
          <w:rFonts w:ascii="Georgia" w:hAnsi="Georgia"/>
          <w:sz w:val="20"/>
          <w:szCs w:val="20"/>
          <w:lang w:val="lt-LT"/>
        </w:rPr>
        <w:t>periodu</w:t>
      </w:r>
      <w:r w:rsidRPr="002142B8">
        <w:rPr>
          <w:rFonts w:ascii="Georgia" w:hAnsi="Georgia"/>
          <w:sz w:val="20"/>
          <w:szCs w:val="20"/>
          <w:lang w:val="lt-LT"/>
        </w:rPr>
        <w:t>.</w:t>
      </w:r>
    </w:p>
    <w:p w14:paraId="7C843960" w14:textId="2D5E3E91" w:rsidR="00451BC7" w:rsidRPr="002142B8" w:rsidRDefault="00451BC7" w:rsidP="00451BC7">
      <w:pPr>
        <w:jc w:val="both"/>
        <w:rPr>
          <w:rFonts w:ascii="Georgia" w:hAnsi="Georgia"/>
          <w:bCs/>
          <w:sz w:val="20"/>
          <w:szCs w:val="20"/>
          <w:lang w:val="lt-LT"/>
        </w:rPr>
      </w:pPr>
      <w:r w:rsidRPr="002142B8">
        <w:rPr>
          <w:rFonts w:ascii="Georgia" w:hAnsi="Georgia"/>
          <w:sz w:val="20"/>
          <w:szCs w:val="20"/>
          <w:lang w:val="lt-LT"/>
        </w:rPr>
        <w:t>Šioje e</w:t>
      </w:r>
      <w:r w:rsidR="00300FF4" w:rsidRPr="002142B8">
        <w:rPr>
          <w:rFonts w:ascii="Georgia" w:hAnsi="Georgia"/>
          <w:sz w:val="20"/>
          <w:szCs w:val="20"/>
          <w:lang w:val="lt-LT"/>
        </w:rPr>
        <w:t>x-ante</w:t>
      </w:r>
      <w:r w:rsidRPr="002142B8">
        <w:rPr>
          <w:rFonts w:ascii="Georgia" w:hAnsi="Georgia"/>
          <w:sz w:val="20"/>
          <w:szCs w:val="20"/>
          <w:lang w:val="lt-LT"/>
        </w:rPr>
        <w:t xml:space="preserve"> rizikos veiksniai buvo skirstomi į tris rizikų veiksnių grupes: planavimo, mišrią ir įgyvendinimo:</w:t>
      </w:r>
    </w:p>
    <w:p w14:paraId="779A0664"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Planavimo – veiksniai, apimantys veiksmus susijusius su finansinių priemonių kūrimu.</w:t>
      </w:r>
    </w:p>
    <w:p w14:paraId="6AF42788"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Mišrūs – veiksniai, kurie aktualūs tiek planavimo, tiek įgyvendinimo etapuose.</w:t>
      </w:r>
    </w:p>
    <w:p w14:paraId="339D7A54"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Įgyvendinimo – veiksniai, apimantys veiksmus susijusius su finansinių priemonių įgyvendinimu.</w:t>
      </w:r>
    </w:p>
    <w:p w14:paraId="3B6AADFA" w14:textId="77777777" w:rsidR="00451BC7" w:rsidRPr="002142B8" w:rsidRDefault="00451BC7" w:rsidP="00451BC7">
      <w:pPr>
        <w:jc w:val="both"/>
        <w:rPr>
          <w:rFonts w:ascii="Georgia" w:hAnsi="Georgia"/>
          <w:sz w:val="20"/>
          <w:szCs w:val="20"/>
          <w:lang w:val="lt-LT"/>
        </w:rPr>
      </w:pPr>
    </w:p>
    <w:p w14:paraId="06A111E9"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Vertinamas rizikos faktoriaus, jei jis pasireikštų, poveikis. Kiekvieno rizikos veiksnio poveikis vertinamas keturiais aspektais:</w:t>
      </w:r>
    </w:p>
    <w:p w14:paraId="6C38D30F"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poveikiu rezultatams – vertinamas rizikos faktoriaus pasireiškimo poveikis finansinių priemonių rezultatams ir jų kokybei viso priemonės įgyvendinimo laikotarpio metu;</w:t>
      </w:r>
    </w:p>
    <w:p w14:paraId="5B05E839"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finansiniu poveikiu – vertinama, ar pasireiškus rizikos veiksniui gali atsirasti neigiamų finansinių padarinių;</w:t>
      </w:r>
    </w:p>
    <w:p w14:paraId="0CAAC3A1" w14:textId="77777777" w:rsidR="00451BC7" w:rsidRPr="002142B8" w:rsidRDefault="00451BC7" w:rsidP="00C03122">
      <w:pPr>
        <w:numPr>
          <w:ilvl w:val="0"/>
          <w:numId w:val="5"/>
        </w:numPr>
        <w:spacing w:after="0"/>
        <w:ind w:left="714" w:hanging="357"/>
        <w:jc w:val="both"/>
        <w:rPr>
          <w:rFonts w:ascii="Georgia" w:hAnsi="Georgia"/>
          <w:sz w:val="20"/>
          <w:szCs w:val="20"/>
          <w:lang w:val="lt-LT"/>
        </w:rPr>
      </w:pPr>
      <w:r w:rsidRPr="002142B8">
        <w:rPr>
          <w:rFonts w:ascii="Georgia" w:hAnsi="Georgia"/>
          <w:sz w:val="20"/>
          <w:szCs w:val="20"/>
          <w:lang w:val="lt-LT"/>
        </w:rPr>
        <w:t>poveikiu įgyvendinimo spartai – vertinama, ar pasireiškus rizikos veiksniui planavimo ir/ar įgyvendinimo etapai truks ilgiau;</w:t>
      </w:r>
    </w:p>
    <w:p w14:paraId="0E1FA0B4" w14:textId="77777777" w:rsidR="00451BC7" w:rsidRPr="002142B8" w:rsidRDefault="00451BC7" w:rsidP="00C03122">
      <w:pPr>
        <w:numPr>
          <w:ilvl w:val="0"/>
          <w:numId w:val="5"/>
        </w:numPr>
        <w:jc w:val="both"/>
        <w:rPr>
          <w:rFonts w:ascii="Georgia" w:hAnsi="Georgia"/>
          <w:sz w:val="20"/>
          <w:szCs w:val="20"/>
          <w:lang w:val="lt-LT"/>
        </w:rPr>
      </w:pPr>
      <w:r w:rsidRPr="002142B8">
        <w:rPr>
          <w:rFonts w:ascii="Georgia" w:hAnsi="Georgia"/>
          <w:sz w:val="20"/>
          <w:szCs w:val="20"/>
          <w:lang w:val="lt-LT"/>
        </w:rPr>
        <w:t>poveikiu reputacijai – vertinama, ar pasireiškęs rizikos veiksnys, gali turėti neigiamų padarinių finansinės priemonės reputacijai.</w:t>
      </w:r>
    </w:p>
    <w:p w14:paraId="6E64C91E"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Rizikos veiksnių poveikio stiprumas skirstomas į neutralų, neženklų, vidutinį ir ženklų.</w:t>
      </w:r>
    </w:p>
    <w:p w14:paraId="2B8478CA" w14:textId="77777777" w:rsidR="00451BC7" w:rsidRPr="002142B8" w:rsidRDefault="00451BC7" w:rsidP="00451BC7">
      <w:pPr>
        <w:jc w:val="both"/>
        <w:rPr>
          <w:rFonts w:ascii="Georgia" w:hAnsi="Georgia"/>
          <w:sz w:val="20"/>
          <w:szCs w:val="20"/>
          <w:lang w:val="lt-LT"/>
        </w:rPr>
      </w:pPr>
      <w:r w:rsidRPr="002142B8">
        <w:rPr>
          <w:rFonts w:ascii="Georgia" w:hAnsi="Georgia"/>
          <w:bCs/>
          <w:sz w:val="20"/>
          <w:szCs w:val="20"/>
          <w:lang w:val="lt-LT"/>
        </w:rPr>
        <w:t xml:space="preserve">Taip pat įvertinama kiekvieno identifikuoto rizikos veiksnio pasireiškimo tikimybė po rizikos valdymo priemonių taikymo. Naudojama vertinimo skalė – </w:t>
      </w:r>
      <w:r w:rsidRPr="002142B8">
        <w:rPr>
          <w:rFonts w:ascii="Georgia" w:hAnsi="Georgia"/>
          <w:sz w:val="20"/>
          <w:szCs w:val="20"/>
          <w:lang w:val="lt-LT"/>
        </w:rPr>
        <w:t>labai maža, maža, vidutinė ir didelė.</w:t>
      </w:r>
    </w:p>
    <w:p w14:paraId="141A9EA6"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Identifikuoti rizikos faktoriai ir jų valdymo planas pateikiami lentelėje 6 priede.</w:t>
      </w:r>
    </w:p>
    <w:p w14:paraId="5C4501CC" w14:textId="77777777" w:rsidR="00451BC7" w:rsidRPr="002142B8" w:rsidRDefault="00451BC7" w:rsidP="00451BC7">
      <w:pPr>
        <w:jc w:val="both"/>
        <w:rPr>
          <w:rFonts w:ascii="Georgia" w:hAnsi="Georgia"/>
          <w:sz w:val="20"/>
          <w:szCs w:val="20"/>
          <w:lang w:val="lt-LT"/>
        </w:rPr>
      </w:pPr>
      <w:r w:rsidRPr="002142B8">
        <w:rPr>
          <w:rFonts w:ascii="Georgia" w:hAnsi="Georgia"/>
          <w:sz w:val="20"/>
          <w:szCs w:val="20"/>
          <w:lang w:val="lt-LT"/>
        </w:rPr>
        <w:t>Įgyvendinus numatytas rizikos valdymo priemones visų rizikos veiksnių pasireiškimo tikimybė vertinama kaip maža arba labai maža. Todėl daroma išvada, kad numatomų finansinių priemonių rizikos lygis yra priimtinas</w:t>
      </w:r>
      <w:r w:rsidR="00B62D03" w:rsidRPr="002142B8">
        <w:rPr>
          <w:rFonts w:ascii="Georgia" w:hAnsi="Georgia"/>
          <w:sz w:val="20"/>
          <w:szCs w:val="20"/>
          <w:lang w:val="lt-LT"/>
        </w:rPr>
        <w:t xml:space="preserve"> su sąlyga, kad numatytos rizikos valdymo priemonės bus efektyviai įgyvendintos. </w:t>
      </w:r>
    </w:p>
    <w:p w14:paraId="5E62D17D" w14:textId="77777777" w:rsidR="00E84A38" w:rsidRPr="002142B8" w:rsidRDefault="00E84A38" w:rsidP="00E84A38">
      <w:pPr>
        <w:jc w:val="both"/>
        <w:rPr>
          <w:rFonts w:ascii="Georgia" w:hAnsi="Georgia"/>
          <w:sz w:val="20"/>
          <w:szCs w:val="20"/>
          <w:lang w:val="lt-LT"/>
        </w:rPr>
        <w:sectPr w:rsidR="00E84A38" w:rsidRPr="002142B8" w:rsidSect="009652A6">
          <w:headerReference w:type="default" r:id="rId69"/>
          <w:pgSz w:w="11906" w:h="16838" w:code="9"/>
          <w:pgMar w:top="1440" w:right="1440" w:bottom="1440" w:left="1440" w:header="708" w:footer="708" w:gutter="0"/>
          <w:cols w:space="708"/>
          <w:titlePg/>
          <w:docGrid w:linePitch="360"/>
        </w:sectPr>
      </w:pPr>
    </w:p>
    <w:p w14:paraId="100B9536" w14:textId="77777777" w:rsidR="00E044B9" w:rsidRPr="002142B8" w:rsidRDefault="00E044B9" w:rsidP="00162BF5">
      <w:pPr>
        <w:pStyle w:val="Antrat1"/>
        <w:numPr>
          <w:ilvl w:val="0"/>
          <w:numId w:val="19"/>
        </w:numPr>
        <w:ind w:hanging="720"/>
        <w:rPr>
          <w:lang w:val="lt-LT"/>
        </w:rPr>
      </w:pPr>
      <w:bookmarkStart w:id="324" w:name="_Toc398567600"/>
      <w:bookmarkStart w:id="325" w:name="_Toc25589961"/>
      <w:r w:rsidRPr="002142B8">
        <w:rPr>
          <w:lang w:val="lt-LT"/>
        </w:rPr>
        <w:lastRenderedPageBreak/>
        <w:t>Investavimo strategija</w:t>
      </w:r>
      <w:bookmarkEnd w:id="324"/>
      <w:bookmarkEnd w:id="325"/>
    </w:p>
    <w:p w14:paraId="2767E234" w14:textId="6DF00D72" w:rsidR="00151543" w:rsidRPr="002142B8" w:rsidRDefault="00151543" w:rsidP="00151543">
      <w:pPr>
        <w:pStyle w:val="prastasis1"/>
        <w:spacing w:line="276" w:lineRule="auto"/>
        <w:jc w:val="both"/>
        <w:rPr>
          <w:rFonts w:ascii="Georgia" w:hAnsi="Georgia"/>
          <w:sz w:val="20"/>
          <w:szCs w:val="20"/>
        </w:rPr>
      </w:pPr>
      <w:r w:rsidRPr="002142B8">
        <w:rPr>
          <w:rFonts w:ascii="Georgia" w:hAnsi="Georgia"/>
          <w:sz w:val="20"/>
          <w:szCs w:val="20"/>
        </w:rPr>
        <w:t>Šioje e</w:t>
      </w:r>
      <w:r w:rsidR="00300FF4" w:rsidRPr="002142B8">
        <w:rPr>
          <w:rFonts w:ascii="Georgia" w:hAnsi="Georgia"/>
          <w:sz w:val="20"/>
          <w:szCs w:val="20"/>
        </w:rPr>
        <w:t>x-ante</w:t>
      </w:r>
      <w:r w:rsidRPr="002142B8">
        <w:rPr>
          <w:rFonts w:ascii="Georgia" w:hAnsi="Georgia"/>
          <w:sz w:val="20"/>
          <w:szCs w:val="20"/>
        </w:rPr>
        <w:t xml:space="preserve"> analizėje analizuojamos šios energijos efektyvumo sritys: </w:t>
      </w:r>
    </w:p>
    <w:p w14:paraId="2BBD6090" w14:textId="561FB125" w:rsidR="007A2ACA" w:rsidRPr="002142B8" w:rsidRDefault="007A2ACA" w:rsidP="00162BF5">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daugiabučių namų modernizavimas</w:t>
      </w:r>
    </w:p>
    <w:p w14:paraId="44FBECC0" w14:textId="556ACB00" w:rsidR="00CF62D5" w:rsidRDefault="00151543" w:rsidP="00162BF5">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centrinės valdžios (valstybės nuosavybės teise valdomų) viešųjų pastatų renovacija</w:t>
      </w:r>
      <w:r w:rsidR="00CF62D5">
        <w:rPr>
          <w:rFonts w:ascii="Georgia" w:hAnsi="Georgia"/>
          <w:sz w:val="20"/>
          <w:szCs w:val="20"/>
        </w:rPr>
        <w:t>;</w:t>
      </w:r>
    </w:p>
    <w:p w14:paraId="41540A26" w14:textId="5CB55AAA" w:rsidR="00151543" w:rsidRPr="002142B8" w:rsidRDefault="00CF62D5" w:rsidP="00162BF5">
      <w:pPr>
        <w:pStyle w:val="prastasis1"/>
        <w:numPr>
          <w:ilvl w:val="0"/>
          <w:numId w:val="6"/>
        </w:numPr>
        <w:spacing w:line="276" w:lineRule="auto"/>
        <w:jc w:val="both"/>
        <w:rPr>
          <w:rFonts w:ascii="Georgia" w:hAnsi="Georgia"/>
          <w:sz w:val="20"/>
          <w:szCs w:val="20"/>
        </w:rPr>
      </w:pPr>
      <w:r>
        <w:rPr>
          <w:rFonts w:ascii="Georgia" w:hAnsi="Georgia"/>
          <w:sz w:val="20"/>
          <w:szCs w:val="20"/>
        </w:rPr>
        <w:t>savivaldybių viešųjų pastatų renovacija</w:t>
      </w:r>
      <w:r w:rsidR="00151543" w:rsidRPr="002142B8">
        <w:rPr>
          <w:rFonts w:ascii="Georgia" w:hAnsi="Georgia"/>
          <w:sz w:val="20"/>
          <w:szCs w:val="20"/>
        </w:rPr>
        <w:t>;</w:t>
      </w:r>
    </w:p>
    <w:p w14:paraId="003AA997" w14:textId="77777777" w:rsidR="00151543" w:rsidRPr="002142B8" w:rsidRDefault="00151543" w:rsidP="00162BF5">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gatvių apšvietimo modernizavimas.</w:t>
      </w:r>
    </w:p>
    <w:p w14:paraId="6588A792" w14:textId="2203F5FA" w:rsidR="00151543" w:rsidRPr="002142B8" w:rsidRDefault="00B718B4" w:rsidP="00151543">
      <w:pPr>
        <w:pStyle w:val="prastasis1"/>
        <w:spacing w:line="276" w:lineRule="auto"/>
        <w:jc w:val="both"/>
        <w:rPr>
          <w:rFonts w:ascii="Georgia" w:hAnsi="Georgia"/>
          <w:sz w:val="20"/>
          <w:szCs w:val="20"/>
        </w:rPr>
      </w:pPr>
      <w:r w:rsidRPr="002142B8">
        <w:rPr>
          <w:rFonts w:ascii="Georgia" w:hAnsi="Georgia"/>
          <w:sz w:val="20"/>
          <w:szCs w:val="20"/>
        </w:rPr>
        <w:t xml:space="preserve">Šioje Investavimo strategijoje </w:t>
      </w:r>
      <w:r w:rsidR="00151543" w:rsidRPr="002142B8">
        <w:rPr>
          <w:rFonts w:ascii="Georgia" w:hAnsi="Georgia"/>
          <w:sz w:val="20"/>
          <w:szCs w:val="20"/>
        </w:rPr>
        <w:t>yra išskiriamos</w:t>
      </w:r>
      <w:r w:rsidR="007A2ACA" w:rsidRPr="002142B8">
        <w:rPr>
          <w:rFonts w:ascii="Georgia" w:hAnsi="Georgia"/>
          <w:sz w:val="20"/>
          <w:szCs w:val="20"/>
        </w:rPr>
        <w:t xml:space="preserve"> daugiabučių namų modernizavimo,</w:t>
      </w:r>
      <w:r w:rsidR="00151543" w:rsidRPr="002142B8">
        <w:rPr>
          <w:rFonts w:ascii="Georgia" w:hAnsi="Georgia"/>
          <w:sz w:val="20"/>
          <w:szCs w:val="20"/>
        </w:rPr>
        <w:t xml:space="preserve"> </w:t>
      </w:r>
      <w:r w:rsidR="00361F6D">
        <w:rPr>
          <w:rFonts w:ascii="Georgia" w:hAnsi="Georgia"/>
          <w:sz w:val="20"/>
          <w:szCs w:val="20"/>
        </w:rPr>
        <w:t xml:space="preserve">centrinės valdžios </w:t>
      </w:r>
      <w:r w:rsidR="00151543" w:rsidRPr="002142B8">
        <w:rPr>
          <w:rFonts w:ascii="Georgia" w:hAnsi="Georgia"/>
          <w:sz w:val="20"/>
          <w:szCs w:val="20"/>
        </w:rPr>
        <w:t>viešųjų pastatų ir gatvių apšvietimo mode</w:t>
      </w:r>
      <w:r w:rsidR="007A2ACA" w:rsidRPr="002142B8">
        <w:rPr>
          <w:rFonts w:ascii="Georgia" w:hAnsi="Georgia"/>
          <w:sz w:val="20"/>
          <w:szCs w:val="20"/>
        </w:rPr>
        <w:t>rnizavimo</w:t>
      </w:r>
      <w:r w:rsidR="00361F6D">
        <w:rPr>
          <w:rFonts w:ascii="Georgia" w:hAnsi="Georgia"/>
          <w:sz w:val="20"/>
          <w:szCs w:val="20"/>
        </w:rPr>
        <w:t xml:space="preserve"> bei savivaldybių viešųjų pastatų modernizavimo </w:t>
      </w:r>
      <w:r w:rsidR="007A2ACA" w:rsidRPr="002142B8">
        <w:rPr>
          <w:rFonts w:ascii="Georgia" w:hAnsi="Georgia"/>
          <w:sz w:val="20"/>
          <w:szCs w:val="20"/>
        </w:rPr>
        <w:t xml:space="preserve"> investavimo strategijos</w:t>
      </w:r>
      <w:r w:rsidR="00151543" w:rsidRPr="002142B8">
        <w:rPr>
          <w:rFonts w:ascii="Georgia" w:hAnsi="Georgia"/>
          <w:sz w:val="20"/>
          <w:szCs w:val="20"/>
        </w:rPr>
        <w:t xml:space="preserve">. </w:t>
      </w:r>
    </w:p>
    <w:p w14:paraId="6AAB0F33" w14:textId="68E396B0" w:rsidR="00D26082" w:rsidRPr="002142B8" w:rsidRDefault="00D26082" w:rsidP="00162BF5">
      <w:pPr>
        <w:pStyle w:val="Antrat2"/>
        <w:numPr>
          <w:ilvl w:val="1"/>
          <w:numId w:val="19"/>
        </w:numPr>
        <w:spacing w:after="240"/>
        <w:ind w:left="1080"/>
        <w:rPr>
          <w:lang w:val="lt-LT"/>
        </w:rPr>
      </w:pPr>
      <w:bookmarkStart w:id="326" w:name="_Toc398043861"/>
      <w:bookmarkStart w:id="327" w:name="_Toc398567613"/>
      <w:bookmarkStart w:id="328" w:name="_Toc25589962"/>
      <w:r w:rsidRPr="002142B8">
        <w:rPr>
          <w:lang w:val="lt-LT"/>
        </w:rPr>
        <w:t>Daugiabučių</w:t>
      </w:r>
      <w:r w:rsidR="00F1290F" w:rsidRPr="002142B8">
        <w:rPr>
          <w:lang w:val="lt-LT"/>
        </w:rPr>
        <w:t xml:space="preserve"> namų modernizavimo investavimo strategija</w:t>
      </w:r>
      <w:bookmarkEnd w:id="328"/>
    </w:p>
    <w:p w14:paraId="0857A81D" w14:textId="77777777" w:rsidR="00AA7568" w:rsidRPr="002142B8" w:rsidRDefault="00AA7568" w:rsidP="00AA7568">
      <w:pPr>
        <w:pStyle w:val="Antrat2"/>
        <w:numPr>
          <w:ilvl w:val="2"/>
          <w:numId w:val="2"/>
        </w:numPr>
        <w:spacing w:after="240"/>
        <w:rPr>
          <w:lang w:val="lt-LT"/>
        </w:rPr>
      </w:pPr>
      <w:bookmarkStart w:id="329" w:name="_Toc398567602"/>
      <w:bookmarkStart w:id="330" w:name="_Toc25589963"/>
      <w:r w:rsidRPr="002142B8">
        <w:rPr>
          <w:lang w:val="lt-LT"/>
        </w:rPr>
        <w:t>Finansinės priemonės apimtis ir tiksliniai galutiniai naudos gavėjai</w:t>
      </w:r>
      <w:bookmarkEnd w:id="329"/>
      <w:bookmarkEnd w:id="330"/>
      <w:r w:rsidRPr="002142B8">
        <w:rPr>
          <w:lang w:val="lt-LT"/>
        </w:rPr>
        <w:t xml:space="preserve"> </w:t>
      </w:r>
    </w:p>
    <w:p w14:paraId="71A2CAD3" w14:textId="2AC1CF75" w:rsidR="007A4263" w:rsidRPr="002142B8" w:rsidRDefault="007A4263" w:rsidP="00AA7568">
      <w:pPr>
        <w:pStyle w:val="prastasis1"/>
        <w:spacing w:line="276" w:lineRule="auto"/>
        <w:jc w:val="both"/>
        <w:rPr>
          <w:rFonts w:ascii="Georgia" w:hAnsi="Georgia"/>
          <w:sz w:val="20"/>
          <w:szCs w:val="20"/>
        </w:rPr>
      </w:pPr>
      <w:r w:rsidRPr="002142B8">
        <w:rPr>
          <w:rFonts w:ascii="Georgia" w:hAnsi="Georgia"/>
          <w:sz w:val="20"/>
          <w:szCs w:val="20"/>
        </w:rPr>
        <w:t xml:space="preserve">Pradinėje ataskaitoje </w:t>
      </w:r>
      <w:r w:rsidR="00AA7568" w:rsidRPr="002142B8">
        <w:rPr>
          <w:rFonts w:ascii="Georgia" w:hAnsi="Georgia"/>
          <w:sz w:val="20"/>
          <w:szCs w:val="20"/>
        </w:rPr>
        <w:t xml:space="preserve">įvertinta, jog siekiant pasiekti užsibrėžtus rezultatus, Lietuvoje per 2014-2020 metų programavimo laikotarpį reikia daugiabučių renovacijai skirti daugiau kaip 1,3 mlrd. eurų, tačiau išnagrinėjus visus rinkoje prieinamus finansavimo šaltinius (įskaitant ir ESI fondų lėšas) bendras finansavimas daugiabučių renovacijai yra nepakankamas. Siekiant tęsti 2009 m. sukurto JESSICA KF veiklas, 2014-2020 m. periodu iš ESI fondų lėšų daugiabučių namų renovacijai </w:t>
      </w:r>
      <w:r w:rsidRPr="002142B8">
        <w:rPr>
          <w:rFonts w:ascii="Georgia" w:hAnsi="Georgia"/>
          <w:sz w:val="20"/>
          <w:szCs w:val="20"/>
        </w:rPr>
        <w:t xml:space="preserve">buvo </w:t>
      </w:r>
      <w:r w:rsidR="00AA7568" w:rsidRPr="002142B8">
        <w:rPr>
          <w:rFonts w:ascii="Georgia" w:hAnsi="Georgia"/>
          <w:sz w:val="20"/>
          <w:szCs w:val="20"/>
        </w:rPr>
        <w:t>numat</w:t>
      </w:r>
      <w:r w:rsidRPr="002142B8">
        <w:rPr>
          <w:rFonts w:ascii="Georgia" w:hAnsi="Georgia"/>
          <w:sz w:val="20"/>
          <w:szCs w:val="20"/>
        </w:rPr>
        <w:t>yta skirti apie 280,9 mln. eurų, vėliau šis skaičius peržiūrėtas ir padidintas iki 314 mln.</w:t>
      </w:r>
      <w:r w:rsidR="00AA7568" w:rsidRPr="002142B8">
        <w:rPr>
          <w:rFonts w:ascii="Georgia" w:hAnsi="Georgia"/>
          <w:sz w:val="20"/>
          <w:szCs w:val="20"/>
        </w:rPr>
        <w:t xml:space="preserve"> Tačiau net ir </w:t>
      </w:r>
      <w:r w:rsidR="00F46C41" w:rsidRPr="002142B8">
        <w:rPr>
          <w:rFonts w:ascii="Georgia" w:hAnsi="Georgia"/>
          <w:sz w:val="20"/>
          <w:szCs w:val="20"/>
        </w:rPr>
        <w:t xml:space="preserve">papildomai </w:t>
      </w:r>
      <w:r w:rsidR="00AA7568" w:rsidRPr="002142B8">
        <w:rPr>
          <w:rFonts w:ascii="Georgia" w:hAnsi="Georgia"/>
          <w:sz w:val="20"/>
          <w:szCs w:val="20"/>
        </w:rPr>
        <w:t xml:space="preserve">vertinant </w:t>
      </w:r>
      <w:r w:rsidRPr="002142B8">
        <w:rPr>
          <w:rFonts w:ascii="Georgia" w:hAnsi="Georgia"/>
          <w:sz w:val="20"/>
          <w:szCs w:val="20"/>
        </w:rPr>
        <w:t>grįžtančias</w:t>
      </w:r>
      <w:r w:rsidR="00AA7568" w:rsidRPr="002142B8">
        <w:rPr>
          <w:rFonts w:ascii="Georgia" w:hAnsi="Georgia"/>
          <w:sz w:val="20"/>
          <w:szCs w:val="20"/>
        </w:rPr>
        <w:t xml:space="preserve"> JESSICA KF lėšas, porei</w:t>
      </w:r>
      <w:r w:rsidRPr="002142B8">
        <w:rPr>
          <w:rFonts w:ascii="Georgia" w:hAnsi="Georgia"/>
          <w:sz w:val="20"/>
          <w:szCs w:val="20"/>
        </w:rPr>
        <w:t xml:space="preserve">kis investicijoms yra daugiau </w:t>
      </w:r>
      <w:r w:rsidR="00300FF4" w:rsidRPr="002142B8">
        <w:rPr>
          <w:rFonts w:ascii="Georgia" w:hAnsi="Georgia"/>
          <w:sz w:val="20"/>
          <w:szCs w:val="20"/>
        </w:rPr>
        <w:t xml:space="preserve">negu </w:t>
      </w:r>
      <w:r w:rsidRPr="002142B8">
        <w:rPr>
          <w:rFonts w:ascii="Georgia" w:hAnsi="Georgia"/>
          <w:sz w:val="20"/>
          <w:szCs w:val="20"/>
        </w:rPr>
        <w:t xml:space="preserve">kelis </w:t>
      </w:r>
      <w:r w:rsidR="00AA7568" w:rsidRPr="002142B8">
        <w:rPr>
          <w:rFonts w:ascii="Georgia" w:hAnsi="Georgia"/>
          <w:sz w:val="20"/>
          <w:szCs w:val="20"/>
        </w:rPr>
        <w:t xml:space="preserve">kartus didesnis. </w:t>
      </w:r>
    </w:p>
    <w:p w14:paraId="25D917AF" w14:textId="5AFC48AC"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Siekiant finansuoti daugiau projektų, būtina finansavimą teikti ne subsidijų, bet grįžtančias lėšas generuojančių ir privačias lėšas pritraukiančių finansinių priemonių pagrindu.</w:t>
      </w:r>
      <w:r w:rsidR="003337C3" w:rsidRPr="002142B8">
        <w:rPr>
          <w:rFonts w:ascii="Georgia" w:hAnsi="Georgia"/>
          <w:sz w:val="20"/>
          <w:szCs w:val="20"/>
        </w:rPr>
        <w:t xml:space="preserve"> </w:t>
      </w:r>
    </w:p>
    <w:p w14:paraId="6F215197" w14:textId="10E097B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 xml:space="preserve">Finansinės priemonės daugiabučių </w:t>
      </w:r>
      <w:r w:rsidR="003204A9" w:rsidRPr="002142B8">
        <w:rPr>
          <w:rFonts w:ascii="Georgia" w:hAnsi="Georgia"/>
          <w:sz w:val="20"/>
          <w:szCs w:val="20"/>
        </w:rPr>
        <w:t xml:space="preserve">namų </w:t>
      </w:r>
      <w:r w:rsidRPr="002142B8">
        <w:rPr>
          <w:rFonts w:ascii="Georgia" w:hAnsi="Georgia"/>
          <w:sz w:val="20"/>
          <w:szCs w:val="20"/>
        </w:rPr>
        <w:t xml:space="preserve">renovacijai planuojamos įgyvendinti visoje </w:t>
      </w:r>
      <w:r w:rsidR="007A4263" w:rsidRPr="002142B8">
        <w:rPr>
          <w:rFonts w:ascii="Georgia" w:hAnsi="Georgia"/>
          <w:sz w:val="20"/>
          <w:szCs w:val="20"/>
        </w:rPr>
        <w:t>Lietuvoje</w:t>
      </w:r>
      <w:r w:rsidRPr="002142B8">
        <w:rPr>
          <w:rFonts w:ascii="Georgia" w:hAnsi="Georgia"/>
          <w:sz w:val="20"/>
          <w:szCs w:val="20"/>
        </w:rPr>
        <w:t xml:space="preserve">. Vadovaujantis šiuo metu galiojančiu teisiniu reglamentavimu, </w:t>
      </w:r>
      <w:r w:rsidRPr="002142B8">
        <w:rPr>
          <w:rFonts w:ascii="Georgia" w:eastAsiaTheme="majorEastAsia" w:hAnsi="Georgia" w:cstheme="majorBidi"/>
          <w:b/>
          <w:bCs/>
          <w:color w:val="821A1A"/>
          <w:sz w:val="20"/>
          <w:szCs w:val="20"/>
          <w:lang w:eastAsia="en-US"/>
        </w:rPr>
        <w:t>galutiniais naudos gavėjais laikomi daugiabučio namo butų ir kitų patalpų savininkai</w:t>
      </w:r>
      <w:r w:rsidR="00A27A99" w:rsidRPr="002142B8">
        <w:rPr>
          <w:rFonts w:ascii="Georgia" w:eastAsiaTheme="majorEastAsia" w:hAnsi="Georgia" w:cstheme="majorBidi"/>
          <w:b/>
          <w:bCs/>
          <w:color w:val="821A1A"/>
          <w:sz w:val="20"/>
          <w:szCs w:val="20"/>
          <w:lang w:eastAsia="en-US"/>
        </w:rPr>
        <w:t>.</w:t>
      </w:r>
    </w:p>
    <w:p w14:paraId="6C44133A" w14:textId="77777777" w:rsidR="00AA7568" w:rsidRPr="002142B8" w:rsidRDefault="00AA7568" w:rsidP="00AA7568">
      <w:pPr>
        <w:pStyle w:val="Antrat2"/>
        <w:numPr>
          <w:ilvl w:val="2"/>
          <w:numId w:val="2"/>
        </w:numPr>
        <w:spacing w:after="240"/>
        <w:rPr>
          <w:lang w:val="lt-LT"/>
        </w:rPr>
      </w:pPr>
      <w:bookmarkStart w:id="331" w:name="_Toc398567603"/>
      <w:bookmarkStart w:id="332" w:name="_Toc25589964"/>
      <w:r w:rsidRPr="002142B8">
        <w:rPr>
          <w:lang w:val="lt-LT"/>
        </w:rPr>
        <w:t>Finansinio produkto parinkimas</w:t>
      </w:r>
      <w:bookmarkEnd w:id="331"/>
      <w:bookmarkEnd w:id="332"/>
    </w:p>
    <w:p w14:paraId="3A8ED505" w14:textId="20072299" w:rsidR="005743FF" w:rsidRPr="002142B8" w:rsidRDefault="00AA7568" w:rsidP="005743FF">
      <w:pPr>
        <w:jc w:val="both"/>
        <w:rPr>
          <w:rFonts w:ascii="Georgia" w:hAnsi="Georgia"/>
          <w:sz w:val="20"/>
          <w:szCs w:val="20"/>
          <w:lang w:val="lt-LT"/>
        </w:rPr>
      </w:pPr>
      <w:r w:rsidRPr="002142B8">
        <w:rPr>
          <w:rFonts w:ascii="Georgia" w:hAnsi="Georgia"/>
          <w:sz w:val="20"/>
          <w:szCs w:val="20"/>
        </w:rPr>
        <w:t>Siekiant parinkti optimaliausią finansinį produktą daugiabučių modernizavimo projektų finansavimui, buvo įvertinti (4.1.</w:t>
      </w:r>
      <w:r w:rsidR="007A4263" w:rsidRPr="002142B8">
        <w:rPr>
          <w:rFonts w:ascii="Georgia" w:hAnsi="Georgia"/>
          <w:sz w:val="20"/>
          <w:szCs w:val="20"/>
        </w:rPr>
        <w:t>4</w:t>
      </w:r>
      <w:r w:rsidRPr="002142B8">
        <w:rPr>
          <w:rFonts w:ascii="Georgia" w:hAnsi="Georgia"/>
          <w:sz w:val="20"/>
          <w:szCs w:val="20"/>
        </w:rPr>
        <w:t xml:space="preserve">.1 skyrius) </w:t>
      </w:r>
      <w:r w:rsidR="00A27A99" w:rsidRPr="002142B8">
        <w:rPr>
          <w:rFonts w:ascii="Georgia" w:hAnsi="Georgia"/>
          <w:sz w:val="20"/>
          <w:szCs w:val="20"/>
        </w:rPr>
        <w:t>penki</w:t>
      </w:r>
      <w:r w:rsidRPr="002142B8">
        <w:rPr>
          <w:rFonts w:ascii="Georgia" w:hAnsi="Georgia"/>
          <w:sz w:val="20"/>
          <w:szCs w:val="20"/>
        </w:rPr>
        <w:t xml:space="preserve"> scenarijai su skirtingais finansavimo modeliais. Atsižvelgiant į 4 skyriuje išdėstytus kiekvienos alternatyvos kiekybinius rezultatus, privalumus ir trūkumus bei prognozuojamą lėšų poreikį priemonei įgyvendinti, siūloma vadovaujančiai institucijai kartu su Aplinkos ministerija</w:t>
      </w:r>
      <w:r w:rsidR="005743FF" w:rsidRPr="002142B8">
        <w:rPr>
          <w:rFonts w:ascii="Georgia" w:hAnsi="Georgia"/>
          <w:sz w:val="20"/>
          <w:szCs w:val="20"/>
          <w:lang w:val="lt-LT"/>
        </w:rPr>
        <w:t xml:space="preserve"> taikyti vieno ar kelių modelių derinį, t.y.:</w:t>
      </w:r>
    </w:p>
    <w:p w14:paraId="55BAA970" w14:textId="4CC6FDFB" w:rsidR="005743FF" w:rsidRPr="00FE6F97" w:rsidRDefault="00EC6FDF" w:rsidP="0063781D">
      <w:pPr>
        <w:pStyle w:val="prastasis1"/>
        <w:numPr>
          <w:ilvl w:val="0"/>
          <w:numId w:val="6"/>
        </w:numPr>
        <w:spacing w:line="276" w:lineRule="auto"/>
        <w:jc w:val="both"/>
        <w:rPr>
          <w:rFonts w:ascii="Georgia" w:hAnsi="Georgia"/>
          <w:sz w:val="20"/>
          <w:szCs w:val="20"/>
        </w:rPr>
      </w:pPr>
      <w:r w:rsidRPr="00FE6F97">
        <w:rPr>
          <w:rFonts w:ascii="Georgia" w:hAnsi="Georgia"/>
          <w:sz w:val="20"/>
          <w:szCs w:val="20"/>
        </w:rPr>
        <w:t xml:space="preserve">įgyvendinti </w:t>
      </w:r>
      <w:r w:rsidR="005743FF" w:rsidRPr="00FE6F97">
        <w:rPr>
          <w:rFonts w:ascii="Georgia" w:hAnsi="Georgia"/>
          <w:sz w:val="20"/>
          <w:szCs w:val="20"/>
        </w:rPr>
        <w:t>paskolų finansinę priemonę</w:t>
      </w:r>
      <w:r w:rsidRPr="00FE6F97">
        <w:rPr>
          <w:rFonts w:ascii="Georgia" w:hAnsi="Georgia"/>
          <w:sz w:val="20"/>
          <w:szCs w:val="20"/>
        </w:rPr>
        <w:t>, o susiklosčius tinkamai rinkos situacijai pradėti</w:t>
      </w:r>
      <w:r w:rsidR="005743FF" w:rsidRPr="00FE6F97">
        <w:rPr>
          <w:rFonts w:ascii="Georgia" w:hAnsi="Georgia"/>
          <w:sz w:val="20"/>
          <w:szCs w:val="20"/>
        </w:rPr>
        <w:t xml:space="preserve"> taik</w:t>
      </w:r>
      <w:r w:rsidRPr="00FE6F97">
        <w:rPr>
          <w:rFonts w:ascii="Georgia" w:hAnsi="Georgia"/>
          <w:sz w:val="20"/>
          <w:szCs w:val="20"/>
        </w:rPr>
        <w:t>yti</w:t>
      </w:r>
      <w:r w:rsidR="005743FF" w:rsidRPr="00FE6F97">
        <w:rPr>
          <w:rFonts w:ascii="Georgia" w:hAnsi="Georgia"/>
          <w:sz w:val="20"/>
          <w:szCs w:val="20"/>
        </w:rPr>
        <w:t xml:space="preserve"> asimetrinės rizikos pasidalijimo modelį. Atsiradus galimybei taip pat turėtų būti vetinama alternatyva parduoti pinigų srautu</w:t>
      </w:r>
      <w:r w:rsidR="00FD6C0E" w:rsidRPr="00FE6F97">
        <w:rPr>
          <w:rFonts w:ascii="Georgia" w:hAnsi="Georgia"/>
          <w:sz w:val="20"/>
          <w:szCs w:val="20"/>
        </w:rPr>
        <w:t>s</w:t>
      </w:r>
      <w:r w:rsidR="005743FF" w:rsidRPr="00FE6F97">
        <w:rPr>
          <w:rFonts w:ascii="Georgia" w:hAnsi="Georgia"/>
          <w:sz w:val="20"/>
          <w:szCs w:val="20"/>
        </w:rPr>
        <w:t xml:space="preserve"> ar paskolas; </w:t>
      </w:r>
    </w:p>
    <w:p w14:paraId="6EE10E43" w14:textId="31AB1E69" w:rsidR="005743FF" w:rsidRPr="00FE6F97" w:rsidRDefault="005743FF" w:rsidP="0063781D">
      <w:pPr>
        <w:pStyle w:val="prastasis1"/>
        <w:numPr>
          <w:ilvl w:val="0"/>
          <w:numId w:val="6"/>
        </w:numPr>
        <w:spacing w:line="276" w:lineRule="auto"/>
        <w:jc w:val="both"/>
        <w:rPr>
          <w:rFonts w:ascii="Georgia" w:hAnsi="Georgia"/>
          <w:sz w:val="20"/>
          <w:szCs w:val="20"/>
        </w:rPr>
      </w:pPr>
      <w:r w:rsidRPr="00FE6F97">
        <w:rPr>
          <w:rFonts w:ascii="Georgia" w:hAnsi="Georgia"/>
          <w:sz w:val="20"/>
          <w:szCs w:val="20"/>
        </w:rPr>
        <w:t>susidarius tinkamoms aplinkybėms ta</w:t>
      </w:r>
      <w:r w:rsidR="00FD6C0E" w:rsidRPr="00FE6F97">
        <w:rPr>
          <w:rFonts w:ascii="Georgia" w:hAnsi="Georgia"/>
          <w:sz w:val="20"/>
          <w:szCs w:val="20"/>
        </w:rPr>
        <w:t>ikyti garantijų modelį.</w:t>
      </w:r>
    </w:p>
    <w:p w14:paraId="10C02638" w14:textId="68586524" w:rsidR="007A4263" w:rsidRPr="002142B8" w:rsidRDefault="005743FF" w:rsidP="007A4263">
      <w:pPr>
        <w:pStyle w:val="prastasis1"/>
        <w:spacing w:line="276" w:lineRule="auto"/>
        <w:jc w:val="both"/>
        <w:rPr>
          <w:rFonts w:ascii="Georgia" w:eastAsiaTheme="majorEastAsia" w:hAnsi="Georgia" w:cstheme="majorBidi"/>
          <w:b/>
          <w:bCs/>
          <w:color w:val="821A1A"/>
          <w:sz w:val="20"/>
          <w:szCs w:val="20"/>
          <w:lang w:eastAsia="en-US"/>
        </w:rPr>
      </w:pPr>
      <w:r w:rsidRPr="002142B8">
        <w:rPr>
          <w:rFonts w:ascii="Georgia" w:hAnsi="Georgia"/>
          <w:sz w:val="20"/>
          <w:szCs w:val="20"/>
        </w:rPr>
        <w:lastRenderedPageBreak/>
        <w:t>Pažymėtina, kad ministerijos</w:t>
      </w:r>
      <w:r w:rsidR="004C1C3C" w:rsidRPr="002142B8">
        <w:rPr>
          <w:rFonts w:ascii="Georgia" w:hAnsi="Georgia"/>
          <w:sz w:val="20"/>
          <w:szCs w:val="20"/>
        </w:rPr>
        <w:t>, nekeičiant šio</w:t>
      </w:r>
      <w:r w:rsidRPr="002142B8">
        <w:rPr>
          <w:rFonts w:ascii="Georgia" w:hAnsi="Georgia"/>
          <w:sz w:val="20"/>
          <w:szCs w:val="20"/>
        </w:rPr>
        <w:t xml:space="preserve"> ex ante</w:t>
      </w:r>
      <w:r w:rsidR="004C1C3C" w:rsidRPr="002142B8">
        <w:rPr>
          <w:rFonts w:ascii="Georgia" w:hAnsi="Georgia"/>
          <w:sz w:val="20"/>
          <w:szCs w:val="20"/>
        </w:rPr>
        <w:t xml:space="preserve"> vertinimo</w:t>
      </w:r>
      <w:r w:rsidRPr="002142B8">
        <w:rPr>
          <w:rFonts w:ascii="Georgia" w:hAnsi="Georgia"/>
          <w:sz w:val="20"/>
          <w:szCs w:val="20"/>
        </w:rPr>
        <w:t>, galėtų ltaikyti</w:t>
      </w:r>
      <w:r w:rsidR="004C1C3C" w:rsidRPr="002142B8">
        <w:rPr>
          <w:rFonts w:ascii="Georgia" w:hAnsi="Georgia"/>
          <w:sz w:val="20"/>
          <w:szCs w:val="20"/>
        </w:rPr>
        <w:t xml:space="preserve"> ir</w:t>
      </w:r>
      <w:r w:rsidRPr="002142B8">
        <w:rPr>
          <w:rFonts w:ascii="Georgia" w:hAnsi="Georgia"/>
          <w:sz w:val="20"/>
          <w:szCs w:val="20"/>
        </w:rPr>
        <w:t xml:space="preserve"> kitas </w:t>
      </w:r>
      <w:r w:rsidR="004C1C3C" w:rsidRPr="002142B8">
        <w:rPr>
          <w:rFonts w:ascii="Georgia" w:hAnsi="Georgia"/>
          <w:sz w:val="20"/>
          <w:szCs w:val="20"/>
        </w:rPr>
        <w:t xml:space="preserve">finansines </w:t>
      </w:r>
      <w:r w:rsidRPr="002142B8">
        <w:rPr>
          <w:rFonts w:ascii="Georgia" w:hAnsi="Georgia"/>
          <w:sz w:val="20"/>
          <w:szCs w:val="20"/>
        </w:rPr>
        <w:t>priemones, kurios leidžia pasiekti panašius rezultatus</w:t>
      </w:r>
      <w:r w:rsidRPr="002142B8">
        <w:rPr>
          <w:rStyle w:val="Puslapioinaosnuoroda"/>
          <w:rFonts w:ascii="Georgia" w:hAnsi="Georgia"/>
          <w:sz w:val="20"/>
          <w:szCs w:val="20"/>
        </w:rPr>
        <w:footnoteReference w:id="182"/>
      </w:r>
      <w:r w:rsidRPr="002142B8">
        <w:rPr>
          <w:rFonts w:ascii="Georgia" w:hAnsi="Georgia"/>
          <w:sz w:val="20"/>
          <w:szCs w:val="20"/>
        </w:rPr>
        <w:t>.</w:t>
      </w:r>
    </w:p>
    <w:p w14:paraId="7930FDE8" w14:textId="4DFA7FB4" w:rsidR="00AC0A17" w:rsidRPr="002142B8" w:rsidRDefault="00AA7568" w:rsidP="007A4263">
      <w:pPr>
        <w:pStyle w:val="prastasis1"/>
        <w:spacing w:line="276" w:lineRule="auto"/>
        <w:jc w:val="both"/>
        <w:rPr>
          <w:rFonts w:ascii="Georgia" w:hAnsi="Georgia"/>
          <w:sz w:val="20"/>
          <w:szCs w:val="20"/>
        </w:rPr>
      </w:pPr>
      <w:r w:rsidRPr="002142B8">
        <w:rPr>
          <w:rFonts w:ascii="Georgia" w:hAnsi="Georgia"/>
          <w:sz w:val="20"/>
          <w:szCs w:val="20"/>
        </w:rPr>
        <w:t>Ši</w:t>
      </w:r>
      <w:r w:rsidR="00AC0A17" w:rsidRPr="002142B8">
        <w:rPr>
          <w:rFonts w:ascii="Georgia" w:hAnsi="Georgia"/>
          <w:sz w:val="20"/>
          <w:szCs w:val="20"/>
        </w:rPr>
        <w:t>os</w:t>
      </w:r>
      <w:r w:rsidRPr="002142B8">
        <w:rPr>
          <w:rFonts w:ascii="Georgia" w:hAnsi="Georgia"/>
          <w:sz w:val="20"/>
          <w:szCs w:val="20"/>
        </w:rPr>
        <w:t xml:space="preserve"> rekomend</w:t>
      </w:r>
      <w:r w:rsidR="00AC0A17" w:rsidRPr="002142B8">
        <w:rPr>
          <w:rFonts w:ascii="Georgia" w:hAnsi="Georgia"/>
          <w:sz w:val="20"/>
          <w:szCs w:val="20"/>
        </w:rPr>
        <w:t>acijos pagrįstos:</w:t>
      </w:r>
    </w:p>
    <w:p w14:paraId="4331A2AA" w14:textId="1E020A50" w:rsidR="00633FDB" w:rsidRPr="002142B8" w:rsidRDefault="00AC0A17" w:rsidP="00AC0A17">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būtinybe reaguoti ir nuolat besikeičiančią padėtį rinkoje</w:t>
      </w:r>
      <w:r w:rsidR="00B67A8E" w:rsidRPr="002142B8">
        <w:rPr>
          <w:rFonts w:ascii="Georgia" w:hAnsi="Georgia"/>
          <w:sz w:val="20"/>
          <w:szCs w:val="20"/>
        </w:rPr>
        <w:t>;</w:t>
      </w:r>
    </w:p>
    <w:p w14:paraId="3BACD9B2" w14:textId="0C17FE06" w:rsidR="00633FDB" w:rsidRPr="002142B8" w:rsidRDefault="00633FDB" w:rsidP="00AC0A17">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siekti įvairiose strategijose, veiksmų programose ir kituose teisės aktuose numtytų rezultatų</w:t>
      </w:r>
      <w:r w:rsidR="00B67A8E" w:rsidRPr="002142B8">
        <w:rPr>
          <w:rFonts w:ascii="Georgia" w:hAnsi="Georgia"/>
          <w:sz w:val="20"/>
          <w:szCs w:val="20"/>
        </w:rPr>
        <w:t>;</w:t>
      </w:r>
    </w:p>
    <w:p w14:paraId="4C6EB7C1" w14:textId="0CF62ECE" w:rsidR="00AA7568" w:rsidRPr="002142B8" w:rsidRDefault="00633FDB" w:rsidP="0063781D">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siekti užtikrinti</w:t>
      </w:r>
      <w:r w:rsidR="006F4E6E" w:rsidRPr="002142B8">
        <w:rPr>
          <w:rFonts w:ascii="Georgia" w:hAnsi="Georgia"/>
          <w:sz w:val="20"/>
          <w:szCs w:val="20"/>
        </w:rPr>
        <w:t xml:space="preserve"> tolygų perėjimą iš vieno programavimo p</w:t>
      </w:r>
      <w:r w:rsidR="00D52E5C" w:rsidRPr="002142B8">
        <w:rPr>
          <w:rFonts w:ascii="Georgia" w:hAnsi="Georgia"/>
          <w:sz w:val="20"/>
          <w:szCs w:val="20"/>
        </w:rPr>
        <w:t>eriodo į kitą bei nenutrūkstantį</w:t>
      </w:r>
      <w:r w:rsidR="006F4E6E" w:rsidRPr="002142B8">
        <w:rPr>
          <w:rFonts w:ascii="Georgia" w:hAnsi="Georgia"/>
          <w:sz w:val="20"/>
          <w:szCs w:val="20"/>
        </w:rPr>
        <w:t xml:space="preserve"> projektų finansavimą</w:t>
      </w:r>
      <w:r w:rsidR="00D52E5C" w:rsidRPr="002142B8">
        <w:rPr>
          <w:rFonts w:ascii="Georgia" w:hAnsi="Georgia"/>
          <w:sz w:val="20"/>
          <w:szCs w:val="20"/>
        </w:rPr>
        <w:t>.</w:t>
      </w:r>
    </w:p>
    <w:p w14:paraId="310CD402" w14:textId="636CE482"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 xml:space="preserve">Siūlomo finansinio produkto – </w:t>
      </w:r>
      <w:r w:rsidRPr="002142B8">
        <w:rPr>
          <w:rFonts w:ascii="Georgia" w:hAnsi="Georgia"/>
          <w:b/>
          <w:sz w:val="20"/>
          <w:szCs w:val="20"/>
        </w:rPr>
        <w:t>lengvatinių paskolų</w:t>
      </w:r>
      <w:r w:rsidRPr="002142B8">
        <w:rPr>
          <w:rFonts w:ascii="Georgia" w:hAnsi="Georgia"/>
          <w:sz w:val="20"/>
          <w:szCs w:val="20"/>
        </w:rPr>
        <w:t xml:space="preserve"> – sąlygos</w:t>
      </w:r>
      <w:r w:rsidR="002840CD" w:rsidRPr="002142B8">
        <w:rPr>
          <w:rFonts w:ascii="Georgia" w:hAnsi="Georgia"/>
          <w:sz w:val="20"/>
          <w:szCs w:val="20"/>
        </w:rPr>
        <w:t xml:space="preserve"> galutiniam naudos gavėjui būtų</w:t>
      </w:r>
      <w:r w:rsidRPr="002142B8">
        <w:rPr>
          <w:rFonts w:ascii="Georgia" w:hAnsi="Georgia"/>
          <w:sz w:val="20"/>
          <w:szCs w:val="20"/>
        </w:rPr>
        <w:t>:</w:t>
      </w:r>
    </w:p>
    <w:p w14:paraId="1F69E1DE" w14:textId="35CBF959" w:rsidR="002840CD" w:rsidRPr="002142B8" w:rsidRDefault="00AC0A17" w:rsidP="002840CD">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pa</w:t>
      </w:r>
      <w:r w:rsidR="00CD5FB1" w:rsidRPr="002142B8">
        <w:rPr>
          <w:rFonts w:ascii="Georgia" w:hAnsi="Georgia"/>
          <w:sz w:val="20"/>
          <w:szCs w:val="20"/>
        </w:rPr>
        <w:t>l</w:t>
      </w:r>
      <w:r w:rsidRPr="002142B8">
        <w:rPr>
          <w:rFonts w:ascii="Georgia" w:hAnsi="Georgia"/>
          <w:sz w:val="20"/>
          <w:szCs w:val="20"/>
        </w:rPr>
        <w:t>ūkanos – taip kaip numatyta daugiabučių modernizavimo programą reglamentuojančiuose teisės aktuose</w:t>
      </w:r>
      <w:r w:rsidR="002840CD" w:rsidRPr="002142B8">
        <w:rPr>
          <w:rFonts w:ascii="Georgia" w:hAnsi="Georgia"/>
          <w:sz w:val="20"/>
          <w:szCs w:val="20"/>
        </w:rPr>
        <w:t xml:space="preserve">; </w:t>
      </w:r>
    </w:p>
    <w:p w14:paraId="3C0ABC51" w14:textId="46281904" w:rsidR="002840CD" w:rsidRPr="002142B8" w:rsidRDefault="002840CD" w:rsidP="002840CD">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 xml:space="preserve">paskolos terminas iki 20 metų; </w:t>
      </w:r>
    </w:p>
    <w:p w14:paraId="02E751E3" w14:textId="301F8522" w:rsidR="002840CD" w:rsidRPr="002142B8" w:rsidRDefault="002840CD" w:rsidP="002840CD">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30% subsidija iš LR biudžeto (Klimato kaitos programa ar kiti šaltiniai)</w:t>
      </w:r>
      <w:r w:rsidR="00AC0A17" w:rsidRPr="002142B8">
        <w:rPr>
          <w:rFonts w:ascii="Georgia" w:hAnsi="Georgia"/>
          <w:sz w:val="20"/>
          <w:szCs w:val="20"/>
        </w:rPr>
        <w:t xml:space="preserve"> arba </w:t>
      </w:r>
      <w:r w:rsidR="0034796F" w:rsidRPr="002142B8">
        <w:rPr>
          <w:rFonts w:ascii="Georgia" w:hAnsi="Georgia"/>
          <w:sz w:val="20"/>
          <w:szCs w:val="20"/>
        </w:rPr>
        <w:t>tokia subsidija,</w:t>
      </w:r>
      <w:r w:rsidR="00AC0A17" w:rsidRPr="002142B8">
        <w:rPr>
          <w:rFonts w:ascii="Georgia" w:hAnsi="Georgia"/>
          <w:sz w:val="20"/>
          <w:szCs w:val="20"/>
        </w:rPr>
        <w:t xml:space="preserve"> kokią atsižvelgiant į valstybės </w:t>
      </w:r>
      <w:r w:rsidR="0034796F" w:rsidRPr="002142B8">
        <w:rPr>
          <w:rFonts w:ascii="Georgia" w:hAnsi="Georgia"/>
          <w:sz w:val="20"/>
          <w:szCs w:val="20"/>
        </w:rPr>
        <w:t xml:space="preserve">biudžeto ir kitų šaltinių </w:t>
      </w:r>
      <w:r w:rsidR="00AC0A17" w:rsidRPr="002142B8">
        <w:rPr>
          <w:rFonts w:ascii="Georgia" w:hAnsi="Georgia"/>
          <w:sz w:val="20"/>
          <w:szCs w:val="20"/>
        </w:rPr>
        <w:t>gali</w:t>
      </w:r>
      <w:r w:rsidR="00B67A8E" w:rsidRPr="002142B8">
        <w:rPr>
          <w:rFonts w:ascii="Georgia" w:hAnsi="Georgia"/>
          <w:sz w:val="20"/>
          <w:szCs w:val="20"/>
        </w:rPr>
        <w:t>m</w:t>
      </w:r>
      <w:r w:rsidR="00AC0A17" w:rsidRPr="002142B8">
        <w:rPr>
          <w:rFonts w:ascii="Georgia" w:hAnsi="Georgia"/>
          <w:sz w:val="20"/>
          <w:szCs w:val="20"/>
        </w:rPr>
        <w:t xml:space="preserve">ybes bei </w:t>
      </w:r>
      <w:r w:rsidR="00B67A8E" w:rsidRPr="002142B8">
        <w:rPr>
          <w:rFonts w:ascii="Georgia" w:hAnsi="Georgia"/>
          <w:sz w:val="20"/>
          <w:szCs w:val="20"/>
        </w:rPr>
        <w:t xml:space="preserve">rinkos </w:t>
      </w:r>
      <w:r w:rsidR="0034796F" w:rsidRPr="002142B8">
        <w:rPr>
          <w:rFonts w:ascii="Georgia" w:hAnsi="Georgia"/>
          <w:sz w:val="20"/>
          <w:szCs w:val="20"/>
        </w:rPr>
        <w:t>situaciją nustato valstybė</w:t>
      </w:r>
      <w:r w:rsidRPr="002142B8">
        <w:rPr>
          <w:rFonts w:ascii="Georgia" w:hAnsi="Georgia"/>
          <w:sz w:val="20"/>
          <w:szCs w:val="20"/>
        </w:rPr>
        <w:t xml:space="preserve">; </w:t>
      </w:r>
    </w:p>
    <w:p w14:paraId="7F3D1880" w14:textId="3624BA3F" w:rsidR="002840CD" w:rsidRPr="002142B8" w:rsidRDefault="002840CD" w:rsidP="002840CD">
      <w:pPr>
        <w:pStyle w:val="prastasis1"/>
        <w:numPr>
          <w:ilvl w:val="0"/>
          <w:numId w:val="6"/>
        </w:numPr>
        <w:spacing w:line="276" w:lineRule="auto"/>
        <w:jc w:val="both"/>
        <w:rPr>
          <w:rFonts w:ascii="Georgia" w:hAnsi="Georgia"/>
          <w:sz w:val="20"/>
          <w:szCs w:val="20"/>
        </w:rPr>
      </w:pPr>
      <w:r w:rsidRPr="002142B8">
        <w:rPr>
          <w:rFonts w:ascii="Georgia" w:hAnsi="Georgia"/>
          <w:sz w:val="20"/>
          <w:szCs w:val="20"/>
        </w:rPr>
        <w:t>fondo valdytojo, finansinių tarpininkų bei garantijos teikėjo administravimo mokesčiai nustatomi vadovaujantis D</w:t>
      </w:r>
      <w:r w:rsidR="0034796F" w:rsidRPr="002142B8">
        <w:rPr>
          <w:rFonts w:ascii="Georgia" w:hAnsi="Georgia"/>
          <w:sz w:val="20"/>
          <w:szCs w:val="20"/>
        </w:rPr>
        <w:t>eleguoto reglamento nuostatomis.</w:t>
      </w:r>
    </w:p>
    <w:p w14:paraId="334A18D8" w14:textId="300D36A8"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Siūlomas finansinis produktas (paskola) yra pažįstamas daugeliui modelio įgyvendinime dalyvaujančių subjektų, t.y. vadovaujančiai institucijai, Aplinkos ministe</w:t>
      </w:r>
      <w:r w:rsidR="00057748" w:rsidRPr="002142B8">
        <w:rPr>
          <w:rFonts w:ascii="Georgia" w:hAnsi="Georgia"/>
          <w:sz w:val="20"/>
          <w:szCs w:val="20"/>
        </w:rPr>
        <w:t>rijai, finansiniams tarpininkams</w:t>
      </w:r>
      <w:r w:rsidRPr="002142B8">
        <w:rPr>
          <w:rFonts w:ascii="Georgia" w:hAnsi="Georgia"/>
          <w:sz w:val="20"/>
          <w:szCs w:val="20"/>
        </w:rPr>
        <w:t xml:space="preserve">, projektų vykdytojams bei galutiniams naudos gavėjams. </w:t>
      </w:r>
      <w:r w:rsidR="00294638" w:rsidRPr="002142B8">
        <w:rPr>
          <w:rFonts w:ascii="Georgia" w:hAnsi="Georgia"/>
          <w:sz w:val="20"/>
          <w:szCs w:val="20"/>
        </w:rPr>
        <w:t xml:space="preserve">Sukaupta daugiabučių </w:t>
      </w:r>
      <w:r w:rsidR="00057748" w:rsidRPr="002142B8">
        <w:rPr>
          <w:rFonts w:ascii="Georgia" w:hAnsi="Georgia"/>
          <w:sz w:val="20"/>
          <w:szCs w:val="20"/>
        </w:rPr>
        <w:t xml:space="preserve">namų </w:t>
      </w:r>
      <w:r w:rsidR="00294638" w:rsidRPr="002142B8">
        <w:rPr>
          <w:rFonts w:ascii="Georgia" w:hAnsi="Georgia"/>
          <w:sz w:val="20"/>
          <w:szCs w:val="20"/>
        </w:rPr>
        <w:t>modernizavimo programų patirtis</w:t>
      </w:r>
      <w:r w:rsidRPr="002142B8">
        <w:rPr>
          <w:rFonts w:ascii="Georgia" w:hAnsi="Georgia"/>
          <w:sz w:val="20"/>
          <w:szCs w:val="20"/>
        </w:rPr>
        <w:t xml:space="preserve"> rodo, kad net ir nedideli finansinio produkto sąlygų pakeitimai daro ženklią įtaką galutinių naudos gavėjų</w:t>
      </w:r>
      <w:r w:rsidR="006C3D55" w:rsidRPr="002142B8">
        <w:rPr>
          <w:rFonts w:ascii="Georgia" w:hAnsi="Georgia"/>
          <w:sz w:val="20"/>
          <w:szCs w:val="20"/>
        </w:rPr>
        <w:t>, o taip pat ir finansinių tarpininkų,</w:t>
      </w:r>
      <w:r w:rsidRPr="002142B8">
        <w:rPr>
          <w:rFonts w:ascii="Georgia" w:hAnsi="Georgia"/>
          <w:sz w:val="20"/>
          <w:szCs w:val="20"/>
        </w:rPr>
        <w:t xml:space="preserve"> suinteresuotumui dalyvauti daugiabučių</w:t>
      </w:r>
      <w:r w:rsidR="00057748" w:rsidRPr="002142B8">
        <w:rPr>
          <w:rFonts w:ascii="Georgia" w:hAnsi="Georgia"/>
          <w:sz w:val="20"/>
          <w:szCs w:val="20"/>
        </w:rPr>
        <w:t xml:space="preserve"> namų</w:t>
      </w:r>
      <w:r w:rsidRPr="002142B8">
        <w:rPr>
          <w:rFonts w:ascii="Georgia" w:hAnsi="Georgia"/>
          <w:sz w:val="20"/>
          <w:szCs w:val="20"/>
        </w:rPr>
        <w:t xml:space="preserve"> modernizavimo programoje. Todėl rekomenduojama 2014-2020 m. periodu įgyvendinti tokį finansinį produktą, kuris </w:t>
      </w:r>
      <w:r w:rsidR="006C3D55" w:rsidRPr="002142B8">
        <w:rPr>
          <w:rFonts w:ascii="Georgia" w:hAnsi="Georgia"/>
          <w:sz w:val="20"/>
          <w:szCs w:val="20"/>
        </w:rPr>
        <w:t xml:space="preserve">iš esmės </w:t>
      </w:r>
      <w:r w:rsidRPr="002142B8">
        <w:rPr>
          <w:rFonts w:ascii="Georgia" w:hAnsi="Georgia"/>
          <w:sz w:val="20"/>
          <w:szCs w:val="20"/>
        </w:rPr>
        <w:t>būtų JESSICA KF finansinio produkto tęsinys bei</w:t>
      </w:r>
      <w:r w:rsidR="006C3D55" w:rsidRPr="002142B8">
        <w:rPr>
          <w:rFonts w:ascii="Georgia" w:hAnsi="Georgia"/>
          <w:sz w:val="20"/>
          <w:szCs w:val="20"/>
        </w:rPr>
        <w:t xml:space="preserve"> nerekomenduojama daryti drastiškų įgyvendinimo modelio pakeitimų, siekiant nedaryti</w:t>
      </w:r>
      <w:r w:rsidRPr="002142B8">
        <w:rPr>
          <w:rFonts w:ascii="Georgia" w:hAnsi="Georgia"/>
          <w:sz w:val="20"/>
          <w:szCs w:val="20"/>
        </w:rPr>
        <w:t xml:space="preserve"> </w:t>
      </w:r>
      <w:r w:rsidR="006C3D55" w:rsidRPr="002142B8">
        <w:rPr>
          <w:rFonts w:ascii="Georgia" w:hAnsi="Georgia"/>
          <w:sz w:val="20"/>
          <w:szCs w:val="20"/>
        </w:rPr>
        <w:t>neigiamos</w:t>
      </w:r>
      <w:r w:rsidRPr="002142B8">
        <w:rPr>
          <w:rFonts w:ascii="Georgia" w:hAnsi="Georgia"/>
          <w:sz w:val="20"/>
          <w:szCs w:val="20"/>
        </w:rPr>
        <w:t xml:space="preserve"> įtakos šiuo metu įsibėgėjusiam renovacijos procesui.</w:t>
      </w:r>
      <w:r w:rsidR="00B67A8E" w:rsidRPr="002142B8">
        <w:rPr>
          <w:rFonts w:ascii="Georgia" w:hAnsi="Georgia"/>
          <w:sz w:val="20"/>
          <w:szCs w:val="20"/>
        </w:rPr>
        <w:t xml:space="preserve"> Atsižvelgiant į aukščiau suformuotą rekomendaciją</w:t>
      </w:r>
      <w:r w:rsidR="006C3D55" w:rsidRPr="002142B8">
        <w:rPr>
          <w:rFonts w:ascii="Georgia" w:hAnsi="Georgia"/>
          <w:sz w:val="20"/>
          <w:szCs w:val="20"/>
        </w:rPr>
        <w:t>,</w:t>
      </w:r>
      <w:r w:rsidR="00B67A8E" w:rsidRPr="002142B8">
        <w:rPr>
          <w:rFonts w:ascii="Georgia" w:hAnsi="Georgia"/>
          <w:sz w:val="20"/>
          <w:szCs w:val="20"/>
        </w:rPr>
        <w:t xml:space="preserve"> siūloma susidarius tinkamai situacijai siekti įgyvendinti garantijų priemonę. Pabrėžtina, jog </w:t>
      </w:r>
      <w:r w:rsidR="006C3D55" w:rsidRPr="002142B8">
        <w:rPr>
          <w:rFonts w:ascii="Georgia" w:hAnsi="Georgia"/>
          <w:sz w:val="20"/>
          <w:szCs w:val="20"/>
        </w:rPr>
        <w:t xml:space="preserve">skirtingos daugiabučių renovacijai skirtos </w:t>
      </w:r>
      <w:r w:rsidR="00B67A8E" w:rsidRPr="002142B8">
        <w:rPr>
          <w:rFonts w:ascii="Georgia" w:hAnsi="Georgia"/>
          <w:sz w:val="20"/>
          <w:szCs w:val="20"/>
        </w:rPr>
        <w:t>priemonės gali veikti tiek kartu, tiek atskirai.</w:t>
      </w:r>
    </w:p>
    <w:p w14:paraId="6853EBC2" w14:textId="0D069374" w:rsidR="00B67A8E" w:rsidRPr="002142B8" w:rsidRDefault="00B67A8E" w:rsidP="00AA7568">
      <w:pPr>
        <w:pStyle w:val="prastasis1"/>
        <w:spacing w:line="276" w:lineRule="auto"/>
        <w:jc w:val="both"/>
        <w:rPr>
          <w:rFonts w:ascii="Georgia" w:hAnsi="Georgia"/>
          <w:sz w:val="20"/>
          <w:szCs w:val="20"/>
        </w:rPr>
      </w:pPr>
      <w:r w:rsidRPr="002142B8">
        <w:rPr>
          <w:rFonts w:ascii="Georgia" w:hAnsi="Georgia"/>
          <w:sz w:val="20"/>
          <w:szCs w:val="20"/>
        </w:rPr>
        <w:t xml:space="preserve">Papildomų lėšų pritraukimui paskolos priemonės atveju siūloma taikyti piniginio srauto/paskolų išpirkimo modelį ir (ar) asimetrinį rizikos pasidalijimo modelį. Atsižvelgiant į tai, kad produkto nustatoma finansavimo kaina gali skirtis, nuo privačių finansuotojų teikiamų finansavimo sąlygų, esant poreikiui, vadovaujančiai institucijai kartu su Aplinkos ministerija rekomenduojama apsvarstyti galimybę grįžtančias lėšas panaudoti </w:t>
      </w:r>
      <w:r w:rsidR="006C3D55" w:rsidRPr="002142B8">
        <w:rPr>
          <w:rFonts w:ascii="Georgia" w:hAnsi="Georgia"/>
          <w:sz w:val="20"/>
          <w:szCs w:val="20"/>
        </w:rPr>
        <w:t xml:space="preserve">atlyginti </w:t>
      </w:r>
      <w:r w:rsidRPr="002142B8">
        <w:rPr>
          <w:rFonts w:ascii="Georgia" w:hAnsi="Georgia"/>
          <w:sz w:val="20"/>
          <w:szCs w:val="20"/>
        </w:rPr>
        <w:t>investuotojams pirmumo tvarka, kaip tai numatyta</w:t>
      </w:r>
      <w:r w:rsidRPr="002142B8">
        <w:t xml:space="preserve"> </w:t>
      </w:r>
      <w:r w:rsidRPr="002142B8">
        <w:rPr>
          <w:rFonts w:ascii="Georgia" w:hAnsi="Georgia"/>
          <w:sz w:val="20"/>
          <w:szCs w:val="20"/>
        </w:rPr>
        <w:t>Bendrųjų nuostatų reglamento 44 straipsnio 1 dalyje.</w:t>
      </w:r>
    </w:p>
    <w:p w14:paraId="3CA7DF99" w14:textId="77777777" w:rsidR="00AA7568" w:rsidRPr="002142B8" w:rsidRDefault="00AA7568" w:rsidP="00AA7568">
      <w:pPr>
        <w:pStyle w:val="Antrat2"/>
        <w:numPr>
          <w:ilvl w:val="2"/>
          <w:numId w:val="2"/>
        </w:numPr>
        <w:spacing w:after="240"/>
        <w:rPr>
          <w:lang w:val="lt-LT"/>
        </w:rPr>
      </w:pPr>
      <w:bookmarkStart w:id="333" w:name="_Toc398567604"/>
      <w:bookmarkStart w:id="334" w:name="_Toc25589965"/>
      <w:r w:rsidRPr="002142B8">
        <w:rPr>
          <w:lang w:val="lt-LT"/>
        </w:rPr>
        <w:t>Finansinės priemonės derinimas su parama</w:t>
      </w:r>
      <w:bookmarkEnd w:id="333"/>
      <w:bookmarkEnd w:id="334"/>
    </w:p>
    <w:p w14:paraId="0F39D537"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Bendrųjų nuostatų reglamento 13 straipsnio 7-8 dalys reglamentuoja finansinių priemonių derinimą su kitomis paramos formomis:</w:t>
      </w:r>
    </w:p>
    <w:p w14:paraId="38B55049" w14:textId="77777777" w:rsidR="00AA7568" w:rsidRPr="002142B8" w:rsidRDefault="00AA7568" w:rsidP="00AA7568">
      <w:pPr>
        <w:pStyle w:val="prastasis1"/>
        <w:spacing w:line="276" w:lineRule="auto"/>
        <w:jc w:val="both"/>
        <w:rPr>
          <w:rFonts w:ascii="Georgia" w:hAnsi="Georgia"/>
          <w:i/>
          <w:sz w:val="20"/>
          <w:szCs w:val="20"/>
        </w:rPr>
      </w:pPr>
      <w:r w:rsidRPr="002142B8">
        <w:rPr>
          <w:rFonts w:ascii="Georgia" w:hAnsi="Georgia"/>
          <w:i/>
          <w:sz w:val="20"/>
          <w:szCs w:val="20"/>
        </w:rPr>
        <w:t xml:space="preserve">„7.   Finansinės priemonės gali būti derinamos su subsidijomis, palūkanų normos subsidijomis arba garantijos mokesčio subsidijomis. Tais atvejais, kai ESI fondų parama teikiama pasitelkiant finansines priemones ir kai ji, vykdant vieną veiksmą, derinama su kitų formų parama tiesiogiai susieta su finansinėmis priemonėmis, skirtomis tiems patiems galutiniams naudos gavėjams, įskaitant techninę </w:t>
      </w:r>
      <w:r w:rsidRPr="002142B8">
        <w:rPr>
          <w:rFonts w:ascii="Georgia" w:hAnsi="Georgia"/>
          <w:i/>
          <w:sz w:val="20"/>
          <w:szCs w:val="20"/>
        </w:rPr>
        <w:lastRenderedPageBreak/>
        <w:t>pagalbą, palūkanų normos subsidijas ir garantijos mokesčio subsidijas, finansinėms priemonėms taikytinos nuostatos taikomos visų formų paramai, teikiamai tam veiksmui. Tokiais atvejais laikomasi taikytinų Sąjungos valstybės pagalbos taisyklių ir kiekvienos formos paramos atveju tvarkoma atskira apskaita.</w:t>
      </w:r>
    </w:p>
    <w:p w14:paraId="1ED5C7EE" w14:textId="77777777" w:rsidR="00AA7568" w:rsidRPr="002142B8" w:rsidRDefault="00AA7568" w:rsidP="00AA7568">
      <w:pPr>
        <w:pStyle w:val="prastasis1"/>
        <w:spacing w:line="276" w:lineRule="auto"/>
        <w:jc w:val="both"/>
        <w:rPr>
          <w:rFonts w:ascii="Georgia" w:hAnsi="Georgia"/>
          <w:i/>
          <w:sz w:val="20"/>
          <w:szCs w:val="20"/>
        </w:rPr>
      </w:pPr>
      <w:r w:rsidRPr="002142B8">
        <w:rPr>
          <w:rFonts w:ascii="Georgia" w:hAnsi="Georgia"/>
          <w:i/>
          <w:sz w:val="20"/>
          <w:szCs w:val="20"/>
        </w:rPr>
        <w:t>8.   Pagal ESI fondo finansinę priemonę remiami galutiniai naudos gavėjai gali gauti finansavimą ir pagal kitą ESI fondų prioritetą ar programą arba pagal kitą Sąjungos biudžeto lėšomis remiamą priemonę, laikantis taikytinų Sąjungos valstybės pagalbos taisyklių. Tuo atveju tvarkoma atskira kiekvieno pagalbos šaltinio apskaita, o ESI fondų finansinės priemonės parama turi sudaryti dalį veiksmo, kurio tinkamos finansuoti išlaidos atskirtos nuo kitų finansavimo šaltinių.</w:t>
      </w:r>
    </w:p>
    <w:p w14:paraId="0A63ACE9" w14:textId="77777777" w:rsidR="00AA7568" w:rsidRPr="002142B8" w:rsidRDefault="00AA7568" w:rsidP="00AA7568">
      <w:pPr>
        <w:pStyle w:val="prastasis1"/>
        <w:spacing w:line="276" w:lineRule="auto"/>
        <w:jc w:val="both"/>
        <w:rPr>
          <w:rFonts w:ascii="Georgia" w:hAnsi="Georgia"/>
          <w:i/>
          <w:sz w:val="20"/>
          <w:szCs w:val="20"/>
        </w:rPr>
      </w:pPr>
      <w:r w:rsidRPr="002142B8">
        <w:rPr>
          <w:rFonts w:ascii="Georgia" w:hAnsi="Georgia"/>
          <w:i/>
          <w:sz w:val="20"/>
          <w:szCs w:val="20"/>
        </w:rPr>
        <w:t>9.   Derinant subsidijomis ir finansinėmis priemonėmis teikiamą finansavimą, kaip nurodyta 7 ir 8 dalyse nurodytas jei laikomasi taikytinų Sąjungos valstybės pagalbos taisyklių, galima finansuoti tą patį išlaidų elementą, jei visų derinamų formų paramos suma neviršija visos atitinkamo išlaidų elemento sumos. Subsidijos nenaudojamos finansavimui, gautam pagal finansines priemones, apmokėti. Finansinės priemonės nenaudojamos iš anksto, kol negautas subsidijų finansavimas.“</w:t>
      </w:r>
    </w:p>
    <w:p w14:paraId="12B7A30A" w14:textId="3036535F" w:rsidR="00AA7568" w:rsidRPr="002142B8" w:rsidRDefault="00B67A8E" w:rsidP="002840CD">
      <w:pPr>
        <w:pStyle w:val="prastasis1"/>
        <w:spacing w:line="276" w:lineRule="auto"/>
        <w:jc w:val="both"/>
        <w:rPr>
          <w:rFonts w:ascii="Georgia" w:hAnsi="Georgia"/>
          <w:sz w:val="20"/>
          <w:szCs w:val="20"/>
        </w:rPr>
      </w:pPr>
      <w:r w:rsidRPr="002142B8">
        <w:rPr>
          <w:rFonts w:ascii="Georgia" w:hAnsi="Georgia"/>
          <w:sz w:val="20"/>
        </w:rPr>
        <w:t>Jautrumo analizės ir kokybinės analizės vertinimu buvo nustatyta, jog daugiabučių pastatų renovacijai reikėtų taikyti subsidiją, tačiau nebuvo diskutuojama kokio tipo turėtų būti subsidija</w:t>
      </w:r>
      <w:r w:rsidR="00B60E46" w:rsidRPr="002142B8">
        <w:rPr>
          <w:rFonts w:ascii="Georgia" w:hAnsi="Georgia"/>
          <w:sz w:val="20"/>
        </w:rPr>
        <w:t xml:space="preserve"> ir jos derinimo galimybės su finansinėmis priemonėmis</w:t>
      </w:r>
      <w:r w:rsidRPr="002142B8">
        <w:rPr>
          <w:rFonts w:ascii="Georgia" w:hAnsi="Georgia"/>
          <w:sz w:val="20"/>
        </w:rPr>
        <w:t xml:space="preserve">. </w:t>
      </w:r>
      <w:r w:rsidR="003849D3" w:rsidRPr="002142B8">
        <w:rPr>
          <w:rFonts w:ascii="Georgia" w:hAnsi="Georgia"/>
          <w:sz w:val="20"/>
          <w:szCs w:val="20"/>
        </w:rPr>
        <w:t>D</w:t>
      </w:r>
      <w:r w:rsidR="00AA7568" w:rsidRPr="002142B8">
        <w:rPr>
          <w:rFonts w:ascii="Georgia" w:hAnsi="Georgia"/>
          <w:sz w:val="20"/>
          <w:szCs w:val="20"/>
        </w:rPr>
        <w:t xml:space="preserve">augiabučių modernizavimo projektams </w:t>
      </w:r>
      <w:r w:rsidR="003849D3" w:rsidRPr="002142B8">
        <w:rPr>
          <w:rFonts w:ascii="Georgia" w:hAnsi="Georgia"/>
          <w:sz w:val="20"/>
          <w:szCs w:val="20"/>
        </w:rPr>
        <w:t>skiriama subsidija apibrėžta šią veiklą reglamentuojančiuose teisės aktuose remiantis valstybės galimybėmis tokią subsidiją teikti</w:t>
      </w:r>
      <w:r w:rsidR="00AA7568" w:rsidRPr="002142B8">
        <w:rPr>
          <w:rFonts w:ascii="Georgia" w:hAnsi="Georgia"/>
          <w:sz w:val="20"/>
          <w:szCs w:val="20"/>
        </w:rPr>
        <w:t xml:space="preserve">. </w:t>
      </w:r>
    </w:p>
    <w:p w14:paraId="29F66132" w14:textId="2F293975"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 xml:space="preserve">Gyventojams taip pat svarbu, jog prie mažesnių subsidijų būtų pereinama laipsniškai, </w:t>
      </w:r>
      <w:r w:rsidR="00B60E46" w:rsidRPr="002142B8">
        <w:rPr>
          <w:rFonts w:ascii="Georgia" w:hAnsi="Georgia"/>
          <w:sz w:val="20"/>
          <w:szCs w:val="20"/>
        </w:rPr>
        <w:t xml:space="preserve">kadangi </w:t>
      </w:r>
      <w:r w:rsidRPr="002142B8">
        <w:rPr>
          <w:rFonts w:ascii="Georgia" w:hAnsi="Georgia"/>
          <w:sz w:val="20"/>
          <w:szCs w:val="20"/>
        </w:rPr>
        <w:t>tai palaikytų stabilesnį gyventojų suinteresuotumą renovacijos procesu.</w:t>
      </w:r>
    </w:p>
    <w:p w14:paraId="6BFB753B" w14:textId="77777777" w:rsidR="00AA7568" w:rsidRPr="002142B8" w:rsidRDefault="00AA7568" w:rsidP="00AA7568">
      <w:pPr>
        <w:pStyle w:val="Antrat2"/>
        <w:numPr>
          <w:ilvl w:val="2"/>
          <w:numId w:val="2"/>
        </w:numPr>
        <w:spacing w:after="240"/>
        <w:rPr>
          <w:lang w:val="lt-LT"/>
        </w:rPr>
      </w:pPr>
      <w:bookmarkStart w:id="335" w:name="_Toc398567605"/>
      <w:bookmarkStart w:id="336" w:name="_Toc25589966"/>
      <w:r w:rsidRPr="002142B8">
        <w:rPr>
          <w:lang w:val="lt-LT"/>
        </w:rPr>
        <w:t>Finansinės priemonės įgyvendinimo struktūra</w:t>
      </w:r>
      <w:bookmarkEnd w:id="335"/>
      <w:bookmarkEnd w:id="336"/>
    </w:p>
    <w:p w14:paraId="28CD4FDF" w14:textId="13D68ACF"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 xml:space="preserve">Kaip jau buvo nurodyta 1.3 skyriuje, nuostatos reglamentuojančios vadovaujančiosios institucijos galimybes pasirinkti finansinių priemonių įgyvendinimo struktūrą yra apibrėžtos Bendrųjų nuostatų reglamento </w:t>
      </w:r>
      <w:r w:rsidR="002840CD" w:rsidRPr="002142B8">
        <w:rPr>
          <w:rFonts w:ascii="Georgia" w:hAnsi="Georgia"/>
          <w:sz w:val="20"/>
          <w:szCs w:val="20"/>
        </w:rPr>
        <w:br/>
      </w:r>
      <w:r w:rsidRPr="002142B8">
        <w:rPr>
          <w:rFonts w:ascii="Georgia" w:hAnsi="Georgia"/>
          <w:sz w:val="20"/>
          <w:szCs w:val="20"/>
        </w:rPr>
        <w:t>38 straipsnyje.</w:t>
      </w:r>
    </w:p>
    <w:p w14:paraId="067198C6" w14:textId="102B495D" w:rsidR="007E64DB" w:rsidRPr="002142B8" w:rsidRDefault="00AA7568" w:rsidP="00AC115A">
      <w:pPr>
        <w:pStyle w:val="prastasis1"/>
        <w:spacing w:line="276" w:lineRule="auto"/>
        <w:jc w:val="both"/>
        <w:rPr>
          <w:rFonts w:ascii="Georgia" w:hAnsi="Georgia"/>
          <w:sz w:val="20"/>
          <w:szCs w:val="20"/>
        </w:rPr>
      </w:pPr>
      <w:r w:rsidRPr="002142B8">
        <w:rPr>
          <w:rFonts w:ascii="Georgia" w:hAnsi="Georgia"/>
          <w:sz w:val="20"/>
          <w:szCs w:val="20"/>
        </w:rPr>
        <w:t>Atsižvelgiant į tai, kad daugiabučių namų</w:t>
      </w:r>
      <w:r w:rsidR="001F784A" w:rsidRPr="002142B8">
        <w:rPr>
          <w:rFonts w:ascii="Georgia" w:hAnsi="Georgia"/>
          <w:sz w:val="20"/>
          <w:szCs w:val="20"/>
        </w:rPr>
        <w:t xml:space="preserve"> </w:t>
      </w:r>
      <w:r w:rsidRPr="002142B8">
        <w:rPr>
          <w:rFonts w:ascii="Georgia" w:hAnsi="Georgia"/>
          <w:sz w:val="20"/>
          <w:szCs w:val="20"/>
        </w:rPr>
        <w:t>renovacijos</w:t>
      </w:r>
      <w:r w:rsidR="001F784A" w:rsidRPr="002142B8">
        <w:rPr>
          <w:rFonts w:ascii="Georgia" w:hAnsi="Georgia"/>
          <w:sz w:val="20"/>
          <w:szCs w:val="20"/>
        </w:rPr>
        <w:t xml:space="preserve"> procese</w:t>
      </w:r>
      <w:r w:rsidRPr="002142B8">
        <w:rPr>
          <w:rFonts w:ascii="Georgia" w:hAnsi="Georgia"/>
          <w:sz w:val="20"/>
          <w:szCs w:val="20"/>
        </w:rPr>
        <w:t xml:space="preserve"> susidaro </w:t>
      </w:r>
      <w:r w:rsidR="001F784A" w:rsidRPr="002142B8">
        <w:rPr>
          <w:rFonts w:ascii="Georgia" w:hAnsi="Georgia"/>
          <w:sz w:val="20"/>
          <w:szCs w:val="20"/>
        </w:rPr>
        <w:t xml:space="preserve">pakankamai </w:t>
      </w:r>
      <w:r w:rsidRPr="002142B8">
        <w:rPr>
          <w:rFonts w:ascii="Georgia" w:hAnsi="Georgia"/>
          <w:sz w:val="20"/>
          <w:szCs w:val="20"/>
        </w:rPr>
        <w:t>didelis</w:t>
      </w:r>
      <w:r w:rsidR="002840CD" w:rsidRPr="002142B8">
        <w:rPr>
          <w:rFonts w:ascii="Georgia" w:hAnsi="Georgia"/>
          <w:sz w:val="20"/>
          <w:szCs w:val="20"/>
        </w:rPr>
        <w:t xml:space="preserve"> </w:t>
      </w:r>
      <w:r w:rsidR="00057748" w:rsidRPr="002142B8">
        <w:rPr>
          <w:rFonts w:ascii="Georgia" w:hAnsi="Georgia"/>
          <w:sz w:val="20"/>
          <w:szCs w:val="20"/>
        </w:rPr>
        <w:t>projektų srautas</w:t>
      </w:r>
      <w:r w:rsidR="001F784A" w:rsidRPr="002142B8">
        <w:rPr>
          <w:rFonts w:ascii="Georgia" w:hAnsi="Georgia"/>
          <w:sz w:val="20"/>
          <w:szCs w:val="20"/>
        </w:rPr>
        <w:t>, p</w:t>
      </w:r>
      <w:r w:rsidR="00057748" w:rsidRPr="002142B8">
        <w:rPr>
          <w:rFonts w:ascii="Georgia" w:hAnsi="Georgia"/>
          <w:sz w:val="20"/>
          <w:szCs w:val="20"/>
        </w:rPr>
        <w:t>rojektai yra</w:t>
      </w:r>
      <w:r w:rsidRPr="002142B8">
        <w:rPr>
          <w:rFonts w:ascii="Georgia" w:hAnsi="Georgia"/>
          <w:sz w:val="20"/>
          <w:szCs w:val="20"/>
        </w:rPr>
        <w:t xml:space="preserve"> išsisklaidę po visą šalies teritorij</w:t>
      </w:r>
      <w:r w:rsidR="001F784A" w:rsidRPr="002142B8">
        <w:rPr>
          <w:rFonts w:ascii="Georgia" w:hAnsi="Georgia"/>
          <w:sz w:val="20"/>
          <w:szCs w:val="20"/>
        </w:rPr>
        <w:t>ą, pats modernizavimo procesas yra paka</w:t>
      </w:r>
      <w:r w:rsidR="00557736" w:rsidRPr="002142B8">
        <w:rPr>
          <w:rFonts w:ascii="Georgia" w:hAnsi="Georgia"/>
          <w:sz w:val="20"/>
          <w:szCs w:val="20"/>
        </w:rPr>
        <w:t>nkamai įsibėgėjęs ir itin svarbu</w:t>
      </w:r>
      <w:r w:rsidR="001F784A" w:rsidRPr="002142B8">
        <w:rPr>
          <w:rFonts w:ascii="Georgia" w:hAnsi="Georgia"/>
          <w:sz w:val="20"/>
          <w:szCs w:val="20"/>
        </w:rPr>
        <w:t xml:space="preserve"> užtikrinti</w:t>
      </w:r>
      <w:r w:rsidR="00AC115A" w:rsidRPr="002142B8">
        <w:rPr>
          <w:rFonts w:ascii="Georgia" w:hAnsi="Georgia"/>
          <w:sz w:val="20"/>
          <w:szCs w:val="20"/>
        </w:rPr>
        <w:t xml:space="preserve"> </w:t>
      </w:r>
      <w:r w:rsidR="001F784A" w:rsidRPr="002142B8">
        <w:rPr>
          <w:rFonts w:ascii="Georgia" w:hAnsi="Georgia"/>
          <w:sz w:val="20"/>
          <w:szCs w:val="20"/>
        </w:rPr>
        <w:t>jo</w:t>
      </w:r>
      <w:r w:rsidR="00557736" w:rsidRPr="002142B8">
        <w:rPr>
          <w:rFonts w:ascii="Georgia" w:hAnsi="Georgia"/>
          <w:sz w:val="20"/>
          <w:szCs w:val="20"/>
        </w:rPr>
        <w:t xml:space="preserve"> tęstinumą</w:t>
      </w:r>
      <w:r w:rsidR="00AC115A" w:rsidRPr="002142B8">
        <w:rPr>
          <w:rFonts w:ascii="Georgia" w:hAnsi="Georgia"/>
          <w:sz w:val="20"/>
          <w:szCs w:val="20"/>
        </w:rPr>
        <w:t xml:space="preserve"> pereinant iš 2007-2013 m. į  2014-2020 m. </w:t>
      </w:r>
      <w:r w:rsidR="001F784A" w:rsidRPr="002142B8">
        <w:rPr>
          <w:rFonts w:ascii="Georgia" w:hAnsi="Georgia"/>
          <w:sz w:val="20"/>
          <w:szCs w:val="20"/>
        </w:rPr>
        <w:t>laikotarpį bei</w:t>
      </w:r>
      <w:r w:rsidR="00AC115A" w:rsidRPr="002142B8">
        <w:rPr>
          <w:rFonts w:ascii="Georgia" w:hAnsi="Georgia"/>
          <w:sz w:val="20"/>
          <w:szCs w:val="20"/>
        </w:rPr>
        <w:t xml:space="preserve"> sklandų</w:t>
      </w:r>
      <w:r w:rsidR="001F784A" w:rsidRPr="002142B8">
        <w:rPr>
          <w:rFonts w:ascii="Georgia" w:hAnsi="Georgia"/>
          <w:sz w:val="20"/>
          <w:szCs w:val="20"/>
        </w:rPr>
        <w:t xml:space="preserve"> ir nenutrūkstamą</w:t>
      </w:r>
      <w:r w:rsidR="00AC115A" w:rsidRPr="002142B8">
        <w:rPr>
          <w:rFonts w:ascii="Georgia" w:hAnsi="Georgia"/>
          <w:sz w:val="20"/>
          <w:szCs w:val="20"/>
        </w:rPr>
        <w:t xml:space="preserve"> suformuoto projektų srauto finansavimą</w:t>
      </w:r>
      <w:r w:rsidR="006B3DB6" w:rsidRPr="002142B8">
        <w:rPr>
          <w:rFonts w:ascii="Georgia" w:hAnsi="Georgia"/>
          <w:sz w:val="20"/>
          <w:szCs w:val="20"/>
        </w:rPr>
        <w:t>,</w:t>
      </w:r>
      <w:r w:rsidR="00AC115A" w:rsidRPr="002142B8">
        <w:rPr>
          <w:rFonts w:ascii="Georgia" w:hAnsi="Georgia"/>
          <w:sz w:val="20"/>
          <w:szCs w:val="20"/>
        </w:rPr>
        <w:t xml:space="preserve"> </w:t>
      </w:r>
      <w:r w:rsidR="00AC115A" w:rsidRPr="002142B8">
        <w:rPr>
          <w:rFonts w:ascii="Georgia" w:eastAsiaTheme="majorEastAsia" w:hAnsi="Georgia" w:cstheme="majorBidi"/>
          <w:b/>
          <w:bCs/>
          <w:color w:val="821A1A"/>
          <w:sz w:val="20"/>
          <w:szCs w:val="20"/>
          <w:lang w:eastAsia="en-US"/>
        </w:rPr>
        <w:t xml:space="preserve">rekomenduojame daugiabučių modernizavimo procesui taikyti </w:t>
      </w:r>
      <w:r w:rsidR="001F784A" w:rsidRPr="002142B8">
        <w:rPr>
          <w:rFonts w:ascii="Georgia" w:eastAsiaTheme="majorEastAsia" w:hAnsi="Georgia" w:cstheme="majorBidi"/>
          <w:b/>
          <w:bCs/>
          <w:color w:val="821A1A"/>
          <w:sz w:val="20"/>
          <w:szCs w:val="20"/>
        </w:rPr>
        <w:t xml:space="preserve">kiek įmanoma </w:t>
      </w:r>
      <w:r w:rsidR="00AC115A" w:rsidRPr="002142B8">
        <w:rPr>
          <w:rFonts w:ascii="Georgia" w:eastAsiaTheme="majorEastAsia" w:hAnsi="Georgia" w:cstheme="majorBidi"/>
          <w:b/>
          <w:bCs/>
          <w:color w:val="821A1A"/>
          <w:sz w:val="20"/>
          <w:szCs w:val="20"/>
          <w:lang w:eastAsia="en-US"/>
        </w:rPr>
        <w:t>lanks</w:t>
      </w:r>
      <w:r w:rsidR="001F784A" w:rsidRPr="002142B8">
        <w:rPr>
          <w:rFonts w:ascii="Georgia" w:eastAsiaTheme="majorEastAsia" w:hAnsi="Georgia" w:cstheme="majorBidi"/>
          <w:b/>
          <w:bCs/>
          <w:color w:val="821A1A"/>
          <w:sz w:val="20"/>
          <w:szCs w:val="20"/>
        </w:rPr>
        <w:t>tesnę</w:t>
      </w:r>
      <w:r w:rsidR="00AC115A" w:rsidRPr="002142B8">
        <w:rPr>
          <w:rFonts w:ascii="Georgia" w:eastAsiaTheme="majorEastAsia" w:hAnsi="Georgia" w:cstheme="majorBidi"/>
          <w:b/>
          <w:bCs/>
          <w:color w:val="821A1A"/>
          <w:sz w:val="20"/>
          <w:szCs w:val="20"/>
          <w:lang w:eastAsia="en-US"/>
        </w:rPr>
        <w:t xml:space="preserve"> įgyvendinimo </w:t>
      </w:r>
      <w:r w:rsidR="001F784A" w:rsidRPr="002142B8">
        <w:rPr>
          <w:rFonts w:ascii="Georgia" w:eastAsiaTheme="majorEastAsia" w:hAnsi="Georgia" w:cstheme="majorBidi"/>
          <w:b/>
          <w:bCs/>
          <w:color w:val="821A1A"/>
          <w:sz w:val="20"/>
          <w:szCs w:val="20"/>
        </w:rPr>
        <w:t>struktūrą</w:t>
      </w:r>
      <w:r w:rsidR="00AC115A" w:rsidRPr="002142B8">
        <w:rPr>
          <w:rFonts w:ascii="Georgia" w:eastAsiaTheme="majorEastAsia" w:hAnsi="Georgia" w:cstheme="majorBidi"/>
          <w:b/>
          <w:bCs/>
          <w:color w:val="821A1A"/>
          <w:sz w:val="20"/>
          <w:szCs w:val="20"/>
          <w:lang w:eastAsia="en-US"/>
        </w:rPr>
        <w:t xml:space="preserve">, tai yra derinti fondų fondo </w:t>
      </w:r>
      <w:r w:rsidR="001F784A" w:rsidRPr="002142B8">
        <w:rPr>
          <w:rFonts w:ascii="Georgia" w:eastAsiaTheme="majorEastAsia" w:hAnsi="Georgia" w:cstheme="majorBidi"/>
          <w:b/>
          <w:bCs/>
          <w:color w:val="821A1A"/>
          <w:sz w:val="20"/>
          <w:szCs w:val="20"/>
        </w:rPr>
        <w:t>ir</w:t>
      </w:r>
      <w:r w:rsidR="00AC115A" w:rsidRPr="002142B8">
        <w:rPr>
          <w:rFonts w:ascii="Georgia" w:eastAsiaTheme="majorEastAsia" w:hAnsi="Georgia" w:cstheme="majorBidi"/>
          <w:b/>
          <w:bCs/>
          <w:color w:val="821A1A"/>
          <w:sz w:val="20"/>
          <w:szCs w:val="20"/>
          <w:lang w:eastAsia="en-US"/>
        </w:rPr>
        <w:t xml:space="preserve"> finansinės priemonės struktūras.</w:t>
      </w:r>
      <w:r w:rsidR="006B3DB6" w:rsidRPr="002142B8">
        <w:rPr>
          <w:rFonts w:ascii="Georgia" w:eastAsiaTheme="majorEastAsia" w:hAnsi="Georgia" w:cstheme="majorBidi"/>
          <w:b/>
          <w:bCs/>
          <w:color w:val="821A1A"/>
          <w:sz w:val="20"/>
          <w:szCs w:val="20"/>
          <w:lang w:eastAsia="en-US"/>
        </w:rPr>
        <w:t xml:space="preserve"> </w:t>
      </w:r>
      <w:r w:rsidR="006B3DB6" w:rsidRPr="002142B8">
        <w:rPr>
          <w:rFonts w:ascii="Georgia" w:hAnsi="Georgia"/>
          <w:sz w:val="20"/>
          <w:szCs w:val="20"/>
        </w:rPr>
        <w:t>P</w:t>
      </w:r>
      <w:r w:rsidR="00AC115A" w:rsidRPr="002142B8">
        <w:rPr>
          <w:rFonts w:ascii="Georgia" w:hAnsi="Georgia"/>
          <w:sz w:val="20"/>
          <w:szCs w:val="20"/>
        </w:rPr>
        <w:t>agal poreikį</w:t>
      </w:r>
      <w:r w:rsidR="006B3DB6" w:rsidRPr="002142B8">
        <w:rPr>
          <w:rFonts w:ascii="Georgia" w:hAnsi="Georgia"/>
          <w:sz w:val="20"/>
          <w:szCs w:val="20"/>
        </w:rPr>
        <w:t xml:space="preserve"> vadovaujanti institucija ir Aplinkos ministerija daugiabučių namų </w:t>
      </w:r>
      <w:r w:rsidR="001F784A" w:rsidRPr="002142B8">
        <w:rPr>
          <w:rFonts w:ascii="Georgia" w:hAnsi="Georgia"/>
          <w:sz w:val="20"/>
          <w:szCs w:val="20"/>
        </w:rPr>
        <w:t>modernizavimo priemonių įgyvendinimui</w:t>
      </w:r>
      <w:r w:rsidR="00AC115A" w:rsidRPr="002142B8">
        <w:rPr>
          <w:rFonts w:ascii="Georgia" w:hAnsi="Georgia"/>
          <w:sz w:val="20"/>
          <w:szCs w:val="20"/>
        </w:rPr>
        <w:t xml:space="preserve"> nacionaliniame lygmenyje  gali </w:t>
      </w:r>
      <w:r w:rsidR="006B3DB6" w:rsidRPr="002142B8">
        <w:rPr>
          <w:rFonts w:ascii="Georgia" w:hAnsi="Georgia"/>
          <w:sz w:val="20"/>
          <w:szCs w:val="20"/>
        </w:rPr>
        <w:t xml:space="preserve">įsteigti </w:t>
      </w:r>
      <w:r w:rsidR="00AC115A" w:rsidRPr="002142B8">
        <w:rPr>
          <w:rFonts w:ascii="Georgia" w:hAnsi="Georgia"/>
          <w:sz w:val="20"/>
          <w:szCs w:val="20"/>
        </w:rPr>
        <w:t>vieną ar keli</w:t>
      </w:r>
      <w:r w:rsidR="006B3DB6" w:rsidRPr="002142B8">
        <w:rPr>
          <w:rFonts w:ascii="Georgia" w:hAnsi="Georgia"/>
          <w:sz w:val="20"/>
          <w:szCs w:val="20"/>
        </w:rPr>
        <w:t>a</w:t>
      </w:r>
      <w:r w:rsidR="00AC115A" w:rsidRPr="002142B8">
        <w:rPr>
          <w:rFonts w:ascii="Georgia" w:hAnsi="Georgia"/>
          <w:sz w:val="20"/>
          <w:szCs w:val="20"/>
        </w:rPr>
        <w:t>s finansines priemones</w:t>
      </w:r>
      <w:r w:rsidR="007E64DB" w:rsidRPr="002142B8">
        <w:rPr>
          <w:rFonts w:ascii="Georgia" w:hAnsi="Georgia"/>
          <w:sz w:val="20"/>
          <w:szCs w:val="20"/>
        </w:rPr>
        <w:t xml:space="preserve"> pasitelkti vieną ar kelis fondų valdytojus.  </w:t>
      </w:r>
    </w:p>
    <w:p w14:paraId="5F54EEA2" w14:textId="35500AEC" w:rsidR="00AC115A" w:rsidRPr="002142B8" w:rsidRDefault="006B3DB6" w:rsidP="00AC115A">
      <w:pPr>
        <w:pStyle w:val="prastasis1"/>
        <w:spacing w:line="276" w:lineRule="auto"/>
        <w:jc w:val="both"/>
        <w:rPr>
          <w:rFonts w:ascii="Georgia" w:hAnsi="Georgia"/>
          <w:sz w:val="20"/>
          <w:szCs w:val="20"/>
        </w:rPr>
      </w:pPr>
      <w:r w:rsidRPr="002142B8">
        <w:rPr>
          <w:rFonts w:ascii="Georgia" w:hAnsi="Georgia"/>
          <w:sz w:val="20"/>
          <w:szCs w:val="20"/>
        </w:rPr>
        <w:t>Atkreiptinas dėmesys, kad</w:t>
      </w:r>
      <w:r w:rsidR="001F784A" w:rsidRPr="002142B8">
        <w:rPr>
          <w:rFonts w:ascii="Georgia" w:hAnsi="Georgia"/>
          <w:sz w:val="20"/>
          <w:szCs w:val="20"/>
        </w:rPr>
        <w:t xml:space="preserve"> toliau pavaizduotoje</w:t>
      </w:r>
      <w:r w:rsidRPr="002142B8">
        <w:rPr>
          <w:rFonts w:ascii="Georgia" w:hAnsi="Georgia"/>
          <w:sz w:val="20"/>
          <w:szCs w:val="20"/>
        </w:rPr>
        <w:t xml:space="preserve"> III-ojoje</w:t>
      </w:r>
      <w:r w:rsidR="00ED4ADE" w:rsidRPr="002142B8">
        <w:rPr>
          <w:rFonts w:ascii="Georgia" w:hAnsi="Georgia"/>
          <w:sz w:val="20"/>
          <w:szCs w:val="20"/>
        </w:rPr>
        <w:t xml:space="preserve"> struktūroje finansini</w:t>
      </w:r>
      <w:r w:rsidRPr="002142B8">
        <w:rPr>
          <w:rFonts w:ascii="Georgia" w:hAnsi="Georgia"/>
          <w:sz w:val="20"/>
          <w:szCs w:val="20"/>
        </w:rPr>
        <w:t>o</w:t>
      </w:r>
      <w:r w:rsidR="00ED4ADE" w:rsidRPr="002142B8">
        <w:rPr>
          <w:rFonts w:ascii="Georgia" w:hAnsi="Georgia"/>
          <w:sz w:val="20"/>
          <w:szCs w:val="20"/>
        </w:rPr>
        <w:t xml:space="preserve"> tarpinink</w:t>
      </w:r>
      <w:r w:rsidRPr="002142B8">
        <w:rPr>
          <w:rFonts w:ascii="Georgia" w:hAnsi="Georgia"/>
          <w:sz w:val="20"/>
          <w:szCs w:val="20"/>
        </w:rPr>
        <w:t>o dalyvavimas</w:t>
      </w:r>
      <w:r w:rsidR="00ED4ADE" w:rsidRPr="002142B8">
        <w:rPr>
          <w:rFonts w:ascii="Georgia" w:hAnsi="Georgia"/>
          <w:sz w:val="20"/>
          <w:szCs w:val="20"/>
        </w:rPr>
        <w:t xml:space="preserve"> nėra būtinas. </w:t>
      </w:r>
      <w:r w:rsidR="002840CD" w:rsidRPr="002142B8">
        <w:rPr>
          <w:rFonts w:ascii="Georgia" w:hAnsi="Georgia"/>
          <w:sz w:val="20"/>
          <w:szCs w:val="20"/>
        </w:rPr>
        <w:t xml:space="preserve">Finansinio tarpininko poreikis priklausys nuo pasirinkto fondo </w:t>
      </w:r>
      <w:r w:rsidR="0054716E" w:rsidRPr="002142B8">
        <w:rPr>
          <w:rFonts w:ascii="Georgia" w:hAnsi="Georgia"/>
          <w:sz w:val="20"/>
          <w:szCs w:val="20"/>
        </w:rPr>
        <w:t xml:space="preserve">įgyvendinimo modelio ir fondo </w:t>
      </w:r>
      <w:r w:rsidR="002840CD" w:rsidRPr="002142B8">
        <w:rPr>
          <w:rFonts w:ascii="Georgia" w:hAnsi="Georgia"/>
          <w:sz w:val="20"/>
          <w:szCs w:val="20"/>
        </w:rPr>
        <w:t>valdytojo. Jei fondo valdytojas turi pakankamai administracinių ir žmogiškųjų resursų, užtikrina sklandų galutinių naudos gavėjų aptarnavimą visoje šalies teritorijoje (per savo padalinių tinklą ar elektroninio ryšio priemonėmis)</w:t>
      </w:r>
      <w:r w:rsidR="0054716E" w:rsidRPr="002142B8">
        <w:rPr>
          <w:rFonts w:ascii="Georgia" w:hAnsi="Georgia"/>
          <w:sz w:val="20"/>
          <w:szCs w:val="20"/>
        </w:rPr>
        <w:t xml:space="preserve">, </w:t>
      </w:r>
      <w:r w:rsidR="002840CD" w:rsidRPr="002142B8">
        <w:rPr>
          <w:rFonts w:ascii="Georgia" w:hAnsi="Georgia"/>
          <w:sz w:val="20"/>
          <w:szCs w:val="20"/>
        </w:rPr>
        <w:t xml:space="preserve">gali būti </w:t>
      </w:r>
      <w:r w:rsidR="008C6C25" w:rsidRPr="002142B8">
        <w:rPr>
          <w:rFonts w:ascii="Georgia" w:hAnsi="Georgia"/>
          <w:sz w:val="20"/>
          <w:szCs w:val="20"/>
        </w:rPr>
        <w:t>nuspręsta pasirinkti</w:t>
      </w:r>
      <w:r w:rsidR="002840CD" w:rsidRPr="002142B8">
        <w:rPr>
          <w:rFonts w:ascii="Georgia" w:hAnsi="Georgia"/>
          <w:sz w:val="20"/>
          <w:szCs w:val="20"/>
        </w:rPr>
        <w:t xml:space="preserve"> finansinės </w:t>
      </w:r>
      <w:r w:rsidR="0054716E" w:rsidRPr="002142B8">
        <w:rPr>
          <w:rFonts w:ascii="Georgia" w:hAnsi="Georgia"/>
          <w:sz w:val="20"/>
          <w:szCs w:val="20"/>
        </w:rPr>
        <w:t>priemonės įgyvendinimo struktūrą</w:t>
      </w:r>
      <w:r w:rsidR="002840CD" w:rsidRPr="002142B8">
        <w:rPr>
          <w:rFonts w:ascii="Georgia" w:hAnsi="Georgia"/>
          <w:sz w:val="20"/>
          <w:szCs w:val="20"/>
        </w:rPr>
        <w:t xml:space="preserve"> be finansinių tarpininkų.</w:t>
      </w:r>
      <w:r w:rsidRPr="002142B8">
        <w:rPr>
          <w:rFonts w:ascii="Georgia" w:hAnsi="Georgia"/>
          <w:sz w:val="20"/>
          <w:szCs w:val="20"/>
        </w:rPr>
        <w:t xml:space="preserve"> Ši aplinkybė ypač svarbi užtikr</w:t>
      </w:r>
      <w:r w:rsidR="0054716E" w:rsidRPr="002142B8">
        <w:rPr>
          <w:rFonts w:ascii="Georgia" w:hAnsi="Georgia"/>
          <w:sz w:val="20"/>
          <w:szCs w:val="20"/>
        </w:rPr>
        <w:t>in</w:t>
      </w:r>
      <w:r w:rsidRPr="002142B8">
        <w:rPr>
          <w:rFonts w:ascii="Georgia" w:hAnsi="Georgia"/>
          <w:sz w:val="20"/>
          <w:szCs w:val="20"/>
        </w:rPr>
        <w:t>ant sklandų ir nenutrūkstamą suformuoto projekto srauto finansavimą, kadangi</w:t>
      </w:r>
      <w:r w:rsidR="007E64DB" w:rsidRPr="002142B8">
        <w:rPr>
          <w:rFonts w:ascii="Georgia" w:hAnsi="Georgia"/>
          <w:sz w:val="20"/>
          <w:szCs w:val="20"/>
        </w:rPr>
        <w:t xml:space="preserve"> kaip rodo sukaupta patirtis,</w:t>
      </w:r>
      <w:r w:rsidR="007E64DB" w:rsidRPr="002142B8">
        <w:rPr>
          <w:rFonts w:ascii="Georgia" w:hAnsi="Georgia"/>
          <w:sz w:val="20"/>
          <w:szCs w:val="20"/>
          <w:lang w:val="en-US"/>
        </w:rPr>
        <w:t xml:space="preserve"> </w:t>
      </w:r>
      <w:r w:rsidRPr="002142B8">
        <w:rPr>
          <w:rFonts w:ascii="Georgia" w:hAnsi="Georgia"/>
          <w:sz w:val="20"/>
          <w:szCs w:val="20"/>
        </w:rPr>
        <w:t xml:space="preserve"> finansinių tarpininkų atrinkimas yra pakanakami ilgą laiką užtrukantis procesas.</w:t>
      </w:r>
    </w:p>
    <w:p w14:paraId="3B997301" w14:textId="40F98CA5" w:rsidR="00AA7568" w:rsidRPr="002142B8" w:rsidRDefault="00CF62D5" w:rsidP="00AA7568">
      <w:pPr>
        <w:pStyle w:val="Antrat"/>
        <w:rPr>
          <w:szCs w:val="20"/>
          <w:lang w:val="lt-LT"/>
        </w:rPr>
      </w:pPr>
      <w:bookmarkStart w:id="337" w:name="_Toc507939286"/>
      <w:r w:rsidRPr="002142B8">
        <w:rPr>
          <w:rFonts w:eastAsia="Times New Roman"/>
          <w:noProof/>
          <w:szCs w:val="20"/>
          <w:lang w:val="lt-LT" w:eastAsia="lt-LT"/>
        </w:rPr>
        <w:lastRenderedPageBreak/>
        <mc:AlternateContent>
          <mc:Choice Requires="wps">
            <w:drawing>
              <wp:anchor distT="0" distB="0" distL="114300" distR="114300" simplePos="0" relativeHeight="251698176" behindDoc="0" locked="0" layoutInCell="1" allowOverlap="1" wp14:anchorId="3E290320" wp14:editId="6E019B9F">
                <wp:simplePos x="0" y="0"/>
                <wp:positionH relativeFrom="column">
                  <wp:posOffset>3905250</wp:posOffset>
                </wp:positionH>
                <wp:positionV relativeFrom="paragraph">
                  <wp:posOffset>383540</wp:posOffset>
                </wp:positionV>
                <wp:extent cx="1802130" cy="3004185"/>
                <wp:effectExtent l="0" t="0" r="26670" b="24765"/>
                <wp:wrapThrough wrapText="bothSides">
                  <wp:wrapPolygon edited="0">
                    <wp:start x="0" y="0"/>
                    <wp:lineTo x="0" y="21641"/>
                    <wp:lineTo x="21691" y="21641"/>
                    <wp:lineTo x="21691" y="0"/>
                    <wp:lineTo x="0" y="0"/>
                  </wp:wrapPolygon>
                </wp:wrapThrough>
                <wp:docPr id="2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3004185"/>
                        </a:xfrm>
                        <a:prstGeom prst="rect">
                          <a:avLst/>
                        </a:prstGeom>
                        <a:solidFill>
                          <a:srgbClr val="FFFFFF">
                            <a:alpha val="0"/>
                          </a:srgbClr>
                        </a:solidFill>
                        <a:ln w="19050">
                          <a:solidFill>
                            <a:srgbClr val="E36C0A"/>
                          </a:solidFill>
                          <a:miter lim="800000"/>
                          <a:headEnd/>
                          <a:tailEnd/>
                        </a:ln>
                      </wps:spPr>
                      <wps:txbx>
                        <w:txbxContent>
                          <w:p w14:paraId="28EDE70D" w14:textId="77777777" w:rsidR="00133798" w:rsidRDefault="00133798" w:rsidP="00CF62D5">
                            <w:pPr>
                              <w:rPr>
                                <w:rFonts w:eastAsia="Times New Roman"/>
                              </w:rPr>
                            </w:pPr>
                          </w:p>
                        </w:txbxContent>
                      </wps:txbx>
                      <wps:bodyPr rot="0" vert="horz" wrap="square" lIns="91440" tIns="45720" rIns="91440" bIns="45720" anchor="t" anchorCtr="0" upright="1">
                        <a:noAutofit/>
                      </wps:bodyPr>
                    </wps:wsp>
                  </a:graphicData>
                </a:graphic>
              </wp:anchor>
            </w:drawing>
          </mc:Choice>
          <mc:Fallback>
            <w:pict>
              <v:rect id="Rectangle 9" o:spid="_x0000_s1091" style="position:absolute;margin-left:307.5pt;margin-top:30.2pt;width:141.9pt;height:236.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" strokecolor="#e36c0a" strokeweight="1.5pt">
                <v:fill opacity="0"/>
                <v:textbox>
                  <w:txbxContent>
                    <w:p w14:paraId="28EDE70D" w14:textId="77777777" w:rsidR="00133798" w:rsidRDefault="00133798" w:rsidP="00CF62D5">
                      <w:pPr>
                        <w:rPr>
                          <w:rFonts w:eastAsia="Times New Roman"/>
                        </w:rPr>
                      </w:pPr>
                    </w:p>
                  </w:txbxContent>
                </v:textbox>
                <w10:wrap type="through"/>
              </v:rect>
            </w:pict>
          </mc:Fallback>
        </mc:AlternateContent>
      </w:r>
      <w:r w:rsidRPr="002142B8">
        <w:rPr>
          <w:rFonts w:eastAsia="Times New Roman"/>
          <w:noProof/>
          <w:szCs w:val="20"/>
          <w:lang w:val="lt-LT" w:eastAsia="lt-LT"/>
        </w:rPr>
        <mc:AlternateContent>
          <mc:Choice Requires="wps">
            <w:drawing>
              <wp:anchor distT="0" distB="0" distL="114300" distR="114300" simplePos="0" relativeHeight="251696128" behindDoc="0" locked="0" layoutInCell="1" allowOverlap="1" wp14:anchorId="02967E9C" wp14:editId="4EBC0C1C">
                <wp:simplePos x="0" y="0"/>
                <wp:positionH relativeFrom="column">
                  <wp:posOffset>4330700</wp:posOffset>
                </wp:positionH>
                <wp:positionV relativeFrom="paragraph">
                  <wp:posOffset>2186940</wp:posOffset>
                </wp:positionV>
                <wp:extent cx="971550" cy="476250"/>
                <wp:effectExtent l="0" t="0" r="19050" b="19050"/>
                <wp:wrapTopAndBottom/>
                <wp:docPr id="182" name="Straight Connector 182"/>
                <wp:cNvGraphicFramePr/>
                <a:graphic xmlns:a="http://schemas.openxmlformats.org/drawingml/2006/main">
                  <a:graphicData uri="http://schemas.microsoft.com/office/word/2010/wordprocessingShape">
                    <wps:wsp>
                      <wps:cNvCnPr/>
                      <wps:spPr>
                        <a:xfrm flipH="1" flipV="1">
                          <a:off x="0" y="0"/>
                          <a:ext cx="971550" cy="4762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5DE1CE" id="Straight Connector 182"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72.2pt" to="417.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" strokecolor="#f79646 [3209]" strokeweight="1.5pt">
                <w10:wrap type="topAndBottom"/>
              </v:line>
            </w:pict>
          </mc:Fallback>
        </mc:AlternateContent>
      </w:r>
      <w:r w:rsidRPr="002142B8">
        <w:rPr>
          <w:rFonts w:eastAsia="Times New Roman"/>
          <w:noProof/>
          <w:szCs w:val="20"/>
          <w:lang w:val="lt-LT" w:eastAsia="lt-LT"/>
        </w:rPr>
        <mc:AlternateContent>
          <mc:Choice Requires="wps">
            <w:drawing>
              <wp:anchor distT="0" distB="0" distL="114300" distR="114300" simplePos="0" relativeHeight="251694080" behindDoc="0" locked="0" layoutInCell="1" allowOverlap="1" wp14:anchorId="3E96DDEB" wp14:editId="1F297700">
                <wp:simplePos x="0" y="0"/>
                <wp:positionH relativeFrom="column">
                  <wp:posOffset>4381500</wp:posOffset>
                </wp:positionH>
                <wp:positionV relativeFrom="paragraph">
                  <wp:posOffset>2174240</wp:posOffset>
                </wp:positionV>
                <wp:extent cx="908050" cy="488950"/>
                <wp:effectExtent l="0" t="0" r="25400" b="25400"/>
                <wp:wrapTopAndBottom/>
                <wp:docPr id="181" name="Straight Connector 181"/>
                <wp:cNvGraphicFramePr/>
                <a:graphic xmlns:a="http://schemas.openxmlformats.org/drawingml/2006/main">
                  <a:graphicData uri="http://schemas.microsoft.com/office/word/2010/wordprocessingShape">
                    <wps:wsp>
                      <wps:cNvCnPr/>
                      <wps:spPr>
                        <a:xfrm flipH="1">
                          <a:off x="0" y="0"/>
                          <a:ext cx="908050" cy="4889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BDC0E9" id="Straight Connector 18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1.2pt" to="416.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" strokecolor="#f79646 [3209]" strokeweight="1.5pt">
                <w10:wrap type="topAndBottom"/>
              </v:lin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18304" behindDoc="0" locked="0" layoutInCell="1" allowOverlap="1" wp14:anchorId="55DE3D4D" wp14:editId="2F61285D">
                <wp:simplePos x="0" y="0"/>
                <wp:positionH relativeFrom="column">
                  <wp:posOffset>0</wp:posOffset>
                </wp:positionH>
                <wp:positionV relativeFrom="paragraph">
                  <wp:posOffset>375202</wp:posOffset>
                </wp:positionV>
                <wp:extent cx="1802711" cy="3005658"/>
                <wp:effectExtent l="0" t="0" r="26670" b="23495"/>
                <wp:wrapTopAndBottom/>
                <wp:docPr id="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11" cy="300565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85A5EB" id="Rectangle 8" o:spid="_x0000_s1026" style="position:absolute;margin-left:0;margin-top:29.55pt;width:141.95pt;height:236.6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" strokecolor="#e36c0a" strokeweight="1.5pt">
                <w10:wrap type="topAndBottom"/>
              </v: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20352" behindDoc="0" locked="0" layoutInCell="1" allowOverlap="1" wp14:anchorId="142F6E81" wp14:editId="3D564436">
                <wp:simplePos x="0" y="0"/>
                <wp:positionH relativeFrom="column">
                  <wp:posOffset>246380</wp:posOffset>
                </wp:positionH>
                <wp:positionV relativeFrom="paragraph">
                  <wp:posOffset>557530</wp:posOffset>
                </wp:positionV>
                <wp:extent cx="1423670" cy="240665"/>
                <wp:effectExtent l="0" t="0" r="24130" b="26035"/>
                <wp:wrapTopAndBottom/>
                <wp:docPr id="9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665"/>
                        </a:xfrm>
                        <a:prstGeom prst="roundRect">
                          <a:avLst>
                            <a:gd name="adj" fmla="val 16667"/>
                          </a:avLst>
                        </a:prstGeom>
                        <a:solidFill>
                          <a:srgbClr val="E36C0A"/>
                        </a:solidFill>
                        <a:ln w="9525">
                          <a:solidFill>
                            <a:srgbClr val="974706"/>
                          </a:solidFill>
                          <a:round/>
                          <a:headEnd/>
                          <a:tailEnd/>
                        </a:ln>
                      </wps:spPr>
                      <wps:txbx>
                        <w:txbxContent>
                          <w:p w14:paraId="228D0BE3" w14:textId="77777777" w:rsidR="00133798" w:rsidRDefault="00133798" w:rsidP="00AC115A">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AutoShape 11" o:spid="_x0000_s1092" style="position:absolute;margin-left:19.4pt;margin-top:43.9pt;width:112.1pt;height:18.95pt;z-index:2516203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" fillcolor="#e36c0a" strokecolor="#974706">
                <v:textbox>
                  <w:txbxContent>
                    <w:p w14:paraId="228D0BE3" w14:textId="77777777" w:rsidR="00133798" w:rsidRDefault="00133798" w:rsidP="00AC115A">
                      <w:pPr>
                        <w:spacing w:after="0" w:line="240" w:lineRule="auto"/>
                        <w:jc w:val="center"/>
                        <w:rPr>
                          <w:b/>
                          <w:color w:val="FFFFFF"/>
                          <w:sz w:val="16"/>
                          <w:szCs w:val="16"/>
                        </w:rPr>
                      </w:pPr>
                      <w:r>
                        <w:rPr>
                          <w:b/>
                          <w:color w:val="FFFFFF"/>
                          <w:sz w:val="16"/>
                          <w:szCs w:val="16"/>
                        </w:rPr>
                        <w:t>Vadovaujančioji institucija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22400" behindDoc="0" locked="0" layoutInCell="1" allowOverlap="1" wp14:anchorId="26CA7C7E" wp14:editId="3183AFF3">
                <wp:simplePos x="0" y="0"/>
                <wp:positionH relativeFrom="column">
                  <wp:posOffset>214630</wp:posOffset>
                </wp:positionH>
                <wp:positionV relativeFrom="paragraph">
                  <wp:posOffset>2800350</wp:posOffset>
                </wp:positionV>
                <wp:extent cx="1468755" cy="465455"/>
                <wp:effectExtent l="0" t="0" r="17145" b="10795"/>
                <wp:wrapTopAndBottom/>
                <wp:docPr id="9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65455"/>
                        </a:xfrm>
                        <a:prstGeom prst="roundRect">
                          <a:avLst>
                            <a:gd name="adj" fmla="val 16667"/>
                          </a:avLst>
                        </a:prstGeom>
                        <a:solidFill>
                          <a:srgbClr val="E36C0A"/>
                        </a:solidFill>
                        <a:ln w="9525">
                          <a:solidFill>
                            <a:srgbClr val="974706"/>
                          </a:solidFill>
                          <a:round/>
                          <a:headEnd/>
                          <a:tailEnd/>
                        </a:ln>
                      </wps:spPr>
                      <wps:txbx>
                        <w:txbxContent>
                          <w:p w14:paraId="180DC913" w14:textId="55F3F8E2" w:rsidR="00133798" w:rsidRDefault="00133798" w:rsidP="00AC115A">
                            <w:pPr>
                              <w:spacing w:after="0" w:line="240" w:lineRule="auto"/>
                              <w:jc w:val="center"/>
                              <w:rPr>
                                <w:b/>
                                <w:color w:val="FFFFFF"/>
                                <w:sz w:val="16"/>
                                <w:szCs w:val="16"/>
                              </w:rPr>
                            </w:pPr>
                            <w:r>
                              <w:rPr>
                                <w:b/>
                                <w:color w:val="FFFFFF"/>
                                <w:sz w:val="16"/>
                                <w:szCs w:val="16"/>
                              </w:rPr>
                              <w:t>Galutiniai naudos</w:t>
                            </w:r>
                          </w:p>
                          <w:p w14:paraId="63E7ADED" w14:textId="77777777" w:rsidR="00133798" w:rsidRDefault="00133798" w:rsidP="00AC115A">
                            <w:pPr>
                              <w:spacing w:after="0" w:line="240" w:lineRule="auto"/>
                              <w:jc w:val="center"/>
                              <w:rPr>
                                <w:b/>
                                <w:color w:val="FFFFFF"/>
                                <w:sz w:val="16"/>
                                <w:szCs w:val="16"/>
                              </w:rPr>
                            </w:pPr>
                            <w:r>
                              <w:rPr>
                                <w:b/>
                                <w:color w:val="FFFFFF"/>
                                <w:sz w:val="16"/>
                                <w:szCs w:val="16"/>
                              </w:rPr>
                              <w:t xml:space="preserve"> gavėjai</w:t>
                            </w:r>
                          </w:p>
                          <w:p w14:paraId="4A0836A3" w14:textId="77777777" w:rsidR="00133798" w:rsidRDefault="00133798" w:rsidP="00AC115A">
                            <w:pPr>
                              <w:spacing w:after="0" w:line="240" w:lineRule="auto"/>
                              <w:jc w:val="center"/>
                              <w:rPr>
                                <w:b/>
                                <w:color w:val="FFFFFF"/>
                                <w:sz w:val="16"/>
                                <w:szCs w:val="16"/>
                              </w:rPr>
                            </w:pPr>
                          </w:p>
                        </w:txbxContent>
                      </wps:txbx>
                      <wps:bodyPr rot="0" vert="horz" wrap="square" lIns="91440" tIns="45720" rIns="91440" bIns="45720" anchor="t" anchorCtr="0" upright="1">
                        <a:noAutofit/>
                      </wps:bodyPr>
                    </wps:wsp>
                  </a:graphicData>
                </a:graphic>
              </wp:anchor>
            </w:drawing>
          </mc:Choice>
          <mc:Fallback>
            <w:pict>
              <v:roundrect id="AutoShape 14" o:spid="_x0000_s1093" style="position:absolute;margin-left:16.9pt;margin-top:220.5pt;width:115.65pt;height:36.65pt;z-index:2516224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" fillcolor="#e36c0a" strokecolor="#974706">
                <v:textbox>
                  <w:txbxContent>
                    <w:p w14:paraId="180DC913" w14:textId="55F3F8E2" w:rsidR="00133798" w:rsidRDefault="00133798" w:rsidP="00AC115A">
                      <w:pPr>
                        <w:spacing w:after="0" w:line="240" w:lineRule="auto"/>
                        <w:jc w:val="center"/>
                        <w:rPr>
                          <w:b/>
                          <w:color w:val="FFFFFF"/>
                          <w:sz w:val="16"/>
                          <w:szCs w:val="16"/>
                        </w:rPr>
                      </w:pPr>
                      <w:r>
                        <w:rPr>
                          <w:b/>
                          <w:color w:val="FFFFFF"/>
                          <w:sz w:val="16"/>
                          <w:szCs w:val="16"/>
                        </w:rPr>
                        <w:t>Galutiniai naudos</w:t>
                      </w:r>
                    </w:p>
                    <w:p w14:paraId="63E7ADED" w14:textId="77777777" w:rsidR="00133798" w:rsidRDefault="00133798" w:rsidP="00AC115A">
                      <w:pPr>
                        <w:spacing w:after="0" w:line="240" w:lineRule="auto"/>
                        <w:jc w:val="center"/>
                        <w:rPr>
                          <w:b/>
                          <w:color w:val="FFFFFF"/>
                          <w:sz w:val="16"/>
                          <w:szCs w:val="16"/>
                        </w:rPr>
                      </w:pPr>
                      <w:r>
                        <w:rPr>
                          <w:b/>
                          <w:color w:val="FFFFFF"/>
                          <w:sz w:val="16"/>
                          <w:szCs w:val="16"/>
                        </w:rPr>
                        <w:t xml:space="preserve"> gavėjai</w:t>
                      </w:r>
                    </w:p>
                    <w:p w14:paraId="4A0836A3" w14:textId="77777777" w:rsidR="00133798" w:rsidRDefault="00133798" w:rsidP="00AC115A">
                      <w:pPr>
                        <w:spacing w:after="0" w:line="240" w:lineRule="auto"/>
                        <w:jc w:val="center"/>
                        <w:rPr>
                          <w:b/>
                          <w:color w:val="FFFFFF"/>
                          <w:sz w:val="16"/>
                          <w:szCs w:val="16"/>
                        </w:rPr>
                      </w:pP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24448" behindDoc="0" locked="0" layoutInCell="1" allowOverlap="1" wp14:anchorId="220BA2AD" wp14:editId="2401B912">
                <wp:simplePos x="0" y="0"/>
                <wp:positionH relativeFrom="column">
                  <wp:posOffset>246380</wp:posOffset>
                </wp:positionH>
                <wp:positionV relativeFrom="paragraph">
                  <wp:posOffset>1877695</wp:posOffset>
                </wp:positionV>
                <wp:extent cx="1423670" cy="421005"/>
                <wp:effectExtent l="0" t="0" r="24130" b="17145"/>
                <wp:wrapTopAndBottom/>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21005"/>
                        </a:xfrm>
                        <a:prstGeom prst="roundRect">
                          <a:avLst>
                            <a:gd name="adj" fmla="val 16667"/>
                          </a:avLst>
                        </a:prstGeom>
                        <a:solidFill>
                          <a:srgbClr val="E36C0A"/>
                        </a:solidFill>
                        <a:ln w="9525">
                          <a:solidFill>
                            <a:srgbClr val="974706"/>
                          </a:solidFill>
                          <a:round/>
                          <a:headEnd/>
                          <a:tailEnd/>
                        </a:ln>
                      </wps:spPr>
                      <wps:txbx>
                        <w:txbxContent>
                          <w:p w14:paraId="3824E761" w14:textId="77777777" w:rsidR="00133798" w:rsidRDefault="00133798" w:rsidP="00AC115A">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a:graphicData>
                </a:graphic>
              </wp:anchor>
            </w:drawing>
          </mc:Choice>
          <mc:Fallback>
            <w:pict>
              <v:roundrect id="AutoShape 16" o:spid="_x0000_s1094" style="position:absolute;margin-left:19.4pt;margin-top:147.85pt;width:112.1pt;height:33.15pt;z-index:251624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" fillcolor="#e36c0a" strokecolor="#974706">
                <v:textbox>
                  <w:txbxContent>
                    <w:p w14:paraId="3824E761" w14:textId="77777777" w:rsidR="00133798" w:rsidRDefault="00133798" w:rsidP="00AC115A">
                      <w:pPr>
                        <w:spacing w:after="0" w:line="240" w:lineRule="auto"/>
                        <w:jc w:val="center"/>
                        <w:rPr>
                          <w:b/>
                          <w:color w:val="FFFFFF"/>
                          <w:sz w:val="16"/>
                          <w:szCs w:val="16"/>
                        </w:rPr>
                      </w:pPr>
                      <w:r>
                        <w:rPr>
                          <w:b/>
                          <w:color w:val="FFFFFF"/>
                          <w:sz w:val="16"/>
                          <w:szCs w:val="16"/>
                        </w:rPr>
                        <w:t>Finansinės priemonės valdytojas</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26496" behindDoc="0" locked="0" layoutInCell="1" allowOverlap="1" wp14:anchorId="645B4B49" wp14:editId="7125BF6D">
                <wp:simplePos x="0" y="0"/>
                <wp:positionH relativeFrom="column">
                  <wp:posOffset>381635</wp:posOffset>
                </wp:positionH>
                <wp:positionV relativeFrom="paragraph">
                  <wp:posOffset>1019175</wp:posOffset>
                </wp:positionV>
                <wp:extent cx="1139825" cy="643890"/>
                <wp:effectExtent l="0" t="0" r="22225" b="22860"/>
                <wp:wrapTopAndBottom/>
                <wp:docPr id="9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3890"/>
                        </a:xfrm>
                        <a:prstGeom prst="ellipse">
                          <a:avLst/>
                        </a:prstGeom>
                        <a:solidFill>
                          <a:srgbClr val="FFC000"/>
                        </a:solidFill>
                        <a:ln w="9525">
                          <a:solidFill>
                            <a:srgbClr val="974706"/>
                          </a:solidFill>
                          <a:round/>
                          <a:headEnd/>
                          <a:tailEnd/>
                        </a:ln>
                      </wps:spPr>
                      <wps:txbx>
                        <w:txbxContent>
                          <w:p w14:paraId="7ACD37BF" w14:textId="77777777" w:rsidR="00133798" w:rsidRPr="00873719" w:rsidRDefault="00133798" w:rsidP="00AC115A">
                            <w:pPr>
                              <w:jc w:val="center"/>
                              <w:rPr>
                                <w:b/>
                                <w:color w:val="FFFFFF"/>
                                <w:lang w:val="lt-LT"/>
                              </w:rPr>
                            </w:pPr>
                            <w:r>
                              <w:rPr>
                                <w:b/>
                                <w:color w:val="FFFFFF"/>
                                <w:sz w:val="18"/>
                                <w:lang w:val="lt-LT"/>
                              </w:rPr>
                              <w:t>Finansinė priemonė</w:t>
                            </w:r>
                          </w:p>
                          <w:p w14:paraId="2DE08D7A" w14:textId="77777777" w:rsidR="00133798" w:rsidRPr="00873719" w:rsidRDefault="00133798" w:rsidP="00AC115A">
                            <w:pPr>
                              <w:jc w:val="center"/>
                              <w:rPr>
                                <w:b/>
                                <w:color w:val="FFFFFF"/>
                                <w:lang w:val="lt-LT"/>
                              </w:rPr>
                            </w:pPr>
                          </w:p>
                        </w:txbxContent>
                      </wps:txbx>
                      <wps:bodyPr rot="0" vert="horz" wrap="square" lIns="91440" tIns="45720" rIns="91440" bIns="45720" anchor="t" anchorCtr="0" upright="1">
                        <a:noAutofit/>
                      </wps:bodyPr>
                    </wps:wsp>
                  </a:graphicData>
                </a:graphic>
              </wp:anchor>
            </w:drawing>
          </mc:Choice>
          <mc:Fallback>
            <w:pict>
              <v:oval id="Oval 20" o:spid="_x0000_s1095" style="position:absolute;margin-left:30.05pt;margin-top:80.25pt;width:89.75pt;height:50.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" fillcolor="#ffc000" strokecolor="#974706">
                <v:textbox>
                  <w:txbxContent>
                    <w:p w14:paraId="7ACD37BF" w14:textId="77777777" w:rsidR="00133798" w:rsidRPr="00873719" w:rsidRDefault="00133798" w:rsidP="00AC115A">
                      <w:pPr>
                        <w:jc w:val="center"/>
                        <w:rPr>
                          <w:b/>
                          <w:color w:val="FFFFFF"/>
                          <w:lang w:val="lt-LT"/>
                        </w:rPr>
                      </w:pPr>
                      <w:r>
                        <w:rPr>
                          <w:b/>
                          <w:color w:val="FFFFFF"/>
                          <w:sz w:val="18"/>
                          <w:lang w:val="lt-LT"/>
                        </w:rPr>
                        <w:t>Finansinė priemonė</w:t>
                      </w:r>
                    </w:p>
                    <w:p w14:paraId="2DE08D7A" w14:textId="77777777" w:rsidR="00133798" w:rsidRPr="00873719" w:rsidRDefault="00133798" w:rsidP="00AC115A">
                      <w:pPr>
                        <w:jc w:val="center"/>
                        <w:rPr>
                          <w:b/>
                          <w:color w:val="FFFFFF"/>
                          <w:lang w:val="lt-LT"/>
                        </w:rPr>
                      </w:pPr>
                    </w:p>
                  </w:txbxContent>
                </v:textbox>
                <w10:wrap type="topAndBottom"/>
              </v:oval>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28544" behindDoc="0" locked="0" layoutInCell="1" allowOverlap="1" wp14:anchorId="26F2249B" wp14:editId="502DBB46">
                <wp:simplePos x="0" y="0"/>
                <wp:positionH relativeFrom="column">
                  <wp:posOffset>953770</wp:posOffset>
                </wp:positionH>
                <wp:positionV relativeFrom="paragraph">
                  <wp:posOffset>1663065</wp:posOffset>
                </wp:positionV>
                <wp:extent cx="0" cy="211455"/>
                <wp:effectExtent l="76200" t="0" r="57150" b="55245"/>
                <wp:wrapTopAndBottom/>
                <wp:docPr id="1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1B9B15" id="AutoShape 24" o:spid="_x0000_s1026" type="#_x0000_t32" style="position:absolute;margin-left:75.1pt;margin-top:130.95pt;width:0;height:16.6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32640" behindDoc="0" locked="0" layoutInCell="1" allowOverlap="1" wp14:anchorId="046567AC" wp14:editId="05763DE1">
                <wp:simplePos x="0" y="0"/>
                <wp:positionH relativeFrom="column">
                  <wp:posOffset>953770</wp:posOffset>
                </wp:positionH>
                <wp:positionV relativeFrom="paragraph">
                  <wp:posOffset>2299335</wp:posOffset>
                </wp:positionV>
                <wp:extent cx="2540" cy="497205"/>
                <wp:effectExtent l="76200" t="0" r="73660" b="55245"/>
                <wp:wrapTopAndBottom/>
                <wp:docPr id="1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8A4B13" id="AutoShape 25" o:spid="_x0000_s1026" type="#_x0000_t32" style="position:absolute;margin-left:75.1pt;margin-top:181.05pt;width:.2pt;height:39.15pt;flip:x;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vqPgIAAGw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36736" behindDoc="0" locked="0" layoutInCell="1" allowOverlap="1" wp14:anchorId="5A206823" wp14:editId="2430A53A">
                <wp:simplePos x="0" y="0"/>
                <wp:positionH relativeFrom="column">
                  <wp:posOffset>953770</wp:posOffset>
                </wp:positionH>
                <wp:positionV relativeFrom="paragraph">
                  <wp:posOffset>796290</wp:posOffset>
                </wp:positionV>
                <wp:extent cx="0" cy="226695"/>
                <wp:effectExtent l="76200" t="0" r="57150" b="59055"/>
                <wp:wrapTopAndBottom/>
                <wp:docPr id="1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349F6B" id="AutoShape 26" o:spid="_x0000_s1026" type="#_x0000_t32" style="position:absolute;margin-left:75.1pt;margin-top:62.7pt;width:0;height:17.8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38784" behindDoc="0" locked="0" layoutInCell="1" allowOverlap="1" wp14:anchorId="6C330E94" wp14:editId="793F564B">
                <wp:simplePos x="0" y="0"/>
                <wp:positionH relativeFrom="column">
                  <wp:posOffset>198755</wp:posOffset>
                </wp:positionH>
                <wp:positionV relativeFrom="paragraph">
                  <wp:posOffset>1270</wp:posOffset>
                </wp:positionV>
                <wp:extent cx="1423035" cy="240030"/>
                <wp:effectExtent l="0" t="0" r="24765" b="26670"/>
                <wp:wrapTopAndBottom/>
                <wp:docPr id="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1AA05B29" w14:textId="77777777" w:rsidR="00133798" w:rsidRDefault="00133798" w:rsidP="00AC115A">
                            <w:pPr>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a:graphicData>
                </a:graphic>
              </wp:anchor>
            </w:drawing>
          </mc:Choice>
          <mc:Fallback>
            <w:pict>
              <v:roundrect id="AutoShape 10" o:spid="_x0000_s1096" style="position:absolute;margin-left:15.65pt;margin-top:.1pt;width:112.05pt;height:18.9pt;z-index:251638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" fillcolor="white [3201]" strokecolor="#f79646 [3209]" strokeweight="2pt">
                <v:textbox>
                  <w:txbxContent>
                    <w:p w14:paraId="1AA05B29" w14:textId="77777777" w:rsidR="00133798" w:rsidRDefault="00133798" w:rsidP="00AC115A">
                      <w:pPr>
                        <w:jc w:val="center"/>
                      </w:pPr>
                      <w:r>
                        <w:rPr>
                          <w:rFonts w:ascii="Calibri" w:eastAsia="Calibri" w:hAnsi="Calibri"/>
                          <w:b/>
                          <w:bCs/>
                          <w:sz w:val="16"/>
                          <w:szCs w:val="16"/>
                        </w:rPr>
                        <w:t>II STRUKTŪRA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40832" behindDoc="0" locked="0" layoutInCell="1" allowOverlap="1" wp14:anchorId="446CF15D" wp14:editId="0DDE6C3E">
                <wp:simplePos x="0" y="0"/>
                <wp:positionH relativeFrom="column">
                  <wp:posOffset>2130425</wp:posOffset>
                </wp:positionH>
                <wp:positionV relativeFrom="paragraph">
                  <wp:posOffset>8890</wp:posOffset>
                </wp:positionV>
                <wp:extent cx="1423035" cy="240030"/>
                <wp:effectExtent l="0" t="0" r="24765" b="26670"/>
                <wp:wrapTopAndBottom/>
                <wp:docPr id="1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14D60592" w14:textId="77777777" w:rsidR="00133798" w:rsidRDefault="00133798" w:rsidP="00AC115A">
                            <w:pPr>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a:graphicData>
                </a:graphic>
              </wp:anchor>
            </w:drawing>
          </mc:Choice>
          <mc:Fallback>
            <w:pict>
              <v:roundrect id="_x0000_s1097" style="position:absolute;margin-left:167.75pt;margin-top:.7pt;width:112.05pt;height:18.9pt;z-index:251640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" fillcolor="white [3201]" strokecolor="#f79646 [3209]" strokeweight="2pt">
                <v:textbox>
                  <w:txbxContent>
                    <w:p w14:paraId="14D60592" w14:textId="77777777" w:rsidR="00133798" w:rsidRDefault="00133798" w:rsidP="00AC115A">
                      <w:pPr>
                        <w:jc w:val="center"/>
                      </w:pPr>
                      <w:r>
                        <w:rPr>
                          <w:rFonts w:ascii="Calibri" w:eastAsia="Calibri" w:hAnsi="Calibri"/>
                          <w:b/>
                          <w:bCs/>
                          <w:sz w:val="16"/>
                          <w:szCs w:val="16"/>
                        </w:rPr>
                        <w:t>III STRUKTŪRA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42880" behindDoc="0" locked="0" layoutInCell="1" allowOverlap="1" wp14:anchorId="616EA95A" wp14:editId="28EB36B4">
                <wp:simplePos x="0" y="0"/>
                <wp:positionH relativeFrom="column">
                  <wp:posOffset>1939925</wp:posOffset>
                </wp:positionH>
                <wp:positionV relativeFrom="paragraph">
                  <wp:posOffset>374650</wp:posOffset>
                </wp:positionV>
                <wp:extent cx="1802130" cy="3004185"/>
                <wp:effectExtent l="0" t="0" r="26670" b="24765"/>
                <wp:wrapTopAndBottom/>
                <wp:docPr id="1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3004185"/>
                        </a:xfrm>
                        <a:prstGeom prst="rect">
                          <a:avLst/>
                        </a:prstGeom>
                        <a:solidFill>
                          <a:srgbClr val="FFFFFF"/>
                        </a:solidFill>
                        <a:ln w="19050">
                          <a:solidFill>
                            <a:srgbClr val="E36C0A"/>
                          </a:solidFill>
                          <a:miter lim="800000"/>
                          <a:headEnd/>
                          <a:tailEnd/>
                        </a:ln>
                      </wps:spPr>
                      <wps:txbx>
                        <w:txbxContent>
                          <w:p w14:paraId="71A06510" w14:textId="77777777" w:rsidR="00133798" w:rsidRDefault="00133798" w:rsidP="00AC115A">
                            <w:pPr>
                              <w:rPr>
                                <w:rFonts w:eastAsia="Times New Roman"/>
                              </w:rPr>
                            </w:pPr>
                          </w:p>
                        </w:txbxContent>
                      </wps:txbx>
                      <wps:bodyPr rot="0" vert="horz" wrap="square" lIns="91440" tIns="45720" rIns="91440" bIns="45720" anchor="t" anchorCtr="0" upright="1">
                        <a:noAutofit/>
                      </wps:bodyPr>
                    </wps:wsp>
                  </a:graphicData>
                </a:graphic>
              </wp:anchor>
            </w:drawing>
          </mc:Choice>
          <mc:Fallback>
            <w:pict>
              <v:rect id="_x0000_s1098" style="position:absolute;margin-left:152.75pt;margin-top:29.5pt;width:141.9pt;height:236.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" strokecolor="#e36c0a" strokeweight="1.5pt">
                <v:textbox>
                  <w:txbxContent>
                    <w:p w14:paraId="71A06510" w14:textId="77777777" w:rsidR="00133798" w:rsidRDefault="00133798" w:rsidP="00AC115A">
                      <w:pPr>
                        <w:rPr>
                          <w:rFonts w:eastAsia="Times New Roman"/>
                        </w:rPr>
                      </w:pPr>
                    </w:p>
                  </w:txbxContent>
                </v:textbox>
                <w10:wrap type="topAndBottom"/>
              </v: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44928" behindDoc="0" locked="0" layoutInCell="1" allowOverlap="1" wp14:anchorId="27437B41" wp14:editId="629E695C">
                <wp:simplePos x="0" y="0"/>
                <wp:positionH relativeFrom="column">
                  <wp:posOffset>2114550</wp:posOffset>
                </wp:positionH>
                <wp:positionV relativeFrom="paragraph">
                  <wp:posOffset>557530</wp:posOffset>
                </wp:positionV>
                <wp:extent cx="1423670" cy="240030"/>
                <wp:effectExtent l="0" t="0" r="24130" b="26670"/>
                <wp:wrapTopAndBottom/>
                <wp:docPr id="1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030"/>
                        </a:xfrm>
                        <a:prstGeom prst="roundRect">
                          <a:avLst>
                            <a:gd name="adj" fmla="val 16667"/>
                          </a:avLst>
                        </a:prstGeom>
                        <a:solidFill>
                          <a:srgbClr val="E36C0A"/>
                        </a:solidFill>
                        <a:ln w="9525">
                          <a:solidFill>
                            <a:srgbClr val="974706"/>
                          </a:solidFill>
                          <a:round/>
                          <a:headEnd/>
                          <a:tailEnd/>
                        </a:ln>
                      </wps:spPr>
                      <wps:txbx>
                        <w:txbxContent>
                          <w:p w14:paraId="31520B67" w14:textId="77777777" w:rsidR="00133798" w:rsidRDefault="00133798" w:rsidP="00AC115A">
                            <w:pPr>
                              <w:spacing w:after="0"/>
                              <w:jc w:val="center"/>
                            </w:pPr>
                            <w:r>
                              <w:rPr>
                                <w:rFonts w:ascii="Calibri" w:eastAsia="Calibri" w:hAnsi="Calibri"/>
                                <w:b/>
                                <w:bCs/>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AutoShape 12" o:spid="_x0000_s1099" style="position:absolute;margin-left:166.5pt;margin-top:43.9pt;width:112.1pt;height:18.9pt;z-index:251644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" fillcolor="#e36c0a" strokecolor="#974706">
                <v:textbox>
                  <w:txbxContent>
                    <w:p w14:paraId="31520B67" w14:textId="77777777" w:rsidR="00133798" w:rsidRDefault="00133798" w:rsidP="00AC115A">
                      <w:pPr>
                        <w:spacing w:after="0"/>
                        <w:jc w:val="center"/>
                      </w:pPr>
                      <w:r>
                        <w:rPr>
                          <w:rFonts w:ascii="Calibri" w:eastAsia="Calibri" w:hAnsi="Calibri"/>
                          <w:b/>
                          <w:bCs/>
                          <w:color w:val="FFFFFF"/>
                          <w:sz w:val="16"/>
                          <w:szCs w:val="16"/>
                        </w:rPr>
                        <w:t>Vadovaujančioji institucija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46976" behindDoc="0" locked="0" layoutInCell="1" allowOverlap="1" wp14:anchorId="31F5E1F6" wp14:editId="723CE3AF">
                <wp:simplePos x="0" y="0"/>
                <wp:positionH relativeFrom="column">
                  <wp:posOffset>2114550</wp:posOffset>
                </wp:positionH>
                <wp:positionV relativeFrom="paragraph">
                  <wp:posOffset>2800350</wp:posOffset>
                </wp:positionV>
                <wp:extent cx="1423670" cy="465455"/>
                <wp:effectExtent l="0" t="0" r="24130" b="10795"/>
                <wp:wrapTopAndBottom/>
                <wp:docPr id="1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65455"/>
                        </a:xfrm>
                        <a:prstGeom prst="roundRect">
                          <a:avLst>
                            <a:gd name="adj" fmla="val 16667"/>
                          </a:avLst>
                        </a:prstGeom>
                        <a:solidFill>
                          <a:srgbClr val="E36C0A"/>
                        </a:solidFill>
                        <a:ln w="9525">
                          <a:solidFill>
                            <a:srgbClr val="974706"/>
                          </a:solidFill>
                          <a:round/>
                          <a:headEnd/>
                          <a:tailEnd/>
                        </a:ln>
                      </wps:spPr>
                      <wps:txbx>
                        <w:txbxContent>
                          <w:p w14:paraId="338C3A2C" w14:textId="53147749" w:rsidR="00133798" w:rsidRDefault="00133798" w:rsidP="00AC115A">
                            <w:pPr>
                              <w:spacing w:after="0"/>
                              <w:jc w:val="center"/>
                            </w:pPr>
                            <w:r>
                              <w:rPr>
                                <w:rFonts w:ascii="Calibri" w:eastAsia="Calibri" w:hAnsi="Calibri"/>
                                <w:b/>
                                <w:bCs/>
                                <w:color w:val="FFFFFF"/>
                                <w:sz w:val="16"/>
                                <w:szCs w:val="16"/>
                              </w:rPr>
                              <w:t>Galutiniai naudos</w:t>
                            </w:r>
                          </w:p>
                          <w:p w14:paraId="25A075F7" w14:textId="77777777" w:rsidR="00133798" w:rsidRDefault="00133798" w:rsidP="00AC115A">
                            <w:pPr>
                              <w:spacing w:after="0"/>
                              <w:jc w:val="center"/>
                            </w:pPr>
                            <w:r>
                              <w:rPr>
                                <w:rFonts w:ascii="Calibri" w:eastAsia="Calibri" w:hAnsi="Calibri"/>
                                <w:b/>
                                <w:bCs/>
                                <w:color w:val="FFFFFF"/>
                                <w:sz w:val="16"/>
                                <w:szCs w:val="16"/>
                              </w:rPr>
                              <w:t xml:space="preserve"> gavėjai</w:t>
                            </w:r>
                          </w:p>
                          <w:p w14:paraId="17DA3F41" w14:textId="77777777" w:rsidR="00133798" w:rsidRDefault="00133798" w:rsidP="00AC115A">
                            <w:pPr>
                              <w:spacing w:after="0"/>
                              <w:jc w:val="center"/>
                            </w:pPr>
                            <w:r>
                              <w:rPr>
                                <w:rFonts w:ascii="Calibri" w:eastAsia="Calibri" w:hAnsi="Calibri"/>
                                <w:b/>
                                <w:bCs/>
                                <w:color w:val="FFFFFF"/>
                                <w:sz w:val="16"/>
                                <w:szCs w:val="16"/>
                              </w:rPr>
                              <w:t> </w:t>
                            </w:r>
                          </w:p>
                        </w:txbxContent>
                      </wps:txbx>
                      <wps:bodyPr rot="0" vert="horz" wrap="square" lIns="91440" tIns="45720" rIns="91440" bIns="45720" anchor="t" anchorCtr="0" upright="1">
                        <a:noAutofit/>
                      </wps:bodyPr>
                    </wps:wsp>
                  </a:graphicData>
                </a:graphic>
              </wp:anchor>
            </w:drawing>
          </mc:Choice>
          <mc:Fallback>
            <w:pict>
              <v:roundrect id="AutoShape 15" o:spid="_x0000_s1100" style="position:absolute;margin-left:166.5pt;margin-top:220.5pt;width:112.1pt;height:36.65pt;z-index:251646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" fillcolor="#e36c0a" strokecolor="#974706">
                <v:textbox>
                  <w:txbxContent>
                    <w:p w14:paraId="338C3A2C" w14:textId="53147749" w:rsidR="00133798" w:rsidRDefault="00133798" w:rsidP="00AC115A">
                      <w:pPr>
                        <w:spacing w:after="0"/>
                        <w:jc w:val="center"/>
                      </w:pPr>
                      <w:r>
                        <w:rPr>
                          <w:rFonts w:ascii="Calibri" w:eastAsia="Calibri" w:hAnsi="Calibri"/>
                          <w:b/>
                          <w:bCs/>
                          <w:color w:val="FFFFFF"/>
                          <w:sz w:val="16"/>
                          <w:szCs w:val="16"/>
                        </w:rPr>
                        <w:t>Galutiniai naudos</w:t>
                      </w:r>
                    </w:p>
                    <w:p w14:paraId="25A075F7" w14:textId="77777777" w:rsidR="00133798" w:rsidRDefault="00133798" w:rsidP="00AC115A">
                      <w:pPr>
                        <w:spacing w:after="0"/>
                        <w:jc w:val="center"/>
                      </w:pPr>
                      <w:r>
                        <w:rPr>
                          <w:rFonts w:ascii="Calibri" w:eastAsia="Calibri" w:hAnsi="Calibri"/>
                          <w:b/>
                          <w:bCs/>
                          <w:color w:val="FFFFFF"/>
                          <w:sz w:val="16"/>
                          <w:szCs w:val="16"/>
                        </w:rPr>
                        <w:t xml:space="preserve"> gavėjai</w:t>
                      </w:r>
                    </w:p>
                    <w:p w14:paraId="17DA3F41" w14:textId="77777777" w:rsidR="00133798" w:rsidRDefault="00133798" w:rsidP="00AC115A">
                      <w:pPr>
                        <w:spacing w:after="0"/>
                        <w:jc w:val="center"/>
                      </w:pPr>
                      <w:r>
                        <w:rPr>
                          <w:rFonts w:ascii="Calibri" w:eastAsia="Calibri" w:hAnsi="Calibri"/>
                          <w:b/>
                          <w:bCs/>
                          <w:color w:val="FFFFFF"/>
                          <w:sz w:val="16"/>
                          <w:szCs w:val="16"/>
                        </w:rPr>
                        <w:t> </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49024" behindDoc="0" locked="0" layoutInCell="1" allowOverlap="1" wp14:anchorId="7945D74A" wp14:editId="24F794AE">
                <wp:simplePos x="0" y="0"/>
                <wp:positionH relativeFrom="column">
                  <wp:posOffset>2114550</wp:posOffset>
                </wp:positionH>
                <wp:positionV relativeFrom="paragraph">
                  <wp:posOffset>2315210</wp:posOffset>
                </wp:positionV>
                <wp:extent cx="1424305" cy="241300"/>
                <wp:effectExtent l="0" t="0" r="23495" b="25400"/>
                <wp:wrapTopAndBottom/>
                <wp:docPr id="1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241300"/>
                        </a:xfrm>
                        <a:prstGeom prst="roundRect">
                          <a:avLst>
                            <a:gd name="adj" fmla="val 16667"/>
                          </a:avLst>
                        </a:prstGeom>
                        <a:solidFill>
                          <a:srgbClr val="E36C0A"/>
                        </a:solidFill>
                        <a:ln w="9525">
                          <a:solidFill>
                            <a:srgbClr val="974706"/>
                          </a:solidFill>
                          <a:prstDash val="dash"/>
                          <a:round/>
                          <a:headEnd/>
                          <a:tailEnd/>
                        </a:ln>
                      </wps:spPr>
                      <wps:txbx>
                        <w:txbxContent>
                          <w:p w14:paraId="2AB94EC5" w14:textId="77777777" w:rsidR="00133798" w:rsidRDefault="00133798" w:rsidP="00AC115A">
                            <w:pPr>
                              <w:spacing w:after="0"/>
                              <w:jc w:val="center"/>
                            </w:pPr>
                            <w:r>
                              <w:rPr>
                                <w:rFonts w:ascii="Calibri" w:eastAsia="Calibri" w:hAnsi="Calibri"/>
                                <w:b/>
                                <w:bCs/>
                                <w:color w:val="FFFFFF"/>
                                <w:sz w:val="16"/>
                                <w:szCs w:val="16"/>
                              </w:rPr>
                              <w:t>Finansinis tarpininkas</w:t>
                            </w:r>
                          </w:p>
                        </w:txbxContent>
                      </wps:txbx>
                      <wps:bodyPr rot="0" vert="horz" wrap="square" lIns="91440" tIns="45720" rIns="91440" bIns="45720" anchor="t" anchorCtr="0" upright="1">
                        <a:noAutofit/>
                      </wps:bodyPr>
                    </wps:wsp>
                  </a:graphicData>
                </a:graphic>
              </wp:anchor>
            </w:drawing>
          </mc:Choice>
          <mc:Fallback>
            <w:pict>
              <v:roundrect id="AutoShape 17" o:spid="_x0000_s1101" style="position:absolute;margin-left:166.5pt;margin-top:182.3pt;width:112.15pt;height:19pt;z-index:251649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" fillcolor="#e36c0a" strokecolor="#974706">
                <v:stroke dashstyle="dash"/>
                <v:textbox>
                  <w:txbxContent>
                    <w:p w14:paraId="2AB94EC5" w14:textId="77777777" w:rsidR="00133798" w:rsidRDefault="00133798" w:rsidP="00AC115A">
                      <w:pPr>
                        <w:spacing w:after="0"/>
                        <w:jc w:val="center"/>
                      </w:pPr>
                      <w:r>
                        <w:rPr>
                          <w:rFonts w:ascii="Calibri" w:eastAsia="Calibri" w:hAnsi="Calibri"/>
                          <w:b/>
                          <w:bCs/>
                          <w:color w:val="FFFFFF"/>
                          <w:sz w:val="16"/>
                          <w:szCs w:val="16"/>
                        </w:rPr>
                        <w:t>Finansinis tarpininkas</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51072" behindDoc="0" locked="0" layoutInCell="1" allowOverlap="1" wp14:anchorId="37BCBCE0" wp14:editId="490FA476">
                <wp:simplePos x="0" y="0"/>
                <wp:positionH relativeFrom="column">
                  <wp:posOffset>2122805</wp:posOffset>
                </wp:positionH>
                <wp:positionV relativeFrom="paragraph">
                  <wp:posOffset>1082675</wp:posOffset>
                </wp:positionV>
                <wp:extent cx="1423670" cy="241300"/>
                <wp:effectExtent l="0" t="0" r="24130" b="25400"/>
                <wp:wrapTopAndBottom/>
                <wp:docPr id="1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1300"/>
                        </a:xfrm>
                        <a:prstGeom prst="roundRect">
                          <a:avLst>
                            <a:gd name="adj" fmla="val 16667"/>
                          </a:avLst>
                        </a:prstGeom>
                        <a:solidFill>
                          <a:srgbClr val="E36C0A"/>
                        </a:solidFill>
                        <a:ln w="9525">
                          <a:solidFill>
                            <a:srgbClr val="974706"/>
                          </a:solidFill>
                          <a:round/>
                          <a:headEnd/>
                          <a:tailEnd/>
                        </a:ln>
                      </wps:spPr>
                      <wps:txbx>
                        <w:txbxContent>
                          <w:p w14:paraId="220FB136" w14:textId="77777777" w:rsidR="00133798" w:rsidRDefault="00133798" w:rsidP="00AC115A">
                            <w:pPr>
                              <w:spacing w:after="0"/>
                              <w:jc w:val="center"/>
                            </w:pPr>
                            <w:r>
                              <w:rPr>
                                <w:rFonts w:ascii="Calibri" w:eastAsia="Calibri" w:hAnsi="Calibri"/>
                                <w:b/>
                                <w:bCs/>
                                <w:color w:val="FFFFFF"/>
                                <w:sz w:val="16"/>
                                <w:szCs w:val="16"/>
                              </w:rPr>
                              <w:t>Fondų fondas</w:t>
                            </w:r>
                          </w:p>
                        </w:txbxContent>
                      </wps:txbx>
                      <wps:bodyPr rot="0" vert="horz" wrap="square" lIns="91440" tIns="45720" rIns="91440" bIns="45720" anchor="t" anchorCtr="0" upright="1">
                        <a:noAutofit/>
                      </wps:bodyPr>
                    </wps:wsp>
                  </a:graphicData>
                </a:graphic>
              </wp:anchor>
            </w:drawing>
          </mc:Choice>
          <mc:Fallback>
            <w:pict>
              <v:roundrect id="AutoShape 18" o:spid="_x0000_s1102" style="position:absolute;margin-left:167.15pt;margin-top:85.25pt;width:112.1pt;height:19pt;z-index:251651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" fillcolor="#e36c0a" strokecolor="#974706">
                <v:textbox>
                  <w:txbxContent>
                    <w:p w14:paraId="220FB136" w14:textId="77777777" w:rsidR="00133798" w:rsidRDefault="00133798" w:rsidP="00AC115A">
                      <w:pPr>
                        <w:spacing w:after="0"/>
                        <w:jc w:val="center"/>
                      </w:pPr>
                      <w:r>
                        <w:rPr>
                          <w:rFonts w:ascii="Calibri" w:eastAsia="Calibri" w:hAnsi="Calibri"/>
                          <w:b/>
                          <w:bCs/>
                          <w:color w:val="FFFFFF"/>
                          <w:sz w:val="16"/>
                          <w:szCs w:val="16"/>
                        </w:rPr>
                        <w:t>Fondų fondas</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53120" behindDoc="0" locked="0" layoutInCell="1" allowOverlap="1" wp14:anchorId="3DA720F4" wp14:editId="7825271E">
                <wp:simplePos x="0" y="0"/>
                <wp:positionH relativeFrom="column">
                  <wp:posOffset>2830195</wp:posOffset>
                </wp:positionH>
                <wp:positionV relativeFrom="paragraph">
                  <wp:posOffset>1329055</wp:posOffset>
                </wp:positionV>
                <wp:extent cx="2540" cy="133350"/>
                <wp:effectExtent l="76200" t="0" r="73660" b="57150"/>
                <wp:wrapTopAndBottom/>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6ED27A" id="AutoShape 27" o:spid="_x0000_s1026" type="#_x0000_t32" style="position:absolute;margin-left:222.85pt;margin-top:104.65pt;width:.2pt;height:10.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55168" behindDoc="0" locked="0" layoutInCell="1" allowOverlap="1" wp14:anchorId="7C4246E1" wp14:editId="445AAB73">
                <wp:simplePos x="0" y="0"/>
                <wp:positionH relativeFrom="column">
                  <wp:posOffset>2822575</wp:posOffset>
                </wp:positionH>
                <wp:positionV relativeFrom="paragraph">
                  <wp:posOffset>2108200</wp:posOffset>
                </wp:positionV>
                <wp:extent cx="1270" cy="210185"/>
                <wp:effectExtent l="76200" t="0" r="74930" b="56515"/>
                <wp:wrapTopAndBottom/>
                <wp:docPr id="15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BB5387" id="AutoShape 28" o:spid="_x0000_s1026" type="#_x0000_t32" style="position:absolute;margin-left:222.25pt;margin-top:166pt;width:.1pt;height:16.5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0PgIAAGwEAAAOAAAAZHJzL2Uyb0RvYy54bWysVE2P2jAQvVfqf7B8h3w0s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57216" behindDoc="0" locked="0" layoutInCell="1" allowOverlap="1" wp14:anchorId="2097910F" wp14:editId="657036DD">
                <wp:simplePos x="0" y="0"/>
                <wp:positionH relativeFrom="column">
                  <wp:posOffset>2822575</wp:posOffset>
                </wp:positionH>
                <wp:positionV relativeFrom="paragraph">
                  <wp:posOffset>2561590</wp:posOffset>
                </wp:positionV>
                <wp:extent cx="1270" cy="239395"/>
                <wp:effectExtent l="76200" t="0" r="74930" b="65405"/>
                <wp:wrapTopAndBottom/>
                <wp:docPr id="15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BD9791" id="AutoShape 29" o:spid="_x0000_s1026" type="#_x0000_t32" style="position:absolute;margin-left:222.25pt;margin-top:201.7pt;width:.1pt;height:18.8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61312" behindDoc="0" locked="0" layoutInCell="1" allowOverlap="1" wp14:anchorId="7894E8CB" wp14:editId="1CF59F31">
                <wp:simplePos x="0" y="0"/>
                <wp:positionH relativeFrom="column">
                  <wp:posOffset>2830195</wp:posOffset>
                </wp:positionH>
                <wp:positionV relativeFrom="paragraph">
                  <wp:posOffset>796290</wp:posOffset>
                </wp:positionV>
                <wp:extent cx="635" cy="288925"/>
                <wp:effectExtent l="76200" t="0" r="75565" b="53975"/>
                <wp:wrapTopAndBottom/>
                <wp:docPr id="15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43BC68" id="AutoShape 26" o:spid="_x0000_s1026" type="#_x0000_t32" style="position:absolute;margin-left:222.85pt;margin-top:62.7pt;width:.05pt;height:2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c1NwIAAGE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63360" behindDoc="0" locked="0" layoutInCell="1" allowOverlap="1" wp14:anchorId="1E5656AF" wp14:editId="15E8EBA7">
                <wp:simplePos x="0" y="0"/>
                <wp:positionH relativeFrom="column">
                  <wp:posOffset>2258060</wp:posOffset>
                </wp:positionH>
                <wp:positionV relativeFrom="paragraph">
                  <wp:posOffset>1464310</wp:posOffset>
                </wp:positionV>
                <wp:extent cx="1139825" cy="643255"/>
                <wp:effectExtent l="0" t="0" r="22225" b="23495"/>
                <wp:wrapTopAndBottom/>
                <wp:docPr id="15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3255"/>
                        </a:xfrm>
                        <a:prstGeom prst="ellipse">
                          <a:avLst/>
                        </a:prstGeom>
                        <a:solidFill>
                          <a:srgbClr val="FFC000"/>
                        </a:solidFill>
                        <a:ln w="9525">
                          <a:solidFill>
                            <a:srgbClr val="974706"/>
                          </a:solidFill>
                          <a:round/>
                          <a:headEnd/>
                          <a:tailEnd/>
                        </a:ln>
                      </wps:spPr>
                      <wps:txbx>
                        <w:txbxContent>
                          <w:p w14:paraId="4F0E2FB2" w14:textId="77777777" w:rsidR="00133798" w:rsidRDefault="00133798" w:rsidP="00AC115A">
                            <w:pPr>
                              <w:jc w:val="center"/>
                            </w:pPr>
                            <w:r>
                              <w:rPr>
                                <w:rFonts w:ascii="Calibri" w:eastAsia="Calibri" w:hAnsi="Calibri"/>
                                <w:b/>
                                <w:bCs/>
                                <w:color w:val="FFFFFF"/>
                                <w:sz w:val="18"/>
                                <w:szCs w:val="18"/>
                              </w:rPr>
                              <w:t>Finansinė priemonė</w:t>
                            </w:r>
                          </w:p>
                          <w:p w14:paraId="6E4899A7" w14:textId="77777777" w:rsidR="00133798" w:rsidRDefault="00133798" w:rsidP="00AC115A">
                            <w:pPr>
                              <w:jc w:val="center"/>
                            </w:pPr>
                            <w:r>
                              <w:rPr>
                                <w:rFonts w:ascii="Calibri" w:eastAsia="Calibri" w:hAnsi="Calibri"/>
                                <w:b/>
                                <w:bCs/>
                                <w:color w:val="FFFFFF"/>
                              </w:rPr>
                              <w:t> </w:t>
                            </w:r>
                          </w:p>
                        </w:txbxContent>
                      </wps:txbx>
                      <wps:bodyPr rot="0" vert="horz" wrap="square" lIns="91440" tIns="45720" rIns="91440" bIns="45720" anchor="t" anchorCtr="0" upright="1">
                        <a:noAutofit/>
                      </wps:bodyPr>
                    </wps:wsp>
                  </a:graphicData>
                </a:graphic>
              </wp:anchor>
            </w:drawing>
          </mc:Choice>
          <mc:Fallback>
            <w:pict>
              <v:oval id="Oval 166" o:spid="_x0000_s1103" style="position:absolute;margin-left:177.8pt;margin-top:115.3pt;width:89.75pt;height:5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" fillcolor="#ffc000" strokecolor="#974706">
                <v:textbox>
                  <w:txbxContent>
                    <w:p w14:paraId="4F0E2FB2" w14:textId="77777777" w:rsidR="00133798" w:rsidRDefault="00133798" w:rsidP="00AC115A">
                      <w:pPr>
                        <w:jc w:val="center"/>
                      </w:pPr>
                      <w:r>
                        <w:rPr>
                          <w:rFonts w:ascii="Calibri" w:eastAsia="Calibri" w:hAnsi="Calibri"/>
                          <w:b/>
                          <w:bCs/>
                          <w:color w:val="FFFFFF"/>
                          <w:sz w:val="18"/>
                          <w:szCs w:val="18"/>
                        </w:rPr>
                        <w:t>Finansinė priemonė</w:t>
                      </w:r>
                    </w:p>
                    <w:p w14:paraId="6E4899A7" w14:textId="77777777" w:rsidR="00133798" w:rsidRDefault="00133798" w:rsidP="00AC115A">
                      <w:pPr>
                        <w:jc w:val="center"/>
                      </w:pPr>
                      <w:r>
                        <w:rPr>
                          <w:rFonts w:ascii="Calibri" w:eastAsia="Calibri" w:hAnsi="Calibri"/>
                          <w:b/>
                          <w:bCs/>
                          <w:color w:val="FFFFFF"/>
                        </w:rPr>
                        <w:t> </w:t>
                      </w:r>
                    </w:p>
                  </w:txbxContent>
                </v:textbox>
                <w10:wrap type="topAndBottom"/>
              </v:oval>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65408" behindDoc="0" locked="0" layoutInCell="1" allowOverlap="1" wp14:anchorId="7B85626A" wp14:editId="23A518C5">
                <wp:simplePos x="0" y="0"/>
                <wp:positionH relativeFrom="column">
                  <wp:posOffset>4094480</wp:posOffset>
                </wp:positionH>
                <wp:positionV relativeFrom="paragraph">
                  <wp:posOffset>1270</wp:posOffset>
                </wp:positionV>
                <wp:extent cx="1423035" cy="239395"/>
                <wp:effectExtent l="0" t="0" r="24765" b="27305"/>
                <wp:wrapTopAndBottom/>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39395"/>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723B7B46" w14:textId="77777777" w:rsidR="00133798" w:rsidRDefault="00133798" w:rsidP="00AC115A">
                            <w:pPr>
                              <w:spacing w:after="0"/>
                              <w:jc w:val="center"/>
                              <w:rPr>
                                <w:sz w:val="24"/>
                                <w:szCs w:val="24"/>
                              </w:rPr>
                            </w:pPr>
                            <w:r>
                              <w:rPr>
                                <w:rFonts w:ascii="Calibri" w:eastAsia="Calibri" w:hAnsi="Calibri"/>
                                <w:b/>
                                <w:bCs/>
                                <w:sz w:val="16"/>
                                <w:szCs w:val="16"/>
                                <w:lang w:val="en-GB"/>
                              </w:rPr>
                              <w:t>III STRUKTŪRA</w:t>
                            </w:r>
                          </w:p>
                        </w:txbxContent>
                      </wps:txbx>
                      <wps:bodyPr rot="0" vert="horz" wrap="square" lIns="91440" tIns="45720" rIns="91440" bIns="45720" anchor="t" anchorCtr="0" upright="1">
                        <a:noAutofit/>
                      </wps:bodyPr>
                    </wps:wsp>
                  </a:graphicData>
                </a:graphic>
              </wp:anchor>
            </w:drawing>
          </mc:Choice>
          <mc:Fallback>
            <w:pict>
              <v:roundrect id="_x0000_s1104" style="position:absolute;margin-left:322.4pt;margin-top:.1pt;width:112.05pt;height:18.8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" fillcolor="white [3201]" strokecolor="#f79646 [3209]" strokeweight="2pt">
                <v:textbox>
                  <w:txbxContent>
                    <w:p w14:paraId="723B7B46" w14:textId="77777777" w:rsidR="00133798" w:rsidRDefault="00133798" w:rsidP="00AC115A">
                      <w:pPr>
                        <w:spacing w:after="0"/>
                        <w:jc w:val="center"/>
                        <w:rPr>
                          <w:sz w:val="24"/>
                          <w:szCs w:val="24"/>
                        </w:rPr>
                      </w:pPr>
                      <w:r>
                        <w:rPr>
                          <w:rFonts w:ascii="Calibri" w:eastAsia="Calibri" w:hAnsi="Calibri"/>
                          <w:b/>
                          <w:bCs/>
                          <w:sz w:val="16"/>
                          <w:szCs w:val="16"/>
                          <w:lang w:val="en-GB"/>
                        </w:rPr>
                        <w:t>III STRUKTŪRA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67456" behindDoc="0" locked="0" layoutInCell="1" allowOverlap="1" wp14:anchorId="4EF5FE81" wp14:editId="0FB412C3">
                <wp:simplePos x="0" y="0"/>
                <wp:positionH relativeFrom="column">
                  <wp:posOffset>4142105</wp:posOffset>
                </wp:positionH>
                <wp:positionV relativeFrom="paragraph">
                  <wp:posOffset>557530</wp:posOffset>
                </wp:positionV>
                <wp:extent cx="1423670" cy="239395"/>
                <wp:effectExtent l="0" t="0" r="24130" b="27305"/>
                <wp:wrapTopAndBottom/>
                <wp:docPr id="1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39395"/>
                        </a:xfrm>
                        <a:prstGeom prst="roundRect">
                          <a:avLst>
                            <a:gd name="adj" fmla="val 16667"/>
                          </a:avLst>
                        </a:prstGeom>
                        <a:solidFill>
                          <a:srgbClr val="E36C0A"/>
                        </a:solidFill>
                        <a:ln w="9525">
                          <a:solidFill>
                            <a:srgbClr val="974706"/>
                          </a:solidFill>
                          <a:round/>
                          <a:headEnd/>
                          <a:tailEnd/>
                        </a:ln>
                      </wps:spPr>
                      <wps:txbx>
                        <w:txbxContent>
                          <w:p w14:paraId="6EF523F0" w14:textId="77777777" w:rsidR="00133798" w:rsidRDefault="00133798" w:rsidP="00AC115A">
                            <w:pPr>
                              <w:spacing w:after="0"/>
                              <w:jc w:val="center"/>
                              <w:rPr>
                                <w:sz w:val="24"/>
                                <w:szCs w:val="24"/>
                              </w:rPr>
                            </w:pPr>
                            <w:r>
                              <w:rPr>
                                <w:rFonts w:ascii="Calibri" w:eastAsia="Calibri" w:hAnsi="Calibri"/>
                                <w:b/>
                                <w:bCs/>
                                <w:color w:val="FFFFFF"/>
                                <w:sz w:val="16"/>
                                <w:szCs w:val="16"/>
                              </w:rPr>
                              <w:t>Vadovaujančioji institucija</w:t>
                            </w:r>
                          </w:p>
                        </w:txbxContent>
                      </wps:txbx>
                      <wps:bodyPr rot="0" vert="horz" wrap="square" lIns="91440" tIns="45720" rIns="91440" bIns="45720" anchor="t" anchorCtr="0" upright="1">
                        <a:noAutofit/>
                      </wps:bodyPr>
                    </wps:wsp>
                  </a:graphicData>
                </a:graphic>
              </wp:anchor>
            </w:drawing>
          </mc:Choice>
          <mc:Fallback>
            <w:pict>
              <v:roundrect id="_x0000_s1105" style="position:absolute;margin-left:326.15pt;margin-top:43.9pt;width:112.1pt;height:18.8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" fillcolor="#e36c0a" strokecolor="#974706">
                <v:textbox>
                  <w:txbxContent>
                    <w:p w14:paraId="6EF523F0" w14:textId="77777777" w:rsidR="00133798" w:rsidRDefault="00133798" w:rsidP="00AC115A">
                      <w:pPr>
                        <w:spacing w:after="0"/>
                        <w:jc w:val="center"/>
                        <w:rPr>
                          <w:sz w:val="24"/>
                          <w:szCs w:val="24"/>
                        </w:rPr>
                      </w:pPr>
                      <w:r>
                        <w:rPr>
                          <w:rFonts w:ascii="Calibri" w:eastAsia="Calibri" w:hAnsi="Calibri"/>
                          <w:b/>
                          <w:bCs/>
                          <w:color w:val="FFFFFF"/>
                          <w:sz w:val="16"/>
                          <w:szCs w:val="16"/>
                        </w:rPr>
                        <w:t>Vadovaujančioji institucija</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69504" behindDoc="0" locked="0" layoutInCell="1" allowOverlap="1" wp14:anchorId="5C0EBB46" wp14:editId="0A408A7A">
                <wp:simplePos x="0" y="0"/>
                <wp:positionH relativeFrom="column">
                  <wp:posOffset>4142105</wp:posOffset>
                </wp:positionH>
                <wp:positionV relativeFrom="paragraph">
                  <wp:posOffset>2800350</wp:posOffset>
                </wp:positionV>
                <wp:extent cx="1423670" cy="464820"/>
                <wp:effectExtent l="0" t="0" r="24130" b="11430"/>
                <wp:wrapTopAndBottom/>
                <wp:docPr id="1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64820"/>
                        </a:xfrm>
                        <a:prstGeom prst="roundRect">
                          <a:avLst>
                            <a:gd name="adj" fmla="val 16667"/>
                          </a:avLst>
                        </a:prstGeom>
                        <a:solidFill>
                          <a:srgbClr val="E36C0A"/>
                        </a:solidFill>
                        <a:ln w="9525">
                          <a:solidFill>
                            <a:srgbClr val="974706"/>
                          </a:solidFill>
                          <a:round/>
                          <a:headEnd/>
                          <a:tailEnd/>
                        </a:ln>
                      </wps:spPr>
                      <wps:txbx>
                        <w:txbxContent>
                          <w:p w14:paraId="49519677" w14:textId="77777777" w:rsidR="00133798" w:rsidRDefault="00133798" w:rsidP="00CF62D5">
                            <w:pPr>
                              <w:spacing w:after="0"/>
                              <w:jc w:val="center"/>
                            </w:pPr>
                            <w:r>
                              <w:rPr>
                                <w:rFonts w:ascii="Calibri" w:eastAsia="Calibri" w:hAnsi="Calibri"/>
                                <w:b/>
                                <w:bCs/>
                                <w:color w:val="FFFFFF"/>
                                <w:sz w:val="16"/>
                                <w:szCs w:val="16"/>
                              </w:rPr>
                              <w:t>Galutiniai naudos</w:t>
                            </w:r>
                          </w:p>
                          <w:p w14:paraId="5A063130" w14:textId="77777777" w:rsidR="00133798" w:rsidRDefault="00133798" w:rsidP="00CF62D5">
                            <w:pPr>
                              <w:spacing w:after="0"/>
                              <w:jc w:val="center"/>
                            </w:pPr>
                            <w:r>
                              <w:rPr>
                                <w:rFonts w:ascii="Calibri" w:eastAsia="Calibri" w:hAnsi="Calibri"/>
                                <w:b/>
                                <w:bCs/>
                                <w:color w:val="FFFFFF"/>
                                <w:sz w:val="16"/>
                                <w:szCs w:val="16"/>
                              </w:rPr>
                              <w:t xml:space="preserve"> gavėjai</w:t>
                            </w:r>
                          </w:p>
                          <w:p w14:paraId="5D109D01" w14:textId="77777777" w:rsidR="00133798" w:rsidRDefault="00133798" w:rsidP="00AC115A">
                            <w:pPr>
                              <w:spacing w:after="0"/>
                              <w:jc w:val="center"/>
                            </w:pPr>
                            <w:r>
                              <w:rPr>
                                <w:rFonts w:ascii="Calibri" w:eastAsia="Calibri" w:hAnsi="Calibri"/>
                                <w:b/>
                                <w:bCs/>
                                <w:color w:val="FFFFFF"/>
                                <w:sz w:val="16"/>
                                <w:szCs w:val="16"/>
                              </w:rPr>
                              <w:t> </w:t>
                            </w:r>
                          </w:p>
                        </w:txbxContent>
                      </wps:txbx>
                      <wps:bodyPr rot="0" vert="horz" wrap="square" lIns="91440" tIns="45720" rIns="91440" bIns="45720" anchor="t" anchorCtr="0" upright="1">
                        <a:noAutofit/>
                      </wps:bodyPr>
                    </wps:wsp>
                  </a:graphicData>
                </a:graphic>
              </wp:anchor>
            </w:drawing>
          </mc:Choice>
          <mc:Fallback>
            <w:pict>
              <v:roundrect id="_x0000_s1106" style="position:absolute;margin-left:326.15pt;margin-top:220.5pt;width:112.1pt;height:36.6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" fillcolor="#e36c0a" strokecolor="#974706">
                <v:textbox>
                  <w:txbxContent>
                    <w:p w14:paraId="49519677" w14:textId="77777777" w:rsidR="00133798" w:rsidRDefault="00133798" w:rsidP="00CF62D5">
                      <w:pPr>
                        <w:spacing w:after="0"/>
                        <w:jc w:val="center"/>
                      </w:pPr>
                      <w:r>
                        <w:rPr>
                          <w:rFonts w:ascii="Calibri" w:eastAsia="Calibri" w:hAnsi="Calibri"/>
                          <w:b/>
                          <w:bCs/>
                          <w:color w:val="FFFFFF"/>
                          <w:sz w:val="16"/>
                          <w:szCs w:val="16"/>
                        </w:rPr>
                        <w:t>Galutiniai naudos</w:t>
                      </w:r>
                    </w:p>
                    <w:p w14:paraId="5A063130" w14:textId="77777777" w:rsidR="00133798" w:rsidRDefault="00133798" w:rsidP="00CF62D5">
                      <w:pPr>
                        <w:spacing w:after="0"/>
                        <w:jc w:val="center"/>
                      </w:pPr>
                      <w:r>
                        <w:rPr>
                          <w:rFonts w:ascii="Calibri" w:eastAsia="Calibri" w:hAnsi="Calibri"/>
                          <w:b/>
                          <w:bCs/>
                          <w:color w:val="FFFFFF"/>
                          <w:sz w:val="16"/>
                          <w:szCs w:val="16"/>
                        </w:rPr>
                        <w:t xml:space="preserve"> gavėjai</w:t>
                      </w:r>
                    </w:p>
                    <w:p w14:paraId="5D109D01" w14:textId="77777777" w:rsidR="00133798" w:rsidRDefault="00133798" w:rsidP="00AC115A">
                      <w:pPr>
                        <w:spacing w:after="0"/>
                        <w:jc w:val="center"/>
                      </w:pPr>
                      <w:r>
                        <w:rPr>
                          <w:rFonts w:ascii="Calibri" w:eastAsia="Calibri" w:hAnsi="Calibri"/>
                          <w:b/>
                          <w:bCs/>
                          <w:color w:val="FFFFFF"/>
                          <w:sz w:val="16"/>
                          <w:szCs w:val="16"/>
                        </w:rPr>
                        <w:t> </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71552" behindDoc="0" locked="0" layoutInCell="1" allowOverlap="1" wp14:anchorId="19491224" wp14:editId="690D104F">
                <wp:simplePos x="0" y="0"/>
                <wp:positionH relativeFrom="column">
                  <wp:posOffset>4134485</wp:posOffset>
                </wp:positionH>
                <wp:positionV relativeFrom="paragraph">
                  <wp:posOffset>2322830</wp:posOffset>
                </wp:positionV>
                <wp:extent cx="1424305" cy="240665"/>
                <wp:effectExtent l="0" t="0" r="23495" b="26035"/>
                <wp:wrapTopAndBottom/>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240665"/>
                        </a:xfrm>
                        <a:prstGeom prst="roundRect">
                          <a:avLst>
                            <a:gd name="adj" fmla="val 16667"/>
                          </a:avLst>
                        </a:prstGeom>
                        <a:solidFill>
                          <a:srgbClr val="E36C0A"/>
                        </a:solidFill>
                        <a:ln w="9525">
                          <a:solidFill>
                            <a:srgbClr val="974706"/>
                          </a:solidFill>
                          <a:prstDash val="dash"/>
                          <a:round/>
                          <a:headEnd/>
                          <a:tailEnd/>
                        </a:ln>
                      </wps:spPr>
                      <wps:txbx>
                        <w:txbxContent>
                          <w:p w14:paraId="61641065" w14:textId="77777777" w:rsidR="00133798" w:rsidRDefault="00133798" w:rsidP="00AC115A">
                            <w:pPr>
                              <w:spacing w:after="0"/>
                              <w:jc w:val="center"/>
                              <w:rPr>
                                <w:sz w:val="24"/>
                                <w:szCs w:val="24"/>
                              </w:rPr>
                            </w:pPr>
                            <w:r>
                              <w:rPr>
                                <w:rFonts w:ascii="Calibri" w:eastAsia="Calibri" w:hAnsi="Calibri"/>
                                <w:b/>
                                <w:bCs/>
                                <w:color w:val="FFFFFF"/>
                                <w:sz w:val="16"/>
                                <w:szCs w:val="16"/>
                              </w:rPr>
                              <w:t>Finansinis tarpininkas</w:t>
                            </w:r>
                          </w:p>
                        </w:txbxContent>
                      </wps:txbx>
                      <wps:bodyPr rot="0" vert="horz" wrap="square" lIns="91440" tIns="45720" rIns="91440" bIns="45720" anchor="t" anchorCtr="0" upright="1">
                        <a:noAutofit/>
                      </wps:bodyPr>
                    </wps:wsp>
                  </a:graphicData>
                </a:graphic>
              </wp:anchor>
            </w:drawing>
          </mc:Choice>
          <mc:Fallback>
            <w:pict>
              <v:roundrect id="_x0000_s1107" style="position:absolute;margin-left:325.55pt;margin-top:182.9pt;width:112.15pt;height:18.9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" fillcolor="#e36c0a" strokecolor="#974706">
                <v:stroke dashstyle="dash"/>
                <v:textbox>
                  <w:txbxContent>
                    <w:p w14:paraId="61641065" w14:textId="77777777" w:rsidR="00133798" w:rsidRDefault="00133798" w:rsidP="00AC115A">
                      <w:pPr>
                        <w:spacing w:after="0"/>
                        <w:jc w:val="center"/>
                        <w:rPr>
                          <w:sz w:val="24"/>
                          <w:szCs w:val="24"/>
                        </w:rPr>
                      </w:pPr>
                      <w:r>
                        <w:rPr>
                          <w:rFonts w:ascii="Calibri" w:eastAsia="Calibri" w:hAnsi="Calibri"/>
                          <w:b/>
                          <w:bCs/>
                          <w:color w:val="FFFFFF"/>
                          <w:sz w:val="16"/>
                          <w:szCs w:val="16"/>
                        </w:rPr>
                        <w:t>Finansinis tarpininkas</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73600" behindDoc="0" locked="0" layoutInCell="1" allowOverlap="1" wp14:anchorId="5E4F2C54" wp14:editId="35378410">
                <wp:simplePos x="0" y="0"/>
                <wp:positionH relativeFrom="column">
                  <wp:posOffset>4142105</wp:posOffset>
                </wp:positionH>
                <wp:positionV relativeFrom="paragraph">
                  <wp:posOffset>1090295</wp:posOffset>
                </wp:positionV>
                <wp:extent cx="1423670" cy="240665"/>
                <wp:effectExtent l="0" t="0" r="24130" b="26035"/>
                <wp:wrapTopAndBottom/>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40665"/>
                        </a:xfrm>
                        <a:prstGeom prst="roundRect">
                          <a:avLst>
                            <a:gd name="adj" fmla="val 16667"/>
                          </a:avLst>
                        </a:prstGeom>
                        <a:solidFill>
                          <a:srgbClr val="E36C0A"/>
                        </a:solidFill>
                        <a:ln w="9525">
                          <a:solidFill>
                            <a:srgbClr val="974706"/>
                          </a:solidFill>
                          <a:round/>
                          <a:headEnd/>
                          <a:tailEnd/>
                        </a:ln>
                      </wps:spPr>
                      <wps:txbx>
                        <w:txbxContent>
                          <w:p w14:paraId="56D5D525" w14:textId="77777777" w:rsidR="00133798" w:rsidRDefault="00133798" w:rsidP="00AC115A">
                            <w:pPr>
                              <w:spacing w:after="0"/>
                              <w:jc w:val="center"/>
                              <w:rPr>
                                <w:sz w:val="24"/>
                                <w:szCs w:val="24"/>
                              </w:rPr>
                            </w:pPr>
                            <w:r>
                              <w:rPr>
                                <w:rFonts w:ascii="Calibri" w:eastAsia="Calibri" w:hAnsi="Calibri"/>
                                <w:b/>
                                <w:bCs/>
                                <w:color w:val="FFFFFF"/>
                                <w:sz w:val="16"/>
                                <w:szCs w:val="16"/>
                              </w:rPr>
                              <w:t>Fondų fondas</w:t>
                            </w:r>
                          </w:p>
                        </w:txbxContent>
                      </wps:txbx>
                      <wps:bodyPr rot="0" vert="horz" wrap="square" lIns="91440" tIns="45720" rIns="91440" bIns="45720" anchor="t" anchorCtr="0" upright="1">
                        <a:noAutofit/>
                      </wps:bodyPr>
                    </wps:wsp>
                  </a:graphicData>
                </a:graphic>
              </wp:anchor>
            </w:drawing>
          </mc:Choice>
          <mc:Fallback>
            <w:pict>
              <v:roundrect id="_x0000_s1108" style="position:absolute;margin-left:326.15pt;margin-top:85.85pt;width:112.1pt;height:18.9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" fillcolor="#e36c0a" strokecolor="#974706">
                <v:textbox>
                  <w:txbxContent>
                    <w:p w14:paraId="56D5D525" w14:textId="77777777" w:rsidR="00133798" w:rsidRDefault="00133798" w:rsidP="00AC115A">
                      <w:pPr>
                        <w:spacing w:after="0"/>
                        <w:jc w:val="center"/>
                        <w:rPr>
                          <w:sz w:val="24"/>
                          <w:szCs w:val="24"/>
                        </w:rPr>
                      </w:pPr>
                      <w:r>
                        <w:rPr>
                          <w:rFonts w:ascii="Calibri" w:eastAsia="Calibri" w:hAnsi="Calibri"/>
                          <w:b/>
                          <w:bCs/>
                          <w:color w:val="FFFFFF"/>
                          <w:sz w:val="16"/>
                          <w:szCs w:val="16"/>
                        </w:rPr>
                        <w:t>Fondų fondas</w:t>
                      </w:r>
                    </w:p>
                  </w:txbxContent>
                </v:textbox>
                <w10:wrap type="topAndBottom"/>
              </v:roundrect>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75648" behindDoc="0" locked="0" layoutInCell="1" allowOverlap="1" wp14:anchorId="1160A569" wp14:editId="2DD219BA">
                <wp:simplePos x="0" y="0"/>
                <wp:positionH relativeFrom="column">
                  <wp:posOffset>4850130</wp:posOffset>
                </wp:positionH>
                <wp:positionV relativeFrom="paragraph">
                  <wp:posOffset>1329055</wp:posOffset>
                </wp:positionV>
                <wp:extent cx="2540" cy="132715"/>
                <wp:effectExtent l="76200" t="0" r="73660" b="57785"/>
                <wp:wrapTopAndBottom/>
                <wp:docPr id="16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C23541" id="AutoShape 27" o:spid="_x0000_s1026" type="#_x0000_t32" style="position:absolute;margin-left:381.9pt;margin-top:104.65pt;width:.2pt;height:10.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77696" behindDoc="0" locked="0" layoutInCell="1" allowOverlap="1" wp14:anchorId="46A8654E" wp14:editId="7031CC15">
                <wp:simplePos x="0" y="0"/>
                <wp:positionH relativeFrom="column">
                  <wp:posOffset>4850130</wp:posOffset>
                </wp:positionH>
                <wp:positionV relativeFrom="paragraph">
                  <wp:posOffset>2108200</wp:posOffset>
                </wp:positionV>
                <wp:extent cx="1270" cy="209550"/>
                <wp:effectExtent l="76200" t="0" r="74930" b="57150"/>
                <wp:wrapTopAndBottom/>
                <wp:docPr id="16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4B0999" id="AutoShape 28" o:spid="_x0000_s1026" type="#_x0000_t32" style="position:absolute;margin-left:381.9pt;margin-top:166pt;width:.1pt;height:16.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1AQAIAAGw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79744" behindDoc="0" locked="0" layoutInCell="1" allowOverlap="1" wp14:anchorId="3E92A6E9" wp14:editId="416F47D3">
                <wp:simplePos x="0" y="0"/>
                <wp:positionH relativeFrom="column">
                  <wp:posOffset>4850130</wp:posOffset>
                </wp:positionH>
                <wp:positionV relativeFrom="paragraph">
                  <wp:posOffset>2561590</wp:posOffset>
                </wp:positionV>
                <wp:extent cx="1270" cy="238760"/>
                <wp:effectExtent l="76200" t="0" r="74930" b="66040"/>
                <wp:wrapTopAndBottom/>
                <wp:docPr id="16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A3EBFD" id="AutoShape 29" o:spid="_x0000_s1026" type="#_x0000_t32" style="position:absolute;margin-left:381.9pt;margin-top:201.7pt;width:.1pt;height:18.8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N4QQIAAGw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83840" behindDoc="0" locked="0" layoutInCell="1" allowOverlap="1" wp14:anchorId="4146D85F" wp14:editId="65234FC7">
                <wp:simplePos x="0" y="0"/>
                <wp:positionH relativeFrom="column">
                  <wp:posOffset>4850130</wp:posOffset>
                </wp:positionH>
                <wp:positionV relativeFrom="paragraph">
                  <wp:posOffset>804545</wp:posOffset>
                </wp:positionV>
                <wp:extent cx="635" cy="288290"/>
                <wp:effectExtent l="76200" t="0" r="75565" b="54610"/>
                <wp:wrapTopAndBottom/>
                <wp:docPr id="17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9B7D70" id="AutoShape 26" o:spid="_x0000_s1026" type="#_x0000_t32" style="position:absolute;margin-left:381.9pt;margin-top:63.35pt;width:.05pt;height:2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6GOQIAAGE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">
                <v:stroke endarrow="block"/>
                <w10:wrap type="topAndBottom"/>
              </v:shape>
            </w:pict>
          </mc:Fallback>
        </mc:AlternateContent>
      </w:r>
      <w:r w:rsidR="00AC115A" w:rsidRPr="002142B8">
        <w:rPr>
          <w:rFonts w:eastAsia="Times New Roman"/>
          <w:noProof/>
          <w:szCs w:val="20"/>
          <w:lang w:val="lt-LT" w:eastAsia="lt-LT"/>
        </w:rPr>
        <mc:AlternateContent>
          <mc:Choice Requires="wps">
            <w:drawing>
              <wp:anchor distT="0" distB="0" distL="114300" distR="114300" simplePos="0" relativeHeight="251687936" behindDoc="0" locked="0" layoutInCell="1" allowOverlap="1" wp14:anchorId="307AB6CA" wp14:editId="16B8753D">
                <wp:simplePos x="0" y="0"/>
                <wp:positionH relativeFrom="column">
                  <wp:posOffset>4277360</wp:posOffset>
                </wp:positionH>
                <wp:positionV relativeFrom="paragraph">
                  <wp:posOffset>1464310</wp:posOffset>
                </wp:positionV>
                <wp:extent cx="1139825" cy="642620"/>
                <wp:effectExtent l="0" t="0" r="22225" b="24130"/>
                <wp:wrapTopAndBottom/>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42620"/>
                        </a:xfrm>
                        <a:prstGeom prst="ellipse">
                          <a:avLst/>
                        </a:prstGeom>
                        <a:solidFill>
                          <a:srgbClr val="FFC000"/>
                        </a:solidFill>
                        <a:ln w="9525">
                          <a:solidFill>
                            <a:srgbClr val="974706"/>
                          </a:solidFill>
                          <a:round/>
                          <a:headEnd/>
                          <a:tailEnd/>
                        </a:ln>
                      </wps:spPr>
                      <wps:txbx>
                        <w:txbxContent>
                          <w:p w14:paraId="645EE034" w14:textId="77777777" w:rsidR="00133798" w:rsidRDefault="00133798" w:rsidP="00AC115A">
                            <w:pPr>
                              <w:jc w:val="center"/>
                              <w:rPr>
                                <w:sz w:val="24"/>
                                <w:szCs w:val="24"/>
                              </w:rPr>
                            </w:pPr>
                            <w:r>
                              <w:rPr>
                                <w:rFonts w:ascii="Calibri" w:eastAsia="Calibri" w:hAnsi="Calibri"/>
                                <w:b/>
                                <w:bCs/>
                                <w:color w:val="FFFFFF"/>
                                <w:sz w:val="18"/>
                                <w:szCs w:val="18"/>
                                <w:lang w:val="en-GB"/>
                              </w:rPr>
                              <w:t>Finansinė priemonė</w:t>
                            </w:r>
                          </w:p>
                          <w:p w14:paraId="26CC1D15" w14:textId="77777777" w:rsidR="00133798" w:rsidRDefault="00133798" w:rsidP="00AC115A">
                            <w:pPr>
                              <w:jc w:val="center"/>
                            </w:pPr>
                            <w:r>
                              <w:rPr>
                                <w:rFonts w:ascii="Calibri" w:eastAsia="Calibri" w:hAnsi="Calibri"/>
                                <w:b/>
                                <w:bCs/>
                                <w:color w:val="FFFFFF"/>
                                <w:lang w:val="en-GB"/>
                              </w:rPr>
                              <w:t> </w:t>
                            </w:r>
                          </w:p>
                        </w:txbxContent>
                      </wps:txbx>
                      <wps:bodyPr rot="0" vert="horz" wrap="square" lIns="91440" tIns="45720" rIns="91440" bIns="45720" anchor="t" anchorCtr="0" upright="1">
                        <a:noAutofit/>
                      </wps:bodyPr>
                    </wps:wsp>
                  </a:graphicData>
                </a:graphic>
              </wp:anchor>
            </w:drawing>
          </mc:Choice>
          <mc:Fallback>
            <w:pict>
              <v:oval id="Oval 174" o:spid="_x0000_s1109" style="position:absolute;margin-left:336.8pt;margin-top:115.3pt;width:89.75pt;height:50.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" fillcolor="#ffc000" strokecolor="#974706">
                <v:textbox>
                  <w:txbxContent>
                    <w:p w14:paraId="645EE034" w14:textId="77777777" w:rsidR="00133798" w:rsidRDefault="00133798" w:rsidP="00AC115A">
                      <w:pPr>
                        <w:jc w:val="center"/>
                        <w:rPr>
                          <w:sz w:val="24"/>
                          <w:szCs w:val="24"/>
                        </w:rPr>
                      </w:pPr>
                      <w:r>
                        <w:rPr>
                          <w:rFonts w:ascii="Calibri" w:eastAsia="Calibri" w:hAnsi="Calibri"/>
                          <w:b/>
                          <w:bCs/>
                          <w:color w:val="FFFFFF"/>
                          <w:sz w:val="18"/>
                          <w:szCs w:val="18"/>
                          <w:lang w:val="en-GB"/>
                        </w:rPr>
                        <w:t>Finansinė priemonė</w:t>
                      </w:r>
                    </w:p>
                    <w:p w14:paraId="26CC1D15" w14:textId="77777777" w:rsidR="00133798" w:rsidRDefault="00133798" w:rsidP="00AC115A">
                      <w:pPr>
                        <w:jc w:val="center"/>
                      </w:pPr>
                      <w:r>
                        <w:rPr>
                          <w:rFonts w:ascii="Calibri" w:eastAsia="Calibri" w:hAnsi="Calibri"/>
                          <w:b/>
                          <w:bCs/>
                          <w:color w:val="FFFFFF"/>
                          <w:lang w:val="en-GB"/>
                        </w:rPr>
                        <w:t> </w:t>
                      </w:r>
                    </w:p>
                  </w:txbxContent>
                </v:textbox>
                <w10:wrap type="topAndBottom"/>
              </v:oval>
            </w:pict>
          </mc:Fallback>
        </mc:AlternateContent>
      </w:r>
      <w:r w:rsidR="00AA7568" w:rsidRPr="002142B8">
        <w:rPr>
          <w:lang w:val="lt-LT"/>
        </w:rPr>
        <w:t xml:space="preserve">Paveikslas </w:t>
      </w:r>
      <w:r w:rsidR="00AA7568" w:rsidRPr="002142B8">
        <w:rPr>
          <w:lang w:val="lt-LT"/>
        </w:rPr>
        <w:fldChar w:fldCharType="begin"/>
      </w:r>
      <w:r w:rsidR="00AA7568" w:rsidRPr="002142B8">
        <w:rPr>
          <w:lang w:val="lt-LT"/>
        </w:rPr>
        <w:instrText xml:space="preserve"> SEQ Paveikslas \* ARABIC </w:instrText>
      </w:r>
      <w:r w:rsidR="00AA7568" w:rsidRPr="002142B8">
        <w:rPr>
          <w:lang w:val="lt-LT"/>
        </w:rPr>
        <w:fldChar w:fldCharType="separate"/>
      </w:r>
      <w:r w:rsidR="009652A6">
        <w:rPr>
          <w:noProof/>
          <w:lang w:val="lt-LT"/>
        </w:rPr>
        <w:t>27</w:t>
      </w:r>
      <w:r w:rsidR="00AA7568" w:rsidRPr="002142B8">
        <w:rPr>
          <w:lang w:val="lt-LT"/>
        </w:rPr>
        <w:fldChar w:fldCharType="end"/>
      </w:r>
      <w:r w:rsidR="00AA7568" w:rsidRPr="002142B8">
        <w:rPr>
          <w:lang w:val="lt-LT"/>
        </w:rPr>
        <w:t xml:space="preserve">. </w:t>
      </w:r>
      <w:r w:rsidR="00AA7568" w:rsidRPr="002142B8">
        <w:rPr>
          <w:rFonts w:eastAsiaTheme="minorHAnsi" w:cstheme="minorBidi"/>
          <w:szCs w:val="20"/>
          <w:lang w:val="lt-LT"/>
        </w:rPr>
        <w:t xml:space="preserve">Siūloma </w:t>
      </w:r>
      <w:r w:rsidR="00B56D02" w:rsidRPr="002142B8">
        <w:rPr>
          <w:rFonts w:eastAsiaTheme="minorHAnsi" w:cstheme="minorBidi"/>
          <w:szCs w:val="20"/>
          <w:lang w:val="lt-LT"/>
        </w:rPr>
        <w:t xml:space="preserve">paskolinės </w:t>
      </w:r>
      <w:r w:rsidR="00AA7568" w:rsidRPr="002142B8">
        <w:rPr>
          <w:rFonts w:eastAsiaTheme="minorHAnsi" w:cstheme="minorBidi"/>
          <w:szCs w:val="20"/>
          <w:lang w:val="lt-LT"/>
        </w:rPr>
        <w:t>finansinės priemonės įgyvendinimo struktūra.</w:t>
      </w:r>
      <w:bookmarkEnd w:id="337"/>
    </w:p>
    <w:p w14:paraId="08DDD298" w14:textId="36A1FDF5"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b/>
          <w:i/>
          <w:sz w:val="20"/>
          <w:szCs w:val="20"/>
        </w:rPr>
        <w:t xml:space="preserve">Fondų fondo valdytojas </w:t>
      </w:r>
      <w:r w:rsidRPr="002142B8">
        <w:rPr>
          <w:rFonts w:ascii="Georgia" w:hAnsi="Georgia"/>
          <w:sz w:val="20"/>
          <w:szCs w:val="20"/>
        </w:rPr>
        <w:t>galėtų būti paskiriamas vadovaujantis Bendrųjų nuostatų reglamento 38(4) straipsnyje nurodytomis fondų fondo valdytojo paskyrimo alternatyvomis. Vadovaujančioji institucija turi galimybę investuoti į juridinį vienetą, įgyvendinimo užduotis pavesti EIB (38.4(b)(i)), nacionalinei finansų įstaigai (38.4(b)(ii)) ir/arba konkurso būdu atrinkti kitą viešosios ir privačiosios teisės subjektą (38.4(b)(iii)) arba įgyvendinimo užduotis įgyvendinti pati. Vadovaujanti institucija taip pat turi galimybę įgyvendinimo užduotis paskirti ne vienai</w:t>
      </w:r>
      <w:r w:rsidR="006563FA" w:rsidRPr="002142B8">
        <w:rPr>
          <w:rFonts w:ascii="Georgia" w:hAnsi="Georgia"/>
          <w:sz w:val="20"/>
          <w:szCs w:val="20"/>
        </w:rPr>
        <w:t>,</w:t>
      </w:r>
      <w:r w:rsidRPr="002142B8">
        <w:rPr>
          <w:rFonts w:ascii="Georgia" w:hAnsi="Georgia"/>
          <w:sz w:val="20"/>
          <w:szCs w:val="20"/>
        </w:rPr>
        <w:t xml:space="preserve"> bet kelioms 38.4(b) punkte nurodytoms institucijoms, pavyzdžiui EIB ir nacionalinei finansų įstaigai. Šiuo atveju</w:t>
      </w:r>
      <w:r w:rsidR="00ED4ADE" w:rsidRPr="002142B8">
        <w:rPr>
          <w:rFonts w:ascii="Georgia" w:hAnsi="Georgia"/>
          <w:sz w:val="20"/>
          <w:szCs w:val="20"/>
        </w:rPr>
        <w:t xml:space="preserve"> kiekviena</w:t>
      </w:r>
      <w:r w:rsidRPr="002142B8">
        <w:rPr>
          <w:rFonts w:ascii="Georgia" w:hAnsi="Georgia"/>
          <w:sz w:val="20"/>
          <w:szCs w:val="20"/>
        </w:rPr>
        <w:t xml:space="preserve"> institucij</w:t>
      </w:r>
      <w:r w:rsidR="00ED4ADE" w:rsidRPr="002142B8">
        <w:rPr>
          <w:rFonts w:ascii="Georgia" w:hAnsi="Georgia"/>
          <w:sz w:val="20"/>
          <w:szCs w:val="20"/>
        </w:rPr>
        <w:t>a</w:t>
      </w:r>
      <w:r w:rsidRPr="002142B8">
        <w:rPr>
          <w:rFonts w:ascii="Georgia" w:hAnsi="Georgia"/>
          <w:sz w:val="20"/>
          <w:szCs w:val="20"/>
        </w:rPr>
        <w:t xml:space="preserve"> turėtų turėti aiškia</w:t>
      </w:r>
      <w:r w:rsidR="00ED4ADE" w:rsidRPr="002142B8">
        <w:rPr>
          <w:rFonts w:ascii="Georgia" w:hAnsi="Georgia"/>
          <w:sz w:val="20"/>
          <w:szCs w:val="20"/>
        </w:rPr>
        <w:t>s</w:t>
      </w:r>
      <w:r w:rsidRPr="002142B8">
        <w:rPr>
          <w:rFonts w:ascii="Georgia" w:hAnsi="Georgia"/>
          <w:sz w:val="20"/>
          <w:szCs w:val="20"/>
        </w:rPr>
        <w:t xml:space="preserve"> funkcijas ir atsakomybes, apibrėžtas bendradarbiavimo sutarty</w:t>
      </w:r>
      <w:r w:rsidR="00ED4ADE" w:rsidRPr="002142B8">
        <w:rPr>
          <w:rFonts w:ascii="Georgia" w:hAnsi="Georgia"/>
          <w:sz w:val="20"/>
          <w:szCs w:val="20"/>
        </w:rPr>
        <w:t>se</w:t>
      </w:r>
      <w:r w:rsidRPr="002142B8">
        <w:rPr>
          <w:rFonts w:ascii="Georgia" w:hAnsi="Georgia"/>
          <w:sz w:val="20"/>
          <w:szCs w:val="20"/>
        </w:rPr>
        <w:t>.</w:t>
      </w:r>
    </w:p>
    <w:p w14:paraId="40E4D3E8" w14:textId="5BD093DF"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b/>
          <w:i/>
          <w:sz w:val="20"/>
          <w:szCs w:val="20"/>
        </w:rPr>
        <w:t>Fondų fondo valdytojas gali finansines priemones įgyvendinti pats tiesiogiai arba dalį įgyvendinimo užduočių pavesti finansiniams tarpininkams.</w:t>
      </w:r>
      <w:r w:rsidRPr="002142B8">
        <w:rPr>
          <w:rFonts w:ascii="Georgia" w:hAnsi="Georgia"/>
          <w:sz w:val="20"/>
          <w:szCs w:val="20"/>
        </w:rPr>
        <w:t xml:space="preserve"> </w:t>
      </w:r>
      <w:r w:rsidRPr="002142B8">
        <w:rPr>
          <w:rFonts w:ascii="Georgia" w:hAnsi="Georgia"/>
          <w:sz w:val="20"/>
        </w:rPr>
        <w:t xml:space="preserve">Bendrųjų nuostatų reglamento 38 str. 5 dalis numato, kad subjektai, kuriems patikėta įgyvendinti </w:t>
      </w:r>
      <w:r w:rsidR="006563FA" w:rsidRPr="002142B8">
        <w:rPr>
          <w:rFonts w:ascii="Georgia" w:hAnsi="Georgia"/>
          <w:sz w:val="20"/>
        </w:rPr>
        <w:t xml:space="preserve">finansinę priemonę ar </w:t>
      </w:r>
      <w:r w:rsidRPr="002142B8">
        <w:rPr>
          <w:rFonts w:ascii="Georgia" w:hAnsi="Georgia"/>
          <w:sz w:val="20"/>
        </w:rPr>
        <w:t>fondų fondą, užduotis gali įgyvendinti patys arba jas patikėti vykdyti finansiniams tarpininkams. Iš to seka išvada, kad fondo</w:t>
      </w:r>
      <w:r w:rsidR="006563FA" w:rsidRPr="002142B8">
        <w:rPr>
          <w:rFonts w:ascii="Georgia" w:hAnsi="Georgia"/>
          <w:sz w:val="20"/>
        </w:rPr>
        <w:t xml:space="preserve"> ar finansinės priemonės</w:t>
      </w:r>
      <w:r w:rsidRPr="002142B8">
        <w:rPr>
          <w:rFonts w:ascii="Georgia" w:hAnsi="Georgia"/>
          <w:sz w:val="20"/>
        </w:rPr>
        <w:t xml:space="preserve"> v</w:t>
      </w:r>
      <w:r w:rsidR="006563FA" w:rsidRPr="002142B8">
        <w:rPr>
          <w:rFonts w:ascii="Georgia" w:hAnsi="Georgia"/>
          <w:sz w:val="20"/>
        </w:rPr>
        <w:t xml:space="preserve">aldytojas (priėmus atitinkamus </w:t>
      </w:r>
      <w:r w:rsidRPr="002142B8">
        <w:rPr>
          <w:rFonts w:ascii="Georgia" w:hAnsi="Georgia"/>
          <w:sz w:val="20"/>
        </w:rPr>
        <w:t xml:space="preserve">valdymo organų sprendimus) galėtų tiesiogiai finansuoti projektus, atitinkančius fondo veiklos tikslus ir investavimo strategiją. </w:t>
      </w:r>
      <w:r w:rsidRPr="002142B8">
        <w:rPr>
          <w:rFonts w:ascii="Georgia" w:hAnsi="Georgia"/>
          <w:sz w:val="20"/>
          <w:szCs w:val="20"/>
        </w:rPr>
        <w:t>Tiesioginis (be finansinių tarpininkų) užduočių vykdymas tikslingas tuomet, kai finansiniai tarpininkai nedalyvauja savo lėšomis, kai dėl tam tikrų priežasčių užsitęsia sutarčių su finansiniais tarpininkais derybos ir pasirašymas, kai finansiniai tarpininkai nesuinteresuoti finansinės priemonės įgyvendinimu arba kai finansiniai tarpininkai negali įvykdyti visos numatytos finansinės priemonės įgyvendinimo.</w:t>
      </w:r>
    </w:p>
    <w:p w14:paraId="25A23816" w14:textId="74351598"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 xml:space="preserve">Atsižvelgiant į aukščiau išdėstytus argumentus bei 1.3 skyriuje apibūdintų finansinių priemonių įgyvendinimo alternatyvų privalumus ir trūkumus, </w:t>
      </w:r>
      <w:r w:rsidR="005E6417" w:rsidRPr="002142B8">
        <w:rPr>
          <w:rFonts w:ascii="Georgia" w:hAnsi="Georgia"/>
          <w:sz w:val="20"/>
          <w:szCs w:val="20"/>
        </w:rPr>
        <w:t>daugiabučių namų modernizavimo proceso specifiką ir susiformavusią praktiką</w:t>
      </w:r>
      <w:r w:rsidR="006563FA" w:rsidRPr="002142B8">
        <w:rPr>
          <w:rFonts w:ascii="Georgia" w:hAnsi="Georgia"/>
          <w:sz w:val="20"/>
          <w:szCs w:val="20"/>
        </w:rPr>
        <w:t>, toliau analizuojami</w:t>
      </w:r>
      <w:r w:rsidR="005E6417" w:rsidRPr="002142B8">
        <w:rPr>
          <w:rFonts w:ascii="Georgia" w:hAnsi="Georgia"/>
          <w:sz w:val="20"/>
          <w:szCs w:val="20"/>
        </w:rPr>
        <w:t xml:space="preserve"> ši</w:t>
      </w:r>
      <w:r w:rsidR="003849D3" w:rsidRPr="002142B8">
        <w:rPr>
          <w:rFonts w:ascii="Georgia" w:hAnsi="Georgia"/>
          <w:sz w:val="20"/>
          <w:szCs w:val="20"/>
        </w:rPr>
        <w:t>e įgyvendinimo modeliai</w:t>
      </w:r>
      <w:r w:rsidR="005E6417" w:rsidRPr="002142B8">
        <w:rPr>
          <w:rFonts w:ascii="Georgia" w:hAnsi="Georgia"/>
          <w:sz w:val="20"/>
          <w:szCs w:val="20"/>
        </w:rPr>
        <w:t>:</w:t>
      </w:r>
    </w:p>
    <w:p w14:paraId="3C490C66" w14:textId="19A257FE" w:rsidR="006D462B" w:rsidRPr="002142B8" w:rsidRDefault="00AA7568" w:rsidP="006D462B">
      <w:pPr>
        <w:pStyle w:val="Sraassuenkleliais"/>
        <w:numPr>
          <w:ilvl w:val="0"/>
          <w:numId w:val="0"/>
        </w:numPr>
        <w:rPr>
          <w:rFonts w:ascii="Georgia" w:eastAsia="Times New Roman" w:hAnsi="Georgia" w:cs="Times New Roman"/>
          <w:lang w:val="lt-LT" w:eastAsia="lt-LT"/>
        </w:rPr>
      </w:pPr>
      <w:r w:rsidRPr="002142B8">
        <w:rPr>
          <w:rFonts w:ascii="Georgia" w:eastAsia="Times New Roman" w:hAnsi="Georgia" w:cs="Times New Roman"/>
          <w:lang w:val="lt-LT" w:eastAsia="lt-LT"/>
        </w:rPr>
        <w:t>1. 2014-2020 m. ES lėšų investavimas į esamą JESSICA fondą (fondų fondo tęsinys)</w:t>
      </w:r>
      <w:r w:rsidR="006D462B" w:rsidRPr="002142B8">
        <w:rPr>
          <w:rFonts w:ascii="Georgia" w:eastAsia="Times New Roman" w:hAnsi="Georgia" w:cs="Times New Roman"/>
          <w:lang w:val="lt-LT" w:eastAsia="lt-LT"/>
        </w:rPr>
        <w:t xml:space="preserve"> </w:t>
      </w:r>
    </w:p>
    <w:p w14:paraId="070749EE" w14:textId="412C28AD" w:rsidR="00AA7568" w:rsidRPr="002142B8" w:rsidRDefault="006D462B" w:rsidP="006D462B">
      <w:pPr>
        <w:pStyle w:val="Sraassuenkleliais"/>
        <w:numPr>
          <w:ilvl w:val="0"/>
          <w:numId w:val="0"/>
        </w:numPr>
        <w:rPr>
          <w:rFonts w:ascii="Georgia" w:eastAsia="Times New Roman" w:hAnsi="Georgia" w:cs="Times New Roman"/>
          <w:lang w:val="lt-LT" w:eastAsia="lt-LT"/>
        </w:rPr>
      </w:pPr>
      <w:r w:rsidRPr="002142B8">
        <w:rPr>
          <w:rFonts w:ascii="Georgia" w:eastAsia="Times New Roman" w:hAnsi="Georgia" w:cs="Times New Roman"/>
          <w:lang w:val="lt-LT" w:eastAsia="lt-LT"/>
        </w:rPr>
        <w:t xml:space="preserve">2. </w:t>
      </w:r>
      <w:r w:rsidR="00393B1A" w:rsidRPr="002142B8">
        <w:rPr>
          <w:rFonts w:ascii="Georgia" w:eastAsia="Times New Roman" w:hAnsi="Georgia" w:cs="Times New Roman"/>
          <w:lang w:val="lt-LT" w:eastAsia="lt-LT"/>
        </w:rPr>
        <w:t xml:space="preserve">2014-2020 m. </w:t>
      </w:r>
      <w:r w:rsidRPr="002142B8">
        <w:rPr>
          <w:rFonts w:ascii="Georgia" w:eastAsia="Times New Roman" w:hAnsi="Georgia" w:cs="Times New Roman"/>
          <w:lang w:val="lt-LT" w:eastAsia="lt-LT"/>
        </w:rPr>
        <w:t>ES lėšų investavimas</w:t>
      </w:r>
      <w:r w:rsidR="00E3014F" w:rsidRPr="002142B8">
        <w:rPr>
          <w:rFonts w:ascii="Georgia" w:eastAsia="Times New Roman" w:hAnsi="Georgia" w:cs="Times New Roman"/>
          <w:lang w:val="lt-LT" w:eastAsia="lt-LT"/>
        </w:rPr>
        <w:t xml:space="preserve"> į </w:t>
      </w:r>
      <w:r w:rsidR="002C3B82" w:rsidRPr="002142B8">
        <w:rPr>
          <w:rFonts w:ascii="Georgia" w:eastAsia="Times New Roman" w:hAnsi="Georgia" w:cs="Times New Roman"/>
          <w:lang w:val="lt-LT" w:eastAsia="lt-LT"/>
        </w:rPr>
        <w:t xml:space="preserve">naują </w:t>
      </w:r>
      <w:r w:rsidR="00B2693D" w:rsidRPr="002142B8">
        <w:rPr>
          <w:rFonts w:ascii="Georgia" w:eastAsia="Times New Roman" w:hAnsi="Georgia" w:cs="Times New Roman"/>
          <w:lang w:val="lt-LT" w:eastAsia="lt-LT"/>
        </w:rPr>
        <w:t xml:space="preserve">paskolų </w:t>
      </w:r>
      <w:r w:rsidR="002C3B82" w:rsidRPr="002142B8">
        <w:rPr>
          <w:rFonts w:ascii="Georgia" w:eastAsia="Times New Roman" w:hAnsi="Georgia" w:cs="Times New Roman"/>
          <w:lang w:val="lt-LT" w:eastAsia="lt-LT"/>
        </w:rPr>
        <w:t>finansinę priemonę</w:t>
      </w:r>
      <w:r w:rsidR="007E64DB" w:rsidRPr="002142B8">
        <w:rPr>
          <w:rFonts w:ascii="Georgia" w:eastAsia="Times New Roman" w:hAnsi="Georgia" w:cs="Times New Roman"/>
          <w:lang w:val="lt-LT" w:eastAsia="lt-LT"/>
        </w:rPr>
        <w:t xml:space="preserve"> (DNMF sukūrimas)</w:t>
      </w:r>
    </w:p>
    <w:p w14:paraId="1457A721" w14:textId="5E9E56F2" w:rsidR="007B7398" w:rsidRPr="002142B8" w:rsidRDefault="007B7398" w:rsidP="00B2693D">
      <w:pPr>
        <w:pStyle w:val="Sraassuenkleliais"/>
        <w:numPr>
          <w:ilvl w:val="0"/>
          <w:numId w:val="0"/>
        </w:numPr>
        <w:rPr>
          <w:rFonts w:ascii="Georgia" w:eastAsia="Times New Roman" w:hAnsi="Georgia" w:cs="Times New Roman"/>
          <w:lang w:val="lt-LT" w:eastAsia="lt-LT"/>
        </w:rPr>
      </w:pPr>
      <w:r w:rsidRPr="002142B8">
        <w:rPr>
          <w:rFonts w:ascii="Georgia" w:eastAsia="Times New Roman" w:hAnsi="Georgia" w:cs="Times New Roman"/>
          <w:lang w:eastAsia="lt-LT"/>
        </w:rPr>
        <w:t>3</w:t>
      </w:r>
      <w:r w:rsidR="00B2693D" w:rsidRPr="002142B8">
        <w:rPr>
          <w:rFonts w:ascii="Georgia" w:eastAsia="Times New Roman" w:hAnsi="Georgia" w:cs="Times New Roman"/>
          <w:lang w:val="lt-LT" w:eastAsia="lt-LT"/>
        </w:rPr>
        <w:t>. 2014-2020 m. ES lėšų investavimas į garantijų finansinę priemonę (Rizikos pasidalijimo fondo sukūrimas)</w:t>
      </w:r>
    </w:p>
    <w:p w14:paraId="0D328F89" w14:textId="3DA39578" w:rsidR="007B7398" w:rsidRPr="002142B8" w:rsidRDefault="007B7398" w:rsidP="00B2693D">
      <w:pPr>
        <w:pStyle w:val="Sraassuenkleliais"/>
        <w:numPr>
          <w:ilvl w:val="0"/>
          <w:numId w:val="0"/>
        </w:numPr>
        <w:rPr>
          <w:rFonts w:ascii="Georgia" w:eastAsia="Times New Roman" w:hAnsi="Georgia" w:cs="Times New Roman"/>
          <w:lang w:val="lt-LT" w:eastAsia="lt-LT"/>
        </w:rPr>
      </w:pPr>
      <w:r w:rsidRPr="002142B8">
        <w:rPr>
          <w:rFonts w:ascii="Georgia" w:eastAsia="Times New Roman" w:hAnsi="Georgia" w:cs="Times New Roman"/>
          <w:lang w:val="lt-LT" w:eastAsia="lt-LT"/>
        </w:rPr>
        <w:t>4. Juridinio asmens statusą turinčio fondo steigimas</w:t>
      </w:r>
    </w:p>
    <w:p w14:paraId="1E392A6D" w14:textId="77777777" w:rsidR="007B7398" w:rsidRPr="002142B8" w:rsidRDefault="007B7398" w:rsidP="00B2693D">
      <w:pPr>
        <w:pStyle w:val="Sraassuenkleliais"/>
        <w:numPr>
          <w:ilvl w:val="0"/>
          <w:numId w:val="0"/>
        </w:numPr>
        <w:rPr>
          <w:rFonts w:ascii="Georgia" w:eastAsia="Times New Roman" w:hAnsi="Georgia" w:cs="Times New Roman"/>
          <w:lang w:val="lt-LT" w:eastAsia="lt-LT"/>
        </w:rPr>
      </w:pPr>
    </w:p>
    <w:p w14:paraId="3DABD3CD" w14:textId="2F16FCFC" w:rsidR="00AA7568" w:rsidRPr="002142B8" w:rsidRDefault="00AA7568" w:rsidP="006D462B">
      <w:pPr>
        <w:pStyle w:val="prastasis1"/>
        <w:spacing w:before="0" w:beforeAutospacing="0" w:after="0" w:afterAutospacing="0" w:line="360" w:lineRule="auto"/>
        <w:jc w:val="both"/>
        <w:rPr>
          <w:rFonts w:ascii="Georgia" w:hAnsi="Georgia"/>
          <w:sz w:val="20"/>
          <w:szCs w:val="20"/>
        </w:rPr>
      </w:pPr>
    </w:p>
    <w:p w14:paraId="03E93CFD" w14:textId="35D42D79" w:rsidR="00AA7568" w:rsidRPr="002142B8" w:rsidRDefault="00AA7568" w:rsidP="00AA7568">
      <w:pPr>
        <w:pStyle w:val="Antrat2"/>
        <w:numPr>
          <w:ilvl w:val="3"/>
          <w:numId w:val="2"/>
        </w:numPr>
        <w:spacing w:after="240"/>
        <w:rPr>
          <w:lang w:val="lt-LT"/>
        </w:rPr>
      </w:pPr>
      <w:bookmarkStart w:id="338" w:name="_Toc398567606"/>
      <w:bookmarkStart w:id="339" w:name="_Toc25589967"/>
      <w:r w:rsidRPr="002142B8">
        <w:rPr>
          <w:lang w:val="lt-LT"/>
        </w:rPr>
        <w:t>2014-2020 lėšų investavimas į esamą JESSICA fondą</w:t>
      </w:r>
      <w:bookmarkEnd w:id="338"/>
      <w:r w:rsidRPr="002142B8">
        <w:rPr>
          <w:lang w:val="lt-LT"/>
        </w:rPr>
        <w:t xml:space="preserve"> (fondų fondo tęsinys)</w:t>
      </w:r>
      <w:bookmarkEnd w:id="339"/>
    </w:p>
    <w:p w14:paraId="24953874" w14:textId="2D15634D" w:rsidR="00911277" w:rsidRPr="002142B8" w:rsidRDefault="00AA7568" w:rsidP="006D462B">
      <w:pPr>
        <w:pStyle w:val="prastasis1"/>
        <w:spacing w:line="276" w:lineRule="auto"/>
        <w:jc w:val="both"/>
        <w:rPr>
          <w:rFonts w:ascii="Georgia" w:hAnsi="Georgia"/>
          <w:sz w:val="20"/>
          <w:szCs w:val="20"/>
        </w:rPr>
      </w:pPr>
      <w:r w:rsidRPr="002142B8">
        <w:rPr>
          <w:rFonts w:ascii="Georgia" w:hAnsi="Georgia"/>
          <w:sz w:val="20"/>
          <w:szCs w:val="20"/>
        </w:rPr>
        <w:t>Šios alternatyvos įgyvendinimo atveju Finansų ministerija kaip vadovaujančioji institucija kartu su Aplinkos ministerija priim</w:t>
      </w:r>
      <w:r w:rsidR="003849D3" w:rsidRPr="002142B8">
        <w:rPr>
          <w:rFonts w:ascii="Georgia" w:hAnsi="Georgia"/>
          <w:sz w:val="20"/>
          <w:szCs w:val="20"/>
        </w:rPr>
        <w:t>a</w:t>
      </w:r>
      <w:r w:rsidRPr="002142B8">
        <w:rPr>
          <w:rFonts w:ascii="Georgia" w:hAnsi="Georgia"/>
          <w:sz w:val="20"/>
          <w:szCs w:val="20"/>
        </w:rPr>
        <w:t xml:space="preserve"> sprendimą pratęsti JESSICA KF</w:t>
      </w:r>
      <w:r w:rsidR="004C2001" w:rsidRPr="002142B8">
        <w:rPr>
          <w:rFonts w:ascii="Georgia" w:hAnsi="Georgia"/>
          <w:sz w:val="20"/>
          <w:szCs w:val="20"/>
        </w:rPr>
        <w:t xml:space="preserve"> modelio įgyvendinimą</w:t>
      </w:r>
      <w:r w:rsidRPr="002142B8">
        <w:rPr>
          <w:rFonts w:ascii="Georgia" w:hAnsi="Georgia"/>
          <w:sz w:val="20"/>
          <w:szCs w:val="20"/>
        </w:rPr>
        <w:t xml:space="preserve">, kuris buvo sukurtas 2007–2013 </w:t>
      </w:r>
      <w:r w:rsidR="000E109F" w:rsidRPr="002142B8">
        <w:rPr>
          <w:rFonts w:ascii="Georgia" w:hAnsi="Georgia"/>
          <w:sz w:val="20"/>
          <w:szCs w:val="20"/>
        </w:rPr>
        <w:t>m. programavimo periodu,</w:t>
      </w:r>
      <w:r w:rsidRPr="002142B8">
        <w:rPr>
          <w:rFonts w:ascii="Georgia" w:hAnsi="Georgia"/>
          <w:sz w:val="20"/>
          <w:szCs w:val="20"/>
        </w:rPr>
        <w:t xml:space="preserve"> iš esmės nekeičiant jo struktūros. Vadovaujantis </w:t>
      </w:r>
      <w:r w:rsidR="00BB6F28" w:rsidRPr="002142B8">
        <w:rPr>
          <w:rFonts w:ascii="Georgia" w:hAnsi="Georgia"/>
          <w:sz w:val="20"/>
          <w:szCs w:val="20"/>
        </w:rPr>
        <w:t>2014-2020 m. iš ES fondų lėšų planuojamų bendrai finansuoti valstybės projektų atrankos laikinosios tvarkos aprašu, patvirtintu</w:t>
      </w:r>
      <w:r w:rsidR="00D40FF3" w:rsidRPr="002142B8">
        <w:rPr>
          <w:rFonts w:ascii="Georgia" w:hAnsi="Georgia"/>
          <w:sz w:val="20"/>
          <w:szCs w:val="20"/>
        </w:rPr>
        <w:t xml:space="preserve"> </w:t>
      </w:r>
      <w:r w:rsidR="00BB6F28" w:rsidRPr="002142B8">
        <w:rPr>
          <w:rFonts w:ascii="Georgia" w:hAnsi="Georgia"/>
          <w:sz w:val="20"/>
          <w:szCs w:val="20"/>
        </w:rPr>
        <w:t xml:space="preserve">2013 m. spalio 30 d. LRV nutarimu Nr. 998, </w:t>
      </w:r>
      <w:r w:rsidRPr="002142B8">
        <w:rPr>
          <w:rFonts w:ascii="Georgia" w:hAnsi="Georgia"/>
          <w:sz w:val="20"/>
          <w:szCs w:val="20"/>
        </w:rPr>
        <w:t xml:space="preserve">JESSICA KF </w:t>
      </w:r>
      <w:r w:rsidR="00BB6F28" w:rsidRPr="002142B8">
        <w:rPr>
          <w:rFonts w:ascii="Georgia" w:hAnsi="Georgia"/>
          <w:sz w:val="20"/>
          <w:szCs w:val="20"/>
        </w:rPr>
        <w:t xml:space="preserve">gali būti </w:t>
      </w:r>
      <w:r w:rsidRPr="002142B8">
        <w:rPr>
          <w:rFonts w:ascii="Georgia" w:hAnsi="Georgia"/>
          <w:sz w:val="20"/>
          <w:szCs w:val="20"/>
        </w:rPr>
        <w:t>papildomas 2014-2020 m. ESI fondų lėšomis siekiant patenkinti perėjimo</w:t>
      </w:r>
      <w:r w:rsidR="00BB6F28" w:rsidRPr="002142B8">
        <w:rPr>
          <w:rFonts w:ascii="Georgia" w:hAnsi="Georgia"/>
          <w:sz w:val="20"/>
          <w:szCs w:val="20"/>
        </w:rPr>
        <w:t xml:space="preserve"> metu</w:t>
      </w:r>
      <w:r w:rsidRPr="002142B8">
        <w:rPr>
          <w:rFonts w:ascii="Georgia" w:hAnsi="Georgia"/>
          <w:sz w:val="20"/>
          <w:szCs w:val="20"/>
        </w:rPr>
        <w:t xml:space="preserve"> susiformavusį projektų srautą. </w:t>
      </w:r>
    </w:p>
    <w:p w14:paraId="25D55D66" w14:textId="2557601F" w:rsidR="006D462B" w:rsidRPr="002142B8" w:rsidRDefault="003659B7" w:rsidP="006D462B">
      <w:pPr>
        <w:pStyle w:val="prastasis1"/>
        <w:spacing w:line="276" w:lineRule="auto"/>
        <w:jc w:val="both"/>
        <w:rPr>
          <w:szCs w:val="20"/>
        </w:rPr>
      </w:pPr>
      <w:r w:rsidRPr="002142B8">
        <w:rPr>
          <w:rFonts w:ascii="Georgia" w:hAnsi="Georgia"/>
          <w:sz w:val="20"/>
          <w:szCs w:val="20"/>
        </w:rPr>
        <w:t>P</w:t>
      </w:r>
      <w:r w:rsidR="00AA7568" w:rsidRPr="002142B8">
        <w:rPr>
          <w:rFonts w:ascii="Georgia" w:hAnsi="Georgia"/>
          <w:sz w:val="20"/>
          <w:szCs w:val="20"/>
        </w:rPr>
        <w:t>atvirtinus nacionalinę teisinę bazę, vadovaudamasi Bendrųjų nuostatų reglamento 38 str. 4 dalimi, vadovaujančioji institucija paski</w:t>
      </w:r>
      <w:r w:rsidR="00BB6F28" w:rsidRPr="002142B8">
        <w:rPr>
          <w:rFonts w:ascii="Georgia" w:hAnsi="Georgia"/>
          <w:sz w:val="20"/>
          <w:szCs w:val="20"/>
        </w:rPr>
        <w:t>ria/atrenka</w:t>
      </w:r>
      <w:r w:rsidR="00AA7568" w:rsidRPr="002142B8">
        <w:rPr>
          <w:rFonts w:ascii="Georgia" w:hAnsi="Georgia"/>
          <w:sz w:val="20"/>
          <w:szCs w:val="20"/>
        </w:rPr>
        <w:t xml:space="preserve"> vieną iš 38(4)(b) straipsnyje nurodytų institucijų naujojo JESSICA fondų fondo valdytoju. Atrinkus/paskyrus fondų fondo valdytoją, būtų galima JESSICA fondų fondą papildyti 2014-2020 m. programavimo periodo ES struktūrinių fondų lėšomis ir suteikti fondo valdytojui atitinkamus veiklos </w:t>
      </w:r>
      <w:r w:rsidR="0035358E" w:rsidRPr="002142B8">
        <w:rPr>
          <w:rFonts w:ascii="Georgia" w:hAnsi="Georgia"/>
          <w:sz w:val="20"/>
          <w:szCs w:val="20"/>
        </w:rPr>
        <w:t>įgaliojimus.</w:t>
      </w:r>
    </w:p>
    <w:p w14:paraId="3E948217" w14:textId="11507364"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Vykdydamas 2014-2020 m. JESSICA fon</w:t>
      </w:r>
      <w:r w:rsidR="00BB6F28" w:rsidRPr="002142B8">
        <w:rPr>
          <w:rFonts w:ascii="Georgia" w:hAnsi="Georgia"/>
          <w:sz w:val="20"/>
          <w:szCs w:val="20"/>
        </w:rPr>
        <w:t>do veiklą, fondo valdytojas atre</w:t>
      </w:r>
      <w:r w:rsidRPr="002142B8">
        <w:rPr>
          <w:rFonts w:ascii="Georgia" w:hAnsi="Georgia"/>
          <w:sz w:val="20"/>
          <w:szCs w:val="20"/>
        </w:rPr>
        <w:t>nk</w:t>
      </w:r>
      <w:r w:rsidR="003659B7" w:rsidRPr="002142B8">
        <w:rPr>
          <w:rFonts w:ascii="Georgia" w:hAnsi="Georgia"/>
          <w:sz w:val="20"/>
          <w:szCs w:val="20"/>
        </w:rPr>
        <w:t>a</w:t>
      </w:r>
      <w:r w:rsidRPr="002142B8">
        <w:rPr>
          <w:rFonts w:ascii="Georgia" w:hAnsi="Georgia"/>
          <w:sz w:val="20"/>
          <w:szCs w:val="20"/>
        </w:rPr>
        <w:t xml:space="preserve"> finansinius tarpininkus, kurie teik</w:t>
      </w:r>
      <w:r w:rsidR="003659B7" w:rsidRPr="002142B8">
        <w:rPr>
          <w:rFonts w:ascii="Georgia" w:hAnsi="Georgia"/>
          <w:sz w:val="20"/>
          <w:szCs w:val="20"/>
        </w:rPr>
        <w:t>ia</w:t>
      </w:r>
      <w:r w:rsidRPr="002142B8">
        <w:rPr>
          <w:rFonts w:ascii="Georgia" w:hAnsi="Georgia"/>
          <w:sz w:val="20"/>
          <w:szCs w:val="20"/>
        </w:rPr>
        <w:t xml:space="preserve"> paskolas</w:t>
      </w:r>
      <w:r w:rsidR="00BB6F28" w:rsidRPr="002142B8">
        <w:rPr>
          <w:rFonts w:ascii="Georgia" w:hAnsi="Georgia"/>
          <w:sz w:val="20"/>
          <w:szCs w:val="20"/>
        </w:rPr>
        <w:t xml:space="preserve"> daugiabučių namų atnaujinimui finansuoti. </w:t>
      </w:r>
      <w:r w:rsidRPr="002142B8">
        <w:rPr>
          <w:rFonts w:ascii="Georgia" w:hAnsi="Georgia"/>
          <w:sz w:val="20"/>
          <w:szCs w:val="20"/>
        </w:rPr>
        <w:t>Su atrinktais finansiniais tarpininkais fondo valdytojas pasiraš</w:t>
      </w:r>
      <w:r w:rsidR="003659B7" w:rsidRPr="002142B8">
        <w:rPr>
          <w:rFonts w:ascii="Georgia" w:hAnsi="Georgia"/>
          <w:sz w:val="20"/>
          <w:szCs w:val="20"/>
        </w:rPr>
        <w:t>o</w:t>
      </w:r>
      <w:r w:rsidRPr="002142B8">
        <w:rPr>
          <w:rFonts w:ascii="Georgia" w:hAnsi="Georgia"/>
          <w:sz w:val="20"/>
          <w:szCs w:val="20"/>
        </w:rPr>
        <w:t xml:space="preserve"> sąlygines</w:t>
      </w:r>
      <w:r w:rsidRPr="002142B8">
        <w:rPr>
          <w:rStyle w:val="Puslapioinaosnuoroda"/>
          <w:rFonts w:ascii="Georgia" w:hAnsi="Georgia"/>
          <w:sz w:val="20"/>
          <w:szCs w:val="20"/>
        </w:rPr>
        <w:footnoteReference w:id="183"/>
      </w:r>
      <w:r w:rsidRPr="002142B8">
        <w:rPr>
          <w:rFonts w:ascii="Georgia" w:hAnsi="Georgia"/>
          <w:sz w:val="20"/>
          <w:szCs w:val="20"/>
        </w:rPr>
        <w:t xml:space="preserve"> paskolos sutartis. Valdytojui už fondo va</w:t>
      </w:r>
      <w:r w:rsidR="00BB6F28" w:rsidRPr="002142B8">
        <w:rPr>
          <w:rFonts w:ascii="Georgia" w:hAnsi="Georgia"/>
          <w:sz w:val="20"/>
          <w:szCs w:val="20"/>
        </w:rPr>
        <w:t xml:space="preserve">ldymą mokamas valdymo mokestis </w:t>
      </w:r>
      <w:r w:rsidRPr="002142B8">
        <w:rPr>
          <w:rFonts w:ascii="Georgia" w:hAnsi="Georgia"/>
          <w:sz w:val="20"/>
          <w:szCs w:val="20"/>
        </w:rPr>
        <w:t>vadovaujantis Deleguotame reglamente apibrėžtomis nuostatomis. Finansiniai tarpininkai taip pat gau</w:t>
      </w:r>
      <w:r w:rsidR="003659B7" w:rsidRPr="002142B8">
        <w:rPr>
          <w:rFonts w:ascii="Georgia" w:hAnsi="Georgia"/>
          <w:sz w:val="20"/>
          <w:szCs w:val="20"/>
        </w:rPr>
        <w:t>na</w:t>
      </w:r>
      <w:r w:rsidRPr="002142B8">
        <w:rPr>
          <w:rFonts w:ascii="Georgia" w:hAnsi="Georgia"/>
          <w:sz w:val="20"/>
          <w:szCs w:val="20"/>
        </w:rPr>
        <w:t xml:space="preserve"> nustatytą valdymo mokestį už teikiamas finansinio tarpininko paslaugas, kaip tai numatyta Deleguoto reglamento nuostatose.</w:t>
      </w:r>
    </w:p>
    <w:p w14:paraId="624F927B" w14:textId="44960266"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JESSICA KF modelio tęstinumas turi tam tikrų privalumų. Vadovaujančioji institucija ir Aplinkos ministerija yra gerai susipažinusios su šio modelio veikla, turi didelę patirtį fondų fondo</w:t>
      </w:r>
      <w:r w:rsidR="001C0469" w:rsidRPr="002142B8">
        <w:rPr>
          <w:rFonts w:ascii="Georgia" w:hAnsi="Georgia"/>
          <w:sz w:val="20"/>
          <w:szCs w:val="20"/>
        </w:rPr>
        <w:t xml:space="preserve"> įgyvendinime</w:t>
      </w:r>
      <w:r w:rsidR="00BB6F28" w:rsidRPr="002142B8">
        <w:rPr>
          <w:rFonts w:ascii="Georgia" w:hAnsi="Georgia"/>
          <w:sz w:val="20"/>
          <w:szCs w:val="20"/>
        </w:rPr>
        <w:t xml:space="preserve">, o taip pat ir </w:t>
      </w:r>
      <w:r w:rsidRPr="002142B8">
        <w:rPr>
          <w:rFonts w:ascii="Georgia" w:hAnsi="Georgia"/>
          <w:sz w:val="20"/>
          <w:szCs w:val="20"/>
        </w:rPr>
        <w:t xml:space="preserve">finansiniai tarpininkai turi didelę </w:t>
      </w:r>
      <w:r w:rsidR="00BB6F28" w:rsidRPr="002142B8">
        <w:rPr>
          <w:rFonts w:ascii="Georgia" w:hAnsi="Georgia"/>
          <w:sz w:val="20"/>
          <w:szCs w:val="20"/>
        </w:rPr>
        <w:t xml:space="preserve">patirtį įgyvendinant šį modelį. </w:t>
      </w:r>
    </w:p>
    <w:p w14:paraId="3A11132F" w14:textId="56948C89" w:rsidR="00DA1E22" w:rsidRPr="002142B8" w:rsidRDefault="00DA1E22" w:rsidP="00AA7568">
      <w:pPr>
        <w:pStyle w:val="prastasis1"/>
        <w:spacing w:line="276" w:lineRule="auto"/>
        <w:jc w:val="both"/>
        <w:rPr>
          <w:rFonts w:ascii="Georgia" w:hAnsi="Georgia"/>
          <w:sz w:val="20"/>
          <w:szCs w:val="20"/>
        </w:rPr>
      </w:pPr>
      <w:r w:rsidRPr="002142B8">
        <w:rPr>
          <w:rFonts w:ascii="Georgia" w:hAnsi="Georgia"/>
          <w:sz w:val="20"/>
          <w:szCs w:val="20"/>
        </w:rPr>
        <w:t>Kiti šios alternatyvos privalumai ir trūkumai trumpai aptariami toliau pateiktoje lentelejė.</w:t>
      </w:r>
    </w:p>
    <w:p w14:paraId="7CBC5EE2" w14:textId="446EE8E7" w:rsidR="00285BA4" w:rsidRPr="008377C9" w:rsidRDefault="00AA7568" w:rsidP="00285BA4">
      <w:pPr>
        <w:pStyle w:val="Antrat"/>
        <w:rPr>
          <w:b w:val="0"/>
          <w:i/>
          <w:lang w:val="lt-LT"/>
        </w:rPr>
      </w:pPr>
      <w:bookmarkStart w:id="340" w:name="_Toc460321734"/>
      <w:bookmarkStart w:id="341" w:name="_Toc507939217"/>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95</w:t>
      </w:r>
      <w:r w:rsidRPr="008377C9">
        <w:rPr>
          <w:b w:val="0"/>
          <w:i/>
          <w:lang w:val="lt-LT"/>
        </w:rPr>
        <w:fldChar w:fldCharType="end"/>
      </w:r>
      <w:r w:rsidRPr="008377C9">
        <w:rPr>
          <w:b w:val="0"/>
          <w:i/>
          <w:lang w:val="lt-LT"/>
        </w:rPr>
        <w:t xml:space="preserve">. </w:t>
      </w:r>
      <w:r w:rsidR="007C54B4" w:rsidRPr="008377C9">
        <w:rPr>
          <w:b w:val="0"/>
          <w:i/>
          <w:lang w:val="lt-LT"/>
        </w:rPr>
        <w:t>JESSICA fondų fondo tęsinio alternatyvos</w:t>
      </w:r>
      <w:r w:rsidRPr="008377C9">
        <w:rPr>
          <w:rFonts w:eastAsiaTheme="minorHAnsi" w:cstheme="minorBidi"/>
          <w:b w:val="0"/>
          <w:i/>
          <w:szCs w:val="20"/>
          <w:lang w:val="lt-LT"/>
        </w:rPr>
        <w:t xml:space="preserve"> privalumų ir trūkumų palygi</w:t>
      </w:r>
      <w:r w:rsidR="00A82C12" w:rsidRPr="008377C9">
        <w:rPr>
          <w:rFonts w:eastAsiaTheme="minorHAnsi" w:cstheme="minorBidi"/>
          <w:b w:val="0"/>
          <w:i/>
          <w:szCs w:val="20"/>
          <w:lang w:val="lt-LT"/>
        </w:rPr>
        <w:t>ni</w:t>
      </w:r>
      <w:r w:rsidRPr="008377C9">
        <w:rPr>
          <w:rFonts w:eastAsiaTheme="minorHAnsi" w:cstheme="minorBidi"/>
          <w:b w:val="0"/>
          <w:i/>
          <w:szCs w:val="20"/>
          <w:lang w:val="lt-LT"/>
        </w:rPr>
        <w:t>mas</w:t>
      </w:r>
      <w:bookmarkEnd w:id="340"/>
      <w:bookmarkEnd w:id="341"/>
      <w:r w:rsidR="00285BA4" w:rsidRPr="008377C9">
        <w:rPr>
          <w:rFonts w:eastAsiaTheme="minorHAnsi" w:cstheme="minorBidi"/>
          <w:b w:val="0"/>
          <w:i/>
          <w:szCs w:val="20"/>
          <w:lang w:val="lt-LT"/>
        </w:rPr>
        <w:t xml:space="preserve">  </w:t>
      </w:r>
    </w:p>
    <w:tbl>
      <w:tblPr>
        <w:tblStyle w:val="viesussraas2parykinimas1"/>
        <w:tblW w:w="5000" w:type="pct"/>
        <w:tblLook w:val="04A0" w:firstRow="1" w:lastRow="0" w:firstColumn="1" w:lastColumn="0" w:noHBand="0" w:noVBand="1"/>
      </w:tblPr>
      <w:tblGrid>
        <w:gridCol w:w="4941"/>
        <w:gridCol w:w="4941"/>
      </w:tblGrid>
      <w:tr w:rsidR="00AA7568" w:rsidRPr="002142B8" w14:paraId="4BE7BC54" w14:textId="77777777" w:rsidTr="00285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88F409" w14:textId="77777777" w:rsidR="00AA7568" w:rsidRPr="002142B8" w:rsidRDefault="00AA7568" w:rsidP="00AA7568">
            <w:pPr>
              <w:pStyle w:val="prastasis1"/>
              <w:jc w:val="center"/>
              <w:rPr>
                <w:rFonts w:ascii="Georgia" w:hAnsi="Georgia"/>
                <w:b w:val="0"/>
                <w:bCs w:val="0"/>
                <w:color w:val="auto"/>
                <w:sz w:val="20"/>
                <w:szCs w:val="20"/>
              </w:rPr>
            </w:pPr>
            <w:r w:rsidRPr="002142B8">
              <w:rPr>
                <w:rFonts w:ascii="Georgia" w:hAnsi="Georgia"/>
                <w:sz w:val="20"/>
                <w:szCs w:val="20"/>
              </w:rPr>
              <w:t>Privalumai</w:t>
            </w:r>
          </w:p>
        </w:tc>
        <w:tc>
          <w:tcPr>
            <w:tcW w:w="2500" w:type="pct"/>
          </w:tcPr>
          <w:p w14:paraId="1106C607" w14:textId="77777777" w:rsidR="00AA7568" w:rsidRPr="002142B8" w:rsidRDefault="00AA7568" w:rsidP="00AA7568">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2142B8">
              <w:rPr>
                <w:rFonts w:ascii="Georgia" w:hAnsi="Georgia"/>
                <w:sz w:val="20"/>
                <w:szCs w:val="20"/>
              </w:rPr>
              <w:t>Trūkumai</w:t>
            </w:r>
          </w:p>
        </w:tc>
      </w:tr>
      <w:tr w:rsidR="00AA7568" w:rsidRPr="002142B8" w14:paraId="71B6606C" w14:textId="77777777" w:rsidTr="00285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30CECA" w14:textId="0B502B7E" w:rsidR="00AA7568" w:rsidRPr="002142B8" w:rsidRDefault="00AA7568" w:rsidP="00AA7568">
            <w:pPr>
              <w:pStyle w:val="prastasis1"/>
              <w:jc w:val="both"/>
              <w:rPr>
                <w:rFonts w:ascii="Georgia" w:hAnsi="Georgia"/>
                <w:b w:val="0"/>
                <w:bCs w:val="0"/>
                <w:sz w:val="20"/>
                <w:szCs w:val="20"/>
              </w:rPr>
            </w:pPr>
            <w:r w:rsidRPr="002142B8">
              <w:rPr>
                <w:rFonts w:ascii="Georgia" w:hAnsi="Georgia"/>
                <w:sz w:val="20"/>
                <w:szCs w:val="20"/>
              </w:rPr>
              <w:t>Aiški ir įprasta fondo veiklos struktūra (t.y. fondo valdymas ir jo santykiai su finansiniais tarpininkais).</w:t>
            </w:r>
          </w:p>
        </w:tc>
        <w:tc>
          <w:tcPr>
            <w:tcW w:w="2500" w:type="pct"/>
          </w:tcPr>
          <w:p w14:paraId="2F79E0EB" w14:textId="6F0F1F5C" w:rsidR="00AA7568" w:rsidRPr="002142B8" w:rsidRDefault="00AA7568" w:rsidP="00BB6F28">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Fondas įsteig</w:t>
            </w:r>
            <w:r w:rsidR="00285BA4" w:rsidRPr="002142B8">
              <w:rPr>
                <w:rFonts w:ascii="Georgia" w:hAnsi="Georgia"/>
                <w:sz w:val="20"/>
                <w:szCs w:val="20"/>
              </w:rPr>
              <w:t>i</w:t>
            </w:r>
            <w:r w:rsidR="00BB6F28" w:rsidRPr="002142B8">
              <w:rPr>
                <w:rFonts w:ascii="Georgia" w:hAnsi="Georgia"/>
                <w:sz w:val="20"/>
                <w:szCs w:val="20"/>
              </w:rPr>
              <w:t>a</w:t>
            </w:r>
            <w:r w:rsidR="00285BA4" w:rsidRPr="002142B8">
              <w:rPr>
                <w:rFonts w:ascii="Georgia" w:hAnsi="Georgia"/>
                <w:sz w:val="20"/>
                <w:szCs w:val="20"/>
              </w:rPr>
              <w:t>mas</w:t>
            </w:r>
            <w:r w:rsidRPr="002142B8">
              <w:rPr>
                <w:rFonts w:ascii="Georgia" w:hAnsi="Georgia"/>
                <w:sz w:val="20"/>
                <w:szCs w:val="20"/>
              </w:rPr>
              <w:t xml:space="preserve"> kaip sąskaitų rinkinys, todėl neturi juridinio asmens statuso</w:t>
            </w:r>
            <w:r w:rsidR="00416D80" w:rsidRPr="002142B8">
              <w:rPr>
                <w:rFonts w:ascii="Georgia" w:hAnsi="Georgia"/>
                <w:sz w:val="20"/>
                <w:szCs w:val="20"/>
              </w:rPr>
              <w:t xml:space="preserve">. Ši aplinkybė gali riboti galimybę pritraukti </w:t>
            </w:r>
            <w:r w:rsidRPr="002142B8">
              <w:rPr>
                <w:rFonts w:ascii="Georgia" w:hAnsi="Georgia"/>
                <w:sz w:val="20"/>
                <w:szCs w:val="20"/>
              </w:rPr>
              <w:t xml:space="preserve"> papildomas lėšas</w:t>
            </w:r>
            <w:r w:rsidR="00416D80" w:rsidRPr="002142B8">
              <w:rPr>
                <w:rFonts w:ascii="Georgia" w:hAnsi="Georgia"/>
                <w:sz w:val="20"/>
                <w:szCs w:val="20"/>
              </w:rPr>
              <w:t xml:space="preserve"> (pvz. </w:t>
            </w:r>
            <w:r w:rsidR="00BB6F28" w:rsidRPr="002142B8">
              <w:rPr>
                <w:rFonts w:ascii="Georgia" w:hAnsi="Georgia"/>
                <w:sz w:val="20"/>
                <w:szCs w:val="20"/>
              </w:rPr>
              <w:t xml:space="preserve">iš </w:t>
            </w:r>
            <w:r w:rsidR="00416D80" w:rsidRPr="002142B8">
              <w:rPr>
                <w:rFonts w:ascii="Georgia" w:hAnsi="Georgia"/>
                <w:sz w:val="20"/>
                <w:szCs w:val="20"/>
              </w:rPr>
              <w:t>privačių investuotojų</w:t>
            </w:r>
            <w:r w:rsidR="00BB6F28" w:rsidRPr="002142B8">
              <w:rPr>
                <w:rFonts w:ascii="Georgia" w:hAnsi="Georgia"/>
                <w:sz w:val="20"/>
                <w:szCs w:val="20"/>
              </w:rPr>
              <w:t>,</w:t>
            </w:r>
            <w:r w:rsidR="00416D80" w:rsidRPr="002142B8">
              <w:rPr>
                <w:rFonts w:ascii="Georgia" w:hAnsi="Georgia"/>
                <w:sz w:val="20"/>
                <w:szCs w:val="20"/>
              </w:rPr>
              <w:t xml:space="preserve"> kitų</w:t>
            </w:r>
            <w:r w:rsidR="00DA1E22" w:rsidRPr="002142B8">
              <w:rPr>
                <w:rFonts w:ascii="Georgia" w:hAnsi="Georgia"/>
                <w:sz w:val="20"/>
                <w:szCs w:val="20"/>
              </w:rPr>
              <w:t xml:space="preserve"> </w:t>
            </w:r>
            <w:r w:rsidR="00416D80" w:rsidRPr="002142B8">
              <w:rPr>
                <w:rFonts w:ascii="Georgia" w:hAnsi="Georgia"/>
                <w:sz w:val="20"/>
                <w:szCs w:val="20"/>
              </w:rPr>
              <w:t>nei finans</w:t>
            </w:r>
            <w:r w:rsidR="00BB6F28" w:rsidRPr="002142B8">
              <w:rPr>
                <w:rFonts w:ascii="Georgia" w:hAnsi="Georgia"/>
                <w:sz w:val="20"/>
                <w:szCs w:val="20"/>
              </w:rPr>
              <w:t>iniai tarpininkai</w:t>
            </w:r>
            <w:r w:rsidR="00416D80" w:rsidRPr="002142B8">
              <w:rPr>
                <w:rFonts w:ascii="Georgia" w:hAnsi="Georgia"/>
                <w:sz w:val="20"/>
                <w:szCs w:val="20"/>
              </w:rPr>
              <w:t>)</w:t>
            </w:r>
            <w:r w:rsidRPr="002142B8">
              <w:rPr>
                <w:rFonts w:ascii="Georgia" w:hAnsi="Georgia"/>
                <w:sz w:val="20"/>
                <w:szCs w:val="20"/>
              </w:rPr>
              <w:t>.</w:t>
            </w:r>
          </w:p>
        </w:tc>
      </w:tr>
      <w:tr w:rsidR="00416D80" w:rsidRPr="002142B8" w14:paraId="0BF1340E" w14:textId="77777777" w:rsidTr="00285BA4">
        <w:tc>
          <w:tcPr>
            <w:cnfStyle w:val="001000000000" w:firstRow="0" w:lastRow="0" w:firstColumn="1" w:lastColumn="0" w:oddVBand="0" w:evenVBand="0" w:oddHBand="0" w:evenHBand="0" w:firstRowFirstColumn="0" w:firstRowLastColumn="0" w:lastRowFirstColumn="0" w:lastRowLastColumn="0"/>
            <w:tcW w:w="2500" w:type="pct"/>
          </w:tcPr>
          <w:p w14:paraId="7C9E1341" w14:textId="1C4D182B" w:rsidR="00416D80" w:rsidRPr="002142B8" w:rsidRDefault="00416D80" w:rsidP="00416D80">
            <w:pPr>
              <w:pStyle w:val="prastasis1"/>
              <w:jc w:val="both"/>
              <w:rPr>
                <w:rFonts w:ascii="Georgia" w:hAnsi="Georgia"/>
                <w:b w:val="0"/>
                <w:bCs w:val="0"/>
                <w:sz w:val="20"/>
                <w:szCs w:val="20"/>
              </w:rPr>
            </w:pPr>
            <w:r w:rsidRPr="002142B8">
              <w:rPr>
                <w:rFonts w:ascii="Georgia" w:hAnsi="Georgia"/>
                <w:sz w:val="20"/>
                <w:szCs w:val="20"/>
              </w:rPr>
              <w:t>Pradėtiems projektams sudaromos teisinės prielaidos juos finansuoti 2014 – 2020 m. programavimo periodo lėšomis.</w:t>
            </w:r>
          </w:p>
        </w:tc>
        <w:tc>
          <w:tcPr>
            <w:tcW w:w="2500" w:type="pct"/>
          </w:tcPr>
          <w:p w14:paraId="5755A6EA" w14:textId="63DF6A3C" w:rsidR="00416D80" w:rsidRPr="002142B8" w:rsidRDefault="00416D80" w:rsidP="00416D80">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Gali reikėti pakeisti sutartis su fondo valdytoju ir finansiniais tarpininkais, kad jos atitiktų 2014 – 2020 m. programavimo periodo reikalavimus, o tai gali užtrukti iki 6 mėnesių ir dar ilgiau.</w:t>
            </w:r>
          </w:p>
        </w:tc>
      </w:tr>
      <w:tr w:rsidR="00416D80" w:rsidRPr="002142B8" w14:paraId="3A13D2DD" w14:textId="77777777" w:rsidTr="00285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66B6C8" w14:textId="5AD11D5B" w:rsidR="00416D80" w:rsidRPr="002142B8" w:rsidRDefault="00416D80" w:rsidP="00416D80">
            <w:pPr>
              <w:pStyle w:val="prastasis1"/>
              <w:jc w:val="both"/>
              <w:rPr>
                <w:rFonts w:ascii="Georgia" w:hAnsi="Georgia"/>
                <w:b w:val="0"/>
                <w:bCs w:val="0"/>
                <w:sz w:val="20"/>
                <w:szCs w:val="20"/>
              </w:rPr>
            </w:pPr>
            <w:r w:rsidRPr="002142B8">
              <w:rPr>
                <w:rFonts w:ascii="Georgia" w:hAnsi="Georgia"/>
                <w:sz w:val="20"/>
                <w:szCs w:val="20"/>
              </w:rPr>
              <w:t>Pakankamai trumpas įgyvendinimo laikas</w:t>
            </w:r>
          </w:p>
        </w:tc>
        <w:tc>
          <w:tcPr>
            <w:tcW w:w="2500" w:type="pct"/>
          </w:tcPr>
          <w:p w14:paraId="627EEB40" w14:textId="22628B9D" w:rsidR="00416D80" w:rsidRPr="002142B8" w:rsidRDefault="00416D80" w:rsidP="00416D80">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416D80" w:rsidRPr="002142B8" w14:paraId="1D8D005A" w14:textId="77777777" w:rsidTr="0063781D">
        <w:trPr>
          <w:trHeight w:val="50"/>
        </w:trPr>
        <w:tc>
          <w:tcPr>
            <w:cnfStyle w:val="001000000000" w:firstRow="0" w:lastRow="0" w:firstColumn="1" w:lastColumn="0" w:oddVBand="0" w:evenVBand="0" w:oddHBand="0" w:evenHBand="0" w:firstRowFirstColumn="0" w:firstRowLastColumn="0" w:lastRowFirstColumn="0" w:lastRowLastColumn="0"/>
            <w:tcW w:w="0" w:type="pct"/>
          </w:tcPr>
          <w:p w14:paraId="05C073C4" w14:textId="1A4E9208" w:rsidR="00416D80" w:rsidRPr="002142B8" w:rsidRDefault="00416D80" w:rsidP="00416D80">
            <w:pPr>
              <w:pStyle w:val="prastasis1"/>
              <w:jc w:val="both"/>
              <w:rPr>
                <w:rFonts w:ascii="Georgia" w:hAnsi="Georgia"/>
                <w:b w:val="0"/>
                <w:sz w:val="20"/>
                <w:szCs w:val="20"/>
              </w:rPr>
            </w:pPr>
            <w:r w:rsidRPr="002142B8">
              <w:rPr>
                <w:rFonts w:ascii="Georgia" w:hAnsi="Georgia"/>
                <w:sz w:val="20"/>
                <w:szCs w:val="20"/>
              </w:rPr>
              <w:t>Sukaupta Finansų ir Aplinkos ministerijų patirtis dalyvaujant JESSICA Kontroliuojančiojo fondo 2007-2013 valdyme</w:t>
            </w:r>
          </w:p>
        </w:tc>
        <w:tc>
          <w:tcPr>
            <w:tcW w:w="0" w:type="pct"/>
          </w:tcPr>
          <w:p w14:paraId="4325D5EF" w14:textId="77777777" w:rsidR="00416D80" w:rsidRPr="002142B8" w:rsidRDefault="00416D80" w:rsidP="00416D80">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bl>
    <w:p w14:paraId="1E9967FB" w14:textId="6799246C" w:rsidR="007E64DB" w:rsidRPr="002142B8" w:rsidRDefault="00393B1A" w:rsidP="0063781D">
      <w:pPr>
        <w:pStyle w:val="Antrat2"/>
        <w:numPr>
          <w:ilvl w:val="3"/>
          <w:numId w:val="2"/>
        </w:numPr>
        <w:spacing w:after="240"/>
        <w:rPr>
          <w:lang w:val="lt-LT"/>
        </w:rPr>
      </w:pPr>
      <w:bookmarkStart w:id="342" w:name="_Toc25589968"/>
      <w:r w:rsidRPr="002142B8">
        <w:rPr>
          <w:lang w:val="lt-LT"/>
        </w:rPr>
        <w:lastRenderedPageBreak/>
        <w:t xml:space="preserve">2014-2020 m. ES lėšų investavimas į naują </w:t>
      </w:r>
      <w:r w:rsidR="007C54B4" w:rsidRPr="002142B8">
        <w:rPr>
          <w:lang w:val="lt-LT"/>
        </w:rPr>
        <w:t xml:space="preserve">paskolų </w:t>
      </w:r>
      <w:r w:rsidRPr="002142B8">
        <w:rPr>
          <w:lang w:val="lt-LT"/>
        </w:rPr>
        <w:t>finansinę priemonę</w:t>
      </w:r>
      <w:bookmarkEnd w:id="342"/>
    </w:p>
    <w:p w14:paraId="19095023" w14:textId="5478CE8C" w:rsidR="00393B1A" w:rsidRPr="002142B8" w:rsidRDefault="00393B1A" w:rsidP="00393B1A">
      <w:pPr>
        <w:pStyle w:val="prastasis1"/>
        <w:spacing w:line="276" w:lineRule="auto"/>
        <w:jc w:val="both"/>
        <w:rPr>
          <w:rFonts w:ascii="Georgia" w:hAnsi="Georgia"/>
          <w:sz w:val="20"/>
          <w:szCs w:val="20"/>
        </w:rPr>
      </w:pPr>
      <w:r w:rsidRPr="002142B8">
        <w:rPr>
          <w:rFonts w:ascii="Georgia" w:hAnsi="Georgia"/>
          <w:sz w:val="20"/>
          <w:szCs w:val="20"/>
        </w:rPr>
        <w:t>Kaip jau detaliau nagrinėta 7.1.4 skyriuje, viena finansinių priemonių įgyvendinimo struktūrų, apibrėžtų Bendrųjų nuostatų reglamento 38 straipsnyje, yra finansinės priemon</w:t>
      </w:r>
      <w:r w:rsidR="00143CF4" w:rsidRPr="002142B8">
        <w:rPr>
          <w:rFonts w:ascii="Georgia" w:hAnsi="Georgia"/>
          <w:sz w:val="20"/>
          <w:szCs w:val="20"/>
        </w:rPr>
        <w:t>ės steigimas. Įsteigus finansinę</w:t>
      </w:r>
      <w:r w:rsidRPr="002142B8">
        <w:rPr>
          <w:rFonts w:ascii="Georgia" w:hAnsi="Georgia"/>
          <w:sz w:val="20"/>
          <w:szCs w:val="20"/>
        </w:rPr>
        <w:t xml:space="preserve"> priemonę, paskiriamas jos valdytojas, kuris tiesiogiai įgyvendina finansinės priemonės užduotis („II</w:t>
      </w:r>
      <w:r w:rsidR="00443DDD" w:rsidRPr="002142B8">
        <w:rPr>
          <w:rFonts w:ascii="Georgia" w:hAnsi="Georgia"/>
          <w:sz w:val="20"/>
          <w:szCs w:val="20"/>
        </w:rPr>
        <w:t>-oji</w:t>
      </w:r>
      <w:r w:rsidRPr="002142B8">
        <w:rPr>
          <w:rFonts w:ascii="Georgia" w:hAnsi="Georgia"/>
          <w:sz w:val="20"/>
          <w:szCs w:val="20"/>
        </w:rPr>
        <w:t xml:space="preserve"> struktūra</w:t>
      </w:r>
      <w:r w:rsidR="00143CF4" w:rsidRPr="002142B8">
        <w:rPr>
          <w:rFonts w:ascii="Georgia" w:hAnsi="Georgia"/>
          <w:sz w:val="20"/>
          <w:szCs w:val="20"/>
        </w:rPr>
        <w:t>“</w:t>
      </w:r>
      <w:r w:rsidRPr="002142B8">
        <w:rPr>
          <w:rFonts w:ascii="Georgia" w:hAnsi="Georgia"/>
          <w:sz w:val="20"/>
          <w:szCs w:val="20"/>
        </w:rPr>
        <w:t>).</w:t>
      </w:r>
    </w:p>
    <w:p w14:paraId="1C0ADC96" w14:textId="35DA97FB" w:rsidR="005F54DA" w:rsidRPr="002142B8" w:rsidRDefault="00BA0060" w:rsidP="00393B1A">
      <w:pPr>
        <w:pStyle w:val="prastasis1"/>
        <w:spacing w:line="276" w:lineRule="auto"/>
        <w:jc w:val="both"/>
        <w:rPr>
          <w:rFonts w:ascii="Georgia" w:hAnsi="Georgia"/>
          <w:sz w:val="20"/>
          <w:szCs w:val="20"/>
        </w:rPr>
      </w:pPr>
      <w:r w:rsidRPr="002142B8">
        <w:rPr>
          <w:rFonts w:ascii="Georgia" w:hAnsi="Georgia"/>
          <w:sz w:val="20"/>
          <w:szCs w:val="20"/>
        </w:rPr>
        <w:t>Pagrindinės n</w:t>
      </w:r>
      <w:r w:rsidR="00DC1299" w:rsidRPr="002142B8">
        <w:rPr>
          <w:rFonts w:ascii="Georgia" w:hAnsi="Georgia"/>
          <w:sz w:val="20"/>
          <w:szCs w:val="20"/>
        </w:rPr>
        <w:t xml:space="preserve">aujos finansinės priemonės, skirtos finansuoti daugiabučių namų </w:t>
      </w:r>
      <w:r w:rsidRPr="002142B8">
        <w:rPr>
          <w:rFonts w:ascii="Georgia" w:hAnsi="Georgia"/>
          <w:sz w:val="20"/>
          <w:szCs w:val="20"/>
        </w:rPr>
        <w:t xml:space="preserve">modernizavimą, steigimo tikslas </w:t>
      </w:r>
      <w:r w:rsidR="001D6B2C" w:rsidRPr="002142B8">
        <w:rPr>
          <w:rFonts w:ascii="Georgia" w:hAnsi="Georgia"/>
          <w:sz w:val="20"/>
          <w:szCs w:val="20"/>
        </w:rPr>
        <w:t>–</w:t>
      </w:r>
      <w:r w:rsidRPr="002142B8">
        <w:rPr>
          <w:rFonts w:ascii="Georgia" w:hAnsi="Georgia"/>
          <w:sz w:val="20"/>
          <w:szCs w:val="20"/>
        </w:rPr>
        <w:t xml:space="preserve"> patenkinti susiformavusią parengtų ir rengiamų daugiabučių namų modernizavimo projektų finansavimo paklausą ir užtikrinti sklandų perėjimą iš vieno programavimo laikotarpio į kitą nestabdant daugiabučių namų modernizavimo proceso.</w:t>
      </w:r>
      <w:r w:rsidR="005F54DA" w:rsidRPr="002142B8">
        <w:rPr>
          <w:rFonts w:ascii="Georgia" w:hAnsi="Georgia"/>
          <w:sz w:val="20"/>
          <w:szCs w:val="20"/>
        </w:rPr>
        <w:t xml:space="preserve"> Rekomenduoja šios finansinės priemonės produkto forma –paskolos.</w:t>
      </w:r>
      <w:r w:rsidR="003659B7" w:rsidRPr="002142B8">
        <w:rPr>
          <w:rFonts w:ascii="Georgia" w:hAnsi="Georgia"/>
          <w:sz w:val="20"/>
          <w:szCs w:val="20"/>
        </w:rPr>
        <w:t xml:space="preserve"> </w:t>
      </w:r>
    </w:p>
    <w:p w14:paraId="18ADB865" w14:textId="37823E59" w:rsidR="00443DDD" w:rsidRPr="002142B8" w:rsidRDefault="00BC0C67" w:rsidP="00393B1A">
      <w:pPr>
        <w:pStyle w:val="prastasis1"/>
        <w:spacing w:line="276" w:lineRule="auto"/>
        <w:jc w:val="both"/>
        <w:rPr>
          <w:rFonts w:ascii="Georgia" w:hAnsi="Georgia"/>
          <w:sz w:val="20"/>
          <w:szCs w:val="20"/>
        </w:rPr>
      </w:pPr>
      <w:r w:rsidRPr="002142B8">
        <w:rPr>
          <w:rFonts w:ascii="Georgia" w:hAnsi="Georgia"/>
          <w:sz w:val="20"/>
          <w:szCs w:val="20"/>
        </w:rPr>
        <w:t>Vadovaujančioji institucija pagal Bendrųjų nuostatų reglamento 38 str. 4 dalį  paskiria/atrenka vieną iš 38(4)(b) straipsnyje nurodytų institucijų finansinės priemonės</w:t>
      </w:r>
      <w:r w:rsidR="00120DC4" w:rsidRPr="002142B8">
        <w:rPr>
          <w:rFonts w:ascii="Georgia" w:hAnsi="Georgia"/>
          <w:sz w:val="20"/>
          <w:szCs w:val="20"/>
        </w:rPr>
        <w:t xml:space="preserve"> valdytoju</w:t>
      </w:r>
      <w:r w:rsidRPr="002142B8">
        <w:rPr>
          <w:rFonts w:ascii="Georgia" w:hAnsi="Georgia"/>
          <w:sz w:val="20"/>
          <w:szCs w:val="20"/>
        </w:rPr>
        <w:t xml:space="preserve">. Atrinkus/paskyrus finansinės priemonės valdytoją, </w:t>
      </w:r>
      <w:r w:rsidR="00DC1299" w:rsidRPr="002142B8">
        <w:rPr>
          <w:rFonts w:ascii="Georgia" w:hAnsi="Georgia"/>
          <w:sz w:val="20"/>
          <w:szCs w:val="20"/>
        </w:rPr>
        <w:t>turėtų būti suda</w:t>
      </w:r>
      <w:r w:rsidR="00A27A99" w:rsidRPr="002142B8">
        <w:rPr>
          <w:rFonts w:ascii="Georgia" w:hAnsi="Georgia"/>
          <w:sz w:val="20"/>
          <w:szCs w:val="20"/>
        </w:rPr>
        <w:t>r</w:t>
      </w:r>
      <w:r w:rsidR="00DC1299" w:rsidRPr="002142B8">
        <w:rPr>
          <w:rFonts w:ascii="Georgia" w:hAnsi="Georgia"/>
          <w:sz w:val="20"/>
          <w:szCs w:val="20"/>
        </w:rPr>
        <w:t>yta</w:t>
      </w:r>
      <w:r w:rsidRPr="002142B8">
        <w:rPr>
          <w:rFonts w:ascii="Georgia" w:hAnsi="Georgia"/>
          <w:sz w:val="20"/>
          <w:szCs w:val="20"/>
        </w:rPr>
        <w:t xml:space="preserve"> finansavimo sutartis tarp vadovaujančios institucijos, Aplinkos ministerijos</w:t>
      </w:r>
      <w:r w:rsidR="00BA0060" w:rsidRPr="002142B8">
        <w:rPr>
          <w:rFonts w:ascii="Georgia" w:hAnsi="Georgia"/>
          <w:sz w:val="20"/>
          <w:szCs w:val="20"/>
        </w:rPr>
        <w:t xml:space="preserve"> ir finansinės priemonės valdytojo. Remiantis šios sutarties nuostatomis</w:t>
      </w:r>
      <w:r w:rsidR="00BC49EF" w:rsidRPr="002142B8">
        <w:rPr>
          <w:rFonts w:ascii="Georgia" w:hAnsi="Georgia"/>
          <w:sz w:val="20"/>
          <w:szCs w:val="20"/>
        </w:rPr>
        <w:t xml:space="preserve"> sąlygomis,</w:t>
      </w:r>
      <w:r w:rsidR="00BA0060" w:rsidRPr="002142B8">
        <w:rPr>
          <w:rFonts w:ascii="Georgia" w:hAnsi="Georgia"/>
          <w:sz w:val="20"/>
          <w:szCs w:val="20"/>
        </w:rPr>
        <w:t xml:space="preserve"> </w:t>
      </w:r>
      <w:r w:rsidRPr="002142B8">
        <w:rPr>
          <w:rFonts w:ascii="Georgia" w:hAnsi="Georgia"/>
          <w:sz w:val="20"/>
          <w:szCs w:val="20"/>
        </w:rPr>
        <w:t xml:space="preserve">finansinei priemonei </w:t>
      </w:r>
      <w:r w:rsidR="00BA0060" w:rsidRPr="002142B8">
        <w:rPr>
          <w:rFonts w:ascii="Georgia" w:hAnsi="Georgia"/>
          <w:sz w:val="20"/>
          <w:szCs w:val="20"/>
        </w:rPr>
        <w:t xml:space="preserve">gali būti </w:t>
      </w:r>
      <w:r w:rsidRPr="002142B8">
        <w:rPr>
          <w:rFonts w:ascii="Georgia" w:hAnsi="Georgia"/>
          <w:sz w:val="20"/>
          <w:szCs w:val="20"/>
        </w:rPr>
        <w:t>pervedamos 2014-2020 m. programavimo periodo ES struktūrinių fondų lėšos.</w:t>
      </w:r>
      <w:r w:rsidR="00443DDD" w:rsidRPr="002142B8">
        <w:rPr>
          <w:rFonts w:ascii="Georgia" w:hAnsi="Georgia"/>
          <w:sz w:val="20"/>
          <w:szCs w:val="20"/>
        </w:rPr>
        <w:t xml:space="preserve"> </w:t>
      </w:r>
      <w:r w:rsidR="00BC49EF" w:rsidRPr="002142B8">
        <w:rPr>
          <w:rFonts w:ascii="Georgia" w:hAnsi="Georgia"/>
          <w:sz w:val="20"/>
          <w:szCs w:val="20"/>
        </w:rPr>
        <w:t xml:space="preserve"> </w:t>
      </w:r>
      <w:r w:rsidR="00443DDD" w:rsidRPr="002142B8">
        <w:rPr>
          <w:rFonts w:ascii="Georgia" w:hAnsi="Georgia"/>
          <w:sz w:val="20"/>
          <w:szCs w:val="20"/>
        </w:rPr>
        <w:t xml:space="preserve">Aplinkos ir Finansų ministerijos </w:t>
      </w:r>
      <w:r w:rsidR="00BC49EF" w:rsidRPr="002142B8">
        <w:rPr>
          <w:rFonts w:ascii="Georgia" w:hAnsi="Georgia"/>
          <w:sz w:val="20"/>
          <w:szCs w:val="20"/>
        </w:rPr>
        <w:t>finansinės priemonės</w:t>
      </w:r>
      <w:r w:rsidR="00443DDD" w:rsidRPr="002142B8">
        <w:rPr>
          <w:rFonts w:ascii="Georgia" w:hAnsi="Georgia"/>
          <w:sz w:val="20"/>
          <w:szCs w:val="20"/>
        </w:rPr>
        <w:t xml:space="preserve"> valdymui sukuria Priežiūros komitetą, kuris yra pagrindinis šios finansinės priemonės valdymo organas.</w:t>
      </w:r>
    </w:p>
    <w:p w14:paraId="5212E342" w14:textId="1FF15F61" w:rsidR="00120DC4" w:rsidRPr="002142B8" w:rsidRDefault="00120DC4" w:rsidP="00393B1A">
      <w:pPr>
        <w:pStyle w:val="prastasis1"/>
        <w:spacing w:line="276" w:lineRule="auto"/>
        <w:jc w:val="both"/>
        <w:rPr>
          <w:rFonts w:ascii="Georgia" w:hAnsi="Georgia"/>
          <w:sz w:val="20"/>
          <w:szCs w:val="20"/>
        </w:rPr>
      </w:pPr>
      <w:r w:rsidRPr="002142B8">
        <w:rPr>
          <w:rFonts w:ascii="Georgia" w:hAnsi="Georgia"/>
          <w:sz w:val="20"/>
          <w:szCs w:val="20"/>
        </w:rPr>
        <w:t>Finansinės priemonės valdytojas įgyvendin</w:t>
      </w:r>
      <w:r w:rsidR="00443DDD" w:rsidRPr="002142B8">
        <w:rPr>
          <w:rFonts w:ascii="Georgia" w:hAnsi="Georgia"/>
          <w:sz w:val="20"/>
          <w:szCs w:val="20"/>
        </w:rPr>
        <w:t>a</w:t>
      </w:r>
      <w:r w:rsidRPr="002142B8">
        <w:rPr>
          <w:rFonts w:ascii="Georgia" w:hAnsi="Georgia"/>
          <w:sz w:val="20"/>
          <w:szCs w:val="20"/>
        </w:rPr>
        <w:t xml:space="preserve"> priemonę tiesiogiai</w:t>
      </w:r>
      <w:r w:rsidR="003659B7" w:rsidRPr="002142B8">
        <w:rPr>
          <w:rFonts w:ascii="Georgia" w:hAnsi="Georgia"/>
          <w:sz w:val="20"/>
          <w:szCs w:val="20"/>
        </w:rPr>
        <w:t xml:space="preserve"> arba per tarpininkus (atsižvelgdamas į susidariusią situaciją)</w:t>
      </w:r>
      <w:r w:rsidR="00BC49EF" w:rsidRPr="002142B8">
        <w:rPr>
          <w:rFonts w:ascii="Georgia" w:hAnsi="Georgia"/>
          <w:sz w:val="20"/>
          <w:szCs w:val="20"/>
        </w:rPr>
        <w:t>. Įgyvendindamas priemonę tiesiogiai jis</w:t>
      </w:r>
      <w:r w:rsidRPr="002142B8">
        <w:rPr>
          <w:rFonts w:ascii="Georgia" w:hAnsi="Georgia"/>
          <w:sz w:val="20"/>
          <w:szCs w:val="20"/>
        </w:rPr>
        <w:t xml:space="preserve"> pagal patvirtintą tvarką vertin</w:t>
      </w:r>
      <w:r w:rsidR="00443DDD" w:rsidRPr="002142B8">
        <w:rPr>
          <w:rFonts w:ascii="Georgia" w:hAnsi="Georgia"/>
          <w:sz w:val="20"/>
          <w:szCs w:val="20"/>
        </w:rPr>
        <w:t>a</w:t>
      </w:r>
      <w:r w:rsidRPr="002142B8">
        <w:rPr>
          <w:rFonts w:ascii="Georgia" w:hAnsi="Georgia"/>
          <w:sz w:val="20"/>
          <w:szCs w:val="20"/>
        </w:rPr>
        <w:t xml:space="preserve"> galutinių naudos gavėjų ar projektų administratorių pateiktas paraiškas, sudar</w:t>
      </w:r>
      <w:r w:rsidR="00443DDD" w:rsidRPr="002142B8">
        <w:rPr>
          <w:rFonts w:ascii="Georgia" w:hAnsi="Georgia"/>
          <w:sz w:val="20"/>
          <w:szCs w:val="20"/>
        </w:rPr>
        <w:t>o</w:t>
      </w:r>
      <w:r w:rsidRPr="002142B8">
        <w:rPr>
          <w:rFonts w:ascii="Georgia" w:hAnsi="Georgia"/>
          <w:sz w:val="20"/>
          <w:szCs w:val="20"/>
        </w:rPr>
        <w:t xml:space="preserve"> paskolos sutartis, atli</w:t>
      </w:r>
      <w:r w:rsidR="00443DDD" w:rsidRPr="002142B8">
        <w:rPr>
          <w:rFonts w:ascii="Georgia" w:hAnsi="Georgia"/>
          <w:sz w:val="20"/>
          <w:szCs w:val="20"/>
        </w:rPr>
        <w:t>e</w:t>
      </w:r>
      <w:r w:rsidRPr="002142B8">
        <w:rPr>
          <w:rFonts w:ascii="Georgia" w:hAnsi="Georgia"/>
          <w:sz w:val="20"/>
          <w:szCs w:val="20"/>
        </w:rPr>
        <w:t>k</w:t>
      </w:r>
      <w:r w:rsidR="00443DDD" w:rsidRPr="002142B8">
        <w:rPr>
          <w:rFonts w:ascii="Georgia" w:hAnsi="Georgia"/>
          <w:sz w:val="20"/>
          <w:szCs w:val="20"/>
        </w:rPr>
        <w:t>a</w:t>
      </w:r>
      <w:r w:rsidRPr="002142B8">
        <w:rPr>
          <w:rFonts w:ascii="Georgia" w:hAnsi="Georgia"/>
          <w:sz w:val="20"/>
          <w:szCs w:val="20"/>
        </w:rPr>
        <w:t xml:space="preserve"> kitus veiksmus, reikalingus paskolos išmokėjimui, jos administravimui ir su</w:t>
      </w:r>
      <w:r w:rsidR="00BA0060" w:rsidRPr="002142B8">
        <w:rPr>
          <w:rFonts w:ascii="Georgia" w:hAnsi="Georgia"/>
          <w:sz w:val="20"/>
          <w:szCs w:val="20"/>
        </w:rPr>
        <w:t>si</w:t>
      </w:r>
      <w:r w:rsidRPr="002142B8">
        <w:rPr>
          <w:rFonts w:ascii="Georgia" w:hAnsi="Georgia"/>
          <w:sz w:val="20"/>
          <w:szCs w:val="20"/>
        </w:rPr>
        <w:t xml:space="preserve">grąžinimo kontrolei.   </w:t>
      </w:r>
    </w:p>
    <w:p w14:paraId="48F11834" w14:textId="1EBDE7A8" w:rsidR="00120DC4" w:rsidRPr="002142B8" w:rsidRDefault="00DC1299" w:rsidP="00393B1A">
      <w:pPr>
        <w:pStyle w:val="prastasis1"/>
        <w:spacing w:line="276" w:lineRule="auto"/>
        <w:jc w:val="both"/>
        <w:rPr>
          <w:rFonts w:ascii="Georgia" w:hAnsi="Georgia"/>
          <w:sz w:val="20"/>
          <w:szCs w:val="20"/>
        </w:rPr>
      </w:pPr>
      <w:r w:rsidRPr="002142B8">
        <w:rPr>
          <w:rFonts w:ascii="Georgia" w:hAnsi="Georgia"/>
          <w:sz w:val="20"/>
          <w:szCs w:val="20"/>
        </w:rPr>
        <w:t>Kadangi finansinių tarpininkų atranka reikalauja pakankamai daug laiko, f</w:t>
      </w:r>
      <w:r w:rsidR="00120DC4" w:rsidRPr="002142B8">
        <w:rPr>
          <w:rFonts w:ascii="Georgia" w:hAnsi="Georgia"/>
          <w:sz w:val="20"/>
          <w:szCs w:val="20"/>
        </w:rPr>
        <w:t>inansinės priemonės valdytojo pasirengim</w:t>
      </w:r>
      <w:r w:rsidRPr="002142B8">
        <w:rPr>
          <w:rFonts w:ascii="Georgia" w:hAnsi="Georgia"/>
          <w:sz w:val="20"/>
          <w:szCs w:val="20"/>
        </w:rPr>
        <w:t>a</w:t>
      </w:r>
      <w:r w:rsidR="00120DC4" w:rsidRPr="002142B8">
        <w:rPr>
          <w:rFonts w:ascii="Georgia" w:hAnsi="Georgia"/>
          <w:sz w:val="20"/>
          <w:szCs w:val="20"/>
        </w:rPr>
        <w:t>s įgyvendinti finansinę priemonę savo jėgomis (t.y. be finansinių tarpininkų dalyvavimo</w:t>
      </w:r>
      <w:r w:rsidRPr="002142B8">
        <w:rPr>
          <w:rFonts w:ascii="Georgia" w:hAnsi="Georgia"/>
          <w:sz w:val="20"/>
          <w:szCs w:val="20"/>
        </w:rPr>
        <w:t xml:space="preserve">) </w:t>
      </w:r>
      <w:r w:rsidR="008F1AD8" w:rsidRPr="002142B8">
        <w:rPr>
          <w:rFonts w:ascii="Georgia" w:hAnsi="Georgia"/>
          <w:sz w:val="20"/>
          <w:szCs w:val="20"/>
        </w:rPr>
        <w:t xml:space="preserve">yra </w:t>
      </w:r>
      <w:r w:rsidRPr="002142B8">
        <w:rPr>
          <w:rFonts w:ascii="Georgia" w:hAnsi="Georgia"/>
          <w:sz w:val="20"/>
          <w:szCs w:val="20"/>
        </w:rPr>
        <w:t>labai svarbus veiksnys</w:t>
      </w:r>
      <w:r w:rsidR="00120DC4" w:rsidRPr="002142B8">
        <w:rPr>
          <w:rFonts w:ascii="Georgia" w:hAnsi="Georgia"/>
          <w:sz w:val="20"/>
          <w:szCs w:val="20"/>
        </w:rPr>
        <w:t xml:space="preserve"> siekiant užtikrinti nenutrukstamą</w:t>
      </w:r>
      <w:r w:rsidRPr="002142B8">
        <w:rPr>
          <w:rFonts w:ascii="Georgia" w:hAnsi="Georgia"/>
          <w:sz w:val="20"/>
          <w:szCs w:val="20"/>
        </w:rPr>
        <w:t>, operatyvų</w:t>
      </w:r>
      <w:r w:rsidR="00120DC4" w:rsidRPr="002142B8">
        <w:rPr>
          <w:rFonts w:ascii="Georgia" w:hAnsi="Georgia"/>
          <w:sz w:val="20"/>
          <w:szCs w:val="20"/>
        </w:rPr>
        <w:t xml:space="preserve"> jau sugeneruoto daugiabučių namų modernizavimo projektų srauto finansav</w:t>
      </w:r>
      <w:r w:rsidR="00BA0060" w:rsidRPr="002142B8">
        <w:rPr>
          <w:rFonts w:ascii="Georgia" w:hAnsi="Georgia"/>
          <w:sz w:val="20"/>
          <w:szCs w:val="20"/>
        </w:rPr>
        <w:t>imą ir sklandų peremėjimą iš ankstesniojo programavimo laikotarpio finansinių priemonių į naujojo laikotarpio priemones.</w:t>
      </w:r>
    </w:p>
    <w:p w14:paraId="6C9D5423" w14:textId="77777777" w:rsidR="008F1AD8" w:rsidRPr="002142B8" w:rsidRDefault="00DC1299" w:rsidP="0063781D">
      <w:pPr>
        <w:pStyle w:val="prastasis1"/>
        <w:spacing w:line="276" w:lineRule="auto"/>
        <w:jc w:val="both"/>
        <w:rPr>
          <w:rFonts w:ascii="Georgia" w:hAnsi="Georgia"/>
          <w:sz w:val="20"/>
          <w:szCs w:val="20"/>
        </w:rPr>
      </w:pPr>
      <w:r w:rsidRPr="002142B8">
        <w:rPr>
          <w:rFonts w:ascii="Georgia" w:hAnsi="Georgia"/>
          <w:sz w:val="20"/>
          <w:szCs w:val="20"/>
        </w:rPr>
        <w:t>Privačių lešų pritraukimas turi būti vienas iš finansinės priemonės valdytoj</w:t>
      </w:r>
      <w:r w:rsidR="007B7398" w:rsidRPr="002142B8">
        <w:rPr>
          <w:rFonts w:ascii="Georgia" w:hAnsi="Georgia"/>
          <w:sz w:val="20"/>
          <w:szCs w:val="20"/>
        </w:rPr>
        <w:t>o</w:t>
      </w:r>
      <w:r w:rsidRPr="002142B8">
        <w:rPr>
          <w:rFonts w:ascii="Georgia" w:hAnsi="Georgia"/>
          <w:sz w:val="20"/>
          <w:szCs w:val="20"/>
        </w:rPr>
        <w:t xml:space="preserve"> veiklos prioritetų, kadangi tai leistų padidinti finansuojamų projektų skaičių</w:t>
      </w:r>
      <w:r w:rsidR="005F54DA" w:rsidRPr="002142B8">
        <w:rPr>
          <w:rFonts w:ascii="Georgia" w:hAnsi="Georgia"/>
          <w:sz w:val="20"/>
          <w:szCs w:val="20"/>
        </w:rPr>
        <w:t>, pasiekti geresnį finansinės priemonės sverto rodiklį ir taip prisidėti prie geresnių</w:t>
      </w:r>
      <w:r w:rsidR="008F1AD8" w:rsidRPr="002142B8">
        <w:rPr>
          <w:rFonts w:ascii="Georgia" w:hAnsi="Georgia"/>
          <w:sz w:val="20"/>
          <w:szCs w:val="20"/>
        </w:rPr>
        <w:t xml:space="preserve"> įgyvendinimo rodiklių. </w:t>
      </w:r>
      <w:r w:rsidR="00A27A99" w:rsidRPr="002142B8">
        <w:rPr>
          <w:rFonts w:ascii="Georgia" w:hAnsi="Georgia"/>
          <w:sz w:val="20"/>
          <w:szCs w:val="20"/>
        </w:rPr>
        <w:t xml:space="preserve">Galimi privačių lėšų šaltiniai – tarptautinės finansinės instituticijos, komerciniai bankai, infrastruktūros fondai ir visos kitos </w:t>
      </w:r>
      <w:r w:rsidR="00CD5FB1" w:rsidRPr="002142B8">
        <w:rPr>
          <w:rFonts w:ascii="Georgia" w:hAnsi="Georgia"/>
          <w:sz w:val="20"/>
          <w:szCs w:val="20"/>
        </w:rPr>
        <w:t xml:space="preserve">privačios </w:t>
      </w:r>
      <w:r w:rsidR="00A27A99" w:rsidRPr="002142B8">
        <w:rPr>
          <w:rFonts w:ascii="Georgia" w:hAnsi="Georgia"/>
          <w:sz w:val="20"/>
          <w:szCs w:val="20"/>
        </w:rPr>
        <w:t>įmonės ir institucijos, suinteresuotos investuoti į finansinius produktus</w:t>
      </w:r>
      <w:r w:rsidR="00CD5FB1" w:rsidRPr="002142B8">
        <w:rPr>
          <w:rFonts w:ascii="Georgia" w:hAnsi="Georgia"/>
          <w:sz w:val="20"/>
          <w:szCs w:val="20"/>
        </w:rPr>
        <w:t>.</w:t>
      </w:r>
      <w:r w:rsidR="008F1AD8" w:rsidRPr="002142B8">
        <w:rPr>
          <w:rFonts w:ascii="Georgia" w:hAnsi="Georgia"/>
          <w:sz w:val="20"/>
          <w:szCs w:val="20"/>
        </w:rPr>
        <w:t xml:space="preserve"> </w:t>
      </w:r>
    </w:p>
    <w:p w14:paraId="6A32A23A" w14:textId="3B4A3FF8" w:rsidR="00BC0C67" w:rsidRPr="002142B8" w:rsidRDefault="00BC0C67" w:rsidP="0063781D">
      <w:pPr>
        <w:pStyle w:val="prastasis1"/>
        <w:spacing w:line="276" w:lineRule="auto"/>
        <w:jc w:val="both"/>
        <w:rPr>
          <w:rFonts w:ascii="Georgia" w:hAnsi="Georgia"/>
          <w:sz w:val="20"/>
          <w:szCs w:val="20"/>
        </w:rPr>
      </w:pPr>
      <w:r w:rsidRPr="002142B8">
        <w:rPr>
          <w:rFonts w:ascii="Georgia" w:hAnsi="Georgia"/>
          <w:sz w:val="20"/>
          <w:szCs w:val="20"/>
        </w:rPr>
        <w:t xml:space="preserve">2015 m. kovo 27 d. buvo pasirašyta DNMF steigimo ir finansavimo sutartis tarp Finansų ministerijos, Aplinkos ministerijos ir VIPA, kuria buvo nuspręsta įsteigti finansinę priemonę „Daugiabučių namų modernizavimo fondas“ </w:t>
      </w:r>
      <w:r w:rsidR="008F1AD8" w:rsidRPr="002142B8">
        <w:rPr>
          <w:rFonts w:ascii="Georgia" w:hAnsi="Georgia"/>
          <w:sz w:val="20"/>
          <w:szCs w:val="20"/>
        </w:rPr>
        <w:t xml:space="preserve">(DNMF), </w:t>
      </w:r>
      <w:r w:rsidRPr="002142B8">
        <w:rPr>
          <w:rFonts w:ascii="Georgia" w:hAnsi="Georgia"/>
          <w:sz w:val="20"/>
          <w:szCs w:val="20"/>
        </w:rPr>
        <w:t xml:space="preserve">skirtą užtikrinti </w:t>
      </w:r>
      <w:r w:rsidR="008F1AD8" w:rsidRPr="002142B8">
        <w:rPr>
          <w:rFonts w:ascii="Georgia" w:hAnsi="Georgia"/>
          <w:sz w:val="20"/>
          <w:szCs w:val="20"/>
        </w:rPr>
        <w:t xml:space="preserve">greitą </w:t>
      </w:r>
      <w:r w:rsidR="00443DDD" w:rsidRPr="002142B8">
        <w:rPr>
          <w:rFonts w:ascii="Georgia" w:hAnsi="Georgia"/>
          <w:sz w:val="20"/>
          <w:szCs w:val="20"/>
        </w:rPr>
        <w:t>ženkliai</w:t>
      </w:r>
      <w:r w:rsidRPr="002142B8">
        <w:rPr>
          <w:rFonts w:ascii="Georgia" w:hAnsi="Georgia"/>
          <w:sz w:val="20"/>
          <w:szCs w:val="20"/>
        </w:rPr>
        <w:t xml:space="preserve"> išaugusios daugiabučių namų modernizavimo paklausos finansavimą. DNMF valdytoju buvo paskirta VIPA, kuri teikia paskolas </w:t>
      </w:r>
      <w:r w:rsidR="008F1AD8" w:rsidRPr="002142B8">
        <w:rPr>
          <w:rFonts w:ascii="Georgia" w:hAnsi="Georgia"/>
          <w:sz w:val="20"/>
          <w:szCs w:val="20"/>
        </w:rPr>
        <w:t>D</w:t>
      </w:r>
      <w:r w:rsidRPr="002142B8">
        <w:rPr>
          <w:rFonts w:ascii="Georgia" w:hAnsi="Georgia"/>
          <w:sz w:val="20"/>
          <w:szCs w:val="20"/>
        </w:rPr>
        <w:t xml:space="preserve">augiabučių namų atnaujinimo (modernizavimo) programoje patvirtintomis sąlygomis. Iš pradžių šiai </w:t>
      </w:r>
      <w:r w:rsidR="00443DDD" w:rsidRPr="002142B8">
        <w:rPr>
          <w:rFonts w:ascii="Georgia" w:hAnsi="Georgia"/>
          <w:sz w:val="20"/>
          <w:szCs w:val="20"/>
        </w:rPr>
        <w:t>finansinei</w:t>
      </w:r>
      <w:r w:rsidR="007B7398" w:rsidRPr="002142B8">
        <w:rPr>
          <w:rFonts w:ascii="Georgia" w:hAnsi="Georgia"/>
          <w:sz w:val="20"/>
          <w:szCs w:val="20"/>
        </w:rPr>
        <w:t xml:space="preserve"> </w:t>
      </w:r>
      <w:r w:rsidRPr="002142B8">
        <w:rPr>
          <w:rFonts w:ascii="Georgia" w:hAnsi="Georgia"/>
          <w:sz w:val="20"/>
          <w:szCs w:val="20"/>
        </w:rPr>
        <w:t xml:space="preserve">priemonei buvo skirta </w:t>
      </w:r>
      <w:r w:rsidRPr="002142B8">
        <w:rPr>
          <w:rFonts w:ascii="Georgia" w:hAnsi="Georgia"/>
          <w:sz w:val="20"/>
          <w:szCs w:val="20"/>
          <w:lang w:val="en-US"/>
        </w:rPr>
        <w:t>30</w:t>
      </w:r>
      <w:r w:rsidR="008F1AD8" w:rsidRPr="002142B8">
        <w:rPr>
          <w:rFonts w:ascii="Georgia" w:hAnsi="Georgia"/>
          <w:sz w:val="20"/>
          <w:szCs w:val="20"/>
        </w:rPr>
        <w:t xml:space="preserve"> mln. eurų</w:t>
      </w:r>
      <w:r w:rsidRPr="002142B8">
        <w:rPr>
          <w:rFonts w:ascii="Georgia" w:hAnsi="Georgia"/>
          <w:sz w:val="20"/>
          <w:szCs w:val="20"/>
        </w:rPr>
        <w:t xml:space="preserve"> 2014-2020 m. </w:t>
      </w:r>
      <w:r w:rsidR="00120DC4" w:rsidRPr="002142B8">
        <w:rPr>
          <w:rFonts w:ascii="Georgia" w:hAnsi="Georgia"/>
          <w:sz w:val="20"/>
        </w:rPr>
        <w:t>ESI fondų lėšų</w:t>
      </w:r>
      <w:r w:rsidRPr="002142B8">
        <w:rPr>
          <w:rFonts w:ascii="Georgia" w:hAnsi="Georgia"/>
          <w:sz w:val="20"/>
          <w:szCs w:val="20"/>
        </w:rPr>
        <w:t xml:space="preserve">, </w:t>
      </w:r>
      <w:r w:rsidR="008F1AD8" w:rsidRPr="002142B8">
        <w:rPr>
          <w:rFonts w:ascii="Georgia" w:hAnsi="Georgia"/>
          <w:sz w:val="20"/>
          <w:szCs w:val="20"/>
        </w:rPr>
        <w:t xml:space="preserve">tačiau </w:t>
      </w:r>
      <w:r w:rsidRPr="002142B8">
        <w:rPr>
          <w:rFonts w:ascii="Georgia" w:hAnsi="Georgia"/>
          <w:sz w:val="20"/>
          <w:szCs w:val="20"/>
        </w:rPr>
        <w:t>vėliau</w:t>
      </w:r>
      <w:r w:rsidR="008F1AD8" w:rsidRPr="002142B8">
        <w:rPr>
          <w:rFonts w:ascii="Georgia" w:hAnsi="Georgia"/>
          <w:sz w:val="20"/>
          <w:szCs w:val="20"/>
        </w:rPr>
        <w:t>,</w:t>
      </w:r>
      <w:r w:rsidRPr="002142B8">
        <w:rPr>
          <w:rFonts w:ascii="Georgia" w:hAnsi="Georgia"/>
          <w:sz w:val="20"/>
          <w:szCs w:val="20"/>
        </w:rPr>
        <w:t xml:space="preserve"> atsižvelgiant į itin didelę paklausą ir </w:t>
      </w:r>
      <w:r w:rsidR="008F1AD8" w:rsidRPr="002142B8">
        <w:rPr>
          <w:rFonts w:ascii="Georgia" w:hAnsi="Georgia"/>
          <w:sz w:val="20"/>
          <w:szCs w:val="20"/>
        </w:rPr>
        <w:t xml:space="preserve">sparčius </w:t>
      </w:r>
      <w:r w:rsidRPr="002142B8">
        <w:rPr>
          <w:rFonts w:ascii="Georgia" w:hAnsi="Georgia"/>
          <w:sz w:val="20"/>
          <w:szCs w:val="20"/>
        </w:rPr>
        <w:t>finansinės priemonės įgyvendinimo rezultatus</w:t>
      </w:r>
      <w:r w:rsidR="008F1AD8" w:rsidRPr="002142B8">
        <w:rPr>
          <w:rFonts w:ascii="Georgia" w:hAnsi="Georgia"/>
          <w:sz w:val="20"/>
          <w:szCs w:val="20"/>
        </w:rPr>
        <w:t>,</w:t>
      </w:r>
      <w:r w:rsidRPr="002142B8">
        <w:rPr>
          <w:rFonts w:ascii="Georgia" w:hAnsi="Georgia"/>
          <w:sz w:val="20"/>
          <w:szCs w:val="20"/>
        </w:rPr>
        <w:t xml:space="preserve"> </w:t>
      </w:r>
      <w:r w:rsidR="00120DC4" w:rsidRPr="002142B8">
        <w:rPr>
          <w:rFonts w:ascii="Georgia" w:hAnsi="Georgia"/>
          <w:sz w:val="20"/>
        </w:rPr>
        <w:t xml:space="preserve">ESI fondų lėšų suma buvo padidinta iki </w:t>
      </w:r>
      <w:r w:rsidR="00120DC4" w:rsidRPr="002142B8">
        <w:rPr>
          <w:rFonts w:ascii="Georgia" w:hAnsi="Georgia"/>
          <w:sz w:val="20"/>
          <w:lang w:val="en-US"/>
        </w:rPr>
        <w:t xml:space="preserve">74 mln. </w:t>
      </w:r>
      <w:r w:rsidR="00841A03" w:rsidRPr="002142B8">
        <w:rPr>
          <w:rFonts w:ascii="Georgia" w:hAnsi="Georgia"/>
          <w:sz w:val="20"/>
          <w:lang w:val="en-US"/>
        </w:rPr>
        <w:t>e</w:t>
      </w:r>
      <w:r w:rsidR="00120DC4" w:rsidRPr="002142B8">
        <w:rPr>
          <w:rFonts w:ascii="Georgia" w:hAnsi="Georgia"/>
          <w:sz w:val="20"/>
          <w:lang w:val="en-US"/>
        </w:rPr>
        <w:t>ur</w:t>
      </w:r>
      <w:r w:rsidR="00120DC4" w:rsidRPr="002142B8">
        <w:rPr>
          <w:rFonts w:ascii="Georgia" w:hAnsi="Georgia"/>
          <w:sz w:val="20"/>
        </w:rPr>
        <w:t>ų</w:t>
      </w:r>
      <w:r w:rsidR="00806DBC" w:rsidRPr="002142B8">
        <w:rPr>
          <w:rFonts w:ascii="Georgia" w:hAnsi="Georgia"/>
          <w:sz w:val="20"/>
        </w:rPr>
        <w:t>.</w:t>
      </w:r>
    </w:p>
    <w:p w14:paraId="6BB71E00" w14:textId="77777777" w:rsidR="008F1AD8" w:rsidRPr="002142B8" w:rsidRDefault="00841A03" w:rsidP="0063781D">
      <w:pPr>
        <w:pStyle w:val="prastasis1"/>
        <w:spacing w:line="276" w:lineRule="auto"/>
        <w:jc w:val="both"/>
        <w:rPr>
          <w:rFonts w:ascii="Georgia" w:hAnsi="Georgia"/>
          <w:sz w:val="20"/>
          <w:szCs w:val="20"/>
        </w:rPr>
      </w:pPr>
      <w:r w:rsidRPr="002142B8">
        <w:rPr>
          <w:rFonts w:ascii="Georgia" w:hAnsi="Georgia"/>
          <w:sz w:val="20"/>
          <w:szCs w:val="20"/>
        </w:rPr>
        <w:t>2015 metų pabaigoje</w:t>
      </w:r>
      <w:r w:rsidR="008F1AD8" w:rsidRPr="002142B8">
        <w:rPr>
          <w:rFonts w:ascii="Georgia" w:hAnsi="Georgia"/>
          <w:sz w:val="20"/>
          <w:szCs w:val="20"/>
        </w:rPr>
        <w:t xml:space="preserve"> DNMF apimtyje </w:t>
      </w:r>
      <w:r w:rsidR="00443DDD" w:rsidRPr="002142B8">
        <w:rPr>
          <w:rFonts w:ascii="Georgia" w:hAnsi="Georgia"/>
          <w:sz w:val="20"/>
          <w:szCs w:val="20"/>
        </w:rPr>
        <w:t xml:space="preserve">jau </w:t>
      </w:r>
      <w:r w:rsidRPr="002142B8">
        <w:rPr>
          <w:rFonts w:ascii="Georgia" w:hAnsi="Georgia"/>
          <w:sz w:val="20"/>
          <w:szCs w:val="20"/>
        </w:rPr>
        <w:t>buvo sudaryta</w:t>
      </w:r>
      <w:r w:rsidR="008F1AD8" w:rsidRPr="002142B8">
        <w:rPr>
          <w:rFonts w:ascii="Georgia" w:hAnsi="Georgia"/>
          <w:sz w:val="20"/>
          <w:szCs w:val="20"/>
        </w:rPr>
        <w:t xml:space="preserve"> paskolos</w:t>
      </w:r>
      <w:r w:rsidRPr="002142B8">
        <w:rPr>
          <w:rFonts w:ascii="Georgia" w:hAnsi="Georgia"/>
          <w:sz w:val="20"/>
          <w:szCs w:val="20"/>
        </w:rPr>
        <w:t xml:space="preserve"> sutarčių už 74 mln. eurų</w:t>
      </w:r>
      <w:r w:rsidR="008F1AD8" w:rsidRPr="002142B8">
        <w:rPr>
          <w:rFonts w:ascii="Georgia" w:hAnsi="Georgia"/>
          <w:sz w:val="20"/>
          <w:szCs w:val="20"/>
        </w:rPr>
        <w:t xml:space="preserve"> sumą</w:t>
      </w:r>
      <w:r w:rsidRPr="002142B8">
        <w:rPr>
          <w:rFonts w:ascii="Georgia" w:hAnsi="Georgia"/>
          <w:sz w:val="20"/>
          <w:szCs w:val="20"/>
        </w:rPr>
        <w:t xml:space="preserve">. Taip pat buvo </w:t>
      </w:r>
      <w:r w:rsidR="008F1AD8" w:rsidRPr="002142B8">
        <w:rPr>
          <w:rFonts w:ascii="Georgia" w:hAnsi="Georgia"/>
          <w:sz w:val="20"/>
          <w:szCs w:val="20"/>
        </w:rPr>
        <w:t xml:space="preserve">stebimas </w:t>
      </w:r>
      <w:r w:rsidRPr="002142B8">
        <w:rPr>
          <w:rFonts w:ascii="Georgia" w:hAnsi="Georgia"/>
          <w:sz w:val="20"/>
          <w:szCs w:val="20"/>
        </w:rPr>
        <w:t xml:space="preserve">didelis papildomas </w:t>
      </w:r>
      <w:r w:rsidR="008F1AD8" w:rsidRPr="002142B8">
        <w:rPr>
          <w:rFonts w:ascii="Georgia" w:hAnsi="Georgia"/>
          <w:sz w:val="20"/>
          <w:szCs w:val="20"/>
        </w:rPr>
        <w:t>projektų</w:t>
      </w:r>
      <w:r w:rsidRPr="002142B8">
        <w:rPr>
          <w:rFonts w:ascii="Georgia" w:hAnsi="Georgia"/>
          <w:sz w:val="20"/>
          <w:szCs w:val="20"/>
        </w:rPr>
        <w:t xml:space="preserve"> sraut</w:t>
      </w:r>
      <w:r w:rsidR="00443DDD" w:rsidRPr="002142B8">
        <w:rPr>
          <w:rFonts w:ascii="Georgia" w:hAnsi="Georgia"/>
          <w:sz w:val="20"/>
          <w:szCs w:val="20"/>
        </w:rPr>
        <w:t>as</w:t>
      </w:r>
      <w:r w:rsidRPr="002142B8">
        <w:rPr>
          <w:rFonts w:ascii="Georgia" w:hAnsi="Georgia"/>
          <w:sz w:val="20"/>
          <w:szCs w:val="20"/>
        </w:rPr>
        <w:t xml:space="preserve">, kuris viršijo fondui skirtų lėšų sumą jau pirmais jo </w:t>
      </w:r>
      <w:r w:rsidRPr="002142B8">
        <w:rPr>
          <w:rFonts w:ascii="Georgia" w:hAnsi="Georgia"/>
          <w:sz w:val="20"/>
          <w:szCs w:val="20"/>
        </w:rPr>
        <w:lastRenderedPageBreak/>
        <w:t xml:space="preserve">įsteigimo metais. DNMF metinės ataskaitos duomenimis, </w:t>
      </w:r>
      <w:r w:rsidRPr="002142B8">
        <w:rPr>
          <w:rFonts w:ascii="Georgia" w:hAnsi="Georgia"/>
          <w:sz w:val="20"/>
          <w:szCs w:val="20"/>
          <w:lang w:val="en-US"/>
        </w:rPr>
        <w:t>2016 m. pabaigoje did</w:t>
      </w:r>
      <w:r w:rsidRPr="002142B8">
        <w:rPr>
          <w:rFonts w:ascii="Georgia" w:hAnsi="Georgia"/>
          <w:sz w:val="20"/>
          <w:szCs w:val="20"/>
        </w:rPr>
        <w:t>žioji dalis DNMF lėšų jau buvo išmokėta galutiniams naudos gavėjams pagal vykdomus projektus.</w:t>
      </w:r>
      <w:r w:rsidRPr="002142B8">
        <w:rPr>
          <w:rStyle w:val="Puslapioinaosnuoroda"/>
          <w:rFonts w:ascii="Georgia" w:hAnsi="Georgia"/>
          <w:sz w:val="20"/>
          <w:szCs w:val="20"/>
        </w:rPr>
        <w:footnoteReference w:id="184"/>
      </w:r>
      <w:r w:rsidR="008F1AD8" w:rsidRPr="002142B8">
        <w:rPr>
          <w:rFonts w:ascii="Georgia" w:hAnsi="Georgia"/>
          <w:sz w:val="20"/>
          <w:szCs w:val="20"/>
        </w:rPr>
        <w:t xml:space="preserve"> </w:t>
      </w:r>
      <w:r w:rsidRPr="002142B8">
        <w:rPr>
          <w:rFonts w:ascii="Georgia" w:hAnsi="Georgia"/>
          <w:sz w:val="20"/>
          <w:szCs w:val="20"/>
        </w:rPr>
        <w:t xml:space="preserve">2017 m. gegužės 10 d. į fondą buvo pritraukta 50 mln. eurų  papildomų lėšų pasirašant </w:t>
      </w:r>
      <w:r w:rsidR="008F1AD8" w:rsidRPr="002142B8">
        <w:rPr>
          <w:rFonts w:ascii="Georgia" w:hAnsi="Georgia"/>
          <w:sz w:val="20"/>
          <w:szCs w:val="20"/>
        </w:rPr>
        <w:t xml:space="preserve">paskolos </w:t>
      </w:r>
      <w:r w:rsidRPr="002142B8">
        <w:rPr>
          <w:rFonts w:ascii="Georgia" w:hAnsi="Georgia"/>
          <w:sz w:val="20"/>
          <w:szCs w:val="20"/>
        </w:rPr>
        <w:t xml:space="preserve">sutartį su ERPB.  </w:t>
      </w:r>
      <w:r w:rsidR="008F1AD8" w:rsidRPr="002142B8">
        <w:rPr>
          <w:rFonts w:ascii="Georgia" w:hAnsi="Georgia"/>
          <w:sz w:val="20"/>
          <w:szCs w:val="20"/>
        </w:rPr>
        <w:t>Šios lė</w:t>
      </w:r>
      <w:r w:rsidRPr="002142B8">
        <w:rPr>
          <w:rFonts w:ascii="Georgia" w:hAnsi="Georgia"/>
          <w:sz w:val="20"/>
          <w:szCs w:val="20"/>
        </w:rPr>
        <w:t xml:space="preserve">šos leis renovuoti dar 150 daugiabučių ir taip prisidės prie finansinėms priemonėms keliamų tikslų pasiekimo. </w:t>
      </w:r>
    </w:p>
    <w:p w14:paraId="35600931" w14:textId="28C6596E" w:rsidR="00841A03" w:rsidRPr="002142B8" w:rsidRDefault="00D10017" w:rsidP="0063781D">
      <w:pPr>
        <w:pStyle w:val="prastasis1"/>
        <w:spacing w:line="276" w:lineRule="auto"/>
        <w:jc w:val="both"/>
        <w:rPr>
          <w:rFonts w:ascii="Georgia" w:hAnsi="Georgia"/>
          <w:sz w:val="20"/>
          <w:szCs w:val="20"/>
        </w:rPr>
      </w:pPr>
      <w:r w:rsidRPr="002142B8">
        <w:rPr>
          <w:rFonts w:ascii="Georgia" w:hAnsi="Georgia"/>
          <w:sz w:val="20"/>
          <w:szCs w:val="20"/>
        </w:rPr>
        <w:t>Pabrėžtina, jog atsižve</w:t>
      </w:r>
      <w:r w:rsidR="008F1AD8" w:rsidRPr="002142B8">
        <w:rPr>
          <w:rFonts w:ascii="Georgia" w:hAnsi="Georgia"/>
          <w:sz w:val="20"/>
          <w:szCs w:val="20"/>
        </w:rPr>
        <w:t>l</w:t>
      </w:r>
      <w:r w:rsidRPr="002142B8">
        <w:rPr>
          <w:rFonts w:ascii="Georgia" w:hAnsi="Georgia"/>
          <w:sz w:val="20"/>
          <w:szCs w:val="20"/>
        </w:rPr>
        <w:t>giant į rekomendacijas</w:t>
      </w:r>
      <w:r w:rsidR="008F1AD8" w:rsidRPr="002142B8">
        <w:rPr>
          <w:rFonts w:ascii="Georgia" w:hAnsi="Georgia"/>
          <w:sz w:val="20"/>
          <w:szCs w:val="20"/>
        </w:rPr>
        <w:t>, fondo</w:t>
      </w:r>
      <w:r w:rsidRPr="002142B8">
        <w:rPr>
          <w:rFonts w:ascii="Georgia" w:hAnsi="Georgia"/>
          <w:sz w:val="20"/>
          <w:szCs w:val="20"/>
        </w:rPr>
        <w:t xml:space="preserve"> valdytojas </w:t>
      </w:r>
      <w:r w:rsidR="008F1AD8" w:rsidRPr="002142B8">
        <w:rPr>
          <w:rFonts w:ascii="Georgia" w:hAnsi="Georgia"/>
          <w:sz w:val="20"/>
          <w:szCs w:val="20"/>
        </w:rPr>
        <w:t xml:space="preserve">ir toliau </w:t>
      </w:r>
      <w:r w:rsidRPr="002142B8">
        <w:rPr>
          <w:rFonts w:ascii="Georgia" w:hAnsi="Georgia"/>
          <w:sz w:val="20"/>
          <w:szCs w:val="20"/>
        </w:rPr>
        <w:t>turi analizuoti rinkos situaciją ieškodamas būdų pritraukti papildoma</w:t>
      </w:r>
      <w:r w:rsidR="008F1AD8" w:rsidRPr="002142B8">
        <w:rPr>
          <w:rFonts w:ascii="Georgia" w:hAnsi="Georgia"/>
          <w:sz w:val="20"/>
          <w:szCs w:val="20"/>
        </w:rPr>
        <w:t>s lėšas (esant reikalui taikant</w:t>
      </w:r>
      <w:r w:rsidRPr="002142B8">
        <w:rPr>
          <w:rFonts w:ascii="Georgia" w:hAnsi="Georgia"/>
          <w:sz w:val="20"/>
          <w:szCs w:val="20"/>
        </w:rPr>
        <w:t xml:space="preserve"> asimetrinės rizikos pasidalijimo, paskolų pardavimo, investuotojams atlyginti pirmumumo tvarka</w:t>
      </w:r>
      <w:r w:rsidR="00FF4D79" w:rsidRPr="002142B8">
        <w:rPr>
          <w:rStyle w:val="Puslapioinaosnuoroda"/>
          <w:rFonts w:ascii="Georgia" w:hAnsi="Georgia"/>
          <w:sz w:val="20"/>
          <w:szCs w:val="20"/>
        </w:rPr>
        <w:footnoteReference w:id="185"/>
      </w:r>
      <w:r w:rsidRPr="002142B8">
        <w:rPr>
          <w:rFonts w:ascii="Georgia" w:hAnsi="Georgia"/>
          <w:sz w:val="20"/>
          <w:szCs w:val="20"/>
        </w:rPr>
        <w:t xml:space="preserve"> modelius) siekiant patenkinti finansavimo paklausos poreikį.</w:t>
      </w:r>
      <w:r w:rsidR="00841A03" w:rsidRPr="002142B8">
        <w:rPr>
          <w:rFonts w:ascii="Georgia" w:hAnsi="Georgia"/>
          <w:sz w:val="20"/>
          <w:szCs w:val="20"/>
        </w:rPr>
        <w:t xml:space="preserve">   </w:t>
      </w:r>
    </w:p>
    <w:p w14:paraId="1DA230F3" w14:textId="010CE63A" w:rsidR="00443DDD" w:rsidRPr="008377C9" w:rsidRDefault="00443DDD" w:rsidP="00443DDD">
      <w:pPr>
        <w:pStyle w:val="Antrat"/>
        <w:rPr>
          <w:b w:val="0"/>
          <w:i/>
          <w:lang w:val="lt-LT"/>
        </w:rPr>
      </w:pPr>
      <w:bookmarkStart w:id="343" w:name="_Toc507939218"/>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96</w:t>
      </w:r>
      <w:r w:rsidRPr="008377C9">
        <w:rPr>
          <w:b w:val="0"/>
          <w:i/>
          <w:lang w:val="lt-LT"/>
        </w:rPr>
        <w:fldChar w:fldCharType="end"/>
      </w:r>
      <w:r w:rsidRPr="008377C9">
        <w:rPr>
          <w:b w:val="0"/>
          <w:i/>
          <w:lang w:val="lt-LT"/>
        </w:rPr>
        <w:t xml:space="preserve">. </w:t>
      </w:r>
      <w:r w:rsidR="007C54B4" w:rsidRPr="008377C9">
        <w:rPr>
          <w:b w:val="0"/>
          <w:i/>
          <w:lang w:val="lt-LT"/>
        </w:rPr>
        <w:t>Naujos paskolų priemonės</w:t>
      </w:r>
      <w:r w:rsidRPr="008377C9">
        <w:rPr>
          <w:b w:val="0"/>
          <w:i/>
          <w:lang w:val="lt-LT"/>
        </w:rPr>
        <w:t xml:space="preserve"> daugiabučių modernizavimui privalumų ir trūkumų palygi</w:t>
      </w:r>
      <w:r w:rsidR="00A82C12" w:rsidRPr="008377C9">
        <w:rPr>
          <w:b w:val="0"/>
          <w:i/>
          <w:lang w:val="lt-LT"/>
        </w:rPr>
        <w:t>ni</w:t>
      </w:r>
      <w:r w:rsidRPr="008377C9">
        <w:rPr>
          <w:b w:val="0"/>
          <w:i/>
          <w:lang w:val="lt-LT"/>
        </w:rPr>
        <w:t>mas</w:t>
      </w:r>
      <w:bookmarkEnd w:id="343"/>
      <w:r w:rsidRPr="008377C9">
        <w:rPr>
          <w:b w:val="0"/>
          <w:i/>
          <w:lang w:val="lt-LT"/>
        </w:rPr>
        <w:t xml:space="preserve">  </w:t>
      </w:r>
    </w:p>
    <w:tbl>
      <w:tblPr>
        <w:tblStyle w:val="viesussraas2parykinimas1"/>
        <w:tblW w:w="0" w:type="auto"/>
        <w:tblLook w:val="04A0" w:firstRow="1" w:lastRow="0" w:firstColumn="1" w:lastColumn="0" w:noHBand="0" w:noVBand="1"/>
      </w:tblPr>
      <w:tblGrid>
        <w:gridCol w:w="4788"/>
        <w:gridCol w:w="4788"/>
      </w:tblGrid>
      <w:tr w:rsidR="00443DDD" w:rsidRPr="002142B8" w14:paraId="187B2583" w14:textId="77777777" w:rsidTr="00BC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723C9698" w14:textId="77777777" w:rsidR="00443DDD" w:rsidRPr="002142B8" w:rsidRDefault="00443DDD" w:rsidP="00BC49DD">
            <w:pPr>
              <w:spacing w:after="200" w:line="276" w:lineRule="auto"/>
              <w:jc w:val="center"/>
              <w:rPr>
                <w:rFonts w:ascii="Georgia" w:eastAsia="Times New Roman" w:hAnsi="Georgia" w:cs="Times New Roman"/>
                <w:b w:val="0"/>
                <w:sz w:val="20"/>
                <w:szCs w:val="20"/>
                <w:lang w:eastAsia="lt-LT"/>
              </w:rPr>
            </w:pPr>
            <w:r w:rsidRPr="002142B8">
              <w:rPr>
                <w:rFonts w:ascii="Georgia" w:eastAsia="Times New Roman" w:hAnsi="Georgia" w:cs="Times New Roman"/>
                <w:sz w:val="20"/>
                <w:szCs w:val="20"/>
                <w:lang w:eastAsia="lt-LT"/>
              </w:rPr>
              <w:t>Privalumai</w:t>
            </w:r>
          </w:p>
        </w:tc>
        <w:tc>
          <w:tcPr>
            <w:tcW w:w="4788" w:type="dxa"/>
            <w:hideMark/>
          </w:tcPr>
          <w:p w14:paraId="196A2787" w14:textId="77777777" w:rsidR="00443DDD" w:rsidRPr="002142B8" w:rsidRDefault="00443DDD" w:rsidP="00BC49DD">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2142B8">
              <w:rPr>
                <w:rFonts w:ascii="Georgia" w:eastAsia="Times New Roman" w:hAnsi="Georgia" w:cs="Times New Roman"/>
                <w:sz w:val="20"/>
                <w:szCs w:val="20"/>
                <w:lang w:eastAsia="lt-LT"/>
              </w:rPr>
              <w:t>Trūkumai</w:t>
            </w:r>
          </w:p>
        </w:tc>
      </w:tr>
      <w:tr w:rsidR="00443DDD" w:rsidRPr="002142B8" w14:paraId="33BF4252" w14:textId="77777777" w:rsidTr="00BC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5AC04C" w14:textId="77777777" w:rsidR="00443DDD" w:rsidRPr="002142B8" w:rsidRDefault="00443DDD" w:rsidP="00BC49D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Modelio paprastumas ir žinomumas</w:t>
            </w:r>
          </w:p>
          <w:p w14:paraId="7F8FF5CD" w14:textId="77777777" w:rsidR="00443DDD" w:rsidRPr="002142B8" w:rsidRDefault="00443DDD" w:rsidP="00BC49DD">
            <w:pPr>
              <w:rPr>
                <w:rFonts w:ascii="Georgia" w:eastAsia="Times New Roman" w:hAnsi="Georgia" w:cs="Times New Roman"/>
                <w:b w:val="0"/>
                <w:sz w:val="20"/>
                <w:szCs w:val="20"/>
                <w:lang w:eastAsia="lt-LT"/>
              </w:rPr>
            </w:pPr>
          </w:p>
        </w:tc>
        <w:tc>
          <w:tcPr>
            <w:tcW w:w="4788" w:type="dxa"/>
          </w:tcPr>
          <w:p w14:paraId="50D5C3A4" w14:textId="3C817A4C" w:rsidR="00443DDD" w:rsidRPr="002142B8" w:rsidRDefault="00DC1561" w:rsidP="00AE322C">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 xml:space="preserve">Juridinio asmens statuso neturėjimas teoriškai riboja </w:t>
            </w:r>
            <w:r w:rsidR="00443DDD" w:rsidRPr="002142B8">
              <w:rPr>
                <w:rFonts w:ascii="Georgia" w:eastAsia="Times New Roman" w:hAnsi="Georgia" w:cs="Times New Roman"/>
                <w:sz w:val="20"/>
                <w:szCs w:val="20"/>
                <w:lang w:eastAsia="lt-LT"/>
              </w:rPr>
              <w:t xml:space="preserve">galimybės </w:t>
            </w:r>
            <w:r w:rsidRPr="002142B8">
              <w:rPr>
                <w:rFonts w:ascii="Georgia" w:eastAsia="Times New Roman" w:hAnsi="Georgia" w:cs="Times New Roman"/>
                <w:sz w:val="20"/>
                <w:szCs w:val="20"/>
                <w:lang w:eastAsia="lt-LT"/>
              </w:rPr>
              <w:t xml:space="preserve">pritraukti </w:t>
            </w:r>
            <w:r w:rsidR="00443DDD" w:rsidRPr="002142B8">
              <w:rPr>
                <w:rFonts w:ascii="Georgia" w:eastAsia="Times New Roman" w:hAnsi="Georgia" w:cs="Times New Roman"/>
                <w:sz w:val="20"/>
                <w:szCs w:val="20"/>
                <w:lang w:eastAsia="lt-LT"/>
              </w:rPr>
              <w:t>papildomų privačių lėšų į fondą</w:t>
            </w:r>
            <w:r w:rsidRPr="002142B8">
              <w:rPr>
                <w:rFonts w:ascii="Georgia" w:eastAsia="Times New Roman" w:hAnsi="Georgia" w:cs="Times New Roman"/>
                <w:sz w:val="20"/>
                <w:szCs w:val="20"/>
                <w:lang w:eastAsia="lt-LT"/>
              </w:rPr>
              <w:t>. Visgi paskolos sutartis su EBRD rodo, kad privačios lėšos gali būti pritrauktos ir pasiektas tam tikras sverto efektas.</w:t>
            </w:r>
          </w:p>
        </w:tc>
      </w:tr>
      <w:tr w:rsidR="00443DDD" w:rsidRPr="002142B8" w14:paraId="52356403" w14:textId="77777777" w:rsidTr="00BC49DD">
        <w:tc>
          <w:tcPr>
            <w:cnfStyle w:val="001000000000" w:firstRow="0" w:lastRow="0" w:firstColumn="1" w:lastColumn="0" w:oddVBand="0" w:evenVBand="0" w:oddHBand="0" w:evenHBand="0" w:firstRowFirstColumn="0" w:firstRowLastColumn="0" w:lastRowFirstColumn="0" w:lastRowLastColumn="0"/>
            <w:tcW w:w="4788" w:type="dxa"/>
          </w:tcPr>
          <w:p w14:paraId="4B60122A" w14:textId="77777777" w:rsidR="00443DDD" w:rsidRPr="002142B8" w:rsidRDefault="00443DDD" w:rsidP="0063781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 xml:space="preserve">Sukaupta Finansų ir Aplinkos ministerijų patirtis dalyvaujant JESSICA Kontroliuojančiojo fondo 2007-2013 valdyme </w:t>
            </w:r>
          </w:p>
        </w:tc>
        <w:tc>
          <w:tcPr>
            <w:tcW w:w="4788" w:type="dxa"/>
          </w:tcPr>
          <w:p w14:paraId="3FA5AEF3" w14:textId="5C61AAF3" w:rsidR="00443DDD" w:rsidRPr="002142B8" w:rsidRDefault="00443DDD" w:rsidP="00443DD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r w:rsidR="00443DDD" w:rsidRPr="002142B8" w14:paraId="7A69A25E" w14:textId="77777777" w:rsidTr="00BC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54AA8B8" w14:textId="77777777" w:rsidR="00443DDD" w:rsidRPr="002142B8" w:rsidRDefault="00443DDD" w:rsidP="0063781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Trumpas laikotarpis reikalingas išspręsti visus teisinius ir techninius klausimus susijusius su fondo įkūrimu ir veiklos vystymu</w:t>
            </w:r>
          </w:p>
        </w:tc>
        <w:tc>
          <w:tcPr>
            <w:tcW w:w="4788" w:type="dxa"/>
          </w:tcPr>
          <w:p w14:paraId="7C378EAE" w14:textId="4E2680C1" w:rsidR="00443DDD" w:rsidRPr="002142B8" w:rsidRDefault="00443DDD" w:rsidP="00443DD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p>
        </w:tc>
      </w:tr>
      <w:tr w:rsidR="00443DDD" w:rsidRPr="002142B8" w14:paraId="193A3160" w14:textId="77777777" w:rsidTr="00BC49DD">
        <w:tc>
          <w:tcPr>
            <w:cnfStyle w:val="001000000000" w:firstRow="0" w:lastRow="0" w:firstColumn="1" w:lastColumn="0" w:oddVBand="0" w:evenVBand="0" w:oddHBand="0" w:evenHBand="0" w:firstRowFirstColumn="0" w:firstRowLastColumn="0" w:lastRowFirstColumn="0" w:lastRowLastColumn="0"/>
            <w:tcW w:w="4788" w:type="dxa"/>
          </w:tcPr>
          <w:p w14:paraId="4186E569" w14:textId="461CD49D" w:rsidR="00443DDD" w:rsidRPr="002142B8" w:rsidRDefault="00443DDD" w:rsidP="0063781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Trumpas laikotarpis per kurį lėšos pasieks jau sugeneruotų projektų galutinius naudos gavėjus (nereikia papildomo laiko atrinkti finansinius tarpininkus, sudaryti</w:t>
            </w:r>
            <w:r w:rsidR="008F1AD8" w:rsidRPr="002142B8">
              <w:rPr>
                <w:rFonts w:ascii="Georgia" w:eastAsia="Times New Roman" w:hAnsi="Georgia" w:cs="Times New Roman"/>
                <w:b w:val="0"/>
                <w:sz w:val="20"/>
                <w:szCs w:val="20"/>
                <w:lang w:eastAsia="lt-LT"/>
              </w:rPr>
              <w:t xml:space="preserve"> su jais</w:t>
            </w:r>
            <w:r w:rsidRPr="002142B8">
              <w:rPr>
                <w:rFonts w:ascii="Georgia" w:eastAsia="Times New Roman" w:hAnsi="Georgia" w:cs="Times New Roman"/>
                <w:b w:val="0"/>
                <w:sz w:val="20"/>
                <w:szCs w:val="20"/>
                <w:lang w:eastAsia="lt-LT"/>
              </w:rPr>
              <w:t xml:space="preserve"> sutartis ir pan.).</w:t>
            </w:r>
          </w:p>
        </w:tc>
        <w:tc>
          <w:tcPr>
            <w:tcW w:w="4788" w:type="dxa"/>
          </w:tcPr>
          <w:p w14:paraId="6F1BD152" w14:textId="77777777" w:rsidR="00443DDD" w:rsidRPr="002142B8" w:rsidRDefault="00443DDD" w:rsidP="00443DDD">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bl>
    <w:p w14:paraId="6884E9A4" w14:textId="1B20690D" w:rsidR="00443DDD" w:rsidRPr="002142B8" w:rsidRDefault="00443DDD" w:rsidP="00443DDD">
      <w:pPr>
        <w:rPr>
          <w:lang w:val="lt-LT"/>
        </w:rPr>
      </w:pPr>
    </w:p>
    <w:p w14:paraId="2D8C3D03" w14:textId="5D87228A" w:rsidR="00B2693D" w:rsidRPr="002142B8" w:rsidRDefault="00B2693D" w:rsidP="0063781D">
      <w:pPr>
        <w:pStyle w:val="Antrat2"/>
        <w:numPr>
          <w:ilvl w:val="3"/>
          <w:numId w:val="2"/>
        </w:numPr>
        <w:spacing w:after="240"/>
        <w:rPr>
          <w:lang w:val="lt-LT"/>
        </w:rPr>
      </w:pPr>
      <w:bookmarkStart w:id="344" w:name="_Toc25589969"/>
      <w:r w:rsidRPr="002142B8">
        <w:rPr>
          <w:lang w:val="lt-LT"/>
        </w:rPr>
        <w:t>2014-2020 m. ES lėšų investavimas į garantijų finansinę priemonę</w:t>
      </w:r>
      <w:bookmarkEnd w:id="344"/>
    </w:p>
    <w:p w14:paraId="0BD39D92" w14:textId="77777777" w:rsidR="003A1581" w:rsidRPr="002142B8" w:rsidRDefault="00B2693D" w:rsidP="002519C8">
      <w:pPr>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Kaip jau minėta anksčiau</w:t>
      </w:r>
      <w:r w:rsidR="003A1581" w:rsidRPr="002142B8">
        <w:rPr>
          <w:rFonts w:ascii="Georgia" w:eastAsia="Times New Roman" w:hAnsi="Georgia" w:cs="Times New Roman"/>
          <w:sz w:val="20"/>
          <w:szCs w:val="20"/>
          <w:lang w:eastAsia="lt-LT"/>
        </w:rPr>
        <w:t>,</w:t>
      </w:r>
      <w:r w:rsidRPr="002142B8">
        <w:rPr>
          <w:rFonts w:ascii="Georgia" w:eastAsia="Times New Roman" w:hAnsi="Georgia" w:cs="Times New Roman"/>
          <w:sz w:val="20"/>
          <w:szCs w:val="20"/>
          <w:lang w:eastAsia="lt-LT"/>
        </w:rPr>
        <w:t xml:space="preserve"> siekiant optimalaus rezultato, tai yra</w:t>
      </w:r>
      <w:r w:rsidR="003A1581" w:rsidRPr="002142B8">
        <w:rPr>
          <w:rFonts w:ascii="Georgia" w:eastAsia="Times New Roman" w:hAnsi="Georgia" w:cs="Times New Roman"/>
          <w:sz w:val="20"/>
          <w:szCs w:val="20"/>
          <w:lang w:eastAsia="lt-LT"/>
        </w:rPr>
        <w:t xml:space="preserve"> siekiant užtikrinti operatyvų ir sklandų daugiabučių</w:t>
      </w:r>
      <w:r w:rsidRPr="002142B8">
        <w:rPr>
          <w:rFonts w:ascii="Georgia" w:eastAsia="Times New Roman" w:hAnsi="Georgia" w:cs="Times New Roman"/>
          <w:sz w:val="20"/>
          <w:szCs w:val="20"/>
          <w:lang w:eastAsia="lt-LT"/>
        </w:rPr>
        <w:t xml:space="preserve"> namų modernizavimo proceso </w:t>
      </w:r>
      <w:r w:rsidR="003A1581" w:rsidRPr="002142B8">
        <w:rPr>
          <w:rFonts w:ascii="Georgia" w:eastAsia="Times New Roman" w:hAnsi="Georgia" w:cs="Times New Roman"/>
          <w:sz w:val="20"/>
          <w:szCs w:val="20"/>
          <w:lang w:eastAsia="lt-LT"/>
        </w:rPr>
        <w:t xml:space="preserve"> įgyvendinimą ir pakankamą</w:t>
      </w:r>
      <w:r w:rsidRPr="002142B8">
        <w:rPr>
          <w:rFonts w:ascii="Georgia" w:eastAsia="Times New Roman" w:hAnsi="Georgia" w:cs="Times New Roman"/>
          <w:sz w:val="20"/>
          <w:szCs w:val="20"/>
          <w:lang w:eastAsia="lt-LT"/>
        </w:rPr>
        <w:t xml:space="preserve"> sverto efe</w:t>
      </w:r>
      <w:r w:rsidR="003A1581" w:rsidRPr="002142B8">
        <w:rPr>
          <w:rFonts w:ascii="Georgia" w:eastAsia="Times New Roman" w:hAnsi="Georgia" w:cs="Times New Roman"/>
          <w:sz w:val="20"/>
          <w:szCs w:val="20"/>
          <w:lang w:eastAsia="lt-LT"/>
        </w:rPr>
        <w:t xml:space="preserve">kto (privačių lėšų pritraukimo) pasiekimą, </w:t>
      </w:r>
      <w:r w:rsidR="00FF4D79" w:rsidRPr="002142B8">
        <w:rPr>
          <w:rFonts w:ascii="Georgia" w:eastAsia="Times New Roman" w:hAnsi="Georgia" w:cs="Times New Roman"/>
          <w:sz w:val="20"/>
          <w:szCs w:val="20"/>
          <w:lang w:eastAsia="lt-LT"/>
        </w:rPr>
        <w:t xml:space="preserve">papildomai turi būti analizuojama ir </w:t>
      </w:r>
      <w:r w:rsidR="003A1581" w:rsidRPr="002142B8">
        <w:rPr>
          <w:rFonts w:ascii="Georgia" w:eastAsia="Times New Roman" w:hAnsi="Georgia" w:cs="Times New Roman"/>
          <w:sz w:val="20"/>
          <w:szCs w:val="20"/>
          <w:lang w:eastAsia="lt-LT"/>
        </w:rPr>
        <w:t xml:space="preserve">galimybė įgyvendinti garantijų priemonę, </w:t>
      </w:r>
      <w:r w:rsidR="00FF4D79" w:rsidRPr="002142B8">
        <w:rPr>
          <w:rFonts w:ascii="Georgia" w:eastAsia="Times New Roman" w:hAnsi="Georgia" w:cs="Times New Roman"/>
          <w:sz w:val="20"/>
          <w:szCs w:val="20"/>
          <w:lang w:eastAsia="lt-LT"/>
        </w:rPr>
        <w:t xml:space="preserve">susidarius </w:t>
      </w:r>
      <w:r w:rsidR="003A1581" w:rsidRPr="002142B8">
        <w:rPr>
          <w:rFonts w:ascii="Georgia" w:eastAsia="Times New Roman" w:hAnsi="Georgia" w:cs="Times New Roman"/>
          <w:sz w:val="20"/>
          <w:szCs w:val="20"/>
          <w:lang w:eastAsia="lt-LT"/>
        </w:rPr>
        <w:t xml:space="preserve">tam </w:t>
      </w:r>
      <w:r w:rsidR="00FF4D79" w:rsidRPr="002142B8">
        <w:rPr>
          <w:rFonts w:ascii="Georgia" w:eastAsia="Times New Roman" w:hAnsi="Georgia" w:cs="Times New Roman"/>
          <w:sz w:val="20"/>
          <w:szCs w:val="20"/>
          <w:lang w:eastAsia="lt-LT"/>
        </w:rPr>
        <w:t>tinkamom</w:t>
      </w:r>
      <w:r w:rsidR="003A1581" w:rsidRPr="002142B8">
        <w:rPr>
          <w:rFonts w:ascii="Georgia" w:eastAsia="Times New Roman" w:hAnsi="Georgia" w:cs="Times New Roman"/>
          <w:sz w:val="20"/>
          <w:szCs w:val="20"/>
          <w:lang w:eastAsia="lt-LT"/>
        </w:rPr>
        <w:t>s</w:t>
      </w:r>
      <w:r w:rsidR="00FF4D79" w:rsidRPr="002142B8">
        <w:rPr>
          <w:rFonts w:ascii="Georgia" w:eastAsia="Times New Roman" w:hAnsi="Georgia" w:cs="Times New Roman"/>
          <w:sz w:val="20"/>
          <w:szCs w:val="20"/>
          <w:lang w:eastAsia="lt-LT"/>
        </w:rPr>
        <w:t xml:space="preserve"> sąlygoms</w:t>
      </w:r>
      <w:r w:rsidR="003A1581" w:rsidRPr="002142B8">
        <w:rPr>
          <w:rFonts w:ascii="Georgia" w:eastAsia="Times New Roman" w:hAnsi="Georgia" w:cs="Times New Roman"/>
          <w:sz w:val="20"/>
          <w:szCs w:val="20"/>
          <w:lang w:eastAsia="lt-LT"/>
        </w:rPr>
        <w:t>.</w:t>
      </w:r>
    </w:p>
    <w:p w14:paraId="582F06ED" w14:textId="4642849A" w:rsidR="00BC49DD" w:rsidRPr="002142B8" w:rsidRDefault="00BC49DD" w:rsidP="002519C8">
      <w:pPr>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Įgyvendinant garantijos priemonę, atrinkta</w:t>
      </w:r>
      <w:r w:rsidR="003A1581" w:rsidRPr="002142B8">
        <w:rPr>
          <w:rFonts w:ascii="Georgia" w:eastAsia="Times New Roman" w:hAnsi="Georgia" w:cs="Times New Roman"/>
          <w:sz w:val="20"/>
          <w:szCs w:val="20"/>
          <w:lang w:eastAsia="lt-LT"/>
        </w:rPr>
        <w:t xml:space="preserve">s fondo ar finansinės priemonės vadytojas </w:t>
      </w:r>
      <w:r w:rsidRPr="002142B8">
        <w:rPr>
          <w:rFonts w:ascii="Georgia" w:eastAsia="Times New Roman" w:hAnsi="Georgia" w:cs="Times New Roman"/>
          <w:sz w:val="20"/>
          <w:szCs w:val="20"/>
          <w:lang w:eastAsia="lt-LT"/>
        </w:rPr>
        <w:t>teiks garantiją bankams</w:t>
      </w:r>
      <w:r w:rsidR="003A1581" w:rsidRPr="002142B8">
        <w:rPr>
          <w:rFonts w:ascii="Georgia" w:eastAsia="Times New Roman" w:hAnsi="Georgia" w:cs="Times New Roman"/>
          <w:sz w:val="20"/>
          <w:szCs w:val="20"/>
          <w:lang w:eastAsia="lt-LT"/>
        </w:rPr>
        <w:t xml:space="preserve"> ar kitiems investuotojams</w:t>
      </w:r>
      <w:r w:rsidRPr="002142B8">
        <w:rPr>
          <w:rFonts w:ascii="Georgia" w:eastAsia="Times New Roman" w:hAnsi="Georgia" w:cs="Times New Roman"/>
          <w:sz w:val="20"/>
          <w:szCs w:val="20"/>
          <w:lang w:eastAsia="lt-LT"/>
        </w:rPr>
        <w:t xml:space="preserve">, kurie </w:t>
      </w:r>
      <w:r w:rsidR="003A1581" w:rsidRPr="002142B8">
        <w:rPr>
          <w:rFonts w:ascii="Georgia" w:eastAsia="Times New Roman" w:hAnsi="Georgia" w:cs="Times New Roman"/>
          <w:sz w:val="20"/>
          <w:szCs w:val="20"/>
          <w:lang w:eastAsia="lt-LT"/>
        </w:rPr>
        <w:t>dalyvaus programoje ir teiks</w:t>
      </w:r>
      <w:r w:rsidRPr="002142B8">
        <w:rPr>
          <w:rFonts w:ascii="Georgia" w:eastAsia="Times New Roman" w:hAnsi="Georgia" w:cs="Times New Roman"/>
          <w:sz w:val="20"/>
          <w:szCs w:val="20"/>
          <w:lang w:eastAsia="lt-LT"/>
        </w:rPr>
        <w:t xml:space="preserve"> modernizavimo paskolas nustatytomis sąlygomis. </w:t>
      </w:r>
    </w:p>
    <w:p w14:paraId="7DFE977D" w14:textId="683A5D99" w:rsidR="00B56D02" w:rsidRPr="002142B8" w:rsidRDefault="003A1581" w:rsidP="002519C8">
      <w:pPr>
        <w:jc w:val="both"/>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Garantijų priemonės</w:t>
      </w:r>
      <w:r w:rsidR="00B56D02" w:rsidRPr="002142B8">
        <w:rPr>
          <w:rFonts w:ascii="Georgia" w:eastAsia="Times New Roman" w:hAnsi="Georgia" w:cs="Times New Roman"/>
          <w:sz w:val="20"/>
          <w:szCs w:val="20"/>
          <w:lang w:eastAsia="lt-LT"/>
        </w:rPr>
        <w:t xml:space="preserve"> įgyvendinimui gali būti taiko</w:t>
      </w:r>
      <w:r w:rsidR="007B7398" w:rsidRPr="002142B8">
        <w:rPr>
          <w:rFonts w:ascii="Georgia" w:eastAsia="Times New Roman" w:hAnsi="Georgia" w:cs="Times New Roman"/>
          <w:sz w:val="20"/>
          <w:szCs w:val="20"/>
          <w:lang w:eastAsia="lt-LT"/>
        </w:rPr>
        <w:t>mos</w:t>
      </w:r>
      <w:r w:rsidR="00B56D02" w:rsidRPr="002142B8">
        <w:rPr>
          <w:rFonts w:ascii="Georgia" w:eastAsia="Times New Roman" w:hAnsi="Georgia" w:cs="Times New Roman"/>
          <w:sz w:val="20"/>
          <w:szCs w:val="20"/>
          <w:lang w:eastAsia="lt-LT"/>
        </w:rPr>
        <w:t xml:space="preserve"> jau anksčiau aptart</w:t>
      </w:r>
      <w:r w:rsidR="007B7398" w:rsidRPr="002142B8">
        <w:rPr>
          <w:rFonts w:ascii="Georgia" w:eastAsia="Times New Roman" w:hAnsi="Georgia" w:cs="Times New Roman"/>
          <w:sz w:val="20"/>
          <w:szCs w:val="20"/>
          <w:lang w:eastAsia="lt-LT"/>
        </w:rPr>
        <w:t>os II ir</w:t>
      </w:r>
      <w:r w:rsidRPr="002142B8">
        <w:rPr>
          <w:rFonts w:ascii="Georgia" w:eastAsia="Times New Roman" w:hAnsi="Georgia" w:cs="Times New Roman"/>
          <w:sz w:val="20"/>
          <w:szCs w:val="20"/>
          <w:lang w:eastAsia="lt-LT"/>
        </w:rPr>
        <w:t xml:space="preserve">  III struktūros.</w:t>
      </w:r>
    </w:p>
    <w:p w14:paraId="3E8996A8" w14:textId="65E647D1" w:rsidR="00B56D02" w:rsidRPr="002142B8" w:rsidRDefault="007B7398" w:rsidP="0063781D">
      <w:pPr>
        <w:rPr>
          <w:rFonts w:ascii="Georgia" w:eastAsia="Times New Roman" w:hAnsi="Georgia" w:cs="Times New Roman"/>
          <w:sz w:val="20"/>
          <w:szCs w:val="20"/>
          <w:lang w:eastAsia="lt-LT"/>
        </w:rPr>
      </w:pPr>
      <w:r w:rsidRPr="002142B8">
        <w:rPr>
          <w:noProof/>
          <w:lang w:val="lt-LT" w:eastAsia="lt-LT"/>
        </w:rPr>
        <w:lastRenderedPageBreak/>
        <mc:AlternateContent>
          <mc:Choice Requires="wpc">
            <w:drawing>
              <wp:inline distT="0" distB="0" distL="0" distR="0" wp14:anchorId="4B4C58FA" wp14:editId="4AFE45F6">
                <wp:extent cx="5732145" cy="3651936"/>
                <wp:effectExtent l="0" t="0" r="0" b="0"/>
                <wp:docPr id="197"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Rectangle 8"/>
                        <wps:cNvSpPr>
                          <a:spLocks noChangeArrowheads="1"/>
                        </wps:cNvSpPr>
                        <wps:spPr bwMode="auto">
                          <a:xfrm>
                            <a:off x="922307"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82" name="AutoShape 11"/>
                        <wps:cNvSpPr>
                          <a:spLocks noChangeArrowheads="1"/>
                        </wps:cNvSpPr>
                        <wps:spPr bwMode="auto">
                          <a:xfrm>
                            <a:off x="1164409" y="735700"/>
                            <a:ext cx="1423709" cy="241200"/>
                          </a:xfrm>
                          <a:prstGeom prst="roundRect">
                            <a:avLst>
                              <a:gd name="adj" fmla="val 16667"/>
                            </a:avLst>
                          </a:prstGeom>
                          <a:solidFill>
                            <a:srgbClr val="E36C0A"/>
                          </a:solidFill>
                          <a:ln w="9525">
                            <a:solidFill>
                              <a:srgbClr val="974706"/>
                            </a:solidFill>
                            <a:round/>
                            <a:headEnd/>
                            <a:tailEnd/>
                          </a:ln>
                        </wps:spPr>
                        <wps:txbx>
                          <w:txbxContent>
                            <w:p w14:paraId="37D858DD" w14:textId="77777777" w:rsidR="00133798" w:rsidRDefault="00133798" w:rsidP="007B7398">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83" name="AutoShape 14"/>
                        <wps:cNvSpPr>
                          <a:spLocks noChangeArrowheads="1"/>
                        </wps:cNvSpPr>
                        <wps:spPr bwMode="auto">
                          <a:xfrm>
                            <a:off x="1139104" y="2978900"/>
                            <a:ext cx="1469109" cy="465500"/>
                          </a:xfrm>
                          <a:prstGeom prst="roundRect">
                            <a:avLst>
                              <a:gd name="adj" fmla="val 16667"/>
                            </a:avLst>
                          </a:prstGeom>
                          <a:solidFill>
                            <a:srgbClr val="E36C0A"/>
                          </a:solidFill>
                          <a:ln w="9525">
                            <a:solidFill>
                              <a:srgbClr val="974706"/>
                            </a:solidFill>
                            <a:round/>
                            <a:headEnd/>
                            <a:tailEnd/>
                          </a:ln>
                        </wps:spPr>
                        <wps:txbx>
                          <w:txbxContent>
                            <w:p w14:paraId="01D5E3FD" w14:textId="18C896B6" w:rsidR="00133798" w:rsidRDefault="00133798" w:rsidP="007B7398">
                              <w:pPr>
                                <w:spacing w:after="0" w:line="240" w:lineRule="auto"/>
                                <w:jc w:val="center"/>
                                <w:rPr>
                                  <w:b/>
                                  <w:color w:val="FFFFFF"/>
                                  <w:sz w:val="16"/>
                                  <w:szCs w:val="16"/>
                                </w:rPr>
                              </w:pPr>
                              <w:r>
                                <w:rPr>
                                  <w:b/>
                                  <w:color w:val="FFFFFF"/>
                                  <w:sz w:val="16"/>
                                  <w:szCs w:val="16"/>
                                </w:rPr>
                                <w:t>Galutiniai naudos</w:t>
                              </w:r>
                            </w:p>
                            <w:p w14:paraId="05982240" w14:textId="77777777" w:rsidR="00133798" w:rsidRDefault="00133798" w:rsidP="007B7398">
                              <w:pPr>
                                <w:spacing w:after="0" w:line="240" w:lineRule="auto"/>
                                <w:jc w:val="center"/>
                                <w:rPr>
                                  <w:b/>
                                  <w:color w:val="FFFFFF"/>
                                  <w:sz w:val="16"/>
                                  <w:szCs w:val="16"/>
                                </w:rPr>
                              </w:pPr>
                              <w:r>
                                <w:rPr>
                                  <w:b/>
                                  <w:color w:val="FFFFFF"/>
                                  <w:sz w:val="16"/>
                                  <w:szCs w:val="16"/>
                                </w:rPr>
                                <w:t xml:space="preserve"> gavėjai</w:t>
                              </w:r>
                            </w:p>
                            <w:p w14:paraId="3866B3B7" w14:textId="77777777" w:rsidR="00133798" w:rsidRDefault="00133798" w:rsidP="007B7398">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84" name="AutoShape 16"/>
                        <wps:cNvSpPr>
                          <a:spLocks noChangeArrowheads="1"/>
                        </wps:cNvSpPr>
                        <wps:spPr bwMode="auto">
                          <a:xfrm>
                            <a:off x="1164409" y="2059804"/>
                            <a:ext cx="1423709" cy="421500"/>
                          </a:xfrm>
                          <a:prstGeom prst="roundRect">
                            <a:avLst>
                              <a:gd name="adj" fmla="val 16667"/>
                            </a:avLst>
                          </a:prstGeom>
                          <a:solidFill>
                            <a:srgbClr val="E36C0A"/>
                          </a:solidFill>
                          <a:ln w="9525">
                            <a:solidFill>
                              <a:srgbClr val="974706"/>
                            </a:solidFill>
                            <a:round/>
                            <a:headEnd/>
                            <a:tailEnd/>
                          </a:ln>
                        </wps:spPr>
                        <wps:txbx>
                          <w:txbxContent>
                            <w:p w14:paraId="5709425F" w14:textId="77777777" w:rsidR="00133798" w:rsidRDefault="00133798" w:rsidP="007B7398">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85" name="Oval 20"/>
                        <wps:cNvSpPr>
                          <a:spLocks noChangeArrowheads="1"/>
                        </wps:cNvSpPr>
                        <wps:spPr bwMode="auto">
                          <a:xfrm>
                            <a:off x="1305757" y="1203878"/>
                            <a:ext cx="1140207" cy="644400"/>
                          </a:xfrm>
                          <a:prstGeom prst="ellipse">
                            <a:avLst/>
                          </a:prstGeom>
                          <a:solidFill>
                            <a:srgbClr val="FFC000"/>
                          </a:solidFill>
                          <a:ln w="9525">
                            <a:solidFill>
                              <a:srgbClr val="974706"/>
                            </a:solidFill>
                            <a:round/>
                            <a:headEnd/>
                            <a:tailEnd/>
                          </a:ln>
                        </wps:spPr>
                        <wps:txbx>
                          <w:txbxContent>
                            <w:p w14:paraId="19440B55" w14:textId="77777777" w:rsidR="00133798" w:rsidRPr="00873719" w:rsidRDefault="00133798" w:rsidP="007B7398">
                              <w:pPr>
                                <w:jc w:val="center"/>
                                <w:rPr>
                                  <w:b/>
                                  <w:color w:val="FFFFFF"/>
                                  <w:lang w:val="lt-LT"/>
                                </w:rPr>
                              </w:pPr>
                              <w:r>
                                <w:rPr>
                                  <w:b/>
                                  <w:color w:val="FFFFFF"/>
                                  <w:sz w:val="18"/>
                                  <w:lang w:val="lt-LT"/>
                                </w:rPr>
                                <w:t>Finansinė priemonė</w:t>
                              </w:r>
                            </w:p>
                            <w:p w14:paraId="62738708" w14:textId="77777777" w:rsidR="00133798" w:rsidRPr="00873719" w:rsidRDefault="00133798" w:rsidP="007B7398">
                              <w:pPr>
                                <w:jc w:val="center"/>
                                <w:rPr>
                                  <w:b/>
                                  <w:color w:val="FFFFFF"/>
                                  <w:lang w:val="lt-LT"/>
                                </w:rPr>
                              </w:pPr>
                            </w:p>
                          </w:txbxContent>
                        </wps:txbx>
                        <wps:bodyPr rot="0" vert="horz" wrap="square" lIns="91440" tIns="45720" rIns="91440" bIns="45720" anchor="t" anchorCtr="0" upright="1">
                          <a:noAutofit/>
                        </wps:bodyPr>
                      </wps:wsp>
                      <wps:wsp>
                        <wps:cNvPr id="86" name="AutoShape 24"/>
                        <wps:cNvCnPr>
                          <a:cxnSpLocks noChangeShapeType="1"/>
                        </wps:cNvCnPr>
                        <wps:spPr bwMode="auto">
                          <a:xfrm>
                            <a:off x="1875861" y="1848278"/>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5"/>
                        <wps:cNvCnPr>
                          <a:cxnSpLocks noChangeShapeType="1"/>
                        </wps:cNvCnPr>
                        <wps:spPr bwMode="auto">
                          <a:xfrm flipH="1">
                            <a:off x="1873659" y="2481304"/>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6"/>
                        <wps:cNvCnPr>
                          <a:cxnSpLocks noChangeShapeType="1"/>
                        </wps:cNvCnPr>
                        <wps:spPr bwMode="auto">
                          <a:xfrm flipH="1">
                            <a:off x="1875861" y="976900"/>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0"/>
                        <wps:cNvSpPr>
                          <a:spLocks noChangeArrowheads="1"/>
                        </wps:cNvSpPr>
                        <wps:spPr bwMode="auto">
                          <a:xfrm>
                            <a:off x="1118808"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05101EDE" w14:textId="77777777" w:rsidR="00133798" w:rsidRDefault="00133798" w:rsidP="007B7398">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90" name="AutoShape 10"/>
                        <wps:cNvSpPr>
                          <a:spLocks noChangeArrowheads="1"/>
                        </wps:cNvSpPr>
                        <wps:spPr bwMode="auto">
                          <a:xfrm>
                            <a:off x="3181420"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567CDFC6" w14:textId="77777777" w:rsidR="00133798" w:rsidRDefault="00133798" w:rsidP="007B7398">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156" name="Rectangle 9"/>
                        <wps:cNvSpPr>
                          <a:spLocks noChangeArrowheads="1"/>
                        </wps:cNvSpPr>
                        <wps:spPr bwMode="auto">
                          <a:xfrm>
                            <a:off x="3018450" y="554195"/>
                            <a:ext cx="1802130" cy="3004820"/>
                          </a:xfrm>
                          <a:prstGeom prst="rect">
                            <a:avLst/>
                          </a:prstGeom>
                          <a:solidFill>
                            <a:srgbClr val="FFFFFF"/>
                          </a:solidFill>
                          <a:ln w="19050">
                            <a:solidFill>
                              <a:srgbClr val="E36C0A"/>
                            </a:solidFill>
                            <a:miter lim="800000"/>
                            <a:headEnd/>
                            <a:tailEnd/>
                          </a:ln>
                        </wps:spPr>
                        <wps:txbx>
                          <w:txbxContent>
                            <w:p w14:paraId="41C9AD98" w14:textId="77777777" w:rsidR="00133798" w:rsidRDefault="00133798" w:rsidP="007B7398">
                              <w:pPr>
                                <w:rPr>
                                  <w:rFonts w:eastAsia="Times New Roman"/>
                                </w:rPr>
                              </w:pPr>
                            </w:p>
                          </w:txbxContent>
                        </wps:txbx>
                        <wps:bodyPr rot="0" vert="horz" wrap="square" lIns="91440" tIns="45720" rIns="91440" bIns="45720" anchor="t" anchorCtr="0" upright="1">
                          <a:noAutofit/>
                        </wps:bodyPr>
                      </wps:wsp>
                      <wps:wsp>
                        <wps:cNvPr id="171" name="AutoShape 12"/>
                        <wps:cNvSpPr>
                          <a:spLocks noChangeArrowheads="1"/>
                        </wps:cNvSpPr>
                        <wps:spPr bwMode="auto">
                          <a:xfrm>
                            <a:off x="3197520" y="734535"/>
                            <a:ext cx="1423670" cy="240665"/>
                          </a:xfrm>
                          <a:prstGeom prst="roundRect">
                            <a:avLst>
                              <a:gd name="adj" fmla="val 16667"/>
                            </a:avLst>
                          </a:prstGeom>
                          <a:solidFill>
                            <a:srgbClr val="E36C0A"/>
                          </a:solidFill>
                          <a:ln w="9525">
                            <a:solidFill>
                              <a:srgbClr val="974706"/>
                            </a:solidFill>
                            <a:round/>
                            <a:headEnd/>
                            <a:tailEnd/>
                          </a:ln>
                        </wps:spPr>
                        <wps:txbx>
                          <w:txbxContent>
                            <w:p w14:paraId="5F7708F0"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179" name="AutoShape 15"/>
                        <wps:cNvSpPr>
                          <a:spLocks noChangeArrowheads="1"/>
                        </wps:cNvSpPr>
                        <wps:spPr bwMode="auto">
                          <a:xfrm>
                            <a:off x="3197520" y="2977990"/>
                            <a:ext cx="1423670" cy="466090"/>
                          </a:xfrm>
                          <a:prstGeom prst="roundRect">
                            <a:avLst>
                              <a:gd name="adj" fmla="val 16667"/>
                            </a:avLst>
                          </a:prstGeom>
                          <a:solidFill>
                            <a:srgbClr val="E36C0A"/>
                          </a:solidFill>
                          <a:ln w="9525">
                            <a:solidFill>
                              <a:srgbClr val="974706"/>
                            </a:solidFill>
                            <a:round/>
                            <a:headEnd/>
                            <a:tailEnd/>
                          </a:ln>
                        </wps:spPr>
                        <wps:txbx>
                          <w:txbxContent>
                            <w:p w14:paraId="0CEA1CA5" w14:textId="624A8A2C"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0C598C3C"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6265864D"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183" name="AutoShape 17"/>
                        <wps:cNvSpPr>
                          <a:spLocks noChangeArrowheads="1"/>
                        </wps:cNvSpPr>
                        <wps:spPr bwMode="auto">
                          <a:xfrm>
                            <a:off x="3193710" y="2496660"/>
                            <a:ext cx="1424305" cy="241935"/>
                          </a:xfrm>
                          <a:prstGeom prst="roundRect">
                            <a:avLst>
                              <a:gd name="adj" fmla="val 16667"/>
                            </a:avLst>
                          </a:prstGeom>
                          <a:solidFill>
                            <a:srgbClr val="E36C0A"/>
                          </a:solidFill>
                          <a:ln w="9525">
                            <a:solidFill>
                              <a:srgbClr val="974706"/>
                            </a:solidFill>
                            <a:prstDash val="dash"/>
                            <a:round/>
                            <a:headEnd/>
                            <a:tailEnd/>
                          </a:ln>
                        </wps:spPr>
                        <wps:txbx>
                          <w:txbxContent>
                            <w:p w14:paraId="4682AF01"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187" name="AutoShape 18"/>
                        <wps:cNvSpPr>
                          <a:spLocks noChangeArrowheads="1"/>
                        </wps:cNvSpPr>
                        <wps:spPr bwMode="auto">
                          <a:xfrm>
                            <a:off x="3198790" y="1265395"/>
                            <a:ext cx="1423670" cy="241935"/>
                          </a:xfrm>
                          <a:prstGeom prst="roundRect">
                            <a:avLst>
                              <a:gd name="adj" fmla="val 16667"/>
                            </a:avLst>
                          </a:prstGeom>
                          <a:solidFill>
                            <a:srgbClr val="E36C0A"/>
                          </a:solidFill>
                          <a:ln w="9525">
                            <a:solidFill>
                              <a:srgbClr val="974706"/>
                            </a:solidFill>
                            <a:round/>
                            <a:headEnd/>
                            <a:tailEnd/>
                          </a:ln>
                        </wps:spPr>
                        <wps:txbx>
                          <w:txbxContent>
                            <w:p w14:paraId="44659188"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188" name="AutoShape 27"/>
                        <wps:cNvCnPr>
                          <a:cxnSpLocks noChangeShapeType="1"/>
                        </wps:cNvCnPr>
                        <wps:spPr bwMode="auto">
                          <a:xfrm flipH="1">
                            <a:off x="3907450" y="1507330"/>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28"/>
                        <wps:cNvCnPr>
                          <a:cxnSpLocks noChangeShapeType="1"/>
                        </wps:cNvCnPr>
                        <wps:spPr bwMode="auto">
                          <a:xfrm flipH="1">
                            <a:off x="3905545" y="2285840"/>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9"/>
                        <wps:cNvCnPr>
                          <a:cxnSpLocks noChangeShapeType="1"/>
                        </wps:cNvCnPr>
                        <wps:spPr bwMode="auto">
                          <a:xfrm flipH="1">
                            <a:off x="3904275" y="2739230"/>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30"/>
                        <wps:cNvCnPr>
                          <a:cxnSpLocks noChangeShapeType="1"/>
                        </wps:cNvCnPr>
                        <wps:spPr bwMode="auto">
                          <a:xfrm>
                            <a:off x="3905545" y="2739230"/>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26"/>
                        <wps:cNvCnPr>
                          <a:cxnSpLocks noChangeShapeType="1"/>
                        </wps:cNvCnPr>
                        <wps:spPr bwMode="auto">
                          <a:xfrm>
                            <a:off x="3909355" y="975835"/>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Oval 166"/>
                        <wps:cNvSpPr>
                          <a:spLocks noChangeArrowheads="1"/>
                        </wps:cNvSpPr>
                        <wps:spPr bwMode="auto">
                          <a:xfrm>
                            <a:off x="3337855" y="1641950"/>
                            <a:ext cx="1139825" cy="643890"/>
                          </a:xfrm>
                          <a:prstGeom prst="ellipse">
                            <a:avLst/>
                          </a:prstGeom>
                          <a:solidFill>
                            <a:srgbClr val="FFC000"/>
                          </a:solidFill>
                          <a:ln w="9525">
                            <a:solidFill>
                              <a:srgbClr val="974706"/>
                            </a:solidFill>
                            <a:round/>
                            <a:headEnd/>
                            <a:tailEnd/>
                          </a:ln>
                        </wps:spPr>
                        <wps:txbx>
                          <w:txbxContent>
                            <w:p w14:paraId="415AE5B8" w14:textId="77777777" w:rsidR="00133798" w:rsidRDefault="00133798" w:rsidP="007B7398">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572B8C4C" w14:textId="77777777" w:rsidR="00133798" w:rsidRDefault="00133798" w:rsidP="007B739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10"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">
                <v:shape id="_x0000_s1111" type="#_x0000_t75" style="position:absolute;width:57321;height:36518;visibility:visible;mso-wrap-style:square">
                  <v:fill o:detectmouseclick="t"/>
                  <v:path o:connecttype="none"/>
                </v:shape>
                <v:rect id="Rectangle 8" o:spid="_x0000_s1112" style="position:absolute;left:9223;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4VMIA&#10;AADbAAAADwAAAGRycy9kb3ducmV2LnhtbESPQWvCQBSE7wX/w/IEb3VjDxKiq4ggSL2kiVB6e2af&#10;STD7NuyuJv77bqHgcZiZb5j1djSdeJDzrWUFi3kCgriyuuVawbk8vKcgfEDW2FkmBU/ysN1M3taY&#10;aTvwFz2KUIsIYZ+hgiaEPpPSVw0Z9HPbE0fvap3BEKWrpXY4RLjp5EeSLKXBluNCgz3tG6puxd0o&#10;6H8+SQ9By++xdJejO+3yU50rNZuOuxWIQGN4hf/bR60gXcD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fhUwgAAANsAAAAPAAAAAAAAAAAAAAAAAJgCAABkcnMvZG93&#10;bnJldi54bWxQSwUGAAAAAAQABAD1AAAAhwMAAAAA&#10;" strokecolor="#e36c0a" strokeweight="1.5pt"/>
                <v:roundrect id="_x0000_s1113" style="position:absolute;left:11644;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rNcIA&#10;AADbAAAADwAAAGRycy9kb3ducmV2LnhtbESPQWvCQBSE7wX/w/IK3uqmoYhEN0HEgrc2Vjw/ss/d&#10;YPZtyG5N9Nd3C4Ueh5n5htlUk+vEjYbQelbwushAEDdet2wUnL7eX1YgQkTW2HkmBXcKUJWzpw0W&#10;2o9c0+0YjUgQDgUqsDH2hZShseQwLHxPnLyLHxzGJAcj9YBjgrtO5lm2lA5bTgsWe9pZaq7Hb6fA&#10;aLutPz9Mvc/MWzjFZY6P8azU/HnarkFEmuJ/+K990ApWO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s1wgAAANsAAAAPAAAAAAAAAAAAAAAAAJgCAABkcnMvZG93&#10;bnJldi54bWxQSwUGAAAAAAQABAD1AAAAhwMAAAAA&#10;" fillcolor="#e36c0a" strokecolor="#974706">
                  <v:textbox>
                    <w:txbxContent>
                      <w:p w14:paraId="37D858DD" w14:textId="77777777" w:rsidR="00133798" w:rsidRDefault="00133798" w:rsidP="007B7398">
                        <w:pPr>
                          <w:spacing w:after="0" w:line="240" w:lineRule="auto"/>
                          <w:jc w:val="center"/>
                          <w:rPr>
                            <w:b/>
                            <w:color w:val="FFFFFF"/>
                            <w:sz w:val="16"/>
                            <w:szCs w:val="16"/>
                          </w:rPr>
                        </w:pPr>
                        <w:r>
                          <w:rPr>
                            <w:b/>
                            <w:color w:val="FFFFFF"/>
                            <w:sz w:val="16"/>
                            <w:szCs w:val="16"/>
                          </w:rPr>
                          <w:t>Vadovaujančioji institucija</w:t>
                        </w:r>
                      </w:p>
                    </w:txbxContent>
                  </v:textbox>
                </v:roundrect>
                <v:roundrect id="_x0000_s1114" style="position:absolute;left:11391;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OrsEA&#10;AADbAAAADwAAAGRycy9kb3ducmV2LnhtbESPQWsCMRSE7wX/Q3iCt5qtisjWKCIK3uxa6fmxeU2W&#10;bl6WTXRXf30jCB6HmfmGWa57V4srtaHyrOBjnIEgLr2u2Cg4f+/fFyBCRNZYeyYFNwqwXg3elphr&#10;33FB11M0IkE45KjAxtjkUobSksMw9g1x8n596zAm2RqpW+wS3NVykmVz6bDitGCxoa2l8u90cQqM&#10;tpvi62iKXWZm4RznE7x3P0qNhv3mE0SkPr7Cz/ZBK1hM4fE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XTq7BAAAA2wAAAA8AAAAAAAAAAAAAAAAAmAIAAGRycy9kb3du&#10;cmV2LnhtbFBLBQYAAAAABAAEAPUAAACGAwAAAAA=&#10;" fillcolor="#e36c0a" strokecolor="#974706">
                  <v:textbox>
                    <w:txbxContent>
                      <w:p w14:paraId="01D5E3FD" w14:textId="18C896B6" w:rsidR="00133798" w:rsidRDefault="00133798" w:rsidP="007B7398">
                        <w:pPr>
                          <w:spacing w:after="0" w:line="240" w:lineRule="auto"/>
                          <w:jc w:val="center"/>
                          <w:rPr>
                            <w:b/>
                            <w:color w:val="FFFFFF"/>
                            <w:sz w:val="16"/>
                            <w:szCs w:val="16"/>
                          </w:rPr>
                        </w:pPr>
                        <w:r>
                          <w:rPr>
                            <w:b/>
                            <w:color w:val="FFFFFF"/>
                            <w:sz w:val="16"/>
                            <w:szCs w:val="16"/>
                          </w:rPr>
                          <w:t>Galutiniai naudos</w:t>
                        </w:r>
                      </w:p>
                      <w:p w14:paraId="05982240" w14:textId="77777777" w:rsidR="00133798" w:rsidRDefault="00133798" w:rsidP="007B7398">
                        <w:pPr>
                          <w:spacing w:after="0" w:line="240" w:lineRule="auto"/>
                          <w:jc w:val="center"/>
                          <w:rPr>
                            <w:b/>
                            <w:color w:val="FFFFFF"/>
                            <w:sz w:val="16"/>
                            <w:szCs w:val="16"/>
                          </w:rPr>
                        </w:pPr>
                        <w:r>
                          <w:rPr>
                            <w:b/>
                            <w:color w:val="FFFFFF"/>
                            <w:sz w:val="16"/>
                            <w:szCs w:val="16"/>
                          </w:rPr>
                          <w:t xml:space="preserve"> gavėjai</w:t>
                        </w:r>
                      </w:p>
                      <w:p w14:paraId="3866B3B7" w14:textId="77777777" w:rsidR="00133798" w:rsidRDefault="00133798" w:rsidP="007B7398">
                        <w:pPr>
                          <w:spacing w:after="0" w:line="240" w:lineRule="auto"/>
                          <w:jc w:val="center"/>
                          <w:rPr>
                            <w:b/>
                            <w:color w:val="FFFFFF"/>
                            <w:sz w:val="16"/>
                            <w:szCs w:val="16"/>
                          </w:rPr>
                        </w:pPr>
                      </w:p>
                    </w:txbxContent>
                  </v:textbox>
                </v:roundrect>
                <v:roundrect id="_x0000_s1115" style="position:absolute;left:11644;top:2059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W2sAA&#10;AADbAAAADwAAAGRycy9kb3ducmV2LnhtbESPQYvCMBSE78L+h/AWvGmqiEg1isgK3nar4vnRPJNi&#10;81KarO366zeC4HGYmW+Y1aZ3tbhTGyrPCibjDARx6XXFRsH5tB8tQISIrLH2TAr+KMBm/TFYYa59&#10;xwXdj9GIBOGQowIbY5NLGUpLDsPYN8TJu/rWYUyyNVK32CW4q+U0y+bSYcVpwWJDO0vl7fjrFBht&#10;t8XPtym+MjML5zif4qO7KDX87LdLEJH6+A6/2getYDGD55f0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7W2sAAAADbAAAADwAAAAAAAAAAAAAAAACYAgAAZHJzL2Rvd25y&#10;ZXYueG1sUEsFBgAAAAAEAAQA9QAAAIUDAAAAAA==&#10;" fillcolor="#e36c0a" strokecolor="#974706">
                  <v:textbox>
                    <w:txbxContent>
                      <w:p w14:paraId="5709425F" w14:textId="77777777" w:rsidR="00133798" w:rsidRDefault="00133798" w:rsidP="007B7398">
                        <w:pPr>
                          <w:spacing w:after="0" w:line="240" w:lineRule="auto"/>
                          <w:jc w:val="center"/>
                          <w:rPr>
                            <w:b/>
                            <w:color w:val="FFFFFF"/>
                            <w:sz w:val="16"/>
                            <w:szCs w:val="16"/>
                          </w:rPr>
                        </w:pPr>
                        <w:r>
                          <w:rPr>
                            <w:b/>
                            <w:color w:val="FFFFFF"/>
                            <w:sz w:val="16"/>
                            <w:szCs w:val="16"/>
                          </w:rPr>
                          <w:t>Finansinės priemonės valdytojas</w:t>
                        </w:r>
                      </w:p>
                    </w:txbxContent>
                  </v:textbox>
                </v:roundrect>
                <v:oval id="_x0000_s1116" style="position:absolute;left:13057;top:12038;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PS8UA&#10;AADbAAAADwAAAGRycy9kb3ducmV2LnhtbESPQWvCQBSE70L/w/IK3symYktIXaWUihEP0uhBb6/Z&#10;1yQ0+zZkt0n8965Q6HGYmW+Y5Xo0jeipc7VlBU9RDIK4sLrmUsHpuJklIJxH1thYJgVXcrBePUyW&#10;mGo78Cf1uS9FgLBLUUHlfZtK6YqKDLrItsTB+7adQR9kV0rd4RDgppHzOH6RBmsOCxW29F5R8ZP/&#10;GgXzy+Fr3+4W27NfuGa738WYZB9KTR/Ht1cQnkb/H/5rZ1pB8gz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g9LxQAAANsAAAAPAAAAAAAAAAAAAAAAAJgCAABkcnMv&#10;ZG93bnJldi54bWxQSwUGAAAAAAQABAD1AAAAigMAAAAA&#10;" fillcolor="#ffc000" strokecolor="#974706">
                  <v:textbox>
                    <w:txbxContent>
                      <w:p w14:paraId="19440B55" w14:textId="77777777" w:rsidR="00133798" w:rsidRPr="00873719" w:rsidRDefault="00133798" w:rsidP="007B7398">
                        <w:pPr>
                          <w:jc w:val="center"/>
                          <w:rPr>
                            <w:b/>
                            <w:color w:val="FFFFFF"/>
                            <w:lang w:val="lt-LT"/>
                          </w:rPr>
                        </w:pPr>
                        <w:r>
                          <w:rPr>
                            <w:b/>
                            <w:color w:val="FFFFFF"/>
                            <w:sz w:val="18"/>
                            <w:lang w:val="lt-LT"/>
                          </w:rPr>
                          <w:t>Finansinė priemonė</w:t>
                        </w:r>
                      </w:p>
                      <w:p w14:paraId="62738708" w14:textId="77777777" w:rsidR="00133798" w:rsidRPr="00873719" w:rsidRDefault="00133798" w:rsidP="007B7398">
                        <w:pPr>
                          <w:jc w:val="center"/>
                          <w:rPr>
                            <w:b/>
                            <w:color w:val="FFFFFF"/>
                            <w:lang w:val="lt-LT"/>
                          </w:rPr>
                        </w:pPr>
                      </w:p>
                    </w:txbxContent>
                  </v:textbox>
                </v:oval>
                <v:shape id="AutoShape 24" o:spid="_x0000_s1117" type="#_x0000_t32" style="position:absolute;left:18758;top:18482;width:4;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25" o:spid="_x0000_s1118" type="#_x0000_t32" style="position:absolute;left:18736;top:2481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26" o:spid="_x0000_s1119" type="#_x0000_t32" style="position:absolute;left:18758;top:9769;width:4;height:2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roundrect id="_x0000_s1120" style="position:absolute;left:11188;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a8MA&#10;AADbAAAADwAAAGRycy9kb3ducmV2LnhtbESPwWrDMBBE74X8g9hAb7WcHIzrRglJSKC3tnYvvi3W&#10;xjaxVo6kxu7fV4VCj8PMvGE2u9kM4k7O95YVrJIUBHFjdc+tgs/q/JSD8AFZ42CZFHyTh9128bDB&#10;QtuJP+hehlZECPsCFXQhjIWUvunIoE/sSBy9i3UGQ5SuldrhFOFmkOs0zaTBnuNChyMdO2qu5ZdR&#10;cOvd4Xy07r3JsvJU+bd6wLFW6nE5719ABJrDf/iv/aoV5M/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za8MAAADbAAAADwAAAAAAAAAAAAAAAACYAgAAZHJzL2Rv&#10;d25yZXYueG1sUEsFBgAAAAAEAAQA9QAAAIgDAAAAAA==&#10;" fillcolor="white [3201]" strokecolor="#f79646 [3209]" strokeweight="2pt">
                  <v:textbox>
                    <w:txbxContent>
                      <w:p w14:paraId="05101EDE" w14:textId="77777777" w:rsidR="00133798" w:rsidRDefault="00133798" w:rsidP="007B7398">
                        <w:pPr>
                          <w:pStyle w:val="prastasistinklapis"/>
                          <w:jc w:val="center"/>
                        </w:pPr>
                        <w:r>
                          <w:rPr>
                            <w:rFonts w:ascii="Calibri" w:eastAsia="Calibri" w:hAnsi="Calibri"/>
                            <w:b/>
                            <w:bCs/>
                            <w:sz w:val="16"/>
                            <w:szCs w:val="16"/>
                          </w:rPr>
                          <w:t>II STRUKTŪRA</w:t>
                        </w:r>
                      </w:p>
                    </w:txbxContent>
                  </v:textbox>
                </v:roundrect>
                <v:roundrect id="_x0000_s1121" style="position:absolute;left:3181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3MK8AA&#10;AADbAAAADwAAAGRycy9kb3ducmV2LnhtbERPPW/CMBDdK/EfrKvUrThliErAIEAgdaMkLNlO8TWJ&#10;Gp+D7Sbpv8cDEuPT+15vJ9OJgZxvLSv4mCcgiCurW64VXIvT+ycIH5A1dpZJwT952G5mL2vMtB35&#10;QkMeahFD2GeooAmhz6T0VUMG/dz2xJH7sc5giNDVUjscY7jp5CJJUmmw5djQYE+Hhqrf/M8ouLVu&#10;fzpY912laX4s/LnssC+VenuddisQgabwFD/cX1rBMq6PX+IP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3MK8AAAADbAAAADwAAAAAAAAAAAAAAAACYAgAAZHJzL2Rvd25y&#10;ZXYueG1sUEsFBgAAAAAEAAQA9QAAAIUDAAAAAA==&#10;" fillcolor="white [3201]" strokecolor="#f79646 [3209]" strokeweight="2pt">
                  <v:textbox>
                    <w:txbxContent>
                      <w:p w14:paraId="567CDFC6" w14:textId="77777777" w:rsidR="00133798" w:rsidRDefault="00133798" w:rsidP="007B7398">
                        <w:pPr>
                          <w:pStyle w:val="prastasistinklapis"/>
                          <w:jc w:val="center"/>
                        </w:pPr>
                        <w:r>
                          <w:rPr>
                            <w:rFonts w:ascii="Calibri" w:eastAsia="Calibri" w:hAnsi="Calibri"/>
                            <w:b/>
                            <w:bCs/>
                            <w:sz w:val="16"/>
                            <w:szCs w:val="16"/>
                          </w:rPr>
                          <w:t>III STRUKTŪRA</w:t>
                        </w:r>
                      </w:p>
                    </w:txbxContent>
                  </v:textbox>
                </v:roundrect>
                <v:rect id="_x0000_s1122" style="position:absolute;left:30184;top:5541;width:18021;height:30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Bb8A&#10;AADcAAAADwAAAGRycy9kb3ducmV2LnhtbERPy6rCMBDdX/AfwgjurqkXFKlGEUEQ3fgCcTc2Y1ts&#10;JiXJtfXvjSC4m8N5znTemko8yPnSsoJBPwFBnFldcq7gdFz9jkH4gKyxskwKnuRhPuv8TDHVtuE9&#10;PQ4hFzGEfYoKihDqVEqfFWTQ921NHLmbdQZDhC6X2mETw00l/5JkJA2WHBsKrGlZUHY//BsF9WVD&#10;uglantuju67ddrHb5julet12MQERqA1f8ce91nH+cATvZ+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5QsFvwAAANwAAAAPAAAAAAAAAAAAAAAAAJgCAABkcnMvZG93bnJl&#10;di54bWxQSwUGAAAAAAQABAD1AAAAhAMAAAAA&#10;" strokecolor="#e36c0a" strokeweight="1.5pt">
                  <v:textbox>
                    <w:txbxContent>
                      <w:p w14:paraId="41C9AD98" w14:textId="77777777" w:rsidR="00133798" w:rsidRDefault="00133798" w:rsidP="007B7398">
                        <w:pPr>
                          <w:rPr>
                            <w:rFonts w:eastAsia="Times New Roman"/>
                          </w:rPr>
                        </w:pPr>
                      </w:p>
                    </w:txbxContent>
                  </v:textbox>
                </v:rect>
                <v:roundrect id="_x0000_s1123" style="position:absolute;left:31975;top:734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3SoMEA&#10;AADcAAAADwAAAGRycy9kb3ducmV2LnhtbERP32vCMBB+F/wfwgl701QZKp1pkbHB3rZq2fPRnEmx&#10;uZQms93++mUw8O0+vp93KCfXiRsNofWsYL3KQBA3XrdsFNTn1+UeRIjIGjvPpOCbApTFfHbAXPuR&#10;K7qdohEphEOOCmyMfS5laCw5DCvfEyfu4geHMcHBSD3gmMJdJzdZtpUOW04NFnt6ttRcT19OgdH2&#10;WH28m+olM4+hjtsN/oyfSj0spuMTiEhTvIv/3W86zd+t4e+ZdIE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d0qDBAAAA3AAAAA8AAAAAAAAAAAAAAAAAmAIAAGRycy9kb3du&#10;cmV2LnhtbFBLBQYAAAAABAAEAPUAAACGAwAAAAA=&#10;" fillcolor="#e36c0a" strokecolor="#974706">
                  <v:textbox>
                    <w:txbxContent>
                      <w:p w14:paraId="5F7708F0"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_x0000_s1124" style="position:absolute;left:31975;top:29779;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epsAA&#10;AADcAAAADwAAAGRycy9kb3ducmV2LnhtbERPTWsCMRC9C/0PYQq9aVYp2q5GkaLQm66VnofNmCxu&#10;Jssmdbf+eiMI3ubxPmex6l0tLtSGyrOC8SgDQVx6XbFRcPzZDj9AhIissfZMCv4pwGr5Mlhgrn3H&#10;BV0O0YgUwiFHBTbGJpcylJYchpFviBN38q3DmGBrpG6xS+GulpMsm0qHFacGiw19WSrPhz+nwGi7&#10;LvY7U2wy8x6OcTrBa/er1Ntrv56DiNTHp/jh/tZp/uwT7s+kC+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vepsAAAADcAAAADwAAAAAAAAAAAAAAAACYAgAAZHJzL2Rvd25y&#10;ZXYueG1sUEsFBgAAAAAEAAQA9QAAAIUDAAAAAA==&#10;" fillcolor="#e36c0a" strokecolor="#974706">
                  <v:textbox>
                    <w:txbxContent>
                      <w:p w14:paraId="0CEA1CA5" w14:textId="624A8A2C"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0C598C3C"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6265864D"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_x0000_s1125" style="position:absolute;left:31937;top:24966;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8EsIA&#10;AADcAAAADwAAAGRycy9kb3ducmV2LnhtbERPzWrCQBC+F3yHZQQvRTdWFImuIrYRDyoYfYAhOybB&#10;7GyaXWN8+26h0Nt8fL+zXHemEi01rrSsYDyKQBBnVpecK7hekuEchPPIGivLpOBFDtar3tsSY22f&#10;fKY29bkIIexiVFB4X8dSuqwgg25ka+LA3Wxj0AfY5FI3+AzhppIfUTSTBksODQXWtC0ou6cPo6Cd&#10;ftZfr81eYnLdue9D8m6O6UmpQb/bLEB46vy/+M+912H+fAK/z4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7wSwgAAANwAAAAPAAAAAAAAAAAAAAAAAJgCAABkcnMvZG93&#10;bnJldi54bWxQSwUGAAAAAAQABAD1AAAAhwMAAAAA&#10;" fillcolor="#e36c0a" strokecolor="#974706">
                  <v:stroke dashstyle="dash"/>
                  <v:textbox>
                    <w:txbxContent>
                      <w:p w14:paraId="4682AF01"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_x0000_s1126" style="position:absolute;left:31987;top:12653;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faMEA&#10;AADcAAAADwAAAGRycy9kb3ducmV2LnhtbERP32vCMBB+F/Y/hBvsTVNlaKnGUsYGe9uq4vPRnEmx&#10;uZQms93++mUw8O0+vp+3KyfXiRsNofWsYLnIQBA3XrdsFJyOb/McRIjIGjvPpOCbApT7h9kOC+1H&#10;rul2iEakEA4FKrAx9oWUobHkMCx8T5y4ix8cxgQHI/WAYwp3nVxl2Vo6bDk1WOzpxVJzPXw5BUbb&#10;qv78MPVrZp7DKa5X+DOelXp6nKotiEhTvIv/3e86zc838PdMuk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tn2jBAAAA3AAAAA8AAAAAAAAAAAAAAAAAmAIAAGRycy9kb3du&#10;cmV2LnhtbFBLBQYAAAAABAAEAPUAAACGAwAAAAA=&#10;" fillcolor="#e36c0a" strokecolor="#974706">
                  <v:textbox>
                    <w:txbxContent>
                      <w:p w14:paraId="44659188" w14:textId="77777777" w:rsidR="00133798" w:rsidRDefault="00133798" w:rsidP="007B739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127" type="#_x0000_t32" style="position:absolute;left:39074;top:1507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qi8MAAADcAAAADwAAAGRycy9kb3ducmV2LnhtbESPQWvDMAyF74P+B6PBbouzQkfJ6pat&#10;UCi9jLWF7ihiLTGL5RC7cfrvp8OgN4n39N6n1WbynRppiC6wgZeiBEVcB+u4MXA+7Z6XoGJCttgF&#10;JgM3irBZzx5WWNmQ+YvGY2qUhHCs0ECbUl9pHeuWPMYi9MSi/YTBY5J1aLQdMEu47/S8LF+1R8fS&#10;0GJP25bq3+PVG3D50439fps/DpfvaDO52yI4Y54ep/c3UImmdDf/X++t4C+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aovDAAAA3AAAAA8AAAAAAAAAAAAA&#10;AAAAoQIAAGRycy9kb3ducmV2LnhtbFBLBQYAAAAABAAEAPkAAACRAwAAAAA=&#10;">
                  <v:stroke endarrow="block"/>
                </v:shape>
                <v:shape id="AutoShape 28" o:spid="_x0000_s1128" type="#_x0000_t32" style="position:absolute;left:39055;top:22858;width:13;height:2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Vy8EAAADcAAAADwAAAGRycy9kb3ducmV2LnhtbERP32vCMBB+F/Y/hBv4pmkHiuuMZRME&#10;8UXmBtvj0ZxtsLmUJmvqf2+EgW/38f28dTnaVgzUe+NYQT7PQBBXThuuFXx/7WYrED4ga2wdk4Ir&#10;eSg3T5M1FtpF/qThFGqRQtgXqKAJoSuk9FVDFv3cdcSJO7veYkiwr6XuMaZw28qXLFtKi4ZTQ4Md&#10;bRuqLqc/q8DEoxm6/TZ+HH5+vY5krgtnlJo+j+9vIAKN4SH+d+91mv+a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FXLwQAAANwAAAAPAAAAAAAAAAAAAAAA&#10;AKECAABkcnMvZG93bnJldi54bWxQSwUGAAAAAAQABAD5AAAAjwMAAAAA&#10;">
                  <v:stroke endarrow="block"/>
                </v:shape>
                <v:shape id="AutoShape 29" o:spid="_x0000_s1129" type="#_x0000_t32" style="position:absolute;left:39042;top:27392;width:13;height:2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LvMEAAADcAAAADwAAAGRycy9kb3ducmV2LnhtbERP32vCMBB+F/Y/hBv4pqkFh+uMxQmC&#10;+CJzg+3xaM422FxKkzX1vzeDgW/38f28dTnaVgzUe+NYwWKegSCunDZcK/j63M9WIHxA1tg6JgU3&#10;8lBuniZrLLSL/EHDOdQihbAvUEETQldI6auGLPq564gTd3G9xZBgX0vdY0zhtpV5lr1Ii4ZTQ4Md&#10;7Rqqrudfq8DEkxm6wy6+H79/vI5kbktnlJo+j9s3EIHG8BD/uw86zX/N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su8wQAAANwAAAAPAAAAAAAAAAAAAAAA&#10;AKECAABkcnMvZG93bnJldi54bWxQSwUGAAAAAAQABAD5AAAAjwMAAAAA&#10;">
                  <v:stroke endarrow="block"/>
                </v:shape>
                <v:shape id="AutoShape 30" o:spid="_x0000_s1130" type="#_x0000_t32" style="position:absolute;left:39055;top:27392;width:32;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26" o:spid="_x0000_s1131" type="#_x0000_t32" style="position:absolute;left:39093;top:9758;width:6;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oval id="_x0000_s1132" style="position:absolute;left:33378;top:1641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iasMA&#10;AADcAAAADwAAAGRycy9kb3ducmV2LnhtbERPS4vCMBC+C/sfwgje1lQR0WpaZNlFxcPi46C3sRnb&#10;YjMpTdT6783Cgrf5+J4zT1tTiTs1rrSsYNCPQBBnVpecKzjsfz4nIJxH1lhZJgVPcpAmH505xto+&#10;eEv3nc9FCGEXo4LC+zqW0mUFGXR9WxMH7mIbgz7AJpe6wUcIN5UcRtFYGiw5NBRY01dB2XV3MwqG&#10;p9/zpl6Plkc/ctVys45wsvpWqtdtFzMQnlr/Fv+7VzrMn47h75lwgU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miasMAAADcAAAADwAAAAAAAAAAAAAAAACYAgAAZHJzL2Rv&#10;d25yZXYueG1sUEsFBgAAAAAEAAQA9QAAAIgDAAAAAA==&#10;" fillcolor="#ffc000" strokecolor="#974706">
                  <v:textbox>
                    <w:txbxContent>
                      <w:p w14:paraId="415AE5B8" w14:textId="77777777" w:rsidR="00133798" w:rsidRDefault="00133798" w:rsidP="007B7398">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572B8C4C" w14:textId="77777777" w:rsidR="00133798" w:rsidRDefault="00133798" w:rsidP="007B739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4943BF14" w14:textId="0A04AFE8" w:rsidR="007C54B4" w:rsidRPr="002142B8" w:rsidRDefault="007C54B4" w:rsidP="007C54B4">
      <w:pPr>
        <w:pStyle w:val="Antrat"/>
        <w:rPr>
          <w:szCs w:val="20"/>
          <w:lang w:val="lt-LT"/>
        </w:rPr>
      </w:pPr>
      <w:bookmarkStart w:id="345" w:name="_Toc507939287"/>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28</w:t>
      </w:r>
      <w:r w:rsidRPr="002142B8">
        <w:rPr>
          <w:lang w:val="lt-LT"/>
        </w:rPr>
        <w:fldChar w:fldCharType="end"/>
      </w:r>
      <w:r w:rsidRPr="002142B8">
        <w:rPr>
          <w:lang w:val="lt-LT"/>
        </w:rPr>
        <w:t xml:space="preserve">. </w:t>
      </w:r>
      <w:r w:rsidRPr="002142B8">
        <w:rPr>
          <w:rFonts w:eastAsiaTheme="minorHAnsi" w:cstheme="minorBidi"/>
          <w:szCs w:val="20"/>
          <w:lang w:val="lt-LT"/>
        </w:rPr>
        <w:t>Siūlom</w:t>
      </w:r>
      <w:r w:rsidR="007B7398" w:rsidRPr="002142B8">
        <w:rPr>
          <w:rFonts w:eastAsiaTheme="minorHAnsi" w:cstheme="minorBidi"/>
          <w:szCs w:val="20"/>
          <w:lang w:val="lt-LT"/>
        </w:rPr>
        <w:t>os</w:t>
      </w:r>
      <w:r w:rsidRPr="002142B8">
        <w:rPr>
          <w:rFonts w:eastAsiaTheme="minorHAnsi" w:cstheme="minorBidi"/>
          <w:szCs w:val="20"/>
          <w:lang w:val="lt-LT"/>
        </w:rPr>
        <w:t xml:space="preserve"> garantijų finansinės priemonės įgyvendinimo struktūr</w:t>
      </w:r>
      <w:r w:rsidR="007B7398" w:rsidRPr="002142B8">
        <w:rPr>
          <w:rFonts w:eastAsiaTheme="minorHAnsi" w:cstheme="minorBidi"/>
          <w:szCs w:val="20"/>
          <w:lang w:val="lt-LT"/>
        </w:rPr>
        <w:t>os</w:t>
      </w:r>
      <w:r w:rsidRPr="002142B8">
        <w:rPr>
          <w:rFonts w:eastAsiaTheme="minorHAnsi" w:cstheme="minorBidi"/>
          <w:szCs w:val="20"/>
          <w:lang w:val="lt-LT"/>
        </w:rPr>
        <w:t>.</w:t>
      </w:r>
      <w:bookmarkEnd w:id="345"/>
    </w:p>
    <w:p w14:paraId="40823D49" w14:textId="1FB0FBD6" w:rsidR="0005013B" w:rsidRPr="002142B8" w:rsidRDefault="0005013B" w:rsidP="0063781D">
      <w:pPr>
        <w:pStyle w:val="prastasis1"/>
        <w:spacing w:line="276" w:lineRule="auto"/>
        <w:jc w:val="both"/>
        <w:rPr>
          <w:rFonts w:ascii="Georgia" w:hAnsi="Georgia"/>
          <w:sz w:val="20"/>
          <w:szCs w:val="20"/>
        </w:rPr>
      </w:pPr>
      <w:r w:rsidRPr="002142B8">
        <w:rPr>
          <w:rFonts w:ascii="Georgia" w:hAnsi="Georgia"/>
          <w:sz w:val="20"/>
          <w:szCs w:val="20"/>
        </w:rPr>
        <w:t xml:space="preserve">Vadovaujančioji institucija pagal Bendrųjų nuostatų reglamento 38 str. 4 dalį  paskiria/atrenka vieną iš 38(4)(b) straipsnyje nurodytų institucijų finansinės priemonės </w:t>
      </w:r>
      <w:r w:rsidR="00E325E9" w:rsidRPr="002142B8">
        <w:rPr>
          <w:rFonts w:ascii="Georgia" w:hAnsi="Georgia"/>
          <w:sz w:val="20"/>
          <w:szCs w:val="20"/>
        </w:rPr>
        <w:t xml:space="preserve">ar fondų fondo </w:t>
      </w:r>
      <w:r w:rsidRPr="002142B8">
        <w:rPr>
          <w:rFonts w:ascii="Georgia" w:hAnsi="Georgia"/>
          <w:sz w:val="20"/>
          <w:szCs w:val="20"/>
        </w:rPr>
        <w:t>valdytoju. Atrinkus/paskyrus valdytoją, turėtų būti suda</w:t>
      </w:r>
      <w:r w:rsidR="007B7398" w:rsidRPr="002142B8">
        <w:rPr>
          <w:rFonts w:ascii="Georgia" w:hAnsi="Georgia"/>
          <w:sz w:val="20"/>
          <w:szCs w:val="20"/>
        </w:rPr>
        <w:t>r</w:t>
      </w:r>
      <w:r w:rsidRPr="002142B8">
        <w:rPr>
          <w:rFonts w:ascii="Georgia" w:hAnsi="Georgia"/>
          <w:sz w:val="20"/>
          <w:szCs w:val="20"/>
        </w:rPr>
        <w:t xml:space="preserve">yta finansavimo sutartis tarp vadovaujančios institucijos, Aplinkos ministerijos ir valdytojo. Remiantis </w:t>
      </w:r>
      <w:r w:rsidR="00E325E9" w:rsidRPr="002142B8">
        <w:rPr>
          <w:rFonts w:ascii="Georgia" w:hAnsi="Georgia"/>
          <w:sz w:val="20"/>
          <w:szCs w:val="20"/>
        </w:rPr>
        <w:t xml:space="preserve">pasirašytos </w:t>
      </w:r>
      <w:r w:rsidRPr="002142B8">
        <w:rPr>
          <w:rFonts w:ascii="Georgia" w:hAnsi="Georgia"/>
          <w:sz w:val="20"/>
          <w:szCs w:val="20"/>
        </w:rPr>
        <w:t xml:space="preserve">sutarties nuostatomis finansinei priemonei gali būti pervedamos 2014-2020 m. programavimo periodo ES struktūrinių fondų lėšos. </w:t>
      </w:r>
      <w:r w:rsidR="00E325E9" w:rsidRPr="002142B8">
        <w:rPr>
          <w:rFonts w:ascii="Georgia" w:hAnsi="Georgia"/>
          <w:sz w:val="20"/>
          <w:szCs w:val="20"/>
        </w:rPr>
        <w:t>Garantijų priemonė potencialiai gali būti įgyvendin</w:t>
      </w:r>
      <w:r w:rsidR="00391CE6" w:rsidRPr="002142B8">
        <w:rPr>
          <w:rFonts w:ascii="Georgia" w:hAnsi="Georgia"/>
          <w:sz w:val="20"/>
          <w:szCs w:val="20"/>
        </w:rPr>
        <w:t>ama</w:t>
      </w:r>
      <w:r w:rsidR="00E325E9" w:rsidRPr="002142B8">
        <w:rPr>
          <w:rFonts w:ascii="Georgia" w:hAnsi="Georgia"/>
          <w:sz w:val="20"/>
          <w:szCs w:val="20"/>
        </w:rPr>
        <w:t xml:space="preserve"> ir jau egzistuojančio fondų fondo pagrindu.</w:t>
      </w:r>
    </w:p>
    <w:p w14:paraId="692F8ECD" w14:textId="67F898F5" w:rsidR="0005013B" w:rsidRPr="002142B8" w:rsidRDefault="00954FD3" w:rsidP="0005013B">
      <w:pPr>
        <w:pStyle w:val="prastasis1"/>
        <w:spacing w:line="276" w:lineRule="auto"/>
        <w:jc w:val="both"/>
        <w:rPr>
          <w:rFonts w:ascii="Georgia" w:hAnsi="Georgia"/>
          <w:sz w:val="20"/>
          <w:szCs w:val="20"/>
        </w:rPr>
      </w:pPr>
      <w:r w:rsidRPr="002142B8">
        <w:rPr>
          <w:rFonts w:ascii="Georgia" w:hAnsi="Georgia"/>
          <w:sz w:val="20"/>
          <w:szCs w:val="20"/>
        </w:rPr>
        <w:t>A</w:t>
      </w:r>
      <w:r w:rsidR="0005013B" w:rsidRPr="002142B8">
        <w:rPr>
          <w:rFonts w:ascii="Georgia" w:hAnsi="Georgia"/>
          <w:sz w:val="20"/>
          <w:szCs w:val="20"/>
        </w:rPr>
        <w:t>plinkos ir Finansų ministerijos garantijų priemonės valdymui sukuria Priežiūros komitetą, kuris yra pagrindinis šios finansinės priemonės valdymo organas.</w:t>
      </w:r>
    </w:p>
    <w:p w14:paraId="496C4C1A" w14:textId="6A71C9CC" w:rsidR="00954FD3" w:rsidRPr="002142B8" w:rsidRDefault="0005013B" w:rsidP="00954FD3">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Iš ESI </w:t>
      </w:r>
      <w:r w:rsidR="00BC49DD" w:rsidRPr="002142B8">
        <w:rPr>
          <w:rFonts w:ascii="Georgia" w:eastAsia="Times New Roman" w:hAnsi="Georgia" w:cs="Times New Roman"/>
          <w:sz w:val="20"/>
          <w:szCs w:val="20"/>
          <w:lang w:val="lt-LT" w:eastAsia="lt-LT"/>
        </w:rPr>
        <w:t xml:space="preserve">fondų </w:t>
      </w:r>
      <w:r w:rsidR="00391CE6" w:rsidRPr="002142B8">
        <w:rPr>
          <w:rFonts w:ascii="Georgia" w:eastAsia="Times New Roman" w:hAnsi="Georgia" w:cs="Times New Roman"/>
          <w:sz w:val="20"/>
          <w:szCs w:val="20"/>
          <w:lang w:val="lt-LT" w:eastAsia="lt-LT"/>
        </w:rPr>
        <w:t>lėšų suformuojamas R</w:t>
      </w:r>
      <w:r w:rsidRPr="002142B8">
        <w:rPr>
          <w:rFonts w:ascii="Georgia" w:eastAsia="Times New Roman" w:hAnsi="Georgia" w:cs="Times New Roman"/>
          <w:sz w:val="20"/>
          <w:szCs w:val="20"/>
          <w:lang w:val="lt-LT" w:eastAsia="lt-LT"/>
        </w:rPr>
        <w:t>izikos pasidalijimo fondas</w:t>
      </w:r>
      <w:r w:rsidR="00954FD3" w:rsidRPr="002142B8">
        <w:rPr>
          <w:rFonts w:ascii="Georgia" w:eastAsia="Times New Roman" w:hAnsi="Georgia" w:cs="Times New Roman"/>
          <w:sz w:val="20"/>
          <w:szCs w:val="20"/>
          <w:lang w:val="lt-LT" w:eastAsia="lt-LT"/>
        </w:rPr>
        <w:t xml:space="preserve"> (RPF). RPF </w:t>
      </w:r>
      <w:r w:rsidR="00391CE6" w:rsidRPr="002142B8">
        <w:rPr>
          <w:rFonts w:ascii="Georgia" w:eastAsia="Times New Roman" w:hAnsi="Georgia" w:cs="Times New Roman"/>
          <w:sz w:val="20"/>
          <w:szCs w:val="20"/>
          <w:lang w:val="lt-LT" w:eastAsia="lt-LT"/>
        </w:rPr>
        <w:t xml:space="preserve">– </w:t>
      </w:r>
      <w:r w:rsidR="00BC49DD" w:rsidRPr="002142B8">
        <w:rPr>
          <w:rFonts w:ascii="Georgia" w:eastAsia="Times New Roman" w:hAnsi="Georgia" w:cs="Times New Roman"/>
          <w:sz w:val="20"/>
          <w:szCs w:val="20"/>
          <w:lang w:val="lt-LT" w:eastAsia="lt-LT"/>
        </w:rPr>
        <w:t xml:space="preserve">tai </w:t>
      </w:r>
      <w:r w:rsidR="00954FD3" w:rsidRPr="002142B8">
        <w:rPr>
          <w:rFonts w:ascii="Georgia" w:eastAsia="Times New Roman" w:hAnsi="Georgia" w:cs="Times New Roman"/>
          <w:sz w:val="20"/>
          <w:szCs w:val="20"/>
          <w:lang w:val="lt-LT" w:eastAsia="lt-LT"/>
        </w:rPr>
        <w:t>pirmojo nuostolio padengimo garantijų finansinis instrume</w:t>
      </w:r>
      <w:r w:rsidR="00391CE6" w:rsidRPr="002142B8">
        <w:rPr>
          <w:rFonts w:ascii="Georgia" w:eastAsia="Times New Roman" w:hAnsi="Georgia" w:cs="Times New Roman"/>
          <w:sz w:val="20"/>
          <w:szCs w:val="20"/>
          <w:lang w:val="lt-LT" w:eastAsia="lt-LT"/>
        </w:rPr>
        <w:t>ntas, kuriuo siekiama pritraukti papildomas privačias lėšas</w:t>
      </w:r>
      <w:r w:rsidR="00954FD3" w:rsidRPr="002142B8">
        <w:rPr>
          <w:rFonts w:ascii="Georgia" w:eastAsia="Times New Roman" w:hAnsi="Georgia" w:cs="Times New Roman"/>
          <w:sz w:val="20"/>
          <w:szCs w:val="20"/>
          <w:lang w:val="lt-LT" w:eastAsia="lt-LT"/>
        </w:rPr>
        <w:t xml:space="preserve"> iš privataus sektoriaus </w:t>
      </w:r>
      <w:r w:rsidR="00391CE6" w:rsidRPr="002142B8">
        <w:rPr>
          <w:rFonts w:ascii="Georgia" w:eastAsia="Times New Roman" w:hAnsi="Georgia" w:cs="Times New Roman"/>
          <w:sz w:val="20"/>
          <w:szCs w:val="20"/>
          <w:lang w:val="lt-LT" w:eastAsia="lt-LT"/>
        </w:rPr>
        <w:t xml:space="preserve">investuotojų </w:t>
      </w:r>
      <w:r w:rsidR="00954FD3" w:rsidRPr="002142B8">
        <w:rPr>
          <w:rFonts w:ascii="Georgia" w:eastAsia="Times New Roman" w:hAnsi="Georgia" w:cs="Times New Roman"/>
          <w:sz w:val="20"/>
          <w:szCs w:val="20"/>
          <w:lang w:val="lt-LT" w:eastAsia="lt-LT"/>
        </w:rPr>
        <w:t>(bankų, finansinių institucijų, t.t.) taip sukuriant sverto efektą.</w:t>
      </w:r>
      <w:r w:rsidR="007C54B4" w:rsidRPr="002142B8">
        <w:rPr>
          <w:rFonts w:ascii="Georgia" w:eastAsia="Times New Roman" w:hAnsi="Georgia" w:cs="Times New Roman"/>
          <w:sz w:val="20"/>
          <w:szCs w:val="20"/>
          <w:lang w:val="lt-LT" w:eastAsia="lt-LT"/>
        </w:rPr>
        <w:t xml:space="preserve"> </w:t>
      </w:r>
      <w:r w:rsidR="00954FD3" w:rsidRPr="002142B8">
        <w:rPr>
          <w:rFonts w:ascii="Georgia" w:eastAsia="Times New Roman" w:hAnsi="Georgia" w:cs="Times New Roman"/>
          <w:sz w:val="20"/>
          <w:szCs w:val="20"/>
          <w:lang w:val="lt-LT" w:eastAsia="lt-LT"/>
        </w:rPr>
        <w:t xml:space="preserve">Planuojamas RPF dydis </w:t>
      </w:r>
      <w:r w:rsidR="00391CE6" w:rsidRPr="002142B8">
        <w:rPr>
          <w:rFonts w:ascii="Georgia" w:eastAsia="Times New Roman" w:hAnsi="Georgia" w:cs="Times New Roman"/>
          <w:sz w:val="20"/>
          <w:szCs w:val="20"/>
          <w:lang w:val="lt-LT" w:eastAsia="lt-LT"/>
        </w:rPr>
        <w:t>–</w:t>
      </w:r>
      <w:r w:rsidR="00954FD3" w:rsidRPr="002142B8">
        <w:rPr>
          <w:rFonts w:ascii="Georgia" w:eastAsia="Times New Roman" w:hAnsi="Georgia" w:cs="Times New Roman"/>
          <w:sz w:val="20"/>
          <w:szCs w:val="20"/>
          <w:lang w:val="lt-LT" w:eastAsia="lt-LT"/>
        </w:rPr>
        <w:t xml:space="preserve"> </w:t>
      </w:r>
      <w:r w:rsidR="00391CE6" w:rsidRPr="002142B8">
        <w:rPr>
          <w:rFonts w:ascii="Georgia" w:eastAsia="Times New Roman" w:hAnsi="Georgia" w:cs="Times New Roman"/>
          <w:sz w:val="20"/>
          <w:szCs w:val="20"/>
          <w:lang w:val="lt-LT" w:eastAsia="lt-LT"/>
        </w:rPr>
        <w:t>100 mln. eurų (90 mln. eurų</w:t>
      </w:r>
      <w:r w:rsidR="00954FD3" w:rsidRPr="002142B8">
        <w:rPr>
          <w:rFonts w:ascii="Georgia" w:eastAsia="Times New Roman" w:hAnsi="Georgia" w:cs="Times New Roman"/>
          <w:sz w:val="20"/>
          <w:szCs w:val="20"/>
          <w:lang w:val="lt-LT" w:eastAsia="lt-LT"/>
        </w:rPr>
        <w:t xml:space="preserve"> ESI</w:t>
      </w:r>
      <w:r w:rsidR="00A82C12" w:rsidRPr="002142B8">
        <w:rPr>
          <w:rFonts w:ascii="Georgia" w:eastAsia="Times New Roman" w:hAnsi="Georgia" w:cs="Times New Roman"/>
          <w:sz w:val="20"/>
          <w:szCs w:val="20"/>
          <w:lang w:val="lt-LT" w:eastAsia="lt-LT"/>
        </w:rPr>
        <w:t xml:space="preserve"> fondų</w:t>
      </w:r>
      <w:r w:rsidR="00391CE6" w:rsidRPr="002142B8">
        <w:rPr>
          <w:rFonts w:ascii="Georgia" w:eastAsia="Times New Roman" w:hAnsi="Georgia" w:cs="Times New Roman"/>
          <w:sz w:val="20"/>
          <w:szCs w:val="20"/>
          <w:lang w:val="lt-LT" w:eastAsia="lt-LT"/>
        </w:rPr>
        <w:t xml:space="preserve"> lėšų ir 10 mln. eurų JESSICA </w:t>
      </w:r>
      <w:r w:rsidR="00954FD3" w:rsidRPr="002142B8">
        <w:rPr>
          <w:rFonts w:ascii="Georgia" w:eastAsia="Times New Roman" w:hAnsi="Georgia" w:cs="Times New Roman"/>
          <w:sz w:val="20"/>
          <w:szCs w:val="20"/>
          <w:lang w:val="lt-LT" w:eastAsia="lt-LT"/>
        </w:rPr>
        <w:t>grįžusių lėšų</w:t>
      </w:r>
      <w:r w:rsidR="00A82C12" w:rsidRPr="002142B8">
        <w:rPr>
          <w:rFonts w:ascii="Georgia" w:eastAsia="Times New Roman" w:hAnsi="Georgia" w:cs="Times New Roman"/>
          <w:sz w:val="20"/>
          <w:szCs w:val="20"/>
          <w:lang w:val="lt-LT" w:eastAsia="lt-LT"/>
        </w:rPr>
        <w:t>)</w:t>
      </w:r>
      <w:r w:rsidR="00FF4D79" w:rsidRPr="002142B8">
        <w:rPr>
          <w:rFonts w:ascii="Georgia" w:eastAsia="Times New Roman" w:hAnsi="Georgia" w:cs="Times New Roman"/>
          <w:sz w:val="20"/>
          <w:szCs w:val="20"/>
          <w:lang w:val="lt-LT" w:eastAsia="lt-LT"/>
        </w:rPr>
        <w:t>,</w:t>
      </w:r>
      <w:r w:rsidR="00954FD3" w:rsidRPr="002142B8">
        <w:rPr>
          <w:rFonts w:ascii="Georgia" w:eastAsia="Times New Roman" w:hAnsi="Georgia" w:cs="Times New Roman"/>
          <w:sz w:val="20"/>
          <w:szCs w:val="20"/>
          <w:lang w:val="lt-LT" w:eastAsia="lt-LT"/>
        </w:rPr>
        <w:t xml:space="preserve"> </w:t>
      </w:r>
      <w:r w:rsidR="00FF4D79" w:rsidRPr="002142B8">
        <w:rPr>
          <w:rFonts w:ascii="Georgia" w:eastAsia="Times New Roman" w:hAnsi="Georgia" w:cs="Times New Roman"/>
          <w:sz w:val="20"/>
          <w:szCs w:val="20"/>
          <w:lang w:val="lt-LT" w:eastAsia="lt-LT"/>
        </w:rPr>
        <w:t>s</w:t>
      </w:r>
      <w:r w:rsidR="007C54B4" w:rsidRPr="002142B8">
        <w:rPr>
          <w:rFonts w:ascii="Georgia" w:eastAsia="Times New Roman" w:hAnsi="Georgia" w:cs="Times New Roman"/>
          <w:sz w:val="20"/>
          <w:szCs w:val="20"/>
          <w:lang w:val="lt-LT" w:eastAsia="lt-LT"/>
        </w:rPr>
        <w:t>iekia</w:t>
      </w:r>
      <w:r w:rsidR="00FF4D79" w:rsidRPr="002142B8">
        <w:rPr>
          <w:rFonts w:ascii="Georgia" w:eastAsia="Times New Roman" w:hAnsi="Georgia" w:cs="Times New Roman"/>
          <w:sz w:val="20"/>
          <w:szCs w:val="20"/>
          <w:lang w:val="lt-LT" w:eastAsia="lt-LT"/>
        </w:rPr>
        <w:t>nt</w:t>
      </w:r>
      <w:r w:rsidR="007C54B4" w:rsidRPr="002142B8">
        <w:rPr>
          <w:rFonts w:ascii="Georgia" w:eastAsia="Times New Roman" w:hAnsi="Georgia" w:cs="Times New Roman"/>
          <w:sz w:val="20"/>
          <w:szCs w:val="20"/>
          <w:lang w:val="lt-LT" w:eastAsia="lt-LT"/>
        </w:rPr>
        <w:t xml:space="preserve"> pritraukti </w:t>
      </w:r>
      <w:r w:rsidR="007C54B4" w:rsidRPr="002142B8">
        <w:rPr>
          <w:rFonts w:ascii="Georgia" w:eastAsia="Times New Roman" w:hAnsi="Georgia" w:cs="Times New Roman"/>
          <w:sz w:val="20"/>
          <w:szCs w:val="20"/>
          <w:lang w:eastAsia="lt-LT"/>
        </w:rPr>
        <w:t>500 mln. eur</w:t>
      </w:r>
      <w:r w:rsidR="007C54B4" w:rsidRPr="002142B8">
        <w:rPr>
          <w:rFonts w:ascii="Georgia" w:eastAsia="Times New Roman" w:hAnsi="Georgia" w:cs="Times New Roman"/>
          <w:sz w:val="20"/>
          <w:szCs w:val="20"/>
          <w:lang w:val="lt-LT" w:eastAsia="lt-LT"/>
        </w:rPr>
        <w:t>ų privačių lėšų.</w:t>
      </w:r>
    </w:p>
    <w:p w14:paraId="5627297D" w14:textId="6E90501B" w:rsidR="007C54B4" w:rsidRPr="002142B8" w:rsidRDefault="007C54B4" w:rsidP="007C54B4">
      <w:pPr>
        <w:spacing w:after="160" w:line="240" w:lineRule="auto"/>
        <w:jc w:val="both"/>
        <w:rPr>
          <w:rFonts w:ascii="Georgia" w:eastAsia="Georgia" w:hAnsi="Georgia" w:cs="Times New Roman"/>
          <w:sz w:val="20"/>
          <w:szCs w:val="20"/>
          <w:lang w:val="lt-LT"/>
        </w:rPr>
      </w:pPr>
      <w:r w:rsidRPr="002142B8">
        <w:rPr>
          <w:rFonts w:ascii="Georgia" w:eastAsia="Georgia" w:hAnsi="Georgia" w:cs="Times New Roman"/>
          <w:sz w:val="20"/>
          <w:szCs w:val="20"/>
          <w:lang w:val="lt-LT"/>
        </w:rPr>
        <w:t xml:space="preserve">2016 m. spalio 5 d. </w:t>
      </w:r>
      <w:r w:rsidR="005816CE" w:rsidRPr="002142B8">
        <w:rPr>
          <w:rFonts w:ascii="Georgia" w:eastAsia="Georgia" w:hAnsi="Georgia" w:cs="Times New Roman"/>
          <w:sz w:val="20"/>
          <w:szCs w:val="20"/>
          <w:lang w:val="lt-LT"/>
        </w:rPr>
        <w:t xml:space="preserve">„Jessica fondų fondo“ </w:t>
      </w:r>
      <w:r w:rsidRPr="002142B8">
        <w:rPr>
          <w:rFonts w:ascii="Georgia" w:eastAsia="Georgia" w:hAnsi="Georgia" w:cs="Times New Roman"/>
          <w:sz w:val="20"/>
          <w:szCs w:val="20"/>
          <w:lang w:val="lt-LT"/>
        </w:rPr>
        <w:t>finansavimo sutarties pagrindu Finansų ir Aplinkos minis</w:t>
      </w:r>
      <w:r w:rsidR="005816CE" w:rsidRPr="002142B8">
        <w:rPr>
          <w:rFonts w:ascii="Georgia" w:eastAsia="Georgia" w:hAnsi="Georgia" w:cs="Times New Roman"/>
          <w:sz w:val="20"/>
          <w:szCs w:val="20"/>
          <w:lang w:val="lt-LT"/>
        </w:rPr>
        <w:t>terijos bei EIB pasirašė trišalį susitarimą, kuriuo</w:t>
      </w:r>
      <w:r w:rsidRPr="002142B8">
        <w:rPr>
          <w:rFonts w:ascii="Georgia" w:eastAsia="Georgia" w:hAnsi="Georgia" w:cs="Times New Roman"/>
          <w:sz w:val="20"/>
          <w:szCs w:val="20"/>
          <w:lang w:val="lt-LT"/>
        </w:rPr>
        <w:t xml:space="preserve"> įsteigtas Rizikos pasidalijimo fondas, kurio dydis 100 mln. eurų. 2017 m. gruodžio mėn. fondui pervesta pirmoji įnašo dalis siekianti 50 mln. eurų.</w:t>
      </w:r>
    </w:p>
    <w:p w14:paraId="4945764C" w14:textId="254EBCD7" w:rsidR="007C54B4" w:rsidRPr="002142B8" w:rsidRDefault="007C54B4" w:rsidP="007C54B4">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Pagrindiniai šio modelio privalumai ir trūkumai įvardinti lentelėje žemiau. </w:t>
      </w:r>
    </w:p>
    <w:p w14:paraId="5BF9F351" w14:textId="77777777" w:rsidR="0047468E" w:rsidRDefault="0047468E">
      <w:pPr>
        <w:rPr>
          <w:rFonts w:ascii="Georgia" w:eastAsia="PMingLiU" w:hAnsi="Georgia" w:cs="Times New Roman"/>
          <w:bCs/>
          <w:i/>
          <w:color w:val="A32020"/>
          <w:sz w:val="20"/>
          <w:szCs w:val="18"/>
          <w:lang w:val="lt-LT"/>
        </w:rPr>
      </w:pPr>
      <w:r>
        <w:rPr>
          <w:b/>
          <w:i/>
          <w:lang w:val="lt-LT"/>
        </w:rPr>
        <w:br w:type="page"/>
      </w:r>
    </w:p>
    <w:p w14:paraId="688086EB" w14:textId="13BD678D" w:rsidR="007C54B4" w:rsidRPr="008377C9" w:rsidRDefault="007C54B4" w:rsidP="007C54B4">
      <w:pPr>
        <w:pStyle w:val="Antrat"/>
        <w:rPr>
          <w:b w:val="0"/>
          <w:i/>
          <w:lang w:val="lt-LT"/>
        </w:rPr>
      </w:pPr>
      <w:bookmarkStart w:id="346" w:name="_Toc507939219"/>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97</w:t>
      </w:r>
      <w:r w:rsidRPr="008377C9">
        <w:rPr>
          <w:b w:val="0"/>
          <w:i/>
          <w:lang w:val="lt-LT"/>
        </w:rPr>
        <w:fldChar w:fldCharType="end"/>
      </w:r>
      <w:r w:rsidRPr="008377C9">
        <w:rPr>
          <w:b w:val="0"/>
          <w:i/>
          <w:lang w:val="lt-LT"/>
        </w:rPr>
        <w:t>. Garantijų priemonės daugiabučių modernizavimui privalumų ir trūkumų palygi</w:t>
      </w:r>
      <w:r w:rsidR="00A82C12" w:rsidRPr="008377C9">
        <w:rPr>
          <w:b w:val="0"/>
          <w:i/>
          <w:lang w:val="lt-LT"/>
        </w:rPr>
        <w:t>ni</w:t>
      </w:r>
      <w:r w:rsidRPr="008377C9">
        <w:rPr>
          <w:b w:val="0"/>
          <w:i/>
          <w:lang w:val="lt-LT"/>
        </w:rPr>
        <w:t>mas</w:t>
      </w:r>
      <w:bookmarkEnd w:id="346"/>
      <w:r w:rsidRPr="008377C9">
        <w:rPr>
          <w:b w:val="0"/>
          <w:i/>
          <w:lang w:val="lt-LT"/>
        </w:rPr>
        <w:t xml:space="preserve">  </w:t>
      </w:r>
    </w:p>
    <w:tbl>
      <w:tblPr>
        <w:tblStyle w:val="viesussraas2parykinimas1"/>
        <w:tblW w:w="0" w:type="auto"/>
        <w:tblLook w:val="04A0" w:firstRow="1" w:lastRow="0" w:firstColumn="1" w:lastColumn="0" w:noHBand="0" w:noVBand="1"/>
      </w:tblPr>
      <w:tblGrid>
        <w:gridCol w:w="4788"/>
        <w:gridCol w:w="4788"/>
      </w:tblGrid>
      <w:tr w:rsidR="007C54B4" w:rsidRPr="002142B8" w14:paraId="19E816D7" w14:textId="77777777" w:rsidTr="00BC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273B3579" w14:textId="77777777" w:rsidR="007C54B4" w:rsidRPr="002142B8" w:rsidRDefault="007C54B4" w:rsidP="00BC49DD">
            <w:pPr>
              <w:spacing w:after="200" w:line="276" w:lineRule="auto"/>
              <w:jc w:val="center"/>
              <w:rPr>
                <w:rFonts w:ascii="Georgia" w:eastAsia="Times New Roman" w:hAnsi="Georgia" w:cs="Times New Roman"/>
                <w:b w:val="0"/>
                <w:sz w:val="20"/>
                <w:szCs w:val="20"/>
                <w:lang w:eastAsia="lt-LT"/>
              </w:rPr>
            </w:pPr>
            <w:r w:rsidRPr="002142B8">
              <w:rPr>
                <w:rFonts w:ascii="Georgia" w:eastAsia="Times New Roman" w:hAnsi="Georgia" w:cs="Times New Roman"/>
                <w:sz w:val="20"/>
                <w:szCs w:val="20"/>
                <w:lang w:eastAsia="lt-LT"/>
              </w:rPr>
              <w:t>Privalumai</w:t>
            </w:r>
          </w:p>
        </w:tc>
        <w:tc>
          <w:tcPr>
            <w:tcW w:w="4788" w:type="dxa"/>
            <w:hideMark/>
          </w:tcPr>
          <w:p w14:paraId="257F262B" w14:textId="77777777" w:rsidR="007C54B4" w:rsidRPr="002142B8" w:rsidRDefault="007C54B4" w:rsidP="00BC49DD">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2142B8">
              <w:rPr>
                <w:rFonts w:ascii="Georgia" w:eastAsia="Times New Roman" w:hAnsi="Georgia" w:cs="Times New Roman"/>
                <w:sz w:val="20"/>
                <w:szCs w:val="20"/>
                <w:lang w:eastAsia="lt-LT"/>
              </w:rPr>
              <w:t>Trūkumai</w:t>
            </w:r>
          </w:p>
        </w:tc>
      </w:tr>
      <w:tr w:rsidR="007C54B4" w:rsidRPr="002142B8" w14:paraId="3AD7DFDC" w14:textId="77777777" w:rsidTr="00BC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1462E59" w14:textId="5FBFAAA2" w:rsidR="007C54B4" w:rsidRPr="008377C9" w:rsidRDefault="007B7398" w:rsidP="00BC49DD">
            <w:pPr>
              <w:rPr>
                <w:rFonts w:ascii="Georgia" w:eastAsia="Times New Roman" w:hAnsi="Georgia" w:cs="Times New Roman"/>
                <w:b w:val="0"/>
                <w:sz w:val="20"/>
                <w:szCs w:val="20"/>
                <w:lang w:eastAsia="lt-LT"/>
              </w:rPr>
            </w:pPr>
            <w:r w:rsidRPr="008377C9">
              <w:rPr>
                <w:rFonts w:ascii="Georgia" w:hAnsi="Georgia"/>
                <w:b w:val="0"/>
                <w:sz w:val="20"/>
                <w:szCs w:val="20"/>
              </w:rPr>
              <w:t>Pasiekiamas ženklus finansinio sverto efektas</w:t>
            </w:r>
            <w:r w:rsidRPr="008377C9" w:rsidDel="007B7398">
              <w:rPr>
                <w:rFonts w:ascii="Georgia" w:eastAsia="Times New Roman" w:hAnsi="Georgia" w:cs="Times New Roman"/>
                <w:b w:val="0"/>
                <w:sz w:val="20"/>
                <w:szCs w:val="20"/>
                <w:lang w:eastAsia="lt-LT"/>
              </w:rPr>
              <w:t xml:space="preserve"> </w:t>
            </w:r>
          </w:p>
        </w:tc>
        <w:tc>
          <w:tcPr>
            <w:tcW w:w="4788" w:type="dxa"/>
          </w:tcPr>
          <w:p w14:paraId="3C6CF3F5" w14:textId="505F261E" w:rsidR="007C54B4" w:rsidRPr="002142B8" w:rsidRDefault="007C54B4" w:rsidP="00BC49D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Finansinis produktas, kuris pakankamai gerai žinomas rinkai, bet dar aktyviai nenaudotas daugiabučių modernizavimo projektuose</w:t>
            </w:r>
          </w:p>
        </w:tc>
      </w:tr>
      <w:tr w:rsidR="007C54B4" w:rsidRPr="002142B8" w14:paraId="04F2B885" w14:textId="77777777" w:rsidTr="00BC49DD">
        <w:tc>
          <w:tcPr>
            <w:cnfStyle w:val="001000000000" w:firstRow="0" w:lastRow="0" w:firstColumn="1" w:lastColumn="0" w:oddVBand="0" w:evenVBand="0" w:oddHBand="0" w:evenHBand="0" w:firstRowFirstColumn="0" w:firstRowLastColumn="0" w:lastRowFirstColumn="0" w:lastRowLastColumn="0"/>
            <w:tcW w:w="4788" w:type="dxa"/>
          </w:tcPr>
          <w:p w14:paraId="06B3DD4E" w14:textId="5701E4F0" w:rsidR="007C54B4" w:rsidRPr="002142B8" w:rsidRDefault="007B7398" w:rsidP="00BC49D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Pritraukiamos privačios lėšos</w:t>
            </w:r>
          </w:p>
        </w:tc>
        <w:tc>
          <w:tcPr>
            <w:tcW w:w="4788" w:type="dxa"/>
          </w:tcPr>
          <w:p w14:paraId="3D3DBFC5" w14:textId="25CCAEFF" w:rsidR="007C54B4" w:rsidRPr="002142B8" w:rsidRDefault="00BC49DD" w:rsidP="00AE322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Garantijos sutarčių derinimas ir sudarymas su komerciniais bankais gali užtrukti</w:t>
            </w:r>
            <w:r w:rsidR="007B7398" w:rsidRPr="002142B8">
              <w:rPr>
                <w:rFonts w:ascii="Georgia" w:eastAsia="Times New Roman" w:hAnsi="Georgia" w:cs="Times New Roman"/>
                <w:sz w:val="20"/>
                <w:szCs w:val="20"/>
                <w:lang w:eastAsia="lt-LT"/>
              </w:rPr>
              <w:t>.</w:t>
            </w:r>
          </w:p>
        </w:tc>
      </w:tr>
      <w:tr w:rsidR="007C54B4" w:rsidRPr="002142B8" w14:paraId="7F2AECF0" w14:textId="77777777" w:rsidTr="00BC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E9D7286" w14:textId="09255738" w:rsidR="007C54B4" w:rsidRPr="002142B8" w:rsidRDefault="007B7398" w:rsidP="00BC49DD">
            <w:pPr>
              <w:rPr>
                <w:rFonts w:ascii="Georgia" w:eastAsia="Times New Roman" w:hAnsi="Georgia" w:cs="Times New Roman"/>
                <w:b w:val="0"/>
                <w:sz w:val="20"/>
                <w:szCs w:val="20"/>
                <w:lang w:eastAsia="lt-LT"/>
              </w:rPr>
            </w:pPr>
            <w:r w:rsidRPr="002142B8">
              <w:rPr>
                <w:rFonts w:ascii="Georgia" w:eastAsia="Times New Roman" w:hAnsi="Georgia" w:cs="Times New Roman"/>
                <w:b w:val="0"/>
                <w:sz w:val="20"/>
                <w:szCs w:val="20"/>
                <w:lang w:eastAsia="lt-LT"/>
              </w:rPr>
              <w:t>Pakankamai inovatyvi finansinė priemonė, kuri įvestų į daugiabučių modernizavimo rinką priemon</w:t>
            </w:r>
            <w:r w:rsidR="00A82C12" w:rsidRPr="002142B8">
              <w:rPr>
                <w:rFonts w:ascii="Georgia" w:eastAsia="Times New Roman" w:hAnsi="Georgia" w:cs="Times New Roman"/>
                <w:b w:val="0"/>
                <w:sz w:val="20"/>
                <w:szCs w:val="20"/>
                <w:lang w:eastAsia="lt-LT"/>
              </w:rPr>
              <w:t>e</w:t>
            </w:r>
            <w:r w:rsidRPr="002142B8">
              <w:rPr>
                <w:rFonts w:ascii="Georgia" w:eastAsia="Times New Roman" w:hAnsi="Georgia" w:cs="Times New Roman"/>
                <w:b w:val="0"/>
                <w:sz w:val="20"/>
                <w:szCs w:val="20"/>
                <w:lang w:eastAsia="lt-LT"/>
              </w:rPr>
              <w:t>s</w:t>
            </w:r>
            <w:r w:rsidR="00A82C12" w:rsidRPr="002142B8">
              <w:rPr>
                <w:rFonts w:ascii="Georgia" w:eastAsia="Times New Roman" w:hAnsi="Georgia" w:cs="Times New Roman"/>
                <w:b w:val="0"/>
                <w:sz w:val="20"/>
                <w:szCs w:val="20"/>
                <w:lang w:eastAsia="lt-LT"/>
              </w:rPr>
              <w:t>,</w:t>
            </w:r>
            <w:r w:rsidRPr="002142B8">
              <w:rPr>
                <w:rFonts w:ascii="Georgia" w:eastAsia="Times New Roman" w:hAnsi="Georgia" w:cs="Times New Roman"/>
                <w:b w:val="0"/>
                <w:sz w:val="20"/>
                <w:szCs w:val="20"/>
                <w:lang w:eastAsia="lt-LT"/>
              </w:rPr>
              <w:t xml:space="preserve"> reikalaujančias mažiau viešųjų lėšų.</w:t>
            </w:r>
          </w:p>
        </w:tc>
        <w:tc>
          <w:tcPr>
            <w:tcW w:w="4788" w:type="dxa"/>
          </w:tcPr>
          <w:p w14:paraId="293F5EF7" w14:textId="1A59B21A" w:rsidR="007C54B4" w:rsidRPr="002142B8" w:rsidRDefault="00BC49DD" w:rsidP="00BC49D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2142B8">
              <w:rPr>
                <w:rFonts w:ascii="Georgia" w:eastAsia="Times New Roman" w:hAnsi="Georgia" w:cs="Times New Roman"/>
                <w:sz w:val="20"/>
                <w:szCs w:val="20"/>
                <w:lang w:eastAsia="lt-LT"/>
              </w:rPr>
              <w:t>Pakankamai ilgas laiko tarpas kol lėšos pasieks galutinius naudos gavėjus.</w:t>
            </w:r>
          </w:p>
        </w:tc>
      </w:tr>
    </w:tbl>
    <w:p w14:paraId="345A37E3" w14:textId="2416C121" w:rsidR="00AA7568" w:rsidRPr="002142B8" w:rsidRDefault="00AB5F7C" w:rsidP="0063781D">
      <w:pPr>
        <w:pStyle w:val="Antrat2"/>
        <w:numPr>
          <w:ilvl w:val="3"/>
          <w:numId w:val="2"/>
        </w:numPr>
        <w:spacing w:after="240"/>
        <w:rPr>
          <w:lang w:val="lt-LT"/>
        </w:rPr>
      </w:pPr>
      <w:bookmarkStart w:id="347" w:name="_Toc398567607"/>
      <w:r w:rsidRPr="002142B8">
        <w:rPr>
          <w:lang w:val="lt-LT"/>
        </w:rPr>
        <w:t xml:space="preserve"> </w:t>
      </w:r>
      <w:bookmarkStart w:id="348" w:name="_Toc25589970"/>
      <w:r w:rsidRPr="002142B8">
        <w:rPr>
          <w:lang w:val="lt-LT"/>
        </w:rPr>
        <w:t>Asimetrinio rizikos fondo steigimas</w:t>
      </w:r>
      <w:bookmarkEnd w:id="347"/>
      <w:bookmarkEnd w:id="348"/>
    </w:p>
    <w:p w14:paraId="5804B064" w14:textId="17FBCBFC" w:rsidR="00AB5F7C" w:rsidRPr="002142B8" w:rsidRDefault="00EC6FDF" w:rsidP="0063781D">
      <w:pPr>
        <w:jc w:val="both"/>
        <w:rPr>
          <w:rFonts w:eastAsia="Times New Roman"/>
          <w:szCs w:val="20"/>
          <w:lang w:val="lt-LT" w:eastAsia="lt-LT"/>
        </w:rPr>
      </w:pPr>
      <w:r w:rsidRPr="002142B8">
        <w:rPr>
          <w:rFonts w:ascii="Georgia" w:eastAsia="Times New Roman" w:hAnsi="Georgia" w:cs="Times New Roman"/>
          <w:sz w:val="20"/>
          <w:szCs w:val="20"/>
          <w:lang w:val="lt-LT" w:eastAsia="lt-LT"/>
        </w:rPr>
        <w:t>Kita</w:t>
      </w:r>
      <w:r w:rsidR="00AB5F7C" w:rsidRPr="002142B8">
        <w:rPr>
          <w:rFonts w:ascii="Georgia" w:eastAsia="Times New Roman" w:hAnsi="Georgia" w:cs="Times New Roman"/>
          <w:sz w:val="20"/>
          <w:szCs w:val="20"/>
          <w:lang w:val="lt-LT" w:eastAsia="lt-LT"/>
        </w:rPr>
        <w:t xml:space="preserve"> vertinama fondų fondo steigimo alternatyva pavaizduota paveiksle žemiau, kuriame matyti, jog projektų finansavimui bei papildomų lėšų pritraukimui fondas yra steigiamas kaip atskiras subjektas, pavyzdžiui turintis komanditinės ūkinės bendrijos formą</w:t>
      </w:r>
      <w:r w:rsidR="00AB5F7C" w:rsidRPr="002142B8">
        <w:rPr>
          <w:vertAlign w:val="superscript"/>
        </w:rPr>
        <w:footnoteReference w:id="186"/>
      </w:r>
      <w:r w:rsidR="00AB5F7C" w:rsidRPr="002142B8">
        <w:rPr>
          <w:rFonts w:ascii="Georgia" w:eastAsia="Times New Roman" w:hAnsi="Georgia" w:cs="Times New Roman"/>
          <w:sz w:val="20"/>
          <w:szCs w:val="20"/>
          <w:vertAlign w:val="superscript"/>
          <w:lang w:val="lt-LT" w:eastAsia="lt-LT"/>
        </w:rPr>
        <w:t>.</w:t>
      </w:r>
    </w:p>
    <w:p w14:paraId="00C82B3D" w14:textId="1E5FB08C" w:rsidR="002C3B82" w:rsidRPr="002142B8" w:rsidRDefault="002C3B82" w:rsidP="002C3B82">
      <w:pPr>
        <w:pStyle w:val="Antrat"/>
        <w:rPr>
          <w:szCs w:val="20"/>
          <w:lang w:val="lt-LT"/>
        </w:rPr>
      </w:pPr>
      <w:r w:rsidRPr="002142B8">
        <w:rPr>
          <w:szCs w:val="20"/>
          <w:lang w:val="lt-LT"/>
        </w:rPr>
        <w:object w:dxaOrig="9615" w:dyaOrig="3675" w14:anchorId="7A7BF738">
          <v:shape id="_x0000_i1025" type="#_x0000_t75" style="width:458.15pt;height:174.55pt" o:ole="">
            <v:imagedata r:id="rId70" o:title=""/>
          </v:shape>
          <o:OLEObject Type="Embed" ProgID="Visio.Drawing.15" ShapeID="_x0000_i1025" DrawAspect="Content" ObjectID="_1636202879" r:id="rId71"/>
        </w:object>
      </w:r>
    </w:p>
    <w:p w14:paraId="1A2F7B6F" w14:textId="17DB0863" w:rsidR="002C3B82" w:rsidRPr="002142B8" w:rsidRDefault="002C3B82" w:rsidP="002C3B82">
      <w:pPr>
        <w:pStyle w:val="Antrat"/>
        <w:rPr>
          <w:szCs w:val="20"/>
          <w:lang w:val="lt-LT"/>
        </w:rPr>
      </w:pPr>
      <w:bookmarkStart w:id="349" w:name="_Toc507939288"/>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29</w:t>
      </w:r>
      <w:r w:rsidRPr="002142B8">
        <w:rPr>
          <w:lang w:val="lt-LT"/>
        </w:rPr>
        <w:fldChar w:fldCharType="end"/>
      </w:r>
      <w:r w:rsidRPr="002142B8">
        <w:rPr>
          <w:lang w:val="lt-LT"/>
        </w:rPr>
        <w:t xml:space="preserve">. </w:t>
      </w:r>
      <w:r w:rsidRPr="002142B8">
        <w:rPr>
          <w:rFonts w:eastAsiaTheme="minorHAnsi" w:cstheme="minorBidi"/>
          <w:szCs w:val="20"/>
          <w:lang w:val="lt-LT"/>
        </w:rPr>
        <w:t>Juridinio asmens statusą turinčio fondo steigimas</w:t>
      </w:r>
      <w:bookmarkEnd w:id="349"/>
    </w:p>
    <w:p w14:paraId="0CC66015" w14:textId="2673393A" w:rsidR="002C3B82" w:rsidRPr="002142B8" w:rsidRDefault="002C3B82" w:rsidP="002C3B82">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Atsižvelgiant į prie pirmosios alternatyvos apibrėžtus fondų fondo, kaip sąskaitų rinkinio, steigimo trūkumus, alternatyvus fondo kūrimo modelis apimtų juridinio asmens statusą turinčio fondo steigimą siekiant sudaryti galimybes pritraukti papildomas lėšas finansinės priemonės įgyvendinimui.</w:t>
      </w:r>
    </w:p>
    <w:p w14:paraId="664909E4" w14:textId="77777777" w:rsidR="002C3B82" w:rsidRPr="002142B8" w:rsidRDefault="002C3B82" w:rsidP="002C3B82">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Šios alternatyvos įgyvendinimo atveju, siekiant fondo lygyje pritraukti privačius investuotojus, įnašas, kurį padarytų vadovaujančioji institucija į fondų fondą, butų traktuojamas kaip pirmojo nuostolio padengimo lėšos.</w:t>
      </w:r>
    </w:p>
    <w:p w14:paraId="1B0D4F24" w14:textId="484BE1BB" w:rsidR="002C3B82" w:rsidRPr="002142B8" w:rsidRDefault="002C3B82" w:rsidP="002C3B82">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Šios alternatyvos atveju, parenkant fondo juridinio asmens statusą ir apibrėžiant investavimo strategiją taip pat turi būti įvertinamos vadovaujančiosios institucijos ir Aplinkos ministerijos galimybės dalyvauti tokio fondo steigime (atli</w:t>
      </w:r>
      <w:r w:rsidR="005816CE" w:rsidRPr="002142B8">
        <w:rPr>
          <w:rFonts w:ascii="Georgia" w:eastAsia="Times New Roman" w:hAnsi="Georgia" w:cs="Times New Roman"/>
          <w:sz w:val="20"/>
          <w:szCs w:val="20"/>
          <w:lang w:val="lt-LT" w:eastAsia="lt-LT"/>
        </w:rPr>
        <w:t>ekant finansinį įnašą), valdyme ir</w:t>
      </w:r>
      <w:r w:rsidRPr="002142B8">
        <w:rPr>
          <w:rFonts w:ascii="Georgia" w:eastAsia="Times New Roman" w:hAnsi="Georgia" w:cs="Times New Roman"/>
          <w:sz w:val="20"/>
          <w:szCs w:val="20"/>
          <w:lang w:val="lt-LT" w:eastAsia="lt-LT"/>
        </w:rPr>
        <w:t xml:space="preserve"> priežiūroje. </w:t>
      </w:r>
    </w:p>
    <w:p w14:paraId="79E6F946" w14:textId="27C594B5" w:rsidR="00AA7568" w:rsidRPr="008377C9" w:rsidRDefault="00AA7568" w:rsidP="00AA7568">
      <w:pPr>
        <w:pStyle w:val="Antrat"/>
        <w:rPr>
          <w:b w:val="0"/>
          <w:i/>
          <w:szCs w:val="20"/>
          <w:lang w:val="lt-LT"/>
        </w:rPr>
      </w:pPr>
      <w:bookmarkStart w:id="350" w:name="_Toc460321735"/>
      <w:bookmarkStart w:id="351" w:name="_Toc507939220"/>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98</w:t>
      </w:r>
      <w:r w:rsidRPr="008377C9">
        <w:rPr>
          <w:b w:val="0"/>
          <w:i/>
          <w:lang w:val="lt-LT"/>
        </w:rPr>
        <w:fldChar w:fldCharType="end"/>
      </w:r>
      <w:r w:rsidRPr="008377C9">
        <w:rPr>
          <w:b w:val="0"/>
          <w:i/>
          <w:lang w:val="lt-LT"/>
        </w:rPr>
        <w:t xml:space="preserve">. </w:t>
      </w:r>
      <w:bookmarkEnd w:id="350"/>
      <w:r w:rsidR="00A82C12" w:rsidRPr="008377C9">
        <w:rPr>
          <w:rFonts w:eastAsiaTheme="minorHAnsi" w:cstheme="minorBidi"/>
          <w:b w:val="0"/>
          <w:i/>
          <w:szCs w:val="20"/>
          <w:lang w:val="lt-LT"/>
        </w:rPr>
        <w:t>Juridinio asmens statusą turinčio fondo</w:t>
      </w:r>
      <w:r w:rsidR="002C3B82" w:rsidRPr="008377C9">
        <w:rPr>
          <w:b w:val="0"/>
          <w:i/>
          <w:lang w:val="lt-LT"/>
        </w:rPr>
        <w:t xml:space="preserve"> alternatyvos daugiabučių modernizavimui privalumų ir trūkumų palygi</w:t>
      </w:r>
      <w:r w:rsidR="00A82C12" w:rsidRPr="008377C9">
        <w:rPr>
          <w:b w:val="0"/>
          <w:i/>
          <w:lang w:val="lt-LT"/>
        </w:rPr>
        <w:t>ni</w:t>
      </w:r>
      <w:r w:rsidR="002C3B82" w:rsidRPr="008377C9">
        <w:rPr>
          <w:b w:val="0"/>
          <w:i/>
          <w:lang w:val="lt-LT"/>
        </w:rPr>
        <w:t>mas</w:t>
      </w:r>
      <w:bookmarkEnd w:id="351"/>
      <w:r w:rsidR="002C3B82" w:rsidRPr="008377C9">
        <w:rPr>
          <w:b w:val="0"/>
          <w:i/>
          <w:lang w:val="lt-LT"/>
        </w:rPr>
        <w:t xml:space="preserve">  </w:t>
      </w:r>
    </w:p>
    <w:tbl>
      <w:tblPr>
        <w:tblStyle w:val="viesussraas2parykinimas1"/>
        <w:tblW w:w="0" w:type="auto"/>
        <w:tblLook w:val="04A0" w:firstRow="1" w:lastRow="0" w:firstColumn="1" w:lastColumn="0" w:noHBand="0" w:noVBand="1"/>
      </w:tblPr>
      <w:tblGrid>
        <w:gridCol w:w="4622"/>
        <w:gridCol w:w="5125"/>
      </w:tblGrid>
      <w:tr w:rsidR="00AA7568" w:rsidRPr="002142B8" w14:paraId="759D3BD6" w14:textId="77777777" w:rsidTr="002C3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2CF5F6E8" w14:textId="77777777" w:rsidR="00AA7568" w:rsidRPr="002142B8" w:rsidRDefault="00AA7568" w:rsidP="00AA7568">
            <w:pPr>
              <w:pStyle w:val="prastasis1"/>
              <w:jc w:val="center"/>
              <w:rPr>
                <w:rFonts w:ascii="Georgia" w:hAnsi="Georgia"/>
                <w:b w:val="0"/>
                <w:bCs w:val="0"/>
                <w:color w:val="auto"/>
                <w:sz w:val="20"/>
                <w:szCs w:val="20"/>
              </w:rPr>
            </w:pPr>
            <w:r w:rsidRPr="002142B8">
              <w:rPr>
                <w:rFonts w:ascii="Georgia" w:hAnsi="Georgia"/>
                <w:sz w:val="20"/>
                <w:szCs w:val="20"/>
              </w:rPr>
              <w:t>Privalumai</w:t>
            </w:r>
          </w:p>
        </w:tc>
        <w:tc>
          <w:tcPr>
            <w:tcW w:w="5125" w:type="dxa"/>
          </w:tcPr>
          <w:p w14:paraId="730DDB26" w14:textId="77777777" w:rsidR="00AA7568" w:rsidRPr="002142B8" w:rsidRDefault="00AA7568" w:rsidP="00AA7568">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2142B8">
              <w:rPr>
                <w:rFonts w:ascii="Georgia" w:hAnsi="Georgia"/>
                <w:sz w:val="20"/>
                <w:szCs w:val="20"/>
              </w:rPr>
              <w:t>Trūkumai</w:t>
            </w:r>
          </w:p>
        </w:tc>
      </w:tr>
      <w:tr w:rsidR="00AA7568" w:rsidRPr="002142B8" w14:paraId="22AD264D" w14:textId="77777777" w:rsidTr="002C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2C0D6479" w14:textId="5F2E63FC" w:rsidR="00AA7568" w:rsidRPr="008377C9" w:rsidRDefault="00AA7568" w:rsidP="00AA7568">
            <w:pPr>
              <w:pStyle w:val="prastasis1"/>
              <w:jc w:val="both"/>
              <w:rPr>
                <w:rFonts w:ascii="Georgia" w:hAnsi="Georgia"/>
                <w:b w:val="0"/>
                <w:bCs w:val="0"/>
                <w:sz w:val="20"/>
                <w:szCs w:val="20"/>
              </w:rPr>
            </w:pPr>
            <w:r w:rsidRPr="008377C9">
              <w:rPr>
                <w:rFonts w:ascii="Georgia" w:hAnsi="Georgia"/>
                <w:b w:val="0"/>
                <w:sz w:val="20"/>
                <w:szCs w:val="20"/>
              </w:rPr>
              <w:t>Pasiekiamas že</w:t>
            </w:r>
            <w:r w:rsidR="002C3B82" w:rsidRPr="008377C9">
              <w:rPr>
                <w:rFonts w:ascii="Georgia" w:hAnsi="Georgia"/>
                <w:b w:val="0"/>
                <w:sz w:val="20"/>
                <w:szCs w:val="20"/>
              </w:rPr>
              <w:t>nklus finansinio sverto efektas</w:t>
            </w:r>
          </w:p>
        </w:tc>
        <w:tc>
          <w:tcPr>
            <w:tcW w:w="5125" w:type="dxa"/>
          </w:tcPr>
          <w:p w14:paraId="18D446CF" w14:textId="6B99C035" w:rsidR="00AA7568" w:rsidRPr="002142B8" w:rsidRDefault="00AA7568" w:rsidP="00AA7568">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2014 – 2020 m. periodo lėšų panaudojimui turės būti sudaromos naujos sutartys su fondo valdytoju, atrenkami finansiniai tarpininkai.</w:t>
            </w:r>
          </w:p>
        </w:tc>
      </w:tr>
      <w:tr w:rsidR="00AA7568" w:rsidRPr="002142B8" w14:paraId="35DF93F7" w14:textId="77777777" w:rsidTr="002C3B82">
        <w:tc>
          <w:tcPr>
            <w:cnfStyle w:val="001000000000" w:firstRow="0" w:lastRow="0" w:firstColumn="1" w:lastColumn="0" w:oddVBand="0" w:evenVBand="0" w:oddHBand="0" w:evenHBand="0" w:firstRowFirstColumn="0" w:firstRowLastColumn="0" w:lastRowFirstColumn="0" w:lastRowLastColumn="0"/>
            <w:tcW w:w="4622" w:type="dxa"/>
          </w:tcPr>
          <w:p w14:paraId="67A32D2A" w14:textId="7123F731" w:rsidR="00AA7568" w:rsidRPr="002142B8" w:rsidRDefault="00AA7568" w:rsidP="00AA7568">
            <w:pPr>
              <w:pStyle w:val="prastasis1"/>
              <w:jc w:val="both"/>
              <w:rPr>
                <w:rFonts w:ascii="Georgia" w:hAnsi="Georgia"/>
                <w:b w:val="0"/>
                <w:bCs w:val="0"/>
                <w:sz w:val="20"/>
                <w:szCs w:val="20"/>
              </w:rPr>
            </w:pPr>
            <w:r w:rsidRPr="002142B8">
              <w:rPr>
                <w:rFonts w:ascii="Georgia" w:hAnsi="Georgia"/>
                <w:b w:val="0"/>
                <w:sz w:val="20"/>
                <w:szCs w:val="20"/>
              </w:rPr>
              <w:t>Į fondą pritrauki</w:t>
            </w:r>
            <w:r w:rsidR="002C3B82" w:rsidRPr="002142B8">
              <w:rPr>
                <w:rFonts w:ascii="Georgia" w:hAnsi="Georgia"/>
                <w:b w:val="0"/>
                <w:sz w:val="20"/>
                <w:szCs w:val="20"/>
              </w:rPr>
              <w:t>amos privataus sektoriaus lėšos</w:t>
            </w:r>
          </w:p>
        </w:tc>
        <w:tc>
          <w:tcPr>
            <w:tcW w:w="5125" w:type="dxa"/>
          </w:tcPr>
          <w:p w14:paraId="7A089240" w14:textId="57E01A9C" w:rsidR="00AA7568" w:rsidRPr="002142B8" w:rsidRDefault="00AA7568" w:rsidP="00AA7568">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Finansinių tarpininkų atrinkimui galios Viešųjų pirkimų įstatymo nuostatos, todėl tai apsunkins ir gali užtęsti jų atranką.</w:t>
            </w:r>
          </w:p>
        </w:tc>
      </w:tr>
      <w:tr w:rsidR="00AA7568" w:rsidRPr="002142B8" w14:paraId="38E80842" w14:textId="77777777" w:rsidTr="002C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5D3C482A" w14:textId="5DFEBFA9" w:rsidR="00AA7568" w:rsidRPr="002142B8" w:rsidRDefault="00AA7568" w:rsidP="002C3B82">
            <w:pPr>
              <w:pStyle w:val="prastasis1"/>
              <w:jc w:val="both"/>
              <w:rPr>
                <w:rFonts w:ascii="Georgia" w:hAnsi="Georgia"/>
                <w:b w:val="0"/>
                <w:bCs w:val="0"/>
                <w:sz w:val="20"/>
                <w:szCs w:val="20"/>
              </w:rPr>
            </w:pPr>
            <w:r w:rsidRPr="002142B8">
              <w:rPr>
                <w:rFonts w:ascii="Georgia" w:hAnsi="Georgia"/>
                <w:b w:val="0"/>
                <w:sz w:val="20"/>
                <w:szCs w:val="20"/>
              </w:rPr>
              <w:t>Finansinę priemonę galima įgyvendinti tiesiogiai ir (arba) per finansinius tarpininkus</w:t>
            </w:r>
          </w:p>
        </w:tc>
        <w:tc>
          <w:tcPr>
            <w:tcW w:w="5125" w:type="dxa"/>
          </w:tcPr>
          <w:p w14:paraId="6CA96080" w14:textId="434F91B3" w:rsidR="00AA7568" w:rsidRPr="002142B8" w:rsidRDefault="00AA7568" w:rsidP="00AA7568">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Neaišku, kas bus tikruoju nariu ir kokį jis vaidmenį atliks fondo įgyvendinime</w:t>
            </w:r>
          </w:p>
        </w:tc>
      </w:tr>
      <w:tr w:rsidR="00AA7568" w:rsidRPr="002142B8" w14:paraId="1F319D92" w14:textId="77777777" w:rsidTr="002C3B82">
        <w:tc>
          <w:tcPr>
            <w:cnfStyle w:val="001000000000" w:firstRow="0" w:lastRow="0" w:firstColumn="1" w:lastColumn="0" w:oddVBand="0" w:evenVBand="0" w:oddHBand="0" w:evenHBand="0" w:firstRowFirstColumn="0" w:firstRowLastColumn="0" w:lastRowFirstColumn="0" w:lastRowLastColumn="0"/>
            <w:tcW w:w="4622" w:type="dxa"/>
          </w:tcPr>
          <w:p w14:paraId="3891AC43" w14:textId="77777777" w:rsidR="00AA7568" w:rsidRPr="002142B8" w:rsidRDefault="00AA7568" w:rsidP="00AA7568">
            <w:pPr>
              <w:pStyle w:val="prastasis1"/>
              <w:jc w:val="both"/>
              <w:rPr>
                <w:rFonts w:ascii="Georgia" w:hAnsi="Georgia"/>
                <w:b w:val="0"/>
                <w:bCs w:val="0"/>
                <w:sz w:val="20"/>
                <w:szCs w:val="20"/>
              </w:rPr>
            </w:pPr>
          </w:p>
        </w:tc>
        <w:tc>
          <w:tcPr>
            <w:tcW w:w="5125" w:type="dxa"/>
          </w:tcPr>
          <w:p w14:paraId="478A497A" w14:textId="79288F2D" w:rsidR="00AA7568" w:rsidRPr="002142B8" w:rsidRDefault="002C3B82" w:rsidP="00AA7568">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Komerciniai bankai nenoriai investuotų į fondą, jeigu paskolintas lėšas naudotų ne jie patys.</w:t>
            </w:r>
          </w:p>
        </w:tc>
      </w:tr>
    </w:tbl>
    <w:p w14:paraId="6686316D" w14:textId="77777777" w:rsidR="00AA7568" w:rsidRPr="002142B8" w:rsidRDefault="00AA7568" w:rsidP="0063781D">
      <w:pPr>
        <w:pStyle w:val="Antrat2"/>
        <w:numPr>
          <w:ilvl w:val="3"/>
          <w:numId w:val="2"/>
        </w:numPr>
        <w:spacing w:after="240"/>
        <w:rPr>
          <w:lang w:val="lt-LT"/>
        </w:rPr>
      </w:pPr>
      <w:bookmarkStart w:id="352" w:name="_Toc398567609"/>
      <w:bookmarkStart w:id="353" w:name="_Toc25589971"/>
      <w:r w:rsidRPr="002142B8">
        <w:rPr>
          <w:lang w:val="lt-LT"/>
        </w:rPr>
        <w:t>Siūloma įgyvendinti alternatyva</w:t>
      </w:r>
      <w:bookmarkEnd w:id="352"/>
      <w:bookmarkEnd w:id="353"/>
    </w:p>
    <w:p w14:paraId="324BDDE3" w14:textId="66905332" w:rsidR="00E5361F" w:rsidRPr="002142B8" w:rsidRDefault="00AA7568" w:rsidP="002C3B82">
      <w:pPr>
        <w:pStyle w:val="prastasis1"/>
        <w:spacing w:line="276" w:lineRule="auto"/>
        <w:jc w:val="both"/>
        <w:rPr>
          <w:rFonts w:ascii="Georgia" w:hAnsi="Georgia"/>
          <w:sz w:val="20"/>
          <w:szCs w:val="20"/>
        </w:rPr>
      </w:pPr>
      <w:r w:rsidRPr="002142B8">
        <w:rPr>
          <w:rFonts w:ascii="Georgia" w:hAnsi="Georgia"/>
          <w:sz w:val="20"/>
          <w:szCs w:val="20"/>
        </w:rPr>
        <w:t xml:space="preserve">Atsižvelgiant į aukščiau išdėstytus kiekvienos alternatyvos privalumus ir trūkumus bei prognozuojamą lėšų poreikį priemonei įgyvendinti ir tikėtiną finansinio sverto rodiklį, </w:t>
      </w:r>
      <w:r w:rsidR="00AB5F7C" w:rsidRPr="002142B8">
        <w:rPr>
          <w:rFonts w:ascii="Georgia" w:hAnsi="Georgia"/>
          <w:sz w:val="20"/>
          <w:szCs w:val="20"/>
        </w:rPr>
        <w:t xml:space="preserve">šiuo metu įgyvendinamas modelis </w:t>
      </w:r>
      <w:r w:rsidR="00B21367" w:rsidRPr="002142B8">
        <w:rPr>
          <w:rFonts w:ascii="Georgia" w:hAnsi="Georgia"/>
          <w:sz w:val="20"/>
          <w:szCs w:val="20"/>
        </w:rPr>
        <w:t>derin</w:t>
      </w:r>
      <w:r w:rsidR="00E5361F" w:rsidRPr="002142B8">
        <w:rPr>
          <w:rFonts w:ascii="Georgia" w:hAnsi="Georgia"/>
          <w:sz w:val="20"/>
          <w:szCs w:val="20"/>
        </w:rPr>
        <w:t xml:space="preserve">ant </w:t>
      </w:r>
      <w:r w:rsidR="00A82C12" w:rsidRPr="002142B8">
        <w:rPr>
          <w:rFonts w:ascii="Georgia" w:hAnsi="Georgia"/>
          <w:sz w:val="20"/>
          <w:szCs w:val="20"/>
        </w:rPr>
        <w:t>kelias</w:t>
      </w:r>
      <w:r w:rsidR="00B21367" w:rsidRPr="002142B8">
        <w:rPr>
          <w:rFonts w:ascii="Georgia" w:hAnsi="Georgia"/>
          <w:sz w:val="20"/>
          <w:szCs w:val="20"/>
        </w:rPr>
        <w:t xml:space="preserve"> </w:t>
      </w:r>
      <w:r w:rsidR="00B527DC" w:rsidRPr="002142B8">
        <w:rPr>
          <w:rFonts w:ascii="Georgia" w:hAnsi="Georgia"/>
          <w:sz w:val="20"/>
          <w:szCs w:val="20"/>
        </w:rPr>
        <w:t xml:space="preserve">įgyvendinimo </w:t>
      </w:r>
      <w:r w:rsidR="00B21367" w:rsidRPr="002142B8">
        <w:rPr>
          <w:rFonts w:ascii="Georgia" w:hAnsi="Georgia"/>
          <w:sz w:val="20"/>
          <w:szCs w:val="20"/>
        </w:rPr>
        <w:t>alternatyvas,</w:t>
      </w:r>
      <w:r w:rsidR="00AB5F7C" w:rsidRPr="002142B8">
        <w:rPr>
          <w:rFonts w:ascii="Georgia" w:hAnsi="Georgia"/>
          <w:sz w:val="20"/>
          <w:szCs w:val="20"/>
        </w:rPr>
        <w:t xml:space="preserve"> t</w:t>
      </w:r>
      <w:r w:rsidR="00E5361F" w:rsidRPr="002142B8">
        <w:rPr>
          <w:rFonts w:ascii="Georgia" w:hAnsi="Georgia"/>
          <w:sz w:val="20"/>
          <w:szCs w:val="20"/>
        </w:rPr>
        <w:t>ai yra</w:t>
      </w:r>
      <w:r w:rsidR="00AB5F7C" w:rsidRPr="002142B8">
        <w:rPr>
          <w:rFonts w:ascii="Georgia" w:hAnsi="Georgia"/>
          <w:sz w:val="20"/>
          <w:szCs w:val="20"/>
        </w:rPr>
        <w:t>:</w:t>
      </w:r>
    </w:p>
    <w:p w14:paraId="7CDF4263" w14:textId="66AF3755" w:rsidR="00E5361F" w:rsidRPr="002142B8" w:rsidRDefault="00AB5F7C" w:rsidP="002C3B82">
      <w:pPr>
        <w:pStyle w:val="prastasis1"/>
        <w:spacing w:line="276" w:lineRule="auto"/>
        <w:jc w:val="both"/>
        <w:rPr>
          <w:rFonts w:ascii="Georgia" w:hAnsi="Georgia"/>
          <w:sz w:val="20"/>
          <w:szCs w:val="20"/>
        </w:rPr>
      </w:pPr>
      <w:r w:rsidRPr="002142B8">
        <w:rPr>
          <w:rFonts w:ascii="Georgia" w:hAnsi="Georgia"/>
          <w:sz w:val="20"/>
          <w:szCs w:val="20"/>
        </w:rPr>
        <w:t>i)</w:t>
      </w:r>
      <w:r w:rsidR="00B21367" w:rsidRPr="002142B8">
        <w:rPr>
          <w:rFonts w:ascii="Georgia" w:hAnsi="Georgia"/>
          <w:sz w:val="20"/>
          <w:szCs w:val="20"/>
        </w:rPr>
        <w:t xml:space="preserve"> investuot</w:t>
      </w:r>
      <w:r w:rsidR="00E5361F" w:rsidRPr="002142B8">
        <w:rPr>
          <w:rFonts w:ascii="Georgia" w:hAnsi="Georgia"/>
          <w:sz w:val="20"/>
          <w:szCs w:val="20"/>
        </w:rPr>
        <w:t>a</w:t>
      </w:r>
      <w:r w:rsidR="00B21367" w:rsidRPr="002142B8">
        <w:rPr>
          <w:rFonts w:ascii="Georgia" w:hAnsi="Georgia"/>
          <w:sz w:val="20"/>
          <w:szCs w:val="20"/>
        </w:rPr>
        <w:t xml:space="preserve"> į JESSICA </w:t>
      </w:r>
      <w:r w:rsidR="000C035D" w:rsidRPr="002142B8">
        <w:rPr>
          <w:rFonts w:ascii="Georgia" w:hAnsi="Georgia"/>
          <w:sz w:val="20"/>
          <w:szCs w:val="20"/>
        </w:rPr>
        <w:t xml:space="preserve">fondų </w:t>
      </w:r>
      <w:r w:rsidR="00B21367" w:rsidRPr="002142B8">
        <w:rPr>
          <w:rFonts w:ascii="Georgia" w:hAnsi="Georgia"/>
          <w:sz w:val="20"/>
          <w:szCs w:val="20"/>
        </w:rPr>
        <w:t>fondą (fondų fondo tęsin</w:t>
      </w:r>
      <w:r w:rsidR="00D01FDB" w:rsidRPr="002142B8">
        <w:rPr>
          <w:rFonts w:ascii="Georgia" w:hAnsi="Georgia"/>
          <w:sz w:val="20"/>
          <w:szCs w:val="20"/>
        </w:rPr>
        <w:t>į</w:t>
      </w:r>
      <w:r w:rsidR="00B21367" w:rsidRPr="002142B8">
        <w:rPr>
          <w:rFonts w:ascii="Georgia" w:hAnsi="Georgia"/>
          <w:sz w:val="20"/>
          <w:szCs w:val="20"/>
        </w:rPr>
        <w:t>)</w:t>
      </w:r>
      <w:r w:rsidR="000C035D" w:rsidRPr="002142B8">
        <w:rPr>
          <w:rFonts w:ascii="Georgia" w:hAnsi="Georgia"/>
          <w:sz w:val="20"/>
          <w:szCs w:val="20"/>
        </w:rPr>
        <w:t>,</w:t>
      </w:r>
      <w:r w:rsidR="00982548" w:rsidRPr="002142B8">
        <w:rPr>
          <w:rFonts w:ascii="Georgia" w:hAnsi="Georgia"/>
          <w:sz w:val="20"/>
          <w:szCs w:val="20"/>
        </w:rPr>
        <w:t xml:space="preserve"> t</w:t>
      </w:r>
      <w:r w:rsidR="00B21367" w:rsidRPr="002142B8">
        <w:rPr>
          <w:rFonts w:ascii="Georgia" w:hAnsi="Georgia"/>
          <w:sz w:val="20"/>
          <w:szCs w:val="20"/>
        </w:rPr>
        <w:t>aip užtikrinant</w:t>
      </w:r>
      <w:r w:rsidR="000C035D" w:rsidRPr="002142B8">
        <w:rPr>
          <w:rFonts w:ascii="Georgia" w:hAnsi="Georgia"/>
          <w:sz w:val="20"/>
          <w:szCs w:val="20"/>
        </w:rPr>
        <w:t xml:space="preserve"> sklandų perėjimą iš</w:t>
      </w:r>
      <w:r w:rsidR="00982548" w:rsidRPr="002142B8">
        <w:rPr>
          <w:rFonts w:ascii="Georgia" w:hAnsi="Georgia"/>
          <w:sz w:val="20"/>
          <w:szCs w:val="20"/>
        </w:rPr>
        <w:t xml:space="preserve"> vieno programavimo laikotarpio į kitą</w:t>
      </w:r>
      <w:r w:rsidR="00E5361F" w:rsidRPr="002142B8">
        <w:rPr>
          <w:rFonts w:ascii="Georgia" w:hAnsi="Georgia"/>
          <w:sz w:val="20"/>
          <w:szCs w:val="20"/>
        </w:rPr>
        <w:t xml:space="preserve">; </w:t>
      </w:r>
    </w:p>
    <w:p w14:paraId="06AEB31C" w14:textId="421CD1F3" w:rsidR="00E5361F" w:rsidRPr="002142B8" w:rsidRDefault="00AB5F7C" w:rsidP="002C3B82">
      <w:pPr>
        <w:pStyle w:val="prastasis1"/>
        <w:spacing w:line="276" w:lineRule="auto"/>
        <w:jc w:val="both"/>
        <w:rPr>
          <w:rFonts w:ascii="Georgia" w:hAnsi="Georgia"/>
          <w:sz w:val="20"/>
          <w:szCs w:val="20"/>
        </w:rPr>
      </w:pPr>
      <w:r w:rsidRPr="002142B8">
        <w:rPr>
          <w:rFonts w:ascii="Georgia" w:hAnsi="Georgia"/>
          <w:sz w:val="20"/>
          <w:szCs w:val="20"/>
        </w:rPr>
        <w:t xml:space="preserve">ii) </w:t>
      </w:r>
      <w:r w:rsidR="00E5361F" w:rsidRPr="002142B8">
        <w:rPr>
          <w:rFonts w:ascii="Georgia" w:hAnsi="Georgia"/>
          <w:sz w:val="20"/>
          <w:szCs w:val="20"/>
        </w:rPr>
        <w:t>d</w:t>
      </w:r>
      <w:r w:rsidR="00B21367" w:rsidRPr="002142B8">
        <w:rPr>
          <w:rFonts w:ascii="Georgia" w:hAnsi="Georgia"/>
          <w:sz w:val="20"/>
          <w:szCs w:val="20"/>
        </w:rPr>
        <w:t>augiabučių modernizavimo proceso nepertraukiamum</w:t>
      </w:r>
      <w:r w:rsidR="00982548" w:rsidRPr="002142B8">
        <w:rPr>
          <w:rFonts w:ascii="Georgia" w:hAnsi="Georgia"/>
          <w:sz w:val="20"/>
          <w:szCs w:val="20"/>
        </w:rPr>
        <w:t>ui užtikrinti ir skland</w:t>
      </w:r>
      <w:r w:rsidR="000C035D" w:rsidRPr="002142B8">
        <w:rPr>
          <w:rFonts w:ascii="Georgia" w:hAnsi="Georgia"/>
          <w:sz w:val="20"/>
          <w:szCs w:val="20"/>
        </w:rPr>
        <w:t xml:space="preserve">žiam suformuoto projektų srauto finansavimui garantuoti </w:t>
      </w:r>
      <w:r w:rsidR="00B527DC" w:rsidRPr="002142B8">
        <w:rPr>
          <w:rFonts w:ascii="Georgia" w:hAnsi="Georgia"/>
          <w:sz w:val="20"/>
          <w:szCs w:val="20"/>
        </w:rPr>
        <w:t>investuot</w:t>
      </w:r>
      <w:r w:rsidR="00E5361F" w:rsidRPr="002142B8">
        <w:rPr>
          <w:rFonts w:ascii="Georgia" w:hAnsi="Georgia"/>
          <w:sz w:val="20"/>
          <w:szCs w:val="20"/>
        </w:rPr>
        <w:t>a</w:t>
      </w:r>
      <w:r w:rsidR="00B527DC" w:rsidRPr="002142B8">
        <w:rPr>
          <w:rFonts w:ascii="Georgia" w:hAnsi="Georgia"/>
          <w:sz w:val="20"/>
          <w:szCs w:val="20"/>
        </w:rPr>
        <w:t xml:space="preserve"> į</w:t>
      </w:r>
      <w:r w:rsidR="00B21367" w:rsidRPr="002142B8">
        <w:rPr>
          <w:rFonts w:ascii="Georgia" w:hAnsi="Georgia"/>
          <w:sz w:val="20"/>
          <w:szCs w:val="20"/>
        </w:rPr>
        <w:t xml:space="preserve"> nauj</w:t>
      </w:r>
      <w:r w:rsidR="007B7398" w:rsidRPr="002142B8">
        <w:rPr>
          <w:rFonts w:ascii="Georgia" w:hAnsi="Georgia"/>
          <w:sz w:val="20"/>
          <w:szCs w:val="20"/>
        </w:rPr>
        <w:t>ą paskolų</w:t>
      </w:r>
      <w:r w:rsidR="00B21367" w:rsidRPr="002142B8">
        <w:rPr>
          <w:rFonts w:ascii="Georgia" w:hAnsi="Georgia"/>
          <w:sz w:val="20"/>
          <w:szCs w:val="20"/>
        </w:rPr>
        <w:t xml:space="preserve"> finansin</w:t>
      </w:r>
      <w:r w:rsidR="00E5361F" w:rsidRPr="002142B8">
        <w:rPr>
          <w:rFonts w:ascii="Georgia" w:hAnsi="Georgia"/>
          <w:sz w:val="20"/>
          <w:szCs w:val="20"/>
        </w:rPr>
        <w:t>ę</w:t>
      </w:r>
      <w:r w:rsidR="00B21367" w:rsidRPr="002142B8">
        <w:rPr>
          <w:rFonts w:ascii="Georgia" w:hAnsi="Georgia"/>
          <w:sz w:val="20"/>
          <w:szCs w:val="20"/>
        </w:rPr>
        <w:t xml:space="preserve"> priemon</w:t>
      </w:r>
      <w:r w:rsidR="00E5361F" w:rsidRPr="002142B8">
        <w:rPr>
          <w:rFonts w:ascii="Georgia" w:hAnsi="Georgia"/>
          <w:sz w:val="20"/>
          <w:szCs w:val="20"/>
        </w:rPr>
        <w:t>ę</w:t>
      </w:r>
      <w:r w:rsidR="007B7398" w:rsidRPr="002142B8">
        <w:rPr>
          <w:rFonts w:ascii="Georgia" w:hAnsi="Georgia"/>
          <w:sz w:val="20"/>
          <w:szCs w:val="20"/>
        </w:rPr>
        <w:t xml:space="preserve"> (</w:t>
      </w:r>
      <w:r w:rsidR="00E5361F" w:rsidRPr="002142B8">
        <w:rPr>
          <w:rFonts w:ascii="Georgia" w:hAnsi="Georgia"/>
          <w:sz w:val="20"/>
          <w:szCs w:val="20"/>
        </w:rPr>
        <w:t xml:space="preserve">sukurtas </w:t>
      </w:r>
      <w:r w:rsidR="007B7398" w:rsidRPr="002142B8">
        <w:rPr>
          <w:rFonts w:ascii="Georgia" w:hAnsi="Georgia"/>
          <w:sz w:val="20"/>
          <w:szCs w:val="20"/>
        </w:rPr>
        <w:t>DNMF)</w:t>
      </w:r>
      <w:r w:rsidRPr="002142B8">
        <w:rPr>
          <w:rFonts w:ascii="Georgia" w:hAnsi="Georgia"/>
          <w:sz w:val="20"/>
          <w:szCs w:val="20"/>
        </w:rPr>
        <w:t>;</w:t>
      </w:r>
    </w:p>
    <w:p w14:paraId="12C55FF0" w14:textId="6952BEC7" w:rsidR="00E5361F" w:rsidRPr="002142B8" w:rsidRDefault="00AB5F7C" w:rsidP="002C3B82">
      <w:pPr>
        <w:pStyle w:val="prastasis1"/>
        <w:spacing w:line="276" w:lineRule="auto"/>
        <w:jc w:val="both"/>
        <w:rPr>
          <w:rFonts w:ascii="Georgia" w:hAnsi="Georgia"/>
          <w:sz w:val="20"/>
          <w:szCs w:val="20"/>
        </w:rPr>
      </w:pPr>
      <w:r w:rsidRPr="002142B8">
        <w:rPr>
          <w:rFonts w:ascii="Georgia" w:hAnsi="Georgia"/>
          <w:sz w:val="20"/>
          <w:szCs w:val="20"/>
        </w:rPr>
        <w:t xml:space="preserve"> iii) </w:t>
      </w:r>
      <w:r w:rsidR="00E5361F" w:rsidRPr="002142B8">
        <w:rPr>
          <w:rFonts w:ascii="Georgia" w:hAnsi="Georgia"/>
          <w:sz w:val="20"/>
          <w:szCs w:val="20"/>
        </w:rPr>
        <w:t xml:space="preserve">sukurta </w:t>
      </w:r>
      <w:r w:rsidR="0087146E" w:rsidRPr="002142B8">
        <w:rPr>
          <w:rFonts w:ascii="Georgia" w:hAnsi="Georgia"/>
          <w:sz w:val="20"/>
          <w:szCs w:val="20"/>
        </w:rPr>
        <w:t>garantijų priemon</w:t>
      </w:r>
      <w:r w:rsidRPr="002142B8">
        <w:rPr>
          <w:rFonts w:ascii="Georgia" w:hAnsi="Georgia"/>
          <w:sz w:val="20"/>
          <w:szCs w:val="20"/>
        </w:rPr>
        <w:t>ė</w:t>
      </w:r>
      <w:r w:rsidR="007B7398" w:rsidRPr="002142B8">
        <w:rPr>
          <w:rFonts w:ascii="Georgia" w:hAnsi="Georgia"/>
          <w:sz w:val="20"/>
          <w:szCs w:val="20"/>
        </w:rPr>
        <w:t xml:space="preserve"> (Rizikos pasidalijimo fond</w:t>
      </w:r>
      <w:r w:rsidR="00E5361F" w:rsidRPr="002142B8">
        <w:rPr>
          <w:rFonts w:ascii="Georgia" w:hAnsi="Georgia"/>
          <w:sz w:val="20"/>
          <w:szCs w:val="20"/>
        </w:rPr>
        <w:t>as</w:t>
      </w:r>
      <w:r w:rsidR="007B7398" w:rsidRPr="002142B8">
        <w:rPr>
          <w:rFonts w:ascii="Georgia" w:hAnsi="Georgia"/>
          <w:sz w:val="20"/>
          <w:szCs w:val="20"/>
        </w:rPr>
        <w:t>)</w:t>
      </w:r>
      <w:r w:rsidR="0087146E" w:rsidRPr="002142B8">
        <w:rPr>
          <w:rFonts w:ascii="Georgia" w:hAnsi="Georgia"/>
          <w:sz w:val="20"/>
          <w:szCs w:val="20"/>
        </w:rPr>
        <w:t>, taip siekiant</w:t>
      </w:r>
      <w:r w:rsidR="00B527DC" w:rsidRPr="002142B8">
        <w:rPr>
          <w:rFonts w:ascii="Georgia" w:hAnsi="Georgia"/>
          <w:sz w:val="20"/>
          <w:szCs w:val="20"/>
        </w:rPr>
        <w:t xml:space="preserve"> pritraukti kaip įmanoma daugiau lėšų daugiabučių namų modernizavimo procesui</w:t>
      </w:r>
      <w:r w:rsidR="00E5361F" w:rsidRPr="002142B8">
        <w:rPr>
          <w:rFonts w:ascii="Georgia" w:hAnsi="Georgia"/>
          <w:sz w:val="20"/>
          <w:szCs w:val="20"/>
        </w:rPr>
        <w:t>.</w:t>
      </w:r>
      <w:r w:rsidRPr="002142B8">
        <w:rPr>
          <w:rFonts w:ascii="Georgia" w:hAnsi="Georgia"/>
          <w:sz w:val="20"/>
          <w:szCs w:val="20"/>
        </w:rPr>
        <w:t xml:space="preserve"> </w:t>
      </w:r>
    </w:p>
    <w:p w14:paraId="3F4EEF3F" w14:textId="3202B086" w:rsidR="007B7398" w:rsidRPr="002142B8" w:rsidRDefault="00E5361F" w:rsidP="002C3B82">
      <w:pPr>
        <w:pStyle w:val="prastasis1"/>
        <w:spacing w:line="276" w:lineRule="auto"/>
        <w:jc w:val="both"/>
        <w:rPr>
          <w:rFonts w:ascii="Georgia" w:hAnsi="Georgia"/>
          <w:b/>
          <w:sz w:val="20"/>
          <w:szCs w:val="20"/>
        </w:rPr>
      </w:pPr>
      <w:r w:rsidRPr="002142B8">
        <w:rPr>
          <w:rFonts w:ascii="Georgia" w:hAnsi="Georgia"/>
          <w:b/>
          <w:sz w:val="20"/>
          <w:szCs w:val="20"/>
        </w:rPr>
        <w:t>Tokia įgyvendinimo alternatyva visiškai</w:t>
      </w:r>
      <w:r w:rsidR="00AB5F7C" w:rsidRPr="002142B8">
        <w:rPr>
          <w:rFonts w:ascii="Georgia" w:hAnsi="Georgia"/>
          <w:b/>
          <w:sz w:val="20"/>
          <w:szCs w:val="20"/>
        </w:rPr>
        <w:t xml:space="preserve"> atitinka šios</w:t>
      </w:r>
      <w:r w:rsidR="00D35187" w:rsidRPr="002142B8">
        <w:rPr>
          <w:rFonts w:ascii="Georgia" w:hAnsi="Georgia"/>
          <w:b/>
          <w:sz w:val="20"/>
          <w:szCs w:val="20"/>
        </w:rPr>
        <w:t xml:space="preserve"> </w:t>
      </w:r>
      <w:r w:rsidR="00AB5F7C" w:rsidRPr="002142B8">
        <w:rPr>
          <w:rFonts w:ascii="Georgia" w:hAnsi="Georgia"/>
          <w:b/>
          <w:sz w:val="20"/>
          <w:szCs w:val="20"/>
        </w:rPr>
        <w:t>ex</w:t>
      </w:r>
      <w:r w:rsidR="00D35187" w:rsidRPr="002142B8">
        <w:rPr>
          <w:rFonts w:ascii="Georgia" w:hAnsi="Georgia"/>
          <w:b/>
          <w:sz w:val="20"/>
          <w:szCs w:val="20"/>
        </w:rPr>
        <w:t>-</w:t>
      </w:r>
      <w:r w:rsidR="00AB5F7C" w:rsidRPr="002142B8">
        <w:rPr>
          <w:rFonts w:ascii="Georgia" w:hAnsi="Georgia"/>
          <w:b/>
          <w:sz w:val="20"/>
          <w:szCs w:val="20"/>
        </w:rPr>
        <w:t xml:space="preserve">ante </w:t>
      </w:r>
      <w:r w:rsidR="00D35187" w:rsidRPr="002142B8">
        <w:rPr>
          <w:rFonts w:ascii="Georgia" w:hAnsi="Georgia"/>
          <w:b/>
          <w:sz w:val="20"/>
          <w:szCs w:val="20"/>
        </w:rPr>
        <w:t xml:space="preserve">vertinimo ataskaitos </w:t>
      </w:r>
      <w:r w:rsidR="00AB5F7C" w:rsidRPr="002142B8">
        <w:rPr>
          <w:rFonts w:ascii="Georgia" w:hAnsi="Georgia"/>
          <w:b/>
          <w:sz w:val="20"/>
          <w:szCs w:val="20"/>
        </w:rPr>
        <w:t xml:space="preserve">rekomendacijas bei turėtų būti vystoma toliau remiantis šios </w:t>
      </w:r>
      <w:r w:rsidR="00D35187" w:rsidRPr="002142B8">
        <w:rPr>
          <w:rFonts w:ascii="Georgia" w:hAnsi="Georgia"/>
          <w:b/>
          <w:sz w:val="20"/>
          <w:szCs w:val="20"/>
        </w:rPr>
        <w:t>ataskaitos</w:t>
      </w:r>
      <w:r w:rsidR="00AB5F7C" w:rsidRPr="002142B8">
        <w:rPr>
          <w:rFonts w:ascii="Georgia" w:hAnsi="Georgia"/>
          <w:b/>
          <w:sz w:val="20"/>
          <w:szCs w:val="20"/>
        </w:rPr>
        <w:t xml:space="preserve"> principais.</w:t>
      </w:r>
    </w:p>
    <w:p w14:paraId="49CC6B0F" w14:textId="01868661" w:rsidR="007B7398" w:rsidRPr="002142B8" w:rsidRDefault="007B7398" w:rsidP="002C3B82">
      <w:pPr>
        <w:pStyle w:val="prastasis1"/>
        <w:spacing w:line="276" w:lineRule="auto"/>
        <w:jc w:val="both"/>
        <w:rPr>
          <w:rFonts w:ascii="Georgia" w:hAnsi="Georgia"/>
          <w:sz w:val="20"/>
          <w:szCs w:val="20"/>
        </w:rPr>
      </w:pPr>
      <w:r w:rsidRPr="002142B8">
        <w:rPr>
          <w:rFonts w:ascii="Georgia" w:hAnsi="Georgia"/>
          <w:sz w:val="20"/>
          <w:szCs w:val="20"/>
        </w:rPr>
        <w:t>Finansinių priemonių</w:t>
      </w:r>
      <w:r w:rsidR="000C035D" w:rsidRPr="002142B8">
        <w:rPr>
          <w:rFonts w:ascii="Georgia" w:hAnsi="Georgia"/>
          <w:sz w:val="20"/>
          <w:szCs w:val="20"/>
        </w:rPr>
        <w:t>,</w:t>
      </w:r>
      <w:r w:rsidRPr="002142B8">
        <w:rPr>
          <w:rFonts w:ascii="Georgia" w:hAnsi="Georgia"/>
          <w:sz w:val="20"/>
          <w:szCs w:val="20"/>
        </w:rPr>
        <w:t xml:space="preserve"> skirtų daugiabučių namų modernizavimui</w:t>
      </w:r>
      <w:r w:rsidR="000C035D" w:rsidRPr="002142B8">
        <w:rPr>
          <w:rFonts w:ascii="Georgia" w:hAnsi="Georgia"/>
          <w:sz w:val="20"/>
          <w:szCs w:val="20"/>
        </w:rPr>
        <w:t>,</w:t>
      </w:r>
      <w:r w:rsidRPr="002142B8">
        <w:rPr>
          <w:rFonts w:ascii="Georgia" w:hAnsi="Georgia"/>
          <w:sz w:val="20"/>
          <w:szCs w:val="20"/>
        </w:rPr>
        <w:t xml:space="preserve"> įgyvendinimo procesas turi būti kaip įmanoma lankstesnis, reaguojantis į besikeičiančią finansavimo paklausą, sparčiai</w:t>
      </w:r>
      <w:r w:rsidR="00EC1DD1" w:rsidRPr="002142B8">
        <w:rPr>
          <w:rFonts w:ascii="Georgia" w:hAnsi="Georgia"/>
          <w:sz w:val="20"/>
          <w:szCs w:val="20"/>
        </w:rPr>
        <w:t xml:space="preserve"> šalyje</w:t>
      </w:r>
      <w:r w:rsidRPr="002142B8">
        <w:rPr>
          <w:rFonts w:ascii="Georgia" w:hAnsi="Georgia"/>
          <w:sz w:val="20"/>
          <w:szCs w:val="20"/>
        </w:rPr>
        <w:t xml:space="preserve"> besiformuojančią finansinių priemonių rinką </w:t>
      </w:r>
      <w:r w:rsidR="00EC1DD1" w:rsidRPr="002142B8">
        <w:rPr>
          <w:rFonts w:ascii="Georgia" w:hAnsi="Georgia"/>
          <w:sz w:val="20"/>
          <w:szCs w:val="20"/>
        </w:rPr>
        <w:t>ir besikeičiantį</w:t>
      </w:r>
      <w:r w:rsidRPr="002142B8">
        <w:rPr>
          <w:rFonts w:ascii="Georgia" w:hAnsi="Georgia"/>
          <w:sz w:val="20"/>
          <w:szCs w:val="20"/>
        </w:rPr>
        <w:t xml:space="preserve"> komercinių bankų ir kitų finansinių įstaigų </w:t>
      </w:r>
      <w:r w:rsidR="00EC1DD1" w:rsidRPr="002142B8">
        <w:rPr>
          <w:rFonts w:ascii="Georgia" w:hAnsi="Georgia"/>
          <w:sz w:val="20"/>
          <w:szCs w:val="20"/>
        </w:rPr>
        <w:t xml:space="preserve">rizikos vertinimą </w:t>
      </w:r>
      <w:r w:rsidR="00A82C12" w:rsidRPr="002142B8">
        <w:rPr>
          <w:rFonts w:ascii="Georgia" w:hAnsi="Georgia"/>
          <w:sz w:val="20"/>
          <w:szCs w:val="20"/>
        </w:rPr>
        <w:t>bei</w:t>
      </w:r>
      <w:r w:rsidR="00EC1DD1" w:rsidRPr="002142B8">
        <w:rPr>
          <w:rFonts w:ascii="Georgia" w:hAnsi="Georgia"/>
          <w:sz w:val="20"/>
          <w:szCs w:val="20"/>
        </w:rPr>
        <w:t xml:space="preserve"> jų norą investuoti į inovatyvias finansines priemones</w:t>
      </w:r>
      <w:r w:rsidR="00A82C12" w:rsidRPr="002142B8">
        <w:rPr>
          <w:rFonts w:ascii="Georgia" w:hAnsi="Georgia"/>
          <w:sz w:val="20"/>
          <w:szCs w:val="20"/>
        </w:rPr>
        <w:t>, užti</w:t>
      </w:r>
      <w:r w:rsidR="000C035D" w:rsidRPr="002142B8">
        <w:rPr>
          <w:rFonts w:ascii="Georgia" w:hAnsi="Georgia"/>
          <w:sz w:val="20"/>
          <w:szCs w:val="20"/>
        </w:rPr>
        <w:t>krinančias jiems priimtiną grąžą</w:t>
      </w:r>
      <w:r w:rsidR="00EC1DD1" w:rsidRPr="002142B8">
        <w:rPr>
          <w:rFonts w:ascii="Georgia" w:hAnsi="Georgia"/>
          <w:sz w:val="20"/>
          <w:szCs w:val="20"/>
        </w:rPr>
        <w:t xml:space="preserve">. </w:t>
      </w:r>
    </w:p>
    <w:p w14:paraId="20DDEAF1" w14:textId="597FAFA8" w:rsidR="00466057" w:rsidRPr="002142B8" w:rsidRDefault="00466057" w:rsidP="002C3B82">
      <w:pPr>
        <w:pStyle w:val="prastasis1"/>
        <w:spacing w:line="276" w:lineRule="auto"/>
        <w:jc w:val="both"/>
        <w:rPr>
          <w:rFonts w:ascii="Georgia" w:hAnsi="Georgia"/>
          <w:b/>
          <w:sz w:val="20"/>
          <w:szCs w:val="20"/>
        </w:rPr>
      </w:pPr>
      <w:r w:rsidRPr="002142B8">
        <w:rPr>
          <w:rFonts w:ascii="Georgia" w:hAnsi="Georgia"/>
          <w:b/>
          <w:sz w:val="20"/>
          <w:szCs w:val="20"/>
        </w:rPr>
        <w:t>Palyginimas su Pradin</w:t>
      </w:r>
      <w:r w:rsidR="00213788" w:rsidRPr="002142B8">
        <w:rPr>
          <w:rFonts w:ascii="Georgia" w:hAnsi="Georgia"/>
          <w:b/>
          <w:sz w:val="20"/>
          <w:szCs w:val="20"/>
        </w:rPr>
        <w:t>ėje ataskaito</w:t>
      </w:r>
      <w:r w:rsidR="00484CAC" w:rsidRPr="002142B8">
        <w:rPr>
          <w:rFonts w:ascii="Georgia" w:hAnsi="Georgia"/>
          <w:b/>
          <w:sz w:val="20"/>
          <w:szCs w:val="20"/>
        </w:rPr>
        <w:t>je</w:t>
      </w:r>
      <w:r w:rsidR="00213788" w:rsidRPr="002142B8">
        <w:rPr>
          <w:rFonts w:ascii="Georgia" w:hAnsi="Georgia"/>
          <w:b/>
          <w:sz w:val="20"/>
          <w:szCs w:val="20"/>
        </w:rPr>
        <w:t xml:space="preserve"> siūlyta įgyvendinti alternatyva</w:t>
      </w:r>
    </w:p>
    <w:p w14:paraId="090D6CBF" w14:textId="54FA4E91" w:rsidR="0026307F" w:rsidRPr="002142B8" w:rsidRDefault="006A348F" w:rsidP="002C3B82">
      <w:pPr>
        <w:pStyle w:val="prastasis1"/>
        <w:spacing w:line="276" w:lineRule="auto"/>
        <w:jc w:val="both"/>
        <w:rPr>
          <w:rFonts w:ascii="Georgia" w:hAnsi="Georgia"/>
          <w:sz w:val="20"/>
          <w:szCs w:val="20"/>
        </w:rPr>
      </w:pPr>
      <w:r w:rsidRPr="002142B8">
        <w:rPr>
          <w:rFonts w:ascii="Georgia" w:hAnsi="Georgia"/>
          <w:sz w:val="20"/>
          <w:szCs w:val="20"/>
        </w:rPr>
        <w:t xml:space="preserve">Pradinėje ataskaitoje siūlyta įgyvendinti alternatyva – paskolos daugiabučių namų renovacijai, kuriant komanditinę ūkinę bendriją (KŪB). </w:t>
      </w:r>
      <w:r w:rsidR="00CB7BAC" w:rsidRPr="002142B8">
        <w:rPr>
          <w:rFonts w:ascii="Georgia" w:hAnsi="Georgia"/>
          <w:sz w:val="20"/>
          <w:szCs w:val="20"/>
        </w:rPr>
        <w:t>Š</w:t>
      </w:r>
      <w:r w:rsidR="0002498C" w:rsidRPr="002142B8">
        <w:rPr>
          <w:rFonts w:ascii="Georgia" w:hAnsi="Georgia"/>
          <w:sz w:val="20"/>
          <w:szCs w:val="20"/>
        </w:rPr>
        <w:t xml:space="preserve">ios alternatyvos </w:t>
      </w:r>
      <w:r w:rsidR="00E97549" w:rsidRPr="002142B8">
        <w:rPr>
          <w:rFonts w:ascii="Georgia" w:hAnsi="Georgia"/>
          <w:sz w:val="20"/>
          <w:szCs w:val="20"/>
        </w:rPr>
        <w:t xml:space="preserve">peržiūrėtoje ataskaitoje </w:t>
      </w:r>
      <w:r w:rsidR="0002498C" w:rsidRPr="002142B8">
        <w:rPr>
          <w:rFonts w:ascii="Georgia" w:hAnsi="Georgia"/>
          <w:sz w:val="20"/>
          <w:szCs w:val="20"/>
        </w:rPr>
        <w:t xml:space="preserve">atsisakyta, kadangi finansinių priemonių įgyvendimo praktika parodė, kad kai kurios šios alternatyvos rezultatams apskaičiuoti Pradinėje ataskaitoje naudotos prielaidos buvo pernelyg optimistinės. </w:t>
      </w:r>
      <w:r w:rsidR="00463020" w:rsidRPr="002142B8">
        <w:rPr>
          <w:rFonts w:ascii="Georgia" w:hAnsi="Georgia"/>
          <w:sz w:val="20"/>
          <w:szCs w:val="20"/>
        </w:rPr>
        <w:t xml:space="preserve">Vienas iš svarbiausių faktorių lėmusių geriausius šios alternatyvos rodiklius – </w:t>
      </w:r>
      <w:r w:rsidR="00463020" w:rsidRPr="002142B8">
        <w:rPr>
          <w:rFonts w:ascii="Georgia" w:hAnsi="Georgia"/>
          <w:sz w:val="20"/>
          <w:szCs w:val="20"/>
          <w:lang w:val="en-US"/>
        </w:rPr>
        <w:t>655,4 mln. eur</w:t>
      </w:r>
      <w:r w:rsidR="00463020" w:rsidRPr="002142B8">
        <w:rPr>
          <w:rFonts w:ascii="Georgia" w:hAnsi="Georgia"/>
          <w:sz w:val="20"/>
          <w:szCs w:val="20"/>
        </w:rPr>
        <w:t xml:space="preserve">ų </w:t>
      </w:r>
      <w:r w:rsidR="001A5C84" w:rsidRPr="002142B8">
        <w:rPr>
          <w:rFonts w:ascii="Georgia" w:hAnsi="Georgia"/>
          <w:sz w:val="20"/>
          <w:szCs w:val="20"/>
        </w:rPr>
        <w:t>privačių lėšų pritraukimas į KŪB. Šis dydis</w:t>
      </w:r>
      <w:r w:rsidR="00742247" w:rsidRPr="002142B8">
        <w:rPr>
          <w:rFonts w:ascii="Georgia" w:hAnsi="Georgia"/>
          <w:sz w:val="20"/>
          <w:szCs w:val="20"/>
        </w:rPr>
        <w:t xml:space="preserve"> </w:t>
      </w:r>
      <w:r w:rsidR="001A5C84" w:rsidRPr="002142B8">
        <w:rPr>
          <w:rFonts w:ascii="Georgia" w:hAnsi="Georgia"/>
          <w:sz w:val="20"/>
          <w:szCs w:val="20"/>
        </w:rPr>
        <w:t xml:space="preserve">rėmesi prielaida, kad privačios lėšos fonde gali sudaryti </w:t>
      </w:r>
      <w:r w:rsidR="001A5C84" w:rsidRPr="002142B8">
        <w:rPr>
          <w:rFonts w:ascii="Georgia" w:hAnsi="Georgia"/>
          <w:sz w:val="20"/>
          <w:szCs w:val="20"/>
          <w:lang w:val="en-US"/>
        </w:rPr>
        <w:t>70 proc. vis</w:t>
      </w:r>
      <w:r w:rsidR="001A5C84" w:rsidRPr="002142B8">
        <w:rPr>
          <w:rFonts w:ascii="Georgia" w:hAnsi="Georgia"/>
          <w:sz w:val="20"/>
          <w:szCs w:val="20"/>
        </w:rPr>
        <w:t xml:space="preserve">ų lėšų. </w:t>
      </w:r>
    </w:p>
    <w:p w14:paraId="0F60AC16" w14:textId="21A5009F" w:rsidR="003043A9" w:rsidRPr="002142B8" w:rsidRDefault="003043A9" w:rsidP="003043A9">
      <w:pPr>
        <w:pStyle w:val="prastasis1"/>
        <w:spacing w:line="276" w:lineRule="auto"/>
        <w:jc w:val="both"/>
        <w:rPr>
          <w:rFonts w:ascii="Georgia" w:hAnsi="Georgia"/>
          <w:sz w:val="20"/>
          <w:szCs w:val="20"/>
        </w:rPr>
      </w:pPr>
      <w:r w:rsidRPr="002142B8">
        <w:rPr>
          <w:rFonts w:ascii="Georgia" w:hAnsi="Georgia"/>
          <w:sz w:val="20"/>
          <w:szCs w:val="20"/>
        </w:rPr>
        <w:t xml:space="preserve">Investiciniai fondai investuojantys į panašius finansinius instrumentus vis dar išlieka pakankamai didele naujove </w:t>
      </w:r>
      <w:r w:rsidR="007935A3" w:rsidRPr="002142B8">
        <w:rPr>
          <w:rFonts w:ascii="Georgia" w:hAnsi="Georgia"/>
          <w:sz w:val="20"/>
          <w:szCs w:val="20"/>
        </w:rPr>
        <w:t>Lietuvos</w:t>
      </w:r>
      <w:r w:rsidRPr="002142B8">
        <w:rPr>
          <w:rFonts w:ascii="Georgia" w:hAnsi="Georgia"/>
          <w:sz w:val="20"/>
          <w:szCs w:val="20"/>
        </w:rPr>
        <w:t xml:space="preserve"> rinkoje. Kaip labai optimistinė prielaida turėtų būti vertinama tiek absoliučios </w:t>
      </w:r>
      <w:r w:rsidRPr="002142B8">
        <w:rPr>
          <w:rFonts w:ascii="Georgia" w:hAnsi="Georgia"/>
          <w:sz w:val="20"/>
          <w:szCs w:val="20"/>
          <w:lang w:val="en-US"/>
        </w:rPr>
        <w:t xml:space="preserve">655,4 mln. eurų) </w:t>
      </w:r>
      <w:r w:rsidRPr="002142B8">
        <w:rPr>
          <w:rFonts w:ascii="Georgia" w:hAnsi="Georgia"/>
          <w:sz w:val="20"/>
          <w:szCs w:val="20"/>
        </w:rPr>
        <w:t xml:space="preserve">privačių lėšų sumos pritraukimas į tokį investicinį fondą </w:t>
      </w:r>
      <w:r w:rsidRPr="002142B8">
        <w:rPr>
          <w:rFonts w:ascii="Georgia" w:hAnsi="Georgia"/>
          <w:sz w:val="20"/>
          <w:szCs w:val="20"/>
          <w:lang w:val="en-US"/>
        </w:rPr>
        <w:t>(dėl ribotų vietos bankų, kredito įstaigų ir kitų institicinių investuotojų lėšų skiriamų tokioms investicijoms)</w:t>
      </w:r>
      <w:r w:rsidRPr="002142B8">
        <w:rPr>
          <w:rFonts w:ascii="Georgia" w:hAnsi="Georgia"/>
          <w:sz w:val="20"/>
          <w:szCs w:val="20"/>
        </w:rPr>
        <w:t xml:space="preserve">, taip pat pernelyg optimistine turėtų būti laikoma ir prielaida dėl privačių lėšų proporcijos tokiame investiciniame fonde. Palyginimui, </w:t>
      </w:r>
      <w:r w:rsidRPr="002142B8">
        <w:rPr>
          <w:rFonts w:ascii="Georgia" w:hAnsi="Georgia"/>
          <w:sz w:val="20"/>
          <w:szCs w:val="20"/>
          <w:lang w:val="en-US"/>
        </w:rPr>
        <w:t xml:space="preserve">70 proc. </w:t>
      </w:r>
      <w:r w:rsidRPr="002142B8">
        <w:rPr>
          <w:rFonts w:ascii="Georgia" w:hAnsi="Georgia"/>
          <w:sz w:val="20"/>
          <w:szCs w:val="20"/>
          <w:lang w:val="en-US"/>
        </w:rPr>
        <w:lastRenderedPageBreak/>
        <w:t>skolint</w:t>
      </w:r>
      <w:r w:rsidRPr="002142B8">
        <w:rPr>
          <w:rFonts w:ascii="Georgia" w:hAnsi="Georgia"/>
          <w:sz w:val="20"/>
          <w:szCs w:val="20"/>
        </w:rPr>
        <w:t>ų lėšų dalį užsitikrina tik tokie gerai kreditavimo rinkoje žinomi produktai kaip nekilnojamojo turto vystymo projektai, kuriuose kreditoriams įkeičiamas vystomas turtas.</w:t>
      </w:r>
    </w:p>
    <w:p w14:paraId="7F217B5B" w14:textId="714D5B1E" w:rsidR="009F6112" w:rsidRPr="002142B8" w:rsidRDefault="003043A9" w:rsidP="002C3B82">
      <w:pPr>
        <w:pStyle w:val="prastasis1"/>
        <w:spacing w:line="276" w:lineRule="auto"/>
        <w:jc w:val="both"/>
        <w:rPr>
          <w:rFonts w:ascii="Georgia" w:hAnsi="Georgia"/>
          <w:sz w:val="20"/>
          <w:szCs w:val="20"/>
        </w:rPr>
      </w:pPr>
      <w:r w:rsidRPr="002142B8">
        <w:rPr>
          <w:rFonts w:ascii="Georgia" w:hAnsi="Georgia"/>
          <w:sz w:val="20"/>
          <w:szCs w:val="20"/>
        </w:rPr>
        <w:t xml:space="preserve">Minėtą </w:t>
      </w:r>
      <w:r w:rsidR="009F6112" w:rsidRPr="002142B8">
        <w:rPr>
          <w:rFonts w:ascii="Georgia" w:hAnsi="Georgia"/>
          <w:sz w:val="20"/>
          <w:szCs w:val="20"/>
        </w:rPr>
        <w:t xml:space="preserve">prielaidą galima palyginti </w:t>
      </w:r>
      <w:r w:rsidR="00E40BC8" w:rsidRPr="002142B8">
        <w:rPr>
          <w:rFonts w:ascii="Georgia" w:hAnsi="Georgia"/>
          <w:sz w:val="20"/>
          <w:szCs w:val="20"/>
        </w:rPr>
        <w:t xml:space="preserve">ir su </w:t>
      </w:r>
      <w:r w:rsidR="00592E49" w:rsidRPr="002142B8">
        <w:rPr>
          <w:rFonts w:ascii="Georgia" w:hAnsi="Georgia"/>
          <w:sz w:val="20"/>
          <w:szCs w:val="20"/>
        </w:rPr>
        <w:t>r</w:t>
      </w:r>
      <w:r w:rsidR="009F6112" w:rsidRPr="002142B8">
        <w:rPr>
          <w:rFonts w:ascii="Georgia" w:hAnsi="Georgia"/>
          <w:sz w:val="20"/>
          <w:szCs w:val="20"/>
        </w:rPr>
        <w:t xml:space="preserve">eikalavimais Europos Komisijos rengiamose </w:t>
      </w:r>
      <w:r w:rsidRPr="002142B8">
        <w:rPr>
          <w:rFonts w:ascii="Georgia" w:hAnsi="Georgia"/>
          <w:sz w:val="20"/>
          <w:szCs w:val="20"/>
        </w:rPr>
        <w:t xml:space="preserve">standartizuotose (off-the-shelf) </w:t>
      </w:r>
      <w:r w:rsidR="009F6112" w:rsidRPr="002142B8">
        <w:rPr>
          <w:rFonts w:ascii="Georgia" w:hAnsi="Georgia"/>
          <w:sz w:val="20"/>
          <w:szCs w:val="20"/>
        </w:rPr>
        <w:t>finansinėse priemonėse</w:t>
      </w:r>
      <w:r w:rsidR="00E40BC8" w:rsidRPr="002142B8">
        <w:rPr>
          <w:rFonts w:ascii="Georgia" w:hAnsi="Georgia"/>
          <w:sz w:val="20"/>
          <w:szCs w:val="20"/>
        </w:rPr>
        <w:t>.</w:t>
      </w:r>
      <w:r w:rsidRPr="002142B8">
        <w:rPr>
          <w:rFonts w:ascii="Georgia" w:hAnsi="Georgia"/>
          <w:sz w:val="20"/>
          <w:szCs w:val="20"/>
        </w:rPr>
        <w:t xml:space="preserve"> </w:t>
      </w:r>
      <w:r w:rsidR="009F6112" w:rsidRPr="002142B8">
        <w:rPr>
          <w:rFonts w:ascii="Georgia" w:hAnsi="Georgia"/>
          <w:sz w:val="20"/>
          <w:szCs w:val="20"/>
          <w:lang w:val="en-US"/>
        </w:rPr>
        <w:t>2016 m. liepos mėn. Europos Komisija pristat</w:t>
      </w:r>
      <w:r w:rsidR="009F6112" w:rsidRPr="002142B8">
        <w:rPr>
          <w:rFonts w:ascii="Georgia" w:hAnsi="Georgia"/>
          <w:sz w:val="20"/>
          <w:szCs w:val="20"/>
        </w:rPr>
        <w:t>ė Miesto Plėtros Fondo finansin</w:t>
      </w:r>
      <w:r w:rsidR="00535C12" w:rsidRPr="002142B8">
        <w:rPr>
          <w:rFonts w:ascii="Georgia" w:hAnsi="Georgia"/>
          <w:sz w:val="20"/>
          <w:szCs w:val="20"/>
        </w:rPr>
        <w:t>ę</w:t>
      </w:r>
      <w:r w:rsidR="009F6112" w:rsidRPr="002142B8">
        <w:rPr>
          <w:rFonts w:ascii="Georgia" w:hAnsi="Georgia"/>
          <w:sz w:val="20"/>
          <w:szCs w:val="20"/>
        </w:rPr>
        <w:t xml:space="preserve"> priemon</w:t>
      </w:r>
      <w:r w:rsidR="00535C12" w:rsidRPr="002142B8">
        <w:rPr>
          <w:rFonts w:ascii="Georgia" w:hAnsi="Georgia"/>
          <w:sz w:val="20"/>
          <w:szCs w:val="20"/>
        </w:rPr>
        <w:t>ę</w:t>
      </w:r>
      <w:r w:rsidR="009F6112" w:rsidRPr="002142B8">
        <w:rPr>
          <w:rFonts w:ascii="Georgia" w:hAnsi="Georgia"/>
          <w:sz w:val="20"/>
          <w:szCs w:val="20"/>
        </w:rPr>
        <w:t xml:space="preserve">, kurią sudarys ESI fondų ir privačios lėšos. Europos Komisija tikisi, kad privatus įnašas sudarys ne mažiau kaip </w:t>
      </w:r>
      <w:r w:rsidR="009F6112" w:rsidRPr="002142B8">
        <w:rPr>
          <w:rFonts w:ascii="Georgia" w:hAnsi="Georgia"/>
          <w:sz w:val="20"/>
          <w:szCs w:val="20"/>
          <w:lang w:val="en-US"/>
        </w:rPr>
        <w:t>30 proc. visų fondo lėšų.</w:t>
      </w:r>
      <w:r w:rsidR="009F6112" w:rsidRPr="002142B8">
        <w:rPr>
          <w:rStyle w:val="Puslapioinaosnuoroda"/>
          <w:rFonts w:ascii="Georgia" w:hAnsi="Georgia"/>
          <w:sz w:val="20"/>
          <w:szCs w:val="20"/>
          <w:lang w:val="en-US"/>
        </w:rPr>
        <w:footnoteReference w:id="187"/>
      </w:r>
      <w:r w:rsidRPr="002142B8">
        <w:rPr>
          <w:rFonts w:ascii="Georgia" w:hAnsi="Georgia"/>
          <w:sz w:val="20"/>
          <w:szCs w:val="20"/>
          <w:lang w:val="en-US"/>
        </w:rPr>
        <w:t xml:space="preserve"> Tai yra minimalus privataus įnašo slenkstis yra daugiau nei dvidubai mažesnis, nei prielaida naudota Pradinėje ataskaitoje analizuojant KŪB alternatyvą.</w:t>
      </w:r>
    </w:p>
    <w:p w14:paraId="6744BC4D" w14:textId="463BE3C9" w:rsidR="00213788" w:rsidRPr="002142B8" w:rsidRDefault="00742247" w:rsidP="00213788">
      <w:pPr>
        <w:jc w:val="both"/>
        <w:rPr>
          <w:rFonts w:ascii="Georgia" w:hAnsi="Georgia"/>
          <w:sz w:val="20"/>
          <w:lang w:val="lt-LT"/>
        </w:rPr>
      </w:pPr>
      <w:r w:rsidRPr="002142B8">
        <w:rPr>
          <w:rFonts w:ascii="Georgia" w:hAnsi="Georgia"/>
          <w:sz w:val="20"/>
          <w:lang w:val="lt-LT"/>
        </w:rPr>
        <w:t>K</w:t>
      </w:r>
      <w:r w:rsidR="00213788" w:rsidRPr="002142B8">
        <w:rPr>
          <w:rFonts w:ascii="Georgia" w:hAnsi="Georgia"/>
          <w:sz w:val="20"/>
          <w:lang w:val="lt-LT"/>
        </w:rPr>
        <w:t>aip rodo 2017-2013 m. laikotarpio JESSICA KF patirtis, net ir smulkūs pakeitimai finansinės priemonės įgyvendinimo schemoje pakankamai ilgam laikotarpiui sumažindavo ar visai sustabdydavo daugiabučių namų modernizavimo projektų srautą. Tikėtina, kad juridinio asmens statusą turinčio fondo įsteigimas būtų užtrukęs metus ar panašų laiko tarpą. Fondo steigimo metu būtų sustojęs daugiabučių mo</w:t>
      </w:r>
      <w:r w:rsidRPr="002142B8">
        <w:rPr>
          <w:rFonts w:ascii="Georgia" w:hAnsi="Georgia"/>
          <w:sz w:val="20"/>
          <w:lang w:val="lt-LT"/>
        </w:rPr>
        <w:t>d</w:t>
      </w:r>
      <w:r w:rsidR="00213788" w:rsidRPr="002142B8">
        <w:rPr>
          <w:rFonts w:ascii="Georgia" w:hAnsi="Georgia"/>
          <w:sz w:val="20"/>
          <w:lang w:val="lt-LT"/>
        </w:rPr>
        <w:t>ernizavimo procesas Lietuvoje. DNMF ir JESSICA fondo įsteigimas leido operatyviai įgyvendinti parengtus daugiabučių modernizavimo projektus ir nestabdyti įsibėgejusio daugiabučių renovavimo proceso.</w:t>
      </w:r>
    </w:p>
    <w:p w14:paraId="74661EA8" w14:textId="32F330D8" w:rsidR="003C7B84" w:rsidRPr="002142B8" w:rsidRDefault="00213788" w:rsidP="00213788">
      <w:pPr>
        <w:jc w:val="both"/>
        <w:rPr>
          <w:rFonts w:ascii="Georgia" w:hAnsi="Georgia"/>
          <w:sz w:val="20"/>
          <w:lang w:val="lt-LT"/>
        </w:rPr>
      </w:pPr>
      <w:r w:rsidRPr="002142B8">
        <w:rPr>
          <w:rFonts w:ascii="Georgia" w:hAnsi="Georgia"/>
          <w:sz w:val="20"/>
          <w:lang w:val="lt-LT"/>
        </w:rPr>
        <w:t xml:space="preserve">Pažymėtina, kad </w:t>
      </w:r>
      <w:r w:rsidR="00E97549" w:rsidRPr="002142B8">
        <w:rPr>
          <w:rFonts w:ascii="Georgia" w:hAnsi="Georgia"/>
          <w:sz w:val="20"/>
          <w:lang w:val="lt-LT"/>
        </w:rPr>
        <w:t>po</w:t>
      </w:r>
      <w:r w:rsidRPr="002142B8">
        <w:rPr>
          <w:rFonts w:ascii="Georgia" w:hAnsi="Georgia"/>
          <w:sz w:val="20"/>
          <w:lang w:val="lt-LT"/>
        </w:rPr>
        <w:t xml:space="preserve"> Pradinės ataskaitos parengimo įvyko reikšmingi pasikeitimai kreditavimo rinkoje. Finansiniai tarpininkai, sukaupę dalyvavimo finansinių priemonių įgyvendinime patirties ir ilgesniam laikui nusistovėjus itin žemai „pinigų kainai“ (bazinei palūkanų normai ir tarpbankinio skolinimosi palūkanoms) emė žymiai palankiau vertinti garantijų produktus. Garantijų priemonė (Rizikos pasidalijimo fondas) leidžia pasiekti gerus privačių lešų pritraukimo rodiklius, o jos steigimas yra žymiai paprastesnis ir reikalauja mažiau laiko nei minėtos </w:t>
      </w:r>
      <w:r w:rsidR="00CB7BAC" w:rsidRPr="002142B8">
        <w:rPr>
          <w:rFonts w:ascii="Georgia" w:hAnsi="Georgia"/>
          <w:sz w:val="20"/>
          <w:lang w:val="lt-LT"/>
        </w:rPr>
        <w:t>komanditinės ūkinės bendrijos</w:t>
      </w:r>
      <w:r w:rsidR="00E40BC8" w:rsidRPr="002142B8">
        <w:rPr>
          <w:rFonts w:ascii="Georgia" w:hAnsi="Georgia"/>
          <w:sz w:val="20"/>
          <w:lang w:val="lt-LT"/>
        </w:rPr>
        <w:t xml:space="preserve"> </w:t>
      </w:r>
      <w:r w:rsidRPr="002142B8">
        <w:rPr>
          <w:rFonts w:ascii="Georgia" w:hAnsi="Georgia"/>
          <w:sz w:val="20"/>
          <w:lang w:val="lt-LT"/>
        </w:rPr>
        <w:t>įsteigimas. Ženkliai mažesnė ir rizikos pasidalijimo fondo (garantijų finansinės priemonės, neturinčios juridinio asmens statuso) administravimo našta lyginant ją su juridinio asmens statusą turinčia KŪB.</w:t>
      </w:r>
      <w:r w:rsidR="009F6112" w:rsidRPr="002142B8">
        <w:rPr>
          <w:rFonts w:ascii="Georgia" w:hAnsi="Georgia"/>
          <w:sz w:val="20"/>
          <w:lang w:val="lt-LT"/>
        </w:rPr>
        <w:t xml:space="preserve"> </w:t>
      </w:r>
      <w:r w:rsidR="00742247" w:rsidRPr="002142B8">
        <w:rPr>
          <w:rFonts w:ascii="Georgia" w:hAnsi="Georgia"/>
          <w:sz w:val="20"/>
          <w:lang w:val="lt-LT"/>
        </w:rPr>
        <w:t>Taip pat reiktų pabrėžti, kad garantijos kaip finansinis produktas yra pakankamai gerai žinomas vietinėje rinkoje. Todėl prielaidos dėl privačių investicijų pritraukimo (sverto rodiklio) yra pakankamai patikimos.</w:t>
      </w:r>
      <w:r w:rsidR="00B90794" w:rsidRPr="002142B8">
        <w:rPr>
          <w:rFonts w:ascii="Georgia" w:hAnsi="Georgia"/>
          <w:sz w:val="20"/>
          <w:lang w:val="lt-LT"/>
        </w:rPr>
        <w:t xml:space="preserve"> </w:t>
      </w:r>
    </w:p>
    <w:p w14:paraId="00CD8B83" w14:textId="1C9B2590" w:rsidR="00073363" w:rsidRPr="002142B8" w:rsidRDefault="00073363" w:rsidP="00213788">
      <w:pPr>
        <w:jc w:val="both"/>
        <w:rPr>
          <w:rFonts w:ascii="Georgia" w:hAnsi="Georgia"/>
          <w:sz w:val="20"/>
          <w:lang w:val="lt-LT"/>
        </w:rPr>
      </w:pPr>
      <w:r w:rsidRPr="002142B8">
        <w:rPr>
          <w:rFonts w:ascii="Georgia" w:hAnsi="Georgia"/>
          <w:sz w:val="20"/>
          <w:lang w:val="lt-LT"/>
        </w:rPr>
        <w:t>Nepaisant čia išvardintų pasikeitimų lyginant su Pradine ataskaita finansinės priemonės buvo įgyvendinamos pagal išankstinio vertinimo metu nustatytą rinkos trukūmą, neviršijant finansinei priemonei nustatytų apimčių buvo naudojamas tas pats finansinio produkto tipas.</w:t>
      </w:r>
      <w:r w:rsidR="003C7B84" w:rsidRPr="002142B8">
        <w:rPr>
          <w:rFonts w:ascii="Georgia" w:hAnsi="Georgia"/>
          <w:sz w:val="20"/>
          <w:lang w:val="lt-LT"/>
        </w:rPr>
        <w:t xml:space="preserve"> </w:t>
      </w:r>
      <w:r w:rsidRPr="002142B8">
        <w:rPr>
          <w:rFonts w:ascii="Georgia" w:hAnsi="Georgia"/>
          <w:color w:val="222222"/>
          <w:sz w:val="20"/>
          <w:szCs w:val="20"/>
          <w:shd w:val="clear" w:color="auto" w:fill="FFFFFF"/>
        </w:rPr>
        <w:t>Finansinių priemonių įgyvendinimo struktūra atitinka Bendrųjų nuostatų reglament</w:t>
      </w:r>
      <w:r w:rsidR="007935A3" w:rsidRPr="002142B8">
        <w:rPr>
          <w:rFonts w:ascii="Georgia" w:hAnsi="Georgia"/>
          <w:color w:val="222222"/>
          <w:sz w:val="20"/>
          <w:szCs w:val="20"/>
          <w:shd w:val="clear" w:color="auto" w:fill="FFFFFF"/>
        </w:rPr>
        <w:t>e</w:t>
      </w:r>
      <w:r w:rsidRPr="002142B8">
        <w:rPr>
          <w:rFonts w:ascii="Georgia" w:hAnsi="Georgia"/>
          <w:color w:val="222222"/>
          <w:sz w:val="20"/>
          <w:szCs w:val="20"/>
          <w:shd w:val="clear" w:color="auto" w:fill="FFFFFF"/>
        </w:rPr>
        <w:t xml:space="preserve"> numatytas alternatyvas</w:t>
      </w:r>
      <w:r w:rsidR="003043A9" w:rsidRPr="002142B8">
        <w:rPr>
          <w:rFonts w:ascii="Georgia" w:hAnsi="Georgia"/>
          <w:color w:val="222222"/>
          <w:sz w:val="20"/>
          <w:szCs w:val="20"/>
          <w:shd w:val="clear" w:color="auto" w:fill="FFFFFF"/>
        </w:rPr>
        <w:t>. Finansinės priemonės įgyvendino viena iš pagrindinių prioritetų – pritrauk</w:t>
      </w:r>
      <w:r w:rsidR="003C7B84" w:rsidRPr="002142B8">
        <w:rPr>
          <w:rFonts w:ascii="Georgia" w:hAnsi="Georgia"/>
          <w:color w:val="222222"/>
          <w:sz w:val="20"/>
          <w:szCs w:val="20"/>
          <w:shd w:val="clear" w:color="auto" w:fill="FFFFFF"/>
        </w:rPr>
        <w:t>ė</w:t>
      </w:r>
      <w:r w:rsidR="003043A9" w:rsidRPr="002142B8">
        <w:rPr>
          <w:rFonts w:ascii="Georgia" w:hAnsi="Georgia"/>
          <w:color w:val="222222"/>
          <w:sz w:val="20"/>
          <w:szCs w:val="20"/>
          <w:shd w:val="clear" w:color="auto" w:fill="FFFFFF"/>
        </w:rPr>
        <w:t xml:space="preserve"> privačias lėšas</w:t>
      </w:r>
      <w:r w:rsidR="003C7B84" w:rsidRPr="002142B8">
        <w:rPr>
          <w:rFonts w:ascii="Georgia" w:hAnsi="Georgia"/>
          <w:color w:val="222222"/>
          <w:sz w:val="20"/>
          <w:szCs w:val="20"/>
          <w:shd w:val="clear" w:color="auto" w:fill="FFFFFF"/>
        </w:rPr>
        <w:t xml:space="preserve"> vietos ir tarptautinių finansinių institucijų lėšas. </w:t>
      </w:r>
      <w:r w:rsidR="003043A9" w:rsidRPr="002142B8">
        <w:rPr>
          <w:rFonts w:ascii="Georgia" w:hAnsi="Georgia"/>
          <w:color w:val="222222"/>
          <w:sz w:val="20"/>
          <w:szCs w:val="20"/>
          <w:shd w:val="clear" w:color="auto" w:fill="FFFFFF"/>
        </w:rPr>
        <w:t xml:space="preserve"> </w:t>
      </w:r>
      <w:r w:rsidR="003C7B84" w:rsidRPr="002142B8">
        <w:rPr>
          <w:rFonts w:ascii="Georgia" w:hAnsi="Georgia"/>
          <w:color w:val="222222"/>
          <w:sz w:val="20"/>
          <w:szCs w:val="20"/>
          <w:shd w:val="clear" w:color="auto" w:fill="FFFFFF"/>
        </w:rPr>
        <w:t xml:space="preserve">Tai leido, </w:t>
      </w:r>
      <w:r w:rsidR="003043A9" w:rsidRPr="002142B8">
        <w:rPr>
          <w:rFonts w:ascii="Georgia" w:hAnsi="Georgia"/>
          <w:color w:val="222222"/>
          <w:sz w:val="20"/>
          <w:szCs w:val="20"/>
          <w:shd w:val="clear" w:color="auto" w:fill="FFFFFF"/>
        </w:rPr>
        <w:t>padengti</w:t>
      </w:r>
      <w:r w:rsidR="003C7B84" w:rsidRPr="002142B8">
        <w:rPr>
          <w:rFonts w:ascii="Georgia" w:hAnsi="Georgia"/>
          <w:color w:val="222222"/>
          <w:sz w:val="20"/>
          <w:szCs w:val="20"/>
          <w:shd w:val="clear" w:color="auto" w:fill="FFFFFF"/>
        </w:rPr>
        <w:t xml:space="preserve"> kaip įmanoma daugiau</w:t>
      </w:r>
      <w:r w:rsidR="003043A9" w:rsidRPr="002142B8">
        <w:rPr>
          <w:rFonts w:ascii="Georgia" w:hAnsi="Georgia"/>
          <w:color w:val="222222"/>
          <w:sz w:val="20"/>
          <w:szCs w:val="20"/>
          <w:shd w:val="clear" w:color="auto" w:fill="FFFFFF"/>
        </w:rPr>
        <w:t xml:space="preserve"> išankstinėje vertinimo ataskaitoje identikuo</w:t>
      </w:r>
      <w:r w:rsidR="003C7B84" w:rsidRPr="002142B8">
        <w:rPr>
          <w:rFonts w:ascii="Georgia" w:hAnsi="Georgia"/>
          <w:color w:val="222222"/>
          <w:sz w:val="20"/>
          <w:szCs w:val="20"/>
          <w:shd w:val="clear" w:color="auto" w:fill="FFFFFF"/>
        </w:rPr>
        <w:t>to</w:t>
      </w:r>
      <w:r w:rsidR="003043A9" w:rsidRPr="002142B8">
        <w:rPr>
          <w:rFonts w:ascii="Georgia" w:hAnsi="Georgia"/>
          <w:color w:val="222222"/>
          <w:sz w:val="20"/>
          <w:szCs w:val="20"/>
          <w:shd w:val="clear" w:color="auto" w:fill="FFFFFF"/>
        </w:rPr>
        <w:t xml:space="preserve"> investicijų trūkum</w:t>
      </w:r>
      <w:r w:rsidR="003C7B84" w:rsidRPr="002142B8">
        <w:rPr>
          <w:rFonts w:ascii="Georgia" w:hAnsi="Georgia"/>
          <w:color w:val="222222"/>
          <w:sz w:val="20"/>
          <w:szCs w:val="20"/>
          <w:shd w:val="clear" w:color="auto" w:fill="FFFFFF"/>
        </w:rPr>
        <w:t>o</w:t>
      </w:r>
      <w:r w:rsidR="003043A9" w:rsidRPr="002142B8">
        <w:rPr>
          <w:rFonts w:ascii="Georgia" w:hAnsi="Georgia"/>
          <w:color w:val="222222"/>
          <w:sz w:val="20"/>
          <w:szCs w:val="20"/>
          <w:shd w:val="clear" w:color="auto" w:fill="FFFFFF"/>
        </w:rPr>
        <w:t>.</w:t>
      </w:r>
    </w:p>
    <w:p w14:paraId="2F572CDB" w14:textId="239188A8" w:rsidR="0047468E" w:rsidRDefault="00213788" w:rsidP="00213788">
      <w:pPr>
        <w:jc w:val="both"/>
        <w:rPr>
          <w:rFonts w:ascii="Georgia" w:hAnsi="Georgia"/>
          <w:sz w:val="20"/>
          <w:lang w:val="lt-LT"/>
        </w:rPr>
      </w:pPr>
      <w:r w:rsidRPr="002142B8">
        <w:rPr>
          <w:rFonts w:ascii="Georgia" w:hAnsi="Georgia"/>
          <w:sz w:val="20"/>
          <w:lang w:val="lt-LT"/>
        </w:rPr>
        <w:t>Kaip jau minėta 7.1.4.4 skyriuje asimetrinio rizikos fondo, turinčio KŪB juridinį statusą, alternatyva gali ir turi būti svarstoma ir ateityje, tačiau turi susiformuoti tam tikras finansinių priemonių rinkos brandos lygis,  palanki situacija kreditavimo rinkoje, kad finansų įstaigos ir kiti instituciniai investuotojai nuspręstų investuoti į tokį fondą.</w:t>
      </w:r>
      <w:r w:rsidR="0047468E">
        <w:rPr>
          <w:rFonts w:ascii="Georgia" w:hAnsi="Georgia"/>
          <w:sz w:val="20"/>
          <w:lang w:val="lt-LT"/>
        </w:rPr>
        <w:t xml:space="preserve"> </w:t>
      </w:r>
    </w:p>
    <w:p w14:paraId="21344C41" w14:textId="77777777" w:rsidR="0047468E" w:rsidRDefault="0047468E">
      <w:pPr>
        <w:rPr>
          <w:rFonts w:ascii="Georgia" w:hAnsi="Georgia"/>
          <w:sz w:val="20"/>
          <w:lang w:val="lt-LT"/>
        </w:rPr>
      </w:pPr>
      <w:r>
        <w:rPr>
          <w:rFonts w:ascii="Georgia" w:hAnsi="Georgia"/>
          <w:sz w:val="20"/>
          <w:lang w:val="lt-LT"/>
        </w:rPr>
        <w:br w:type="page"/>
      </w:r>
    </w:p>
    <w:p w14:paraId="1DC1817E" w14:textId="77777777" w:rsidR="00213788" w:rsidRPr="002142B8" w:rsidRDefault="00213788" w:rsidP="00213788">
      <w:pPr>
        <w:jc w:val="both"/>
        <w:rPr>
          <w:rFonts w:ascii="Georgia" w:hAnsi="Georgia"/>
          <w:sz w:val="20"/>
          <w:lang w:val="lt-LT"/>
        </w:rPr>
      </w:pPr>
    </w:p>
    <w:p w14:paraId="2F2C1FD3" w14:textId="17E06BC9" w:rsidR="00AA7568" w:rsidRPr="002142B8" w:rsidRDefault="00AA7568" w:rsidP="000C035D">
      <w:pPr>
        <w:pStyle w:val="Antrat2"/>
        <w:numPr>
          <w:ilvl w:val="3"/>
          <w:numId w:val="2"/>
        </w:numPr>
        <w:spacing w:after="240"/>
        <w:rPr>
          <w:lang w:val="lt-LT"/>
        </w:rPr>
      </w:pPr>
      <w:bookmarkStart w:id="354" w:name="_Toc398567610"/>
      <w:bookmarkStart w:id="355" w:name="_Toc25589972"/>
      <w:r w:rsidRPr="002142B8">
        <w:rPr>
          <w:lang w:val="lt-LT"/>
        </w:rPr>
        <w:t>Tikėtinų rezultatų nustatymas ir skaičiavimas</w:t>
      </w:r>
      <w:bookmarkEnd w:id="354"/>
      <w:bookmarkEnd w:id="355"/>
    </w:p>
    <w:p w14:paraId="4EE14200"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Pagal siūlomą modelį įgyvendinant finansinę priemonę gaunami šie rezultatai:</w:t>
      </w:r>
    </w:p>
    <w:p w14:paraId="32ADDB7C" w14:textId="093C0A43" w:rsidR="00AA7568" w:rsidRPr="008377C9" w:rsidRDefault="00AA7568" w:rsidP="00AA7568">
      <w:pPr>
        <w:pStyle w:val="Antrat"/>
        <w:jc w:val="both"/>
        <w:rPr>
          <w:b w:val="0"/>
          <w:i/>
          <w:sz w:val="22"/>
          <w:lang w:val="lt-LT"/>
        </w:rPr>
      </w:pPr>
      <w:bookmarkStart w:id="356" w:name="_Toc460321737"/>
      <w:bookmarkStart w:id="357" w:name="_Toc507939221"/>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99</w:t>
      </w:r>
      <w:r w:rsidRPr="008377C9">
        <w:rPr>
          <w:b w:val="0"/>
          <w:i/>
          <w:lang w:val="lt-LT"/>
        </w:rPr>
        <w:fldChar w:fldCharType="end"/>
      </w:r>
      <w:r w:rsidRPr="008377C9">
        <w:rPr>
          <w:b w:val="0"/>
          <w:i/>
          <w:lang w:val="lt-LT"/>
        </w:rPr>
        <w:t xml:space="preserve">. </w:t>
      </w:r>
      <w:r w:rsidRPr="008377C9">
        <w:rPr>
          <w:b w:val="0"/>
          <w:i/>
          <w:szCs w:val="20"/>
          <w:lang w:val="lt-LT"/>
        </w:rPr>
        <w:t>Tikėtini finansinės priemonės rezultatai</w:t>
      </w:r>
      <w:bookmarkEnd w:id="356"/>
      <w:bookmarkEnd w:id="357"/>
    </w:p>
    <w:tbl>
      <w:tblPr>
        <w:tblStyle w:val="viesussraas2parykinimas2"/>
        <w:tblW w:w="9747" w:type="dxa"/>
        <w:tblLook w:val="04A0" w:firstRow="1" w:lastRow="0" w:firstColumn="1" w:lastColumn="0" w:noHBand="0" w:noVBand="1"/>
      </w:tblPr>
      <w:tblGrid>
        <w:gridCol w:w="4219"/>
        <w:gridCol w:w="2835"/>
        <w:gridCol w:w="2693"/>
      </w:tblGrid>
      <w:tr w:rsidR="00617800" w:rsidRPr="002142B8" w14:paraId="22EF91DD" w14:textId="77777777" w:rsidTr="00FE6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2C9E396" w14:textId="77777777" w:rsidR="00617800" w:rsidRPr="00FE6F97" w:rsidRDefault="00617800" w:rsidP="003A43B0">
            <w:pPr>
              <w:spacing w:after="200" w:line="276" w:lineRule="auto"/>
              <w:rPr>
                <w:rFonts w:ascii="Georgia" w:hAnsi="Georgia"/>
                <w:sz w:val="20"/>
                <w:szCs w:val="20"/>
              </w:rPr>
            </w:pPr>
            <w:r w:rsidRPr="00FE6F97">
              <w:rPr>
                <w:rFonts w:ascii="Georgia" w:hAnsi="Georgia"/>
                <w:bCs w:val="0"/>
                <w:sz w:val="20"/>
                <w:szCs w:val="20"/>
                <w:lang w:val="en-US"/>
              </w:rPr>
              <w:t>Rodiklis</w:t>
            </w:r>
          </w:p>
        </w:tc>
        <w:tc>
          <w:tcPr>
            <w:tcW w:w="2835" w:type="dxa"/>
          </w:tcPr>
          <w:p w14:paraId="262CCC88" w14:textId="4024EA16" w:rsidR="00617800" w:rsidRPr="00FE6F97" w:rsidRDefault="00617800" w:rsidP="00FE6F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FE6F97">
              <w:rPr>
                <w:rFonts w:ascii="Georgia" w:hAnsi="Georgia"/>
                <w:bCs w:val="0"/>
                <w:sz w:val="20"/>
                <w:szCs w:val="20"/>
                <w:lang w:val="en-US"/>
              </w:rPr>
              <w:t>Apskaičiuoti</w:t>
            </w:r>
            <w:r w:rsidRPr="00FE6F97">
              <w:rPr>
                <w:rFonts w:ascii="Georgia" w:hAnsi="Georgia"/>
                <w:sz w:val="20"/>
                <w:szCs w:val="20"/>
              </w:rPr>
              <w:t xml:space="preserve"> tikė</w:t>
            </w:r>
            <w:r w:rsidRPr="00FE6F97">
              <w:rPr>
                <w:rFonts w:ascii="Georgia" w:hAnsi="Georgia"/>
                <w:bCs w:val="0"/>
                <w:sz w:val="20"/>
                <w:szCs w:val="20"/>
                <w:lang w:val="en-US"/>
              </w:rPr>
              <w:t>ti</w:t>
            </w:r>
            <w:r w:rsidRPr="00FE6F97">
              <w:rPr>
                <w:rFonts w:ascii="Georgia" w:hAnsi="Georgia"/>
                <w:sz w:val="20"/>
                <w:szCs w:val="20"/>
              </w:rPr>
              <w:t>ni</w:t>
            </w:r>
            <w:r w:rsidR="00FE6F97">
              <w:rPr>
                <w:rFonts w:ascii="Georgia" w:hAnsi="Georgia"/>
                <w:sz w:val="20"/>
                <w:szCs w:val="20"/>
              </w:rPr>
              <w:br/>
            </w:r>
            <w:r w:rsidRPr="00FE6F97">
              <w:rPr>
                <w:rFonts w:ascii="Georgia" w:hAnsi="Georgia"/>
                <w:bCs w:val="0"/>
                <w:sz w:val="20"/>
                <w:szCs w:val="20"/>
                <w:lang w:val="en-US"/>
              </w:rPr>
              <w:t xml:space="preserve"> rezultatai</w:t>
            </w:r>
          </w:p>
        </w:tc>
        <w:tc>
          <w:tcPr>
            <w:tcW w:w="2693" w:type="dxa"/>
          </w:tcPr>
          <w:p w14:paraId="1FAF4B7C" w14:textId="271DE74B" w:rsidR="00617800" w:rsidRPr="00FE6F97" w:rsidRDefault="00617800" w:rsidP="00FE6F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FE6F97">
              <w:rPr>
                <w:rFonts w:ascii="Georgia" w:hAnsi="Georgia"/>
                <w:bCs w:val="0"/>
                <w:sz w:val="20"/>
                <w:szCs w:val="20"/>
                <w:lang w:val="en-US"/>
              </w:rPr>
              <w:t>Palyginimas su paklausos duomenimis*</w:t>
            </w:r>
          </w:p>
        </w:tc>
      </w:tr>
      <w:tr w:rsidR="00617800" w:rsidRPr="002142B8" w14:paraId="5BDCF604" w14:textId="77777777" w:rsidTr="00FE6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hideMark/>
          </w:tcPr>
          <w:p w14:paraId="5BBB9F81" w14:textId="77777777" w:rsidR="00617800" w:rsidRPr="002142B8" w:rsidRDefault="00617800" w:rsidP="003A43B0">
            <w:pPr>
              <w:rPr>
                <w:rFonts w:ascii="Georgia" w:hAnsi="Georgia"/>
                <w:b w:val="0"/>
                <w:sz w:val="20"/>
                <w:szCs w:val="20"/>
              </w:rPr>
            </w:pPr>
            <w:r w:rsidRPr="002142B8">
              <w:rPr>
                <w:rFonts w:ascii="Georgia" w:hAnsi="Georgia"/>
                <w:b w:val="0"/>
                <w:sz w:val="20"/>
                <w:szCs w:val="20"/>
              </w:rPr>
              <w:t>Finansinė priemonė</w:t>
            </w:r>
          </w:p>
        </w:tc>
        <w:tc>
          <w:tcPr>
            <w:tcW w:w="2835" w:type="dxa"/>
            <w:hideMark/>
          </w:tcPr>
          <w:p w14:paraId="47E2F7FF" w14:textId="32B4B17F" w:rsidR="00617800" w:rsidRPr="002142B8" w:rsidRDefault="00617800" w:rsidP="00FE6F97">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Dalis finansinės priemonės lėšų nukreipiama į paskolų modelį, o dalis į garantijų priemonę</w:t>
            </w:r>
          </w:p>
        </w:tc>
        <w:tc>
          <w:tcPr>
            <w:tcW w:w="2693" w:type="dxa"/>
          </w:tcPr>
          <w:p w14:paraId="6950CD32" w14:textId="289BFF0A" w:rsidR="00617800" w:rsidRPr="002142B8" w:rsidRDefault="00617800" w:rsidP="00FE6F97">
            <w:pPr>
              <w:ind w:firstLine="954"/>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w:t>
            </w:r>
          </w:p>
        </w:tc>
      </w:tr>
      <w:tr w:rsidR="00617800" w:rsidRPr="002142B8" w14:paraId="7AB1EFCB" w14:textId="77777777" w:rsidTr="00FE6F97">
        <w:tc>
          <w:tcPr>
            <w:cnfStyle w:val="001000000000" w:firstRow="0" w:lastRow="0" w:firstColumn="1" w:lastColumn="0" w:oddVBand="0" w:evenVBand="0" w:oddHBand="0" w:evenHBand="0" w:firstRowFirstColumn="0" w:firstRowLastColumn="0" w:lastRowFirstColumn="0" w:lastRowLastColumn="0"/>
            <w:tcW w:w="4219" w:type="dxa"/>
            <w:hideMark/>
          </w:tcPr>
          <w:p w14:paraId="46D6E526" w14:textId="77777777" w:rsidR="00617800" w:rsidRPr="002142B8" w:rsidRDefault="00617800" w:rsidP="003A43B0">
            <w:pPr>
              <w:rPr>
                <w:rFonts w:ascii="Georgia" w:hAnsi="Georgia"/>
                <w:b w:val="0"/>
                <w:sz w:val="20"/>
                <w:szCs w:val="20"/>
              </w:rPr>
            </w:pPr>
            <w:r w:rsidRPr="002142B8">
              <w:rPr>
                <w:rFonts w:ascii="Georgia" w:hAnsi="Georgia"/>
                <w:b w:val="0"/>
                <w:sz w:val="20"/>
                <w:szCs w:val="20"/>
              </w:rPr>
              <w:t>Finansuojanti institucija</w:t>
            </w:r>
          </w:p>
        </w:tc>
        <w:tc>
          <w:tcPr>
            <w:tcW w:w="2835" w:type="dxa"/>
            <w:hideMark/>
          </w:tcPr>
          <w:p w14:paraId="3D21B9A6" w14:textId="77777777"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Aplinkos ministerija</w:t>
            </w:r>
          </w:p>
        </w:tc>
        <w:tc>
          <w:tcPr>
            <w:tcW w:w="2693" w:type="dxa"/>
          </w:tcPr>
          <w:p w14:paraId="51DBDCC9" w14:textId="5A2D9A79" w:rsidR="00617800" w:rsidRPr="002142B8" w:rsidRDefault="00617800" w:rsidP="00FE6F97">
            <w:pPr>
              <w:ind w:firstLine="954"/>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w:t>
            </w:r>
          </w:p>
        </w:tc>
      </w:tr>
      <w:tr w:rsidR="00617800" w:rsidRPr="002142B8" w14:paraId="4FDF7E54" w14:textId="77777777" w:rsidTr="00FE6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hideMark/>
          </w:tcPr>
          <w:p w14:paraId="17494AB7" w14:textId="77777777" w:rsidR="00617800" w:rsidRPr="002142B8" w:rsidRDefault="00617800" w:rsidP="003A43B0">
            <w:pPr>
              <w:rPr>
                <w:rFonts w:ascii="Georgia" w:hAnsi="Georgia"/>
                <w:b w:val="0"/>
                <w:sz w:val="20"/>
                <w:szCs w:val="20"/>
              </w:rPr>
            </w:pPr>
            <w:r w:rsidRPr="002142B8">
              <w:rPr>
                <w:rFonts w:ascii="Georgia" w:hAnsi="Georgia"/>
                <w:b w:val="0"/>
                <w:sz w:val="20"/>
                <w:szCs w:val="20"/>
              </w:rPr>
              <w:t>Galutinius naudos gavėjus pasiekusios lėšos</w:t>
            </w:r>
          </w:p>
        </w:tc>
        <w:tc>
          <w:tcPr>
            <w:tcW w:w="2835" w:type="dxa"/>
            <w:hideMark/>
          </w:tcPr>
          <w:p w14:paraId="71C40DA4" w14:textId="1DCDFD20" w:rsidR="00617800" w:rsidRPr="002142B8" w:rsidRDefault="00617800" w:rsidP="00FE6F97">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849,9 mln. eurų</w:t>
            </w:r>
          </w:p>
        </w:tc>
        <w:tc>
          <w:tcPr>
            <w:tcW w:w="2693" w:type="dxa"/>
          </w:tcPr>
          <w:p w14:paraId="094C5181" w14:textId="6C6825B4" w:rsidR="00617800" w:rsidRPr="002142B8" w:rsidRDefault="00617800" w:rsidP="00FE6F97">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1 347,3 mln. eurų</w:t>
            </w:r>
          </w:p>
        </w:tc>
      </w:tr>
      <w:tr w:rsidR="00617800" w:rsidRPr="002142B8" w14:paraId="57BE1001" w14:textId="77777777" w:rsidTr="00FE6F97">
        <w:tc>
          <w:tcPr>
            <w:cnfStyle w:val="001000000000" w:firstRow="0" w:lastRow="0" w:firstColumn="1" w:lastColumn="0" w:oddVBand="0" w:evenVBand="0" w:oddHBand="0" w:evenHBand="0" w:firstRowFirstColumn="0" w:firstRowLastColumn="0" w:lastRowFirstColumn="0" w:lastRowLastColumn="0"/>
            <w:tcW w:w="4219" w:type="dxa"/>
            <w:hideMark/>
          </w:tcPr>
          <w:p w14:paraId="4BFE4CC2" w14:textId="77777777" w:rsidR="00617800" w:rsidRPr="002142B8" w:rsidRDefault="00617800" w:rsidP="003A43B0">
            <w:pPr>
              <w:rPr>
                <w:rFonts w:ascii="Georgia" w:hAnsi="Georgia"/>
                <w:b w:val="0"/>
                <w:sz w:val="20"/>
                <w:szCs w:val="20"/>
              </w:rPr>
            </w:pPr>
            <w:r w:rsidRPr="002142B8">
              <w:rPr>
                <w:rFonts w:ascii="Georgia" w:hAnsi="Georgia"/>
                <w:b w:val="0"/>
                <w:sz w:val="20"/>
                <w:szCs w:val="20"/>
              </w:rPr>
              <w:t>Pritrauktos lėšos iš privačių šaltinių</w:t>
            </w:r>
          </w:p>
        </w:tc>
        <w:tc>
          <w:tcPr>
            <w:tcW w:w="2835" w:type="dxa"/>
            <w:hideMark/>
          </w:tcPr>
          <w:p w14:paraId="75D38C0F" w14:textId="26AD7544"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643,1 mln. eurų</w:t>
            </w:r>
          </w:p>
        </w:tc>
        <w:tc>
          <w:tcPr>
            <w:tcW w:w="2693" w:type="dxa"/>
          </w:tcPr>
          <w:p w14:paraId="4FB116A1" w14:textId="0042A299" w:rsidR="00617800" w:rsidRPr="002142B8" w:rsidRDefault="00617800" w:rsidP="00FE6F97">
            <w:pPr>
              <w:ind w:firstLine="954"/>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w:t>
            </w:r>
          </w:p>
        </w:tc>
      </w:tr>
      <w:tr w:rsidR="00617800" w:rsidRPr="002142B8" w14:paraId="56774D4C" w14:textId="77777777" w:rsidTr="00FE6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hideMark/>
          </w:tcPr>
          <w:p w14:paraId="15EB2135" w14:textId="77777777" w:rsidR="00617800" w:rsidRPr="002142B8" w:rsidRDefault="00617800" w:rsidP="003A43B0">
            <w:pPr>
              <w:rPr>
                <w:rFonts w:ascii="Georgia" w:hAnsi="Georgia"/>
                <w:b w:val="0"/>
                <w:sz w:val="20"/>
                <w:szCs w:val="20"/>
              </w:rPr>
            </w:pPr>
            <w:r w:rsidRPr="002142B8">
              <w:rPr>
                <w:rFonts w:ascii="Georgia" w:hAnsi="Georgia"/>
                <w:b w:val="0"/>
                <w:sz w:val="20"/>
                <w:szCs w:val="20"/>
              </w:rPr>
              <w:t>Renovuotų pastatų skaičius iki 2022 metų</w:t>
            </w:r>
          </w:p>
        </w:tc>
        <w:tc>
          <w:tcPr>
            <w:tcW w:w="2835" w:type="dxa"/>
            <w:hideMark/>
          </w:tcPr>
          <w:p w14:paraId="7865B967" w14:textId="02747A50" w:rsidR="00617800" w:rsidRPr="002142B8" w:rsidRDefault="00D876D9" w:rsidP="00FE6F97">
            <w:pPr>
              <w:ind w:firstLine="954"/>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bCs/>
                <w:color w:val="000000"/>
                <w:sz w:val="20"/>
                <w:szCs w:val="20"/>
              </w:rPr>
              <w:t>2 574</w:t>
            </w:r>
          </w:p>
        </w:tc>
        <w:tc>
          <w:tcPr>
            <w:tcW w:w="2693" w:type="dxa"/>
          </w:tcPr>
          <w:p w14:paraId="7186ABBC" w14:textId="3A0686DA" w:rsidR="00617800" w:rsidRPr="002142B8" w:rsidRDefault="00617800" w:rsidP="00FE6F97">
            <w:pPr>
              <w:ind w:firstLine="954"/>
              <w:cnfStyle w:val="000000100000" w:firstRow="0" w:lastRow="0" w:firstColumn="0" w:lastColumn="0" w:oddVBand="0" w:evenVBand="0" w:oddHBand="1" w:evenHBand="0" w:firstRowFirstColumn="0" w:firstRowLastColumn="0" w:lastRowFirstColumn="0" w:lastRowLastColumn="0"/>
              <w:rPr>
                <w:rFonts w:ascii="Georgia" w:hAnsi="Georgia"/>
                <w:bCs/>
                <w:color w:val="000000"/>
                <w:sz w:val="20"/>
                <w:szCs w:val="20"/>
              </w:rPr>
            </w:pPr>
            <w:r w:rsidRPr="002142B8">
              <w:rPr>
                <w:rFonts w:ascii="Georgia" w:hAnsi="Georgia"/>
                <w:bCs/>
                <w:color w:val="000000"/>
                <w:sz w:val="20"/>
                <w:szCs w:val="20"/>
              </w:rPr>
              <w:t>7 229</w:t>
            </w:r>
          </w:p>
        </w:tc>
      </w:tr>
      <w:tr w:rsidR="00617800" w:rsidRPr="002142B8" w14:paraId="0979F356" w14:textId="77777777" w:rsidTr="00FE6F97">
        <w:trPr>
          <w:trHeight w:val="531"/>
        </w:trPr>
        <w:tc>
          <w:tcPr>
            <w:cnfStyle w:val="001000000000" w:firstRow="0" w:lastRow="0" w:firstColumn="1" w:lastColumn="0" w:oddVBand="0" w:evenVBand="0" w:oddHBand="0" w:evenHBand="0" w:firstRowFirstColumn="0" w:firstRowLastColumn="0" w:lastRowFirstColumn="0" w:lastRowLastColumn="0"/>
            <w:tcW w:w="4219" w:type="dxa"/>
            <w:hideMark/>
          </w:tcPr>
          <w:p w14:paraId="39DD3C25" w14:textId="77777777" w:rsidR="00617800" w:rsidRPr="002142B8" w:rsidRDefault="00617800" w:rsidP="003A43B0">
            <w:pPr>
              <w:rPr>
                <w:rFonts w:ascii="Georgia" w:hAnsi="Georgia"/>
                <w:b w:val="0"/>
                <w:sz w:val="20"/>
                <w:szCs w:val="20"/>
              </w:rPr>
            </w:pPr>
            <w:r w:rsidRPr="002142B8">
              <w:rPr>
                <w:rFonts w:ascii="Georgia" w:hAnsi="Georgia"/>
                <w:b w:val="0"/>
                <w:sz w:val="20"/>
                <w:szCs w:val="20"/>
              </w:rPr>
              <w:t>Renovuotų pastatų plotas iki 2022 metų</w:t>
            </w:r>
          </w:p>
        </w:tc>
        <w:tc>
          <w:tcPr>
            <w:tcW w:w="2835" w:type="dxa"/>
            <w:hideMark/>
          </w:tcPr>
          <w:p w14:paraId="7759219E" w14:textId="31AA782B"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3 646 tūkst. kv. m.</w:t>
            </w:r>
          </w:p>
        </w:tc>
        <w:tc>
          <w:tcPr>
            <w:tcW w:w="2693" w:type="dxa"/>
          </w:tcPr>
          <w:p w14:paraId="316BA3DC" w14:textId="14F7CA4A"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9 304 tūkst. kv. m.</w:t>
            </w:r>
          </w:p>
        </w:tc>
      </w:tr>
      <w:tr w:rsidR="00617800" w:rsidRPr="002142B8" w14:paraId="50AB4F5D" w14:textId="77777777" w:rsidTr="00FE6F97">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219" w:type="dxa"/>
            <w:hideMark/>
          </w:tcPr>
          <w:p w14:paraId="2678D780" w14:textId="77777777" w:rsidR="00617800" w:rsidRPr="002142B8" w:rsidRDefault="00617800" w:rsidP="003A43B0">
            <w:pPr>
              <w:rPr>
                <w:rFonts w:ascii="Georgia" w:hAnsi="Georgia"/>
                <w:b w:val="0"/>
                <w:sz w:val="20"/>
                <w:szCs w:val="20"/>
              </w:rPr>
            </w:pPr>
            <w:r w:rsidRPr="002142B8">
              <w:rPr>
                <w:rFonts w:ascii="Georgia" w:hAnsi="Georgia"/>
                <w:b w:val="0"/>
                <w:sz w:val="20"/>
                <w:szCs w:val="20"/>
              </w:rPr>
              <w:t>Renovuotų namų energijos efektyvumo suvartojimo sumažėjimas, ne mažiau kaip</w:t>
            </w:r>
          </w:p>
        </w:tc>
        <w:tc>
          <w:tcPr>
            <w:tcW w:w="2835" w:type="dxa"/>
            <w:hideMark/>
          </w:tcPr>
          <w:p w14:paraId="04F01841" w14:textId="77777777" w:rsidR="00617800" w:rsidRPr="002142B8" w:rsidRDefault="00617800" w:rsidP="00FE6F97">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40 proc.</w:t>
            </w:r>
          </w:p>
        </w:tc>
        <w:tc>
          <w:tcPr>
            <w:tcW w:w="2693" w:type="dxa"/>
          </w:tcPr>
          <w:p w14:paraId="09DF256C" w14:textId="1AD74FA7" w:rsidR="00617800" w:rsidRPr="002142B8" w:rsidRDefault="00617800" w:rsidP="00FE6F97">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142B8">
              <w:rPr>
                <w:rFonts w:ascii="Georgia" w:hAnsi="Georgia"/>
                <w:sz w:val="20"/>
                <w:szCs w:val="20"/>
              </w:rPr>
              <w:t>Kuo daugiau</w:t>
            </w:r>
          </w:p>
        </w:tc>
      </w:tr>
      <w:tr w:rsidR="00617800" w:rsidRPr="002142B8" w14:paraId="4C3114E2" w14:textId="77777777" w:rsidTr="00FE6F97">
        <w:tc>
          <w:tcPr>
            <w:cnfStyle w:val="001000000000" w:firstRow="0" w:lastRow="0" w:firstColumn="1" w:lastColumn="0" w:oddVBand="0" w:evenVBand="0" w:oddHBand="0" w:evenHBand="0" w:firstRowFirstColumn="0" w:firstRowLastColumn="0" w:lastRowFirstColumn="0" w:lastRowLastColumn="0"/>
            <w:tcW w:w="4219" w:type="dxa"/>
            <w:hideMark/>
          </w:tcPr>
          <w:p w14:paraId="5710864A" w14:textId="77777777" w:rsidR="00617800" w:rsidRPr="002142B8" w:rsidRDefault="00617800" w:rsidP="003A43B0">
            <w:pPr>
              <w:rPr>
                <w:rFonts w:ascii="Georgia" w:hAnsi="Georgia"/>
                <w:b w:val="0"/>
                <w:sz w:val="20"/>
                <w:szCs w:val="20"/>
              </w:rPr>
            </w:pPr>
            <w:r w:rsidRPr="002142B8">
              <w:rPr>
                <w:rFonts w:ascii="Georgia" w:hAnsi="Georgia"/>
                <w:b w:val="0"/>
                <w:sz w:val="20"/>
                <w:szCs w:val="20"/>
              </w:rPr>
              <w:t xml:space="preserve">Pasiekta energetinio efektyvumo klasė ne mažesnė kaip </w:t>
            </w:r>
          </w:p>
        </w:tc>
        <w:tc>
          <w:tcPr>
            <w:tcW w:w="2835" w:type="dxa"/>
            <w:hideMark/>
          </w:tcPr>
          <w:p w14:paraId="2FFCA71D" w14:textId="77777777"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C</w:t>
            </w:r>
          </w:p>
        </w:tc>
        <w:tc>
          <w:tcPr>
            <w:tcW w:w="2693" w:type="dxa"/>
          </w:tcPr>
          <w:p w14:paraId="0AA3E266" w14:textId="0C0D92BF" w:rsidR="00617800" w:rsidRPr="002142B8" w:rsidRDefault="00617800" w:rsidP="00FE6F9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142B8">
              <w:rPr>
                <w:rFonts w:ascii="Georgia" w:hAnsi="Georgia"/>
                <w:sz w:val="20"/>
                <w:szCs w:val="20"/>
              </w:rPr>
              <w:t>C</w:t>
            </w:r>
          </w:p>
        </w:tc>
      </w:tr>
    </w:tbl>
    <w:p w14:paraId="5181A3D2" w14:textId="06FCC41B" w:rsidR="00884319" w:rsidRPr="002142B8" w:rsidRDefault="00884319" w:rsidP="00AA7568">
      <w:pPr>
        <w:rPr>
          <w:rFonts w:ascii="Georgia" w:hAnsi="Georgia"/>
          <w:sz w:val="20"/>
          <w:lang w:val="lt-LT"/>
        </w:rPr>
      </w:pPr>
      <w:r w:rsidRPr="002142B8">
        <w:rPr>
          <w:rFonts w:ascii="Georgia" w:hAnsi="Georgia"/>
          <w:sz w:val="20"/>
          <w:lang w:val="lt-LT"/>
        </w:rPr>
        <w:t>* -</w:t>
      </w:r>
      <w:r w:rsidR="003A43B0" w:rsidRPr="002142B8">
        <w:rPr>
          <w:rFonts w:ascii="Georgia" w:hAnsi="Georgia"/>
          <w:sz w:val="20"/>
          <w:lang w:val="lt-LT"/>
        </w:rPr>
        <w:t>P</w:t>
      </w:r>
      <w:r w:rsidRPr="002142B8">
        <w:rPr>
          <w:rFonts w:ascii="Georgia" w:hAnsi="Georgia"/>
          <w:sz w:val="20"/>
          <w:lang w:val="lt-LT"/>
        </w:rPr>
        <w:t>radinės ataskaitos duomenys</w:t>
      </w:r>
    </w:p>
    <w:p w14:paraId="636C8C0F" w14:textId="77777777" w:rsidR="00AA7568" w:rsidRPr="002142B8" w:rsidRDefault="00AA7568" w:rsidP="000C035D">
      <w:pPr>
        <w:pStyle w:val="Antrat2"/>
        <w:numPr>
          <w:ilvl w:val="2"/>
          <w:numId w:val="2"/>
        </w:numPr>
        <w:spacing w:after="240"/>
        <w:rPr>
          <w:lang w:val="lt-LT"/>
        </w:rPr>
      </w:pPr>
      <w:bookmarkStart w:id="358" w:name="_Toc398567611"/>
      <w:bookmarkStart w:id="359" w:name="_Toc25589973"/>
      <w:r w:rsidRPr="002142B8">
        <w:rPr>
          <w:lang w:val="lt-LT"/>
        </w:rPr>
        <w:t>Finansinės priemonės rezultatų prisidėjimas prie strateginių tikslų</w:t>
      </w:r>
      <w:bookmarkEnd w:id="358"/>
      <w:bookmarkEnd w:id="359"/>
      <w:r w:rsidRPr="002142B8">
        <w:rPr>
          <w:lang w:val="lt-LT"/>
        </w:rPr>
        <w:t xml:space="preserve"> </w:t>
      </w:r>
    </w:p>
    <w:p w14:paraId="564607CB" w14:textId="77777777" w:rsidR="00AA7568" w:rsidRPr="002142B8" w:rsidRDefault="00AA7568" w:rsidP="00AA7568">
      <w:pPr>
        <w:pStyle w:val="prastasis1"/>
        <w:spacing w:line="276" w:lineRule="auto"/>
        <w:jc w:val="both"/>
        <w:rPr>
          <w:rFonts w:ascii="Georgia" w:hAnsi="Georgia"/>
          <w:sz w:val="20"/>
          <w:szCs w:val="20"/>
        </w:rPr>
      </w:pPr>
      <w:bookmarkStart w:id="360" w:name="_Toc398567612"/>
      <w:r w:rsidRPr="002142B8">
        <w:rPr>
          <w:rFonts w:ascii="Georgia" w:hAnsi="Georgia"/>
          <w:sz w:val="20"/>
          <w:szCs w:val="20"/>
        </w:rPr>
        <w:t xml:space="preserve">Vertinant įvairius finansinius modelius daugiabučių renovacijos įgyvendinimui geriausia alternatyva buvo pasiūlyta remiantis siektinais finansinės priemonės rezultatais: multiplikatoriaus efektu, sverto efektu, renovuojamų namų skaičiumi ir kitais rodikliais. Atsižvelgiant į tai, buvo apskaičiuoti ir finansinės priemonės kokybiniai rezultatai, kurie prisidėti prie strateginių tikslų pasiekimo ir kurie yra pagrindinis finansinės priemonės kūrimo motyvas. </w:t>
      </w:r>
    </w:p>
    <w:p w14:paraId="57A5E99C"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Vienas iš strateginių dokumentų, tiesiogiai apibrėžiančių daugiabučių modernizavimo tikslus, yra Lietuvos Respublikos Seimo 2012 m. birželio 26 d. nutarimu Nr. XI-2133 patvirtinta Nacionalinė energetinės nepriklausomybės strategija. Vadovaujantis Nacionalinės energetinės nepriklausomybės strategijos nuostatomis, strateginis energetinio efektyvumo tikslas gyvenamųjų ir visuomeninių pastatų sektoriuje iki 2020 m. – sutaupyti 220 ktne energijos modernizuojant ir renovuojant pastatus.</w:t>
      </w:r>
    </w:p>
    <w:p w14:paraId="12FFF0F9"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Daugiabučių renovavimo procese bus prisidedama prie šių Daugiabučių namų atnaujinimo (modernizavimo) programoje išdėstytų tikslų vykdymo:</w:t>
      </w:r>
    </w:p>
    <w:p w14:paraId="7FCC3820"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t>skaičiuojamųjų šiluminės energijos sąnaudų santykinis mažėjimas daugiabučiuose namuose, pastatytuose pagal galiojusius iki 1993 metų statybos techninius normatyvus, palyginti su 2005 metais (GWh per metus), 2020 metais ne mažiau kaip 1000;</w:t>
      </w:r>
    </w:p>
    <w:p w14:paraId="58922241"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t>anglies dioksido išmetimo į atmosferą mažėjimas (nuo 2005 metų) (tūkst. tonų per metus) 2020 metais – 230;</w:t>
      </w:r>
    </w:p>
    <w:p w14:paraId="7938F08D"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lastRenderedPageBreak/>
        <w:t>įgyvendinta daugiabučių namų atnaujinimo (modernizavimo) projektų, finansuojamų pagal Programą ir kitas valstybės remiamas ar savivaldybių patvirtintas programas (nuo 2005 metų) (vienetais) 2020 metais – 4000;</w:t>
      </w:r>
    </w:p>
    <w:p w14:paraId="1871425E"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t>įgyvendinta energiją taupančių priemonių daugiabučių namų bendrojo naudojimo objektų valdytojų ir gyventojų iniciatyva (vienetais) iki 2020 metų – 10000;</w:t>
      </w:r>
    </w:p>
    <w:p w14:paraId="4C0BCE6A"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t>gyventojų informuotumo gerėjimas (procentais) iki 2020 metų – 90;</w:t>
      </w:r>
    </w:p>
    <w:p w14:paraId="7BFA902C" w14:textId="77777777" w:rsidR="00AA7568" w:rsidRPr="002142B8" w:rsidRDefault="00AA7568" w:rsidP="00AA7568">
      <w:pPr>
        <w:pStyle w:val="prastasis1"/>
        <w:numPr>
          <w:ilvl w:val="0"/>
          <w:numId w:val="132"/>
        </w:numPr>
        <w:spacing w:line="276" w:lineRule="auto"/>
        <w:jc w:val="both"/>
        <w:rPr>
          <w:rFonts w:ascii="Georgia" w:hAnsi="Georgia"/>
          <w:sz w:val="20"/>
          <w:szCs w:val="20"/>
        </w:rPr>
      </w:pPr>
      <w:r w:rsidRPr="002142B8">
        <w:rPr>
          <w:rFonts w:ascii="Georgia" w:hAnsi="Georgia"/>
          <w:sz w:val="20"/>
          <w:szCs w:val="20"/>
        </w:rPr>
        <w:t>ketinančiųjų dalyvauti įgyvendinant Programą arba savarankiškai diegti energijos taupymo priemones daugėjimas (procentais) iki 2020 metų - 60.</w:t>
      </w:r>
    </w:p>
    <w:p w14:paraId="5679D5C1"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Daugiabučių renovavimo procese bus prisidedama prie šių VP (4.3. investicinio prioriteto) išdėstytų tikslų vykdymo:</w:t>
      </w:r>
    </w:p>
    <w:p w14:paraId="1B0A2B00"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Sunaudotas galutinės energijos kiekis paslaugų ir namų ūkių sektoriuose, tūkst. tne, nuo 2109,6 (2011) iki 1680 (2023)</w:t>
      </w:r>
    </w:p>
    <w:p w14:paraId="70206954"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Galutinės energijos vartojimo efektyvumas, proc, nuo 4,5 (2011) iki 17 (2023)</w:t>
      </w:r>
    </w:p>
    <w:p w14:paraId="26759C8D"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Namų ūkių, priskirtų geresnei energijos vartojimo klasei, skaičius, vnt. 30000 (2023)</w:t>
      </w:r>
    </w:p>
    <w:p w14:paraId="09038965"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Namų ūkių, kuriuose padidintas atsinaujinančių energijos išteklių naudojimo efektyvumas, skaičius, 3 000</w:t>
      </w:r>
    </w:p>
    <w:p w14:paraId="67BA95B2"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Šilumos vartotojai, kuriems šiluma tiekiama patikimiau ir pagerėjo tiekimo kokybė, vnt., 660 000</w:t>
      </w:r>
    </w:p>
    <w:p w14:paraId="7C0DBBBB"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Daugiabučių renovavimo procese bus prisidedama prie šių Nacionalinėje pažangos programoje išdėstytų tikslų vykdymo:</w:t>
      </w:r>
    </w:p>
    <w:p w14:paraId="35E7EE9E"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Išmetamų į atmosferą šiltnamio efektą sukeliančių dujų kiekis CO2 ekvivalentu, mln. Tonų, nuo 19,959 (2009) iki 26,886 (2020 metais)</w:t>
      </w:r>
    </w:p>
    <w:p w14:paraId="1DB9FCA4"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Galutinės energijos vartojimo efektyvumo padidėjimas (palyginti su 2009 metų lygiu), procentais, nuo 3 (2010) iki 17 (2020 metais)</w:t>
      </w:r>
    </w:p>
    <w:p w14:paraId="031DDFDF" w14:textId="77777777" w:rsidR="00AA7568" w:rsidRPr="002142B8" w:rsidRDefault="00AA7568" w:rsidP="00AA7568">
      <w:pPr>
        <w:pStyle w:val="prastasis1"/>
        <w:numPr>
          <w:ilvl w:val="0"/>
          <w:numId w:val="35"/>
        </w:numPr>
        <w:spacing w:line="276" w:lineRule="auto"/>
        <w:jc w:val="both"/>
        <w:rPr>
          <w:rFonts w:ascii="Georgia" w:hAnsi="Georgia"/>
          <w:sz w:val="20"/>
          <w:szCs w:val="20"/>
        </w:rPr>
      </w:pPr>
      <w:r w:rsidRPr="002142B8">
        <w:rPr>
          <w:rFonts w:ascii="Georgia" w:hAnsi="Georgia"/>
          <w:sz w:val="20"/>
          <w:szCs w:val="20"/>
        </w:rPr>
        <w:t>Energijos suvartojimo intensyvumas, kg naftos ekvivalento vienam realiam BVP vienetui, nuo 311 (2011) iki 230 (2020 metais)</w:t>
      </w:r>
    </w:p>
    <w:p w14:paraId="2C221BA5" w14:textId="77777777" w:rsidR="00AA7568" w:rsidRPr="002142B8" w:rsidRDefault="00AA7568" w:rsidP="00AA7568">
      <w:pPr>
        <w:pStyle w:val="prastasis1"/>
        <w:spacing w:line="276" w:lineRule="auto"/>
        <w:jc w:val="both"/>
        <w:rPr>
          <w:rFonts w:ascii="Georgia" w:hAnsi="Georgia"/>
          <w:sz w:val="20"/>
          <w:szCs w:val="20"/>
        </w:rPr>
      </w:pPr>
      <w:r w:rsidRPr="002142B8">
        <w:rPr>
          <w:rFonts w:ascii="Georgia" w:hAnsi="Georgia"/>
          <w:sz w:val="20"/>
          <w:szCs w:val="20"/>
        </w:rPr>
        <w:t>Pasirinkus rekomenduojamą daugiabučių renovacijos scenarijų planuojami energijos sutaupymai ir taršos mažinimo rodikliai pateikti žemiau esančioje lentelėje.</w:t>
      </w:r>
    </w:p>
    <w:p w14:paraId="338B542C" w14:textId="471B5906" w:rsidR="00AA7568" w:rsidRPr="008377C9" w:rsidRDefault="00AA7568" w:rsidP="00AA7568">
      <w:pPr>
        <w:pStyle w:val="Antrat"/>
        <w:jc w:val="both"/>
        <w:rPr>
          <w:b w:val="0"/>
          <w:i/>
          <w:szCs w:val="20"/>
          <w:lang w:val="lt-LT"/>
        </w:rPr>
      </w:pPr>
      <w:bookmarkStart w:id="361" w:name="_Toc460321738"/>
      <w:bookmarkStart w:id="362" w:name="_Toc507939222"/>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100</w:t>
      </w:r>
      <w:r w:rsidRPr="008377C9">
        <w:rPr>
          <w:b w:val="0"/>
          <w:i/>
          <w:lang w:val="lt-LT"/>
        </w:rPr>
        <w:fldChar w:fldCharType="end"/>
      </w:r>
      <w:r w:rsidRPr="008377C9">
        <w:rPr>
          <w:b w:val="0"/>
          <w:i/>
          <w:lang w:val="lt-LT"/>
        </w:rPr>
        <w:t xml:space="preserve">. </w:t>
      </w:r>
      <w:r w:rsidRPr="008377C9">
        <w:rPr>
          <w:b w:val="0"/>
          <w:i/>
          <w:szCs w:val="20"/>
          <w:lang w:val="lt-LT"/>
        </w:rPr>
        <w:t>Tikėtini daugiabučių renovacijos</w:t>
      </w:r>
      <w:r w:rsidRPr="008377C9">
        <w:rPr>
          <w:rFonts w:eastAsia="Times New Roman"/>
          <w:b w:val="0"/>
          <w:i/>
          <w:szCs w:val="20"/>
          <w:lang w:val="lt-LT" w:eastAsia="lt-LT"/>
        </w:rPr>
        <w:t xml:space="preserve"> </w:t>
      </w:r>
      <w:r w:rsidRPr="008377C9">
        <w:rPr>
          <w:b w:val="0"/>
          <w:i/>
          <w:szCs w:val="20"/>
          <w:lang w:val="lt-LT"/>
        </w:rPr>
        <w:t>energijos sutaupymo ir taršos mažinimo rezultatai</w:t>
      </w:r>
      <w:bookmarkEnd w:id="361"/>
      <w:bookmarkEnd w:id="362"/>
    </w:p>
    <w:tbl>
      <w:tblPr>
        <w:tblStyle w:val="viesussraas2parykinimas"/>
        <w:tblW w:w="5000" w:type="pct"/>
        <w:tblLook w:val="04A0" w:firstRow="1" w:lastRow="0" w:firstColumn="1" w:lastColumn="0" w:noHBand="0" w:noVBand="1"/>
      </w:tblPr>
      <w:tblGrid>
        <w:gridCol w:w="5408"/>
        <w:gridCol w:w="2314"/>
        <w:gridCol w:w="2160"/>
      </w:tblGrid>
      <w:tr w:rsidR="00AA7568" w:rsidRPr="002142B8" w14:paraId="2EDEA447" w14:textId="77777777" w:rsidTr="00AA7568">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36" w:type="pct"/>
            <w:hideMark/>
          </w:tcPr>
          <w:p w14:paraId="0328F48E" w14:textId="77777777" w:rsidR="00AA7568" w:rsidRPr="002142B8" w:rsidRDefault="00AA7568" w:rsidP="00AA7568">
            <w:pPr>
              <w:jc w:val="center"/>
              <w:rPr>
                <w:rFonts w:ascii="Georgia" w:eastAsia="Times New Roman" w:hAnsi="Georgia" w:cs="Arial"/>
                <w:sz w:val="20"/>
                <w:lang w:eastAsia="lt-LT"/>
              </w:rPr>
            </w:pPr>
            <w:r w:rsidRPr="002142B8">
              <w:rPr>
                <w:rFonts w:ascii="Georgia" w:eastAsia="Times New Roman" w:hAnsi="Georgia" w:cs="Arial"/>
                <w:sz w:val="20"/>
                <w:lang w:eastAsia="lt-LT"/>
              </w:rPr>
              <w:t>Rodiklis</w:t>
            </w:r>
          </w:p>
        </w:tc>
        <w:tc>
          <w:tcPr>
            <w:tcW w:w="1171" w:type="pct"/>
            <w:hideMark/>
          </w:tcPr>
          <w:p w14:paraId="553A9386" w14:textId="77777777" w:rsidR="00AA7568" w:rsidRPr="002142B8" w:rsidRDefault="00AA7568" w:rsidP="00AA7568">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2142B8">
              <w:rPr>
                <w:rFonts w:ascii="Georgia" w:eastAsia="Times New Roman" w:hAnsi="Georgia" w:cs="Arial"/>
                <w:sz w:val="20"/>
                <w:lang w:eastAsia="lt-LT"/>
              </w:rPr>
              <w:t>Mato vnt.</w:t>
            </w:r>
          </w:p>
        </w:tc>
        <w:tc>
          <w:tcPr>
            <w:tcW w:w="1093" w:type="pct"/>
            <w:hideMark/>
          </w:tcPr>
          <w:p w14:paraId="433A4E67" w14:textId="77777777" w:rsidR="00AA7568" w:rsidRPr="002142B8" w:rsidRDefault="00AA7568" w:rsidP="00AA7568">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2142B8">
              <w:rPr>
                <w:rFonts w:ascii="Georgia" w:eastAsia="Times New Roman" w:hAnsi="Georgia" w:cs="Arial"/>
                <w:sz w:val="20"/>
                <w:lang w:eastAsia="lt-LT"/>
              </w:rPr>
              <w:t>Sutaupymas</w:t>
            </w:r>
            <w:r w:rsidRPr="002142B8">
              <w:rPr>
                <w:rStyle w:val="Puslapioinaosnuoroda"/>
                <w:rFonts w:ascii="Georgia" w:eastAsia="Times New Roman" w:hAnsi="Georgia" w:cs="Arial"/>
                <w:sz w:val="20"/>
                <w:lang w:eastAsia="lt-LT"/>
              </w:rPr>
              <w:footnoteReference w:id="188"/>
            </w:r>
          </w:p>
        </w:tc>
      </w:tr>
      <w:tr w:rsidR="00AA7568" w:rsidRPr="002142B8" w14:paraId="6B803F60" w14:textId="77777777" w:rsidTr="00AA756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2E510FFC" w14:textId="77777777" w:rsidR="00AA7568" w:rsidRPr="002142B8" w:rsidRDefault="00AA7568" w:rsidP="00AA7568">
            <w:pPr>
              <w:rPr>
                <w:rFonts w:ascii="Georgia" w:eastAsia="Times New Roman" w:hAnsi="Georgia" w:cs="Arial"/>
                <w:b w:val="0"/>
                <w:color w:val="000000"/>
                <w:sz w:val="20"/>
                <w:lang w:eastAsia="lt-LT"/>
              </w:rPr>
            </w:pPr>
            <w:r w:rsidRPr="002142B8">
              <w:rPr>
                <w:rFonts w:ascii="Georgia" w:eastAsia="Times New Roman" w:hAnsi="Georgia" w:cs="Arial"/>
                <w:b w:val="0"/>
                <w:color w:val="000000"/>
                <w:sz w:val="20"/>
                <w:lang w:eastAsia="lt-LT"/>
              </w:rPr>
              <w:t>a) Sutaupytos energijos kiekis (neįskaitant 2020 m.)</w:t>
            </w:r>
          </w:p>
        </w:tc>
        <w:tc>
          <w:tcPr>
            <w:tcW w:w="1171" w:type="pct"/>
            <w:noWrap/>
            <w:hideMark/>
          </w:tcPr>
          <w:p w14:paraId="76DF085E" w14:textId="77777777" w:rsidR="00AA7568" w:rsidRPr="002142B8" w:rsidRDefault="00AA7568" w:rsidP="00AA756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MWh</w:t>
            </w:r>
          </w:p>
        </w:tc>
        <w:tc>
          <w:tcPr>
            <w:tcW w:w="1093" w:type="pct"/>
            <w:noWrap/>
            <w:hideMark/>
          </w:tcPr>
          <w:p w14:paraId="6550E579" w14:textId="77777777" w:rsidR="00AA7568" w:rsidRPr="002142B8" w:rsidRDefault="00AA7568" w:rsidP="00AA756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 xml:space="preserve">            431,789   </w:t>
            </w:r>
          </w:p>
        </w:tc>
      </w:tr>
      <w:tr w:rsidR="00AA7568" w:rsidRPr="002142B8" w14:paraId="5DDC6C89" w14:textId="77777777" w:rsidTr="00AA7568">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320C3FB6" w14:textId="77777777" w:rsidR="00AA7568" w:rsidRPr="002142B8" w:rsidRDefault="00AA7568" w:rsidP="00AA7568">
            <w:pPr>
              <w:rPr>
                <w:rFonts w:ascii="Georgia" w:eastAsia="Times New Roman" w:hAnsi="Georgia" w:cs="Arial"/>
                <w:b w:val="0"/>
                <w:color w:val="000000"/>
                <w:sz w:val="20"/>
                <w:lang w:eastAsia="lt-LT"/>
              </w:rPr>
            </w:pPr>
            <w:r w:rsidRPr="002142B8">
              <w:rPr>
                <w:rFonts w:ascii="Georgia" w:eastAsia="Times New Roman" w:hAnsi="Georgia" w:cs="Arial"/>
                <w:b w:val="0"/>
                <w:color w:val="000000"/>
                <w:sz w:val="20"/>
                <w:lang w:eastAsia="lt-LT"/>
              </w:rPr>
              <w:t>b) Sutaupytos energijos kiekis (įskaitant 2020 m.)</w:t>
            </w:r>
          </w:p>
        </w:tc>
        <w:tc>
          <w:tcPr>
            <w:tcW w:w="1171" w:type="pct"/>
            <w:noWrap/>
            <w:hideMark/>
          </w:tcPr>
          <w:p w14:paraId="1AF4EA15" w14:textId="77777777" w:rsidR="00AA7568" w:rsidRPr="002142B8" w:rsidRDefault="00AA7568" w:rsidP="00AA756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MWh</w:t>
            </w:r>
          </w:p>
        </w:tc>
        <w:tc>
          <w:tcPr>
            <w:tcW w:w="1093" w:type="pct"/>
            <w:noWrap/>
            <w:hideMark/>
          </w:tcPr>
          <w:p w14:paraId="40C4ED9D" w14:textId="77777777" w:rsidR="00AA7568" w:rsidRPr="002142B8" w:rsidRDefault="00AA7568" w:rsidP="00AA756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 xml:space="preserve">            672,458    </w:t>
            </w:r>
          </w:p>
        </w:tc>
      </w:tr>
      <w:tr w:rsidR="00AA7568" w:rsidRPr="002142B8" w14:paraId="068A0ED7" w14:textId="77777777" w:rsidTr="00AA756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6C3CAF11" w14:textId="77777777" w:rsidR="00AA7568" w:rsidRPr="002142B8" w:rsidRDefault="00AA7568" w:rsidP="00AA7568">
            <w:pPr>
              <w:rPr>
                <w:rFonts w:ascii="Georgia" w:eastAsia="Times New Roman" w:hAnsi="Georgia" w:cs="Arial"/>
                <w:b w:val="0"/>
                <w:color w:val="000000"/>
                <w:sz w:val="20"/>
                <w:lang w:eastAsia="lt-LT"/>
              </w:rPr>
            </w:pPr>
            <w:r w:rsidRPr="002142B8">
              <w:rPr>
                <w:rFonts w:ascii="Georgia" w:eastAsia="Times New Roman" w:hAnsi="Georgia" w:cs="Arial"/>
                <w:b w:val="0"/>
                <w:color w:val="000000"/>
                <w:sz w:val="20"/>
                <w:lang w:eastAsia="lt-LT"/>
              </w:rPr>
              <w:t>a) Bendras išmetamųjų ŠESD kiekio sumažinimas (neįskaitant 2020 m.)</w:t>
            </w:r>
          </w:p>
        </w:tc>
        <w:tc>
          <w:tcPr>
            <w:tcW w:w="1171" w:type="pct"/>
            <w:noWrap/>
            <w:hideMark/>
          </w:tcPr>
          <w:p w14:paraId="6F14FD35" w14:textId="77777777" w:rsidR="00AA7568" w:rsidRPr="002142B8" w:rsidRDefault="00AA7568" w:rsidP="00AA756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t CO2 ekv</w:t>
            </w:r>
          </w:p>
        </w:tc>
        <w:tc>
          <w:tcPr>
            <w:tcW w:w="1093" w:type="pct"/>
            <w:noWrap/>
            <w:hideMark/>
          </w:tcPr>
          <w:p w14:paraId="1342D8F6" w14:textId="77777777" w:rsidR="00AA7568" w:rsidRPr="002142B8" w:rsidRDefault="00AA7568" w:rsidP="00AA756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 xml:space="preserve">               96,289    </w:t>
            </w:r>
          </w:p>
        </w:tc>
      </w:tr>
      <w:tr w:rsidR="00AA7568" w:rsidRPr="002142B8" w14:paraId="59DA9C6E" w14:textId="77777777" w:rsidTr="00AA7568">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79680DCB" w14:textId="77777777" w:rsidR="00AA7568" w:rsidRPr="002142B8" w:rsidRDefault="00AA7568" w:rsidP="00AA7568">
            <w:pPr>
              <w:rPr>
                <w:rFonts w:ascii="Georgia" w:eastAsia="Times New Roman" w:hAnsi="Georgia" w:cs="Arial"/>
                <w:b w:val="0"/>
                <w:color w:val="000000"/>
                <w:sz w:val="20"/>
                <w:lang w:eastAsia="lt-LT"/>
              </w:rPr>
            </w:pPr>
            <w:r w:rsidRPr="002142B8">
              <w:rPr>
                <w:rFonts w:ascii="Georgia" w:eastAsia="Times New Roman" w:hAnsi="Georgia" w:cs="Arial"/>
                <w:b w:val="0"/>
                <w:color w:val="000000"/>
                <w:sz w:val="20"/>
                <w:lang w:eastAsia="lt-LT"/>
              </w:rPr>
              <w:t>b) Bendras išmetamųjų ŠESD kiekio sumažinimas (įskaitant 202</w:t>
            </w:r>
            <w:r w:rsidRPr="002142B8">
              <w:rPr>
                <w:rFonts w:ascii="Georgia" w:eastAsia="Times New Roman" w:hAnsi="Georgia" w:cs="Arial"/>
                <w:color w:val="000000"/>
                <w:sz w:val="20"/>
                <w:lang w:eastAsia="lt-LT"/>
              </w:rPr>
              <w:t>0 m.)</w:t>
            </w:r>
          </w:p>
        </w:tc>
        <w:tc>
          <w:tcPr>
            <w:tcW w:w="1171" w:type="pct"/>
            <w:noWrap/>
            <w:hideMark/>
          </w:tcPr>
          <w:p w14:paraId="27E60DB9" w14:textId="77777777" w:rsidR="00AA7568" w:rsidRPr="002142B8" w:rsidRDefault="00AA7568" w:rsidP="00AA756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t CO2 ekv</w:t>
            </w:r>
          </w:p>
        </w:tc>
        <w:tc>
          <w:tcPr>
            <w:tcW w:w="1093" w:type="pct"/>
            <w:noWrap/>
            <w:hideMark/>
          </w:tcPr>
          <w:p w14:paraId="3FA9381E" w14:textId="77777777" w:rsidR="00AA7568" w:rsidRPr="002142B8" w:rsidRDefault="00AA7568" w:rsidP="00AA756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142B8">
              <w:rPr>
                <w:rFonts w:ascii="Georgia" w:eastAsia="Times New Roman" w:hAnsi="Georgia" w:cs="Arial"/>
                <w:bCs/>
                <w:color w:val="000000"/>
                <w:sz w:val="20"/>
                <w:lang w:eastAsia="lt-LT"/>
              </w:rPr>
              <w:t xml:space="preserve">            149,958   </w:t>
            </w:r>
          </w:p>
        </w:tc>
      </w:tr>
    </w:tbl>
    <w:p w14:paraId="32B01761" w14:textId="77777777" w:rsidR="00AA7568" w:rsidRPr="002142B8" w:rsidRDefault="00AA7568" w:rsidP="00AA7568">
      <w:pPr>
        <w:rPr>
          <w:lang w:val="lt-LT"/>
        </w:rPr>
      </w:pPr>
    </w:p>
    <w:p w14:paraId="287DC1E7" w14:textId="77777777" w:rsidR="00AA7568" w:rsidRPr="002142B8" w:rsidRDefault="00AA7568" w:rsidP="000C035D">
      <w:pPr>
        <w:pStyle w:val="Antrat2"/>
        <w:numPr>
          <w:ilvl w:val="2"/>
          <w:numId w:val="2"/>
        </w:numPr>
        <w:spacing w:after="240"/>
        <w:rPr>
          <w:lang w:val="lt-LT"/>
        </w:rPr>
      </w:pPr>
      <w:bookmarkStart w:id="363" w:name="_Toc25589974"/>
      <w:r w:rsidRPr="002142B8">
        <w:rPr>
          <w:lang w:val="lt-LT"/>
        </w:rPr>
        <w:lastRenderedPageBreak/>
        <w:t>Stebėsenos sistemos apibrėžimas</w:t>
      </w:r>
      <w:bookmarkEnd w:id="360"/>
      <w:bookmarkEnd w:id="363"/>
    </w:p>
    <w:p w14:paraId="7B847057" w14:textId="77777777" w:rsidR="00AA7568" w:rsidRPr="002142B8" w:rsidRDefault="00AA7568" w:rsidP="00AA7568">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Siekiant užtikrinti, kad visi energijos efektyvumo tikslai yra pasiekiami, o finansinė priemonė įgyvendinama efektyviai, be to, lėšos naudojamos pagal patikimus finansų principus, yra tinkamai reaguojama į rinkos pokyčius ar kitus didelę įtaką darančius veiksnius, lemiančius rezultatų pasiekimą, yra būtina apibrėžti tinkamą stebėsenos sistemą finansinės priemonės įgyvendinimui. </w:t>
      </w:r>
    </w:p>
    <w:p w14:paraId="22D6A701" w14:textId="77777777" w:rsidR="00AA7568" w:rsidRPr="002142B8" w:rsidRDefault="00AA7568" w:rsidP="00AA7568">
      <w:pPr>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Pagrindiniai stebėsenos sistemos elementai yra šie:</w:t>
      </w:r>
    </w:p>
    <w:p w14:paraId="1FD18C56" w14:textId="77777777" w:rsidR="00AA7568" w:rsidRPr="002142B8" w:rsidRDefault="00AA7568" w:rsidP="00AA7568">
      <w:pPr>
        <w:rPr>
          <w:rFonts w:ascii="Georgia" w:eastAsia="Times New Roman" w:hAnsi="Georgia" w:cs="Times New Roman"/>
          <w:sz w:val="20"/>
          <w:szCs w:val="20"/>
          <w:lang w:val="lt-LT" w:eastAsia="lt-LT"/>
        </w:rPr>
      </w:pPr>
      <w:r w:rsidRPr="002142B8">
        <w:rPr>
          <w:rFonts w:ascii="Georgia" w:eastAsia="Times New Roman" w:hAnsi="Georgia" w:cs="Times New Roman"/>
          <w:noProof/>
          <w:sz w:val="20"/>
          <w:szCs w:val="20"/>
          <w:lang w:val="lt-LT" w:eastAsia="lt-LT"/>
        </w:rPr>
        <mc:AlternateContent>
          <mc:Choice Requires="wpg">
            <w:drawing>
              <wp:inline distT="0" distB="0" distL="0" distR="0" wp14:anchorId="4651B0DB" wp14:editId="46FA9C4C">
                <wp:extent cx="6129960" cy="914400"/>
                <wp:effectExtent l="0" t="0" r="23495" b="19050"/>
                <wp:docPr id="265" name="Group 265"/>
                <wp:cNvGraphicFramePr/>
                <a:graphic xmlns:a="http://schemas.openxmlformats.org/drawingml/2006/main">
                  <a:graphicData uri="http://schemas.microsoft.com/office/word/2010/wordprocessingGroup">
                    <wpg:wgp>
                      <wpg:cNvGrpSpPr/>
                      <wpg:grpSpPr>
                        <a:xfrm>
                          <a:off x="0" y="0"/>
                          <a:ext cx="6129960" cy="914400"/>
                          <a:chOff x="0" y="0"/>
                          <a:chExt cx="6129960" cy="914400"/>
                        </a:xfrm>
                      </wpg:grpSpPr>
                      <wps:wsp>
                        <wps:cNvPr id="266" name="Text Box 266"/>
                        <wps:cNvSpPr txBox="1"/>
                        <wps:spPr>
                          <a:xfrm>
                            <a:off x="4198925" y="102413"/>
                            <a:ext cx="1931035"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1D2A8"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Ataskaitos</w:t>
                              </w:r>
                            </w:p>
                            <w:p w14:paraId="5CAB5FDB"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Komunikacija</w:t>
                              </w:r>
                            </w:p>
                            <w:p w14:paraId="358932D2"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FB083"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Rodiklių matavimas</w:t>
                              </w:r>
                            </w:p>
                            <w:p w14:paraId="56C34F8E"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Kita informacija ir duomenys</w:t>
                              </w:r>
                            </w:p>
                            <w:p w14:paraId="1DCFDCBF"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ight Arrow 268"/>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1B952" w14:textId="77777777" w:rsidR="00133798" w:rsidRPr="00480762" w:rsidRDefault="00133798" w:rsidP="00AA7568">
                              <w:pPr>
                                <w:jc w:val="center"/>
                                <w:rPr>
                                  <w:rFonts w:ascii="Georgia" w:hAnsi="Georgia"/>
                                  <w:b/>
                                  <w:lang w:val="lt-LT"/>
                                </w:rPr>
                              </w:pPr>
                              <w:r w:rsidRPr="00480762">
                                <w:rPr>
                                  <w:rFonts w:ascii="Georgia" w:hAnsi="Georgia"/>
                                  <w:b/>
                                  <w:lang w:val="lt-LT"/>
                                </w:rPr>
                                <w:t>ANALIZĖ</w:t>
                              </w:r>
                            </w:p>
                            <w:p w14:paraId="691F503C" w14:textId="77777777" w:rsidR="00133798" w:rsidRPr="00480762" w:rsidRDefault="00133798" w:rsidP="00AA7568">
                              <w:pPr>
                                <w:jc w:val="center"/>
                                <w:rPr>
                                  <w:rFonts w:ascii="Georgia" w:hAnsi="Georgia"/>
                                  <w:b/>
                                  <w:lang w:val="lt-LT"/>
                                </w:rPr>
                              </w:pPr>
                              <w:r w:rsidRPr="00480762">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5" o:spid="_x0000_s1133" style="width:482.65pt;height:1in;mso-position-horizontal-relative:char;mso-position-vertical-relative:line" coordsize="6129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">
                <v:shape id="Text Box 266" o:spid="_x0000_s1134" type="#_x0000_t202" style="position:absolute;left:41989;top:1024;width:19310;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14:paraId="4F71D2A8"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Ataskaitos</w:t>
                        </w:r>
                      </w:p>
                      <w:p w14:paraId="5CAB5FDB"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Komunikacija</w:t>
                        </w:r>
                      </w:p>
                      <w:p w14:paraId="358932D2"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Veiksmai</w:t>
                        </w:r>
                      </w:p>
                    </w:txbxContent>
                  </v:textbox>
                </v:shape>
                <v:shape id="Text Box 267" o:spid="_x0000_s1135"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14:paraId="2C1FB083"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Rodiklių matavimas</w:t>
                        </w:r>
                      </w:p>
                      <w:p w14:paraId="56C34F8E"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Kita informacija ir duomenys</w:t>
                        </w:r>
                      </w:p>
                      <w:p w14:paraId="1DCFDCBF" w14:textId="77777777" w:rsidR="00133798" w:rsidRPr="00480762" w:rsidRDefault="00133798" w:rsidP="00AA7568">
                        <w:pPr>
                          <w:pStyle w:val="Sraopastraipa"/>
                          <w:numPr>
                            <w:ilvl w:val="0"/>
                            <w:numId w:val="38"/>
                          </w:numPr>
                          <w:rPr>
                            <w:rFonts w:ascii="Georgia" w:hAnsi="Georgia"/>
                            <w:sz w:val="20"/>
                          </w:rPr>
                        </w:pPr>
                        <w:r w:rsidRPr="00480762">
                          <w:rPr>
                            <w:rFonts w:ascii="Georgia" w:hAnsi="Georgia"/>
                            <w:sz w:val="20"/>
                            <w:lang w:val="lt-LT"/>
                          </w:rPr>
                          <w:t>Vertinimo ataskaitos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8" o:spid="_x0000_s1136"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1C8MA&#10;AADcAAAADwAAAGRycy9kb3ducmV2LnhtbERPXWvCMBR9F/Yfwh34pumKE6mmxQ0ENxiyTsS9XZq7&#10;pq65KU2m9d8vD4KPh/O9KgbbijP1vnGs4GmagCCunG64VrD/2kwWIHxA1tg6JgVX8lDkD6MVZtpd&#10;+JPOZahFDGGfoQITQpdJ6StDFv3UdcSR+3G9xRBhX0vd4yWG21amSTKXFhuODQY7ejVU/ZZ/VgEe&#10;y+/ddfamXw7y4/lkU2/8+0Kp8eOwXoIINIS7+ObeagXpP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1C8MAAADcAAAADwAAAAAAAAAAAAAAAACYAgAAZHJzL2Rv&#10;d25yZXYueG1sUEsFBgAAAAAEAAQA9QAAAIgDAAAAAA==&#10;" adj="19377" fillcolor="#c0504d [3205]" strokecolor="#622423 [1605]" strokeweight="2pt"/>
                <v:shape id="Text Box 269" o:spid="_x0000_s1137"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9q8EA&#10;AADcAAAADwAAAGRycy9kb3ducmV2LnhtbESPQYvCMBSE74L/ITzBm6brQbQaRRaFetPqxdujeduG&#10;bV5KE2v990YQPA4z8w2z3va2Fh213jhW8DNNQBAXThsuFVwvh8kChA/IGmvHpOBJHrab4WCNqXYP&#10;PlOXh1JECPsUFVQhNKmUvqjIop+6hjh6f661GKJsS6lbfES4reUsSebSouG4UGFDvxUV//ndKjg8&#10;s33WL0/6tjvKBR2LLjdGKjUe9bsViEB9+IY/7UwrmM2X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favBAAAA3AAAAA8AAAAAAAAAAAAAAAAAmAIAAGRycy9kb3du&#10;cmV2LnhtbFBLBQYAAAAABAAEAPUAAACGAwAAAAA=&#10;" fillcolor="#ffd03b" strokeweight=".5pt">
                  <v:textbox>
                    <w:txbxContent>
                      <w:p w14:paraId="1CB1B952" w14:textId="77777777" w:rsidR="00133798" w:rsidRPr="00480762" w:rsidRDefault="00133798" w:rsidP="00AA7568">
                        <w:pPr>
                          <w:jc w:val="center"/>
                          <w:rPr>
                            <w:rFonts w:ascii="Georgia" w:hAnsi="Georgia"/>
                            <w:b/>
                            <w:lang w:val="lt-LT"/>
                          </w:rPr>
                        </w:pPr>
                        <w:r w:rsidRPr="00480762">
                          <w:rPr>
                            <w:rFonts w:ascii="Georgia" w:hAnsi="Georgia"/>
                            <w:b/>
                            <w:lang w:val="lt-LT"/>
                          </w:rPr>
                          <w:t>ANALIZĖ</w:t>
                        </w:r>
                      </w:p>
                      <w:p w14:paraId="691F503C" w14:textId="77777777" w:rsidR="00133798" w:rsidRPr="00480762" w:rsidRDefault="00133798" w:rsidP="00AA7568">
                        <w:pPr>
                          <w:jc w:val="center"/>
                          <w:rPr>
                            <w:rFonts w:ascii="Georgia" w:hAnsi="Georgia"/>
                            <w:b/>
                            <w:lang w:val="lt-LT"/>
                          </w:rPr>
                        </w:pPr>
                        <w:r w:rsidRPr="00480762">
                          <w:rPr>
                            <w:rFonts w:ascii="Georgia" w:hAnsi="Georgia"/>
                            <w:b/>
                            <w:lang w:val="lt-LT"/>
                          </w:rPr>
                          <w:t>SPRENDIMŲ PRIĖMIMAS</w:t>
                        </w:r>
                      </w:p>
                    </w:txbxContent>
                  </v:textbox>
                </v:shape>
                <w10:anchorlock/>
              </v:group>
            </w:pict>
          </mc:Fallback>
        </mc:AlternateContent>
      </w:r>
    </w:p>
    <w:p w14:paraId="450170D8" w14:textId="7E824FAE" w:rsidR="00AA7568" w:rsidRPr="002142B8" w:rsidRDefault="00AA7568" w:rsidP="00AA7568">
      <w:pPr>
        <w:pStyle w:val="Antrat"/>
        <w:rPr>
          <w:szCs w:val="20"/>
          <w:lang w:val="lt-LT"/>
        </w:rPr>
      </w:pPr>
      <w:bookmarkStart w:id="364" w:name="_Toc507939289"/>
      <w:r w:rsidRPr="002142B8">
        <w:rPr>
          <w:lang w:val="lt-LT"/>
        </w:rPr>
        <w:t xml:space="preserve">Paveikslas </w:t>
      </w:r>
      <w:r w:rsidRPr="002142B8">
        <w:rPr>
          <w:lang w:val="lt-LT"/>
        </w:rPr>
        <w:fldChar w:fldCharType="begin"/>
      </w:r>
      <w:r w:rsidRPr="002142B8">
        <w:rPr>
          <w:lang w:val="lt-LT"/>
        </w:rPr>
        <w:instrText xml:space="preserve"> SEQ Paveikslas \* ARABIC </w:instrText>
      </w:r>
      <w:r w:rsidRPr="002142B8">
        <w:rPr>
          <w:lang w:val="lt-LT"/>
        </w:rPr>
        <w:fldChar w:fldCharType="separate"/>
      </w:r>
      <w:r w:rsidR="009652A6">
        <w:rPr>
          <w:noProof/>
          <w:lang w:val="lt-LT"/>
        </w:rPr>
        <w:t>30</w:t>
      </w:r>
      <w:r w:rsidRPr="002142B8">
        <w:rPr>
          <w:lang w:val="lt-LT"/>
        </w:rPr>
        <w:fldChar w:fldCharType="end"/>
      </w:r>
      <w:r w:rsidRPr="002142B8">
        <w:rPr>
          <w:lang w:val="lt-LT"/>
        </w:rPr>
        <w:t xml:space="preserve">. </w:t>
      </w:r>
      <w:r w:rsidRPr="002142B8">
        <w:rPr>
          <w:szCs w:val="20"/>
          <w:lang w:val="lt-LT"/>
        </w:rPr>
        <w:t>Pagrindiniai stebėsenos elementai</w:t>
      </w:r>
      <w:bookmarkEnd w:id="364"/>
    </w:p>
    <w:p w14:paraId="6352F1BF" w14:textId="77777777" w:rsidR="00AA7568" w:rsidRPr="002142B8" w:rsidRDefault="00AA7568" w:rsidP="00AA7568">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p>
    <w:p w14:paraId="00112015" w14:textId="77777777" w:rsidR="00AA7568" w:rsidRPr="002142B8" w:rsidRDefault="00AA7568" w:rsidP="00AA7568">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Vadovaujančioji institucija pirmiausia turi užtikrinti, jog finansavimo sutartyje su fondų fondo valdytoju yra aiškiai apibrėžti ataskaitų teikimo reikalavimai. Pagrindiniai ataskaitų teikimo reikalavimai fondų fondo valdytojui pirmiausia bus apibrėžti Europos Komisijos Įgyvendinimo reglamente, kuris šiuo metu yra rengiamas. Tačiau vadovaujančioji institucija gali neapsiriboti Įgyvendinimo reglamento reikalavimais ir siūlomas ataskaitų formas papildyti jai reikalinga informacija. Vadovaujančiosios institucijos ataskaitų teikimo formos bus tvirtinamos Finansinių priemonių taisyklėse. </w:t>
      </w:r>
    </w:p>
    <w:p w14:paraId="2C086420" w14:textId="77777777" w:rsidR="00AA7568" w:rsidRPr="002142B8" w:rsidRDefault="00AA7568" w:rsidP="00AA7568">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Tuo atveju, kai fondų fondo valdytojas pasitelkia finansinius tarpininkus finansinės priemonės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pilnai fondų fondo valdytojo atsakomybė. </w:t>
      </w:r>
    </w:p>
    <w:p w14:paraId="58F5F6B1" w14:textId="77777777" w:rsidR="00AA7568" w:rsidRPr="002142B8" w:rsidRDefault="00AA7568" w:rsidP="00AA7568">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6F05CE52" w14:textId="77777777" w:rsidR="00AA7568" w:rsidRPr="002142B8" w:rsidRDefault="00AA7568" w:rsidP="00AA7568">
      <w:pPr>
        <w:keepNext/>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Ataskaitų teikimas turėtų būti įgyvendinamas šiais etapais:</w:t>
      </w:r>
    </w:p>
    <w:p w14:paraId="4CC920D1" w14:textId="77777777" w:rsidR="00AA7568" w:rsidRPr="002142B8"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Duomenų rinkimas</w:t>
      </w:r>
    </w:p>
    <w:p w14:paraId="5AFCC3AC" w14:textId="77777777" w:rsidR="00AA7568" w:rsidRPr="002142B8"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Įgyvendinimo ataskaitos</w:t>
      </w:r>
    </w:p>
    <w:p w14:paraId="2DEB7DD8" w14:textId="77777777" w:rsidR="00AA7568" w:rsidRPr="002142B8" w:rsidRDefault="00AA7568" w:rsidP="00AA7568">
      <w:pPr>
        <w:pStyle w:val="Sraopastraipa"/>
        <w:keepNext/>
        <w:numPr>
          <w:ilvl w:val="6"/>
          <w:numId w:val="134"/>
        </w:numPr>
        <w:ind w:left="709"/>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Finansinės ataskaitos</w:t>
      </w:r>
    </w:p>
    <w:p w14:paraId="3E479193" w14:textId="77777777" w:rsidR="00AA7568" w:rsidRPr="002142B8" w:rsidRDefault="00AA7568" w:rsidP="00AA7568">
      <w:pPr>
        <w:jc w:val="both"/>
        <w:rPr>
          <w:rFonts w:asciiTheme="majorHAnsi" w:eastAsiaTheme="majorEastAsia" w:hAnsiTheme="majorHAnsi" w:cstheme="majorBidi"/>
          <w:b/>
          <w:bCs/>
          <w:color w:val="365F91" w:themeColor="accent1" w:themeShade="BF"/>
          <w:sz w:val="28"/>
          <w:szCs w:val="28"/>
          <w:lang w:val="lt-LT"/>
        </w:rPr>
      </w:pPr>
      <w:r w:rsidRPr="002142B8">
        <w:rPr>
          <w:rFonts w:ascii="Georgia" w:hAnsi="Georgia"/>
          <w:sz w:val="20"/>
          <w:lang w:val="lt-LT"/>
        </w:rPr>
        <w:t xml:space="preserve">Toks ataskaitų teikimo ciklas leidžia užtikrinti, kad prieinami duomenys yra tikslūs ir atspindi realią situaciją, šių duomenų pagrindu rengiamos pažangos ataskaitos yra teisingos ir galiausiai leidžia užtikrinti finansinį lėšų naudojimo teisingumą. </w:t>
      </w:r>
    </w:p>
    <w:p w14:paraId="5AA88087" w14:textId="77777777" w:rsidR="00AA7568" w:rsidRPr="002142B8" w:rsidRDefault="00AA7568" w:rsidP="00AA7568">
      <w:pPr>
        <w:rPr>
          <w:rFonts w:asciiTheme="majorHAnsi" w:eastAsiaTheme="majorEastAsia" w:hAnsiTheme="majorHAnsi" w:cstheme="majorBidi"/>
          <w:b/>
          <w:bCs/>
          <w:color w:val="4F81BD" w:themeColor="accent1"/>
          <w:sz w:val="26"/>
          <w:szCs w:val="26"/>
          <w:lang w:val="lt-LT"/>
        </w:rPr>
      </w:pPr>
      <w:r w:rsidRPr="002142B8">
        <w:rPr>
          <w:lang w:val="lt-LT"/>
        </w:rPr>
        <w:br w:type="page"/>
      </w:r>
    </w:p>
    <w:p w14:paraId="7E18D8BE" w14:textId="77777777" w:rsidR="007841B1" w:rsidRPr="002142B8" w:rsidRDefault="007841B1" w:rsidP="007841B1">
      <w:pPr>
        <w:rPr>
          <w:lang w:val="lt-LT"/>
        </w:rPr>
      </w:pPr>
    </w:p>
    <w:p w14:paraId="1EB81DA9" w14:textId="4D302F92" w:rsidR="00151543" w:rsidRDefault="00151543" w:rsidP="00B21367">
      <w:pPr>
        <w:pStyle w:val="Antrat2"/>
        <w:numPr>
          <w:ilvl w:val="1"/>
          <w:numId w:val="19"/>
        </w:numPr>
        <w:spacing w:after="240"/>
        <w:ind w:left="1080"/>
        <w:rPr>
          <w:lang w:val="lt-LT"/>
        </w:rPr>
      </w:pPr>
      <w:bookmarkStart w:id="365" w:name="_Toc25589975"/>
      <w:r w:rsidRPr="002142B8">
        <w:rPr>
          <w:lang w:val="lt-LT"/>
        </w:rPr>
        <w:t>Centrinės valdžios viešųjų pastatų ir gatvių apšvietimo modernizavimo investavimo strategija</w:t>
      </w:r>
      <w:bookmarkEnd w:id="326"/>
      <w:bookmarkEnd w:id="327"/>
      <w:bookmarkEnd w:id="365"/>
    </w:p>
    <w:p w14:paraId="1BB8C032" w14:textId="77777777" w:rsidR="007552F3" w:rsidRPr="00DF3A8E" w:rsidRDefault="007552F3" w:rsidP="007552F3">
      <w:pPr>
        <w:pStyle w:val="prastasis1"/>
        <w:spacing w:line="276" w:lineRule="auto"/>
        <w:jc w:val="both"/>
      </w:pPr>
      <w:r>
        <w:rPr>
          <w:rFonts w:ascii="Georgia" w:hAnsi="Georgia"/>
          <w:sz w:val="20"/>
          <w:szCs w:val="20"/>
        </w:rPr>
        <w:t xml:space="preserve">Energetikos ministerija turi tiesioginius įsipareigojimus dėl Energijos efektyvumo direktyvos iškeltų tikslų šalims narėms pasiekimo. Todėl viešųjų pastatų modernizavimo strategija turi būti sukurta ir išplėtota taip, kad būtų įgyvendinti visi privalomi pasiekti tikslai. Nors Energijos efektyvumo direktyva tiesioginių įpareigojimų dėl gatvių apšvietimo modernizavimo neiškelia, gatvių apšvietimo modernizavimas yra rekomenduojamas įgyvendinti pagal tuos pačius principus kaip ir viešųjų pastatų modernizavimas, t.y. įgyvendinant ESCO modelį, todėl siūloma investavimo strategiją viešųjų pastatų ir gatvių apšvietimo modernizavimui rengti bendrą. Taip bus </w:t>
      </w:r>
      <w:r w:rsidRPr="00AC3318">
        <w:rPr>
          <w:rFonts w:ascii="Georgia" w:hAnsi="Georgia"/>
          <w:sz w:val="20"/>
          <w:szCs w:val="20"/>
        </w:rPr>
        <w:t>siekia</w:t>
      </w:r>
      <w:r>
        <w:rPr>
          <w:rFonts w:ascii="Georgia" w:hAnsi="Georgia"/>
          <w:sz w:val="20"/>
          <w:szCs w:val="20"/>
        </w:rPr>
        <w:t>ma</w:t>
      </w:r>
      <w:r w:rsidRPr="00AC3318">
        <w:rPr>
          <w:rFonts w:ascii="Georgia" w:hAnsi="Georgia"/>
          <w:sz w:val="20"/>
          <w:szCs w:val="20"/>
        </w:rPr>
        <w:t xml:space="preserve"> optimizuoti šių veiklų įgyvendinimą</w:t>
      </w:r>
      <w:r>
        <w:rPr>
          <w:rFonts w:ascii="Georgia" w:hAnsi="Georgia"/>
          <w:sz w:val="20"/>
          <w:szCs w:val="20"/>
        </w:rPr>
        <w:t>, mažinti administracinę naštą</w:t>
      </w:r>
      <w:r w:rsidRPr="00AC3318">
        <w:rPr>
          <w:rFonts w:ascii="Georgia" w:hAnsi="Georgia"/>
          <w:sz w:val="20"/>
          <w:szCs w:val="20"/>
        </w:rPr>
        <w:t xml:space="preserve"> bei</w:t>
      </w:r>
      <w:r>
        <w:rPr>
          <w:rFonts w:ascii="Georgia" w:hAnsi="Georgia"/>
          <w:sz w:val="20"/>
          <w:szCs w:val="20"/>
        </w:rPr>
        <w:t xml:space="preserve"> dėl masto ekonomijos pasiekti didesnį efektyvumą. </w:t>
      </w:r>
      <w:r w:rsidRPr="00AC3318">
        <w:rPr>
          <w:rFonts w:ascii="Georgia" w:hAnsi="Georgia"/>
          <w:sz w:val="20"/>
          <w:szCs w:val="20"/>
        </w:rPr>
        <w:t xml:space="preserve">Žemiau yra pateikiama siūloma </w:t>
      </w:r>
      <w:r>
        <w:rPr>
          <w:rFonts w:ascii="Georgia" w:hAnsi="Georgia"/>
          <w:sz w:val="20"/>
          <w:szCs w:val="20"/>
        </w:rPr>
        <w:t>finansinių priemonių, kurios būtų įgyvendinamos per fondų fondą</w:t>
      </w:r>
      <w:r w:rsidRPr="00AC3318">
        <w:rPr>
          <w:rFonts w:ascii="Georgia" w:hAnsi="Georgia"/>
          <w:sz w:val="20"/>
          <w:szCs w:val="20"/>
        </w:rPr>
        <w:t xml:space="preserve"> investavimo strategija. </w:t>
      </w:r>
    </w:p>
    <w:p w14:paraId="19B1EFFE" w14:textId="77777777" w:rsidR="007552F3" w:rsidRPr="00DF3A8E" w:rsidRDefault="007552F3" w:rsidP="007552F3">
      <w:pPr>
        <w:pStyle w:val="Antrat2"/>
        <w:numPr>
          <w:ilvl w:val="2"/>
          <w:numId w:val="2"/>
        </w:numPr>
        <w:spacing w:after="240"/>
        <w:ind w:left="851" w:hanging="851"/>
        <w:rPr>
          <w:lang w:val="lt-LT"/>
        </w:rPr>
      </w:pPr>
      <w:bookmarkStart w:id="366" w:name="_Toc398043862"/>
      <w:bookmarkStart w:id="367" w:name="_Toc398567614"/>
      <w:bookmarkStart w:id="368" w:name="_Toc503196428"/>
      <w:bookmarkStart w:id="369" w:name="_Toc25589976"/>
      <w:r w:rsidRPr="00DF3A8E">
        <w:rPr>
          <w:lang w:val="lt-LT"/>
        </w:rPr>
        <w:t>Finansin</w:t>
      </w:r>
      <w:r>
        <w:rPr>
          <w:lang w:val="lt-LT"/>
        </w:rPr>
        <w:t>ių</w:t>
      </w:r>
      <w:r w:rsidRPr="00DF3A8E">
        <w:rPr>
          <w:lang w:val="lt-LT"/>
        </w:rPr>
        <w:t xml:space="preserve"> priemon</w:t>
      </w:r>
      <w:r>
        <w:rPr>
          <w:lang w:val="lt-LT"/>
        </w:rPr>
        <w:t>ių</w:t>
      </w:r>
      <w:r w:rsidRPr="00DF3A8E">
        <w:rPr>
          <w:lang w:val="lt-LT"/>
        </w:rPr>
        <w:t xml:space="preserve"> apimtis ir tiksliniai galutiniai naudos gavėjai</w:t>
      </w:r>
      <w:bookmarkEnd w:id="366"/>
      <w:bookmarkEnd w:id="367"/>
      <w:bookmarkEnd w:id="368"/>
      <w:bookmarkEnd w:id="369"/>
      <w:r w:rsidRPr="00DF3A8E">
        <w:rPr>
          <w:lang w:val="lt-LT"/>
        </w:rPr>
        <w:t xml:space="preserve"> </w:t>
      </w:r>
    </w:p>
    <w:p w14:paraId="5A50B518" w14:textId="77777777" w:rsidR="007552F3" w:rsidRPr="00AE7E91" w:rsidRDefault="007552F3" w:rsidP="007552F3">
      <w:pPr>
        <w:jc w:val="both"/>
        <w:rPr>
          <w:rFonts w:ascii="Georgia" w:hAnsi="Georgia"/>
          <w:sz w:val="20"/>
          <w:szCs w:val="20"/>
          <w:lang w:val="lt-LT"/>
        </w:rPr>
      </w:pPr>
      <w:r w:rsidRPr="00AE7E91">
        <w:rPr>
          <w:rFonts w:ascii="Georgia" w:hAnsi="Georgia"/>
          <w:sz w:val="20"/>
          <w:szCs w:val="20"/>
          <w:lang w:val="lt-LT"/>
        </w:rPr>
        <w:t xml:space="preserve">Kaip buvo nustatyta šioje analizėje, poreikis energijos efektyvumo projektų įgyvendinimui yra žymiai didesnis nei rinkoje prieinama finansavimo pasiūla. 2.3. </w:t>
      </w:r>
      <w:r>
        <w:rPr>
          <w:rFonts w:ascii="Georgia" w:hAnsi="Georgia"/>
          <w:sz w:val="20"/>
          <w:szCs w:val="20"/>
          <w:lang w:val="lt-LT"/>
        </w:rPr>
        <w:t>skyriuje</w:t>
      </w:r>
      <w:r w:rsidRPr="00AE7E91">
        <w:rPr>
          <w:rFonts w:ascii="Georgia" w:hAnsi="Georgia"/>
          <w:sz w:val="20"/>
          <w:szCs w:val="20"/>
          <w:lang w:val="lt-LT"/>
        </w:rPr>
        <w:t xml:space="preserve"> identifikuotas rinkos finansavimo nepakankamumas, kuris viešųjų pastatų modernizavimui ir gatvių apšvietimo modernizavimui bendrai siekia </w:t>
      </w:r>
      <w:r>
        <w:rPr>
          <w:rFonts w:ascii="Georgia" w:hAnsi="Georgia"/>
          <w:sz w:val="20"/>
          <w:szCs w:val="20"/>
        </w:rPr>
        <w:t>592</w:t>
      </w:r>
      <w:r w:rsidRPr="00AE7E91">
        <w:rPr>
          <w:rFonts w:ascii="Georgia" w:hAnsi="Georgia"/>
          <w:sz w:val="20"/>
          <w:szCs w:val="20"/>
          <w:lang w:val="lt-LT"/>
        </w:rPr>
        <w:t>,</w:t>
      </w:r>
      <w:r>
        <w:rPr>
          <w:rFonts w:ascii="Georgia" w:hAnsi="Georgia"/>
          <w:sz w:val="20"/>
          <w:szCs w:val="20"/>
          <w:lang w:val="lt-LT"/>
        </w:rPr>
        <w:t>5</w:t>
      </w:r>
      <w:r w:rsidRPr="00AE7E91">
        <w:rPr>
          <w:rFonts w:ascii="Georgia" w:hAnsi="Georgia"/>
          <w:sz w:val="20"/>
          <w:szCs w:val="20"/>
          <w:lang w:val="lt-LT"/>
        </w:rPr>
        <w:t xml:space="preserve"> mln. eurų. Atsižvelgiant į tai, kad poreikis investicijoms yra </w:t>
      </w:r>
      <w:r>
        <w:rPr>
          <w:rFonts w:ascii="Georgia" w:hAnsi="Georgia"/>
          <w:sz w:val="20"/>
          <w:szCs w:val="20"/>
          <w:lang w:val="lt-LT"/>
        </w:rPr>
        <w:t>daugiau nei penkis kartus</w:t>
      </w:r>
      <w:r w:rsidRPr="00AE7E91">
        <w:rPr>
          <w:rFonts w:ascii="Georgia" w:hAnsi="Georgia"/>
          <w:sz w:val="20"/>
          <w:szCs w:val="20"/>
          <w:lang w:val="lt-LT"/>
        </w:rPr>
        <w:t xml:space="preserve"> didesnis nei prieinamos lėšos, siekiant patenkinti kuo didesnį poreikį šioms investicijoms bei įgyvendinti daugiau projektų, būtina įgyvendinti </w:t>
      </w:r>
      <w:r>
        <w:rPr>
          <w:rFonts w:ascii="Georgia" w:hAnsi="Georgia"/>
          <w:sz w:val="20"/>
          <w:szCs w:val="20"/>
          <w:lang w:val="lt-LT"/>
        </w:rPr>
        <w:t xml:space="preserve">projektus </w:t>
      </w:r>
      <w:r w:rsidRPr="00AE7E91">
        <w:rPr>
          <w:rFonts w:ascii="Georgia" w:hAnsi="Georgia"/>
          <w:sz w:val="20"/>
          <w:szCs w:val="20"/>
          <w:lang w:val="lt-LT"/>
        </w:rPr>
        <w:t>finansin</w:t>
      </w:r>
      <w:r>
        <w:rPr>
          <w:rFonts w:ascii="Georgia" w:hAnsi="Georgia"/>
          <w:sz w:val="20"/>
          <w:szCs w:val="20"/>
          <w:lang w:val="lt-LT"/>
        </w:rPr>
        <w:t>ių</w:t>
      </w:r>
      <w:r w:rsidRPr="00AE7E91">
        <w:rPr>
          <w:rFonts w:ascii="Georgia" w:hAnsi="Georgia"/>
          <w:sz w:val="20"/>
          <w:szCs w:val="20"/>
          <w:lang w:val="lt-LT"/>
        </w:rPr>
        <w:t xml:space="preserve"> priemon</w:t>
      </w:r>
      <w:r>
        <w:rPr>
          <w:rFonts w:ascii="Georgia" w:hAnsi="Georgia"/>
          <w:sz w:val="20"/>
          <w:szCs w:val="20"/>
          <w:lang w:val="lt-LT"/>
        </w:rPr>
        <w:t>ių pagalba, kur grįžtamos lėšos galėtų būti naudojamos pakartotinai šiam poreikiui patenkinti. Remiantis jautrumo analize būtina atsižvelgti ir į subsidijų/grąžinamųjų subsidijų poreikį, siekiant paspartinti projektų srauto kūrimąsi bet ir padidinti finansinių priemonių patrauklumą bankams, kitoms finansinėms įstaigoms ir svarbiausiai – pastatų administratoriams, atsakingiems už projektų inicijavimą</w:t>
      </w:r>
      <w:r w:rsidRPr="00AE7E91">
        <w:rPr>
          <w:rFonts w:ascii="Georgia" w:hAnsi="Georgia"/>
          <w:sz w:val="20"/>
          <w:szCs w:val="20"/>
          <w:lang w:val="lt-LT"/>
        </w:rPr>
        <w:t>.</w:t>
      </w:r>
    </w:p>
    <w:p w14:paraId="6540410B" w14:textId="77777777" w:rsidR="007552F3" w:rsidRPr="00105B94" w:rsidRDefault="007552F3" w:rsidP="007552F3">
      <w:pPr>
        <w:jc w:val="both"/>
        <w:rPr>
          <w:rFonts w:ascii="Georgia" w:hAnsi="Georgia"/>
          <w:sz w:val="20"/>
          <w:szCs w:val="20"/>
          <w:lang w:val="lt-LT"/>
        </w:rPr>
      </w:pPr>
      <w:r w:rsidRPr="00AE7E91">
        <w:rPr>
          <w:rFonts w:ascii="Georgia" w:hAnsi="Georgia"/>
          <w:sz w:val="20"/>
          <w:szCs w:val="20"/>
          <w:lang w:val="lt-LT"/>
        </w:rPr>
        <w:t xml:space="preserve">4.4.2 skyriuje taip pat buvo nustatyta, kad centrinės valdžios pastatų modernizavimui kiekybiškai </w:t>
      </w:r>
      <w:r>
        <w:rPr>
          <w:rFonts w:ascii="Georgia" w:hAnsi="Georgia"/>
          <w:sz w:val="20"/>
          <w:szCs w:val="20"/>
          <w:lang w:val="lt-LT"/>
        </w:rPr>
        <w:t xml:space="preserve">ir kokybiškai </w:t>
      </w:r>
      <w:r w:rsidRPr="00AE7E91">
        <w:rPr>
          <w:rFonts w:ascii="Georgia" w:hAnsi="Georgia"/>
          <w:sz w:val="20"/>
          <w:szCs w:val="20"/>
          <w:lang w:val="lt-LT"/>
        </w:rPr>
        <w:t>naudingiausias finansinis produktas yra paskol</w:t>
      </w:r>
      <w:r>
        <w:rPr>
          <w:rFonts w:ascii="Georgia" w:hAnsi="Georgia"/>
          <w:sz w:val="20"/>
          <w:szCs w:val="20"/>
          <w:lang w:val="lt-LT"/>
        </w:rPr>
        <w:t>ų teikimas taikant paskolų išpirkimo modelį</w:t>
      </w:r>
      <w:r w:rsidRPr="00AE7E91">
        <w:rPr>
          <w:rFonts w:ascii="Georgia" w:hAnsi="Georgia"/>
          <w:sz w:val="20"/>
          <w:szCs w:val="20"/>
          <w:lang w:val="lt-LT"/>
        </w:rPr>
        <w:t xml:space="preserve">, o gatvių apšvietimo modernizavimo projektams – garantijos. Atsižvelgiant į tai buvo apskaičiuota, </w:t>
      </w:r>
      <w:r>
        <w:rPr>
          <w:rFonts w:ascii="Georgia" w:hAnsi="Georgia"/>
          <w:sz w:val="20"/>
          <w:szCs w:val="20"/>
          <w:lang w:val="lt-LT"/>
        </w:rPr>
        <w:t>kad</w:t>
      </w:r>
      <w:r w:rsidRPr="00AE7E91">
        <w:rPr>
          <w:rFonts w:ascii="Georgia" w:hAnsi="Georgia"/>
          <w:sz w:val="20"/>
          <w:szCs w:val="20"/>
          <w:lang w:val="lt-LT"/>
        </w:rPr>
        <w:t xml:space="preserve"> ESI fondų </w:t>
      </w:r>
      <w:r>
        <w:rPr>
          <w:rFonts w:ascii="Georgia" w:hAnsi="Georgia"/>
          <w:sz w:val="20"/>
          <w:szCs w:val="20"/>
          <w:lang w:val="lt-LT"/>
        </w:rPr>
        <w:t>i</w:t>
      </w:r>
      <w:r w:rsidRPr="00AE7E91">
        <w:rPr>
          <w:rFonts w:ascii="Georgia" w:hAnsi="Georgia"/>
          <w:sz w:val="20"/>
          <w:szCs w:val="20"/>
          <w:lang w:val="lt-LT"/>
        </w:rPr>
        <w:t xml:space="preserve">r kitų lėšų </w:t>
      </w:r>
      <w:r>
        <w:rPr>
          <w:rFonts w:ascii="Georgia" w:hAnsi="Georgia"/>
          <w:sz w:val="20"/>
          <w:szCs w:val="20"/>
          <w:lang w:val="lt-LT"/>
        </w:rPr>
        <w:t>poreikis</w:t>
      </w:r>
      <w:r w:rsidRPr="00AE7E91">
        <w:rPr>
          <w:rFonts w:ascii="Georgia" w:hAnsi="Georgia"/>
          <w:sz w:val="20"/>
          <w:szCs w:val="20"/>
          <w:lang w:val="lt-LT"/>
        </w:rPr>
        <w:t xml:space="preserve"> finansinėms priemonėms siekiant padengti visą 2-ame skyriuje identifikuotą rinkos finansavimo trūkumą </w:t>
      </w:r>
      <w:r w:rsidRPr="00105B94">
        <w:rPr>
          <w:rFonts w:ascii="Georgia" w:hAnsi="Georgia"/>
          <w:sz w:val="20"/>
          <w:szCs w:val="20"/>
          <w:lang w:val="lt-LT"/>
        </w:rPr>
        <w:t xml:space="preserve">centrinės valdžios viešųjų pastatų modernizavimui skirto finansavimo apimtis turėtų būti </w:t>
      </w:r>
      <w:r>
        <w:rPr>
          <w:rFonts w:ascii="Georgia" w:hAnsi="Georgia"/>
          <w:sz w:val="20"/>
          <w:szCs w:val="20"/>
          <w:lang w:val="lt-LT"/>
        </w:rPr>
        <w:t xml:space="preserve">apie </w:t>
      </w:r>
      <w:r>
        <w:rPr>
          <w:rFonts w:ascii="Georgia" w:hAnsi="Georgia"/>
          <w:sz w:val="20"/>
          <w:szCs w:val="20"/>
        </w:rPr>
        <w:t>260</w:t>
      </w:r>
      <w:r w:rsidRPr="00105B94">
        <w:rPr>
          <w:rFonts w:ascii="Georgia" w:hAnsi="Georgia"/>
          <w:sz w:val="20"/>
          <w:szCs w:val="20"/>
          <w:lang w:val="lt-LT"/>
        </w:rPr>
        <w:t xml:space="preserve"> mln. eurų, o gatvių apšvietimo modernizavimui skirtos garantijų priemonės apimtis turėtų būti </w:t>
      </w:r>
      <w:r>
        <w:rPr>
          <w:rFonts w:ascii="Georgia" w:hAnsi="Georgia"/>
          <w:sz w:val="20"/>
          <w:szCs w:val="20"/>
          <w:lang w:val="lt-LT"/>
        </w:rPr>
        <w:t>apie 44,5</w:t>
      </w:r>
      <w:r w:rsidRPr="00105B94">
        <w:rPr>
          <w:rFonts w:ascii="Georgia" w:hAnsi="Georgia"/>
          <w:sz w:val="20"/>
          <w:szCs w:val="20"/>
          <w:lang w:val="lt-LT"/>
        </w:rPr>
        <w:t xml:space="preserve"> mln. eurų</w:t>
      </w:r>
      <w:r>
        <w:rPr>
          <w:rStyle w:val="Puslapioinaosnuoroda"/>
          <w:rFonts w:ascii="Georgia" w:hAnsi="Georgia"/>
          <w:sz w:val="20"/>
          <w:szCs w:val="20"/>
          <w:lang w:val="lt-LT"/>
        </w:rPr>
        <w:footnoteReference w:id="189"/>
      </w:r>
      <w:r w:rsidRPr="00105B94">
        <w:rPr>
          <w:rFonts w:ascii="Georgia" w:hAnsi="Georgia"/>
          <w:sz w:val="20"/>
          <w:szCs w:val="20"/>
          <w:lang w:val="lt-LT"/>
        </w:rPr>
        <w:t xml:space="preserve">. </w:t>
      </w:r>
      <w:r>
        <w:rPr>
          <w:rFonts w:ascii="Georgia" w:hAnsi="Georgia"/>
          <w:sz w:val="20"/>
          <w:szCs w:val="20"/>
          <w:lang w:val="lt-LT"/>
        </w:rPr>
        <w:t xml:space="preserve">Pastebėtina, jog net esant pakankamam lėšų dydžiui fonde viešųjų pastatų renovacijos projektams, to nepakaktų užpildyti visą rinkos finansavimo trūkumą, nes pastatų valdytojams trūksta motyvacijos inicijuoti projektus, pastebimas kompetencijų trūkumas įgyvendinant ESCO projektus bei dėl griežtų taisyklių ir reikalavimų keblus energijos efektyvumo elementų renovacijos derinimas su kitais remonto elementais (pvz. vartai, nuotekos, priešgaisrinė sistema ir pan.). Todėl rinkos trūkumą būtina spręsti kompleksiškai, atsižvelgiant ne tik į lėšų stygių, tačiau skatinant ir (ar) įpareigojant centrinės valdžios subjektus moderizuoti pastatus. </w:t>
      </w:r>
    </w:p>
    <w:p w14:paraId="6D0C2F57" w14:textId="77777777" w:rsidR="007552F3" w:rsidRDefault="007552F3" w:rsidP="007552F3">
      <w:pPr>
        <w:pStyle w:val="prastasis1"/>
        <w:spacing w:line="276" w:lineRule="auto"/>
        <w:jc w:val="both"/>
        <w:rPr>
          <w:rFonts w:ascii="Georgia" w:hAnsi="Georgia"/>
          <w:sz w:val="20"/>
          <w:szCs w:val="20"/>
        </w:rPr>
      </w:pPr>
      <w:r>
        <w:rPr>
          <w:rFonts w:ascii="Georgia" w:hAnsi="Georgia"/>
          <w:sz w:val="20"/>
          <w:szCs w:val="20"/>
        </w:rPr>
        <w:lastRenderedPageBreak/>
        <w:t>Vadovaujantis Bendrųjų nuostatų reglamento galutinio naudos gavėjo apibrėžimu</w:t>
      </w:r>
      <w:r>
        <w:rPr>
          <w:rStyle w:val="Puslapioinaosnuoroda"/>
          <w:rFonts w:ascii="Georgia" w:hAnsi="Georgia"/>
          <w:sz w:val="20"/>
          <w:szCs w:val="20"/>
        </w:rPr>
        <w:footnoteReference w:id="190"/>
      </w:r>
      <w:r>
        <w:rPr>
          <w:rFonts w:ascii="Georgia" w:hAnsi="Georgia"/>
          <w:sz w:val="20"/>
          <w:szCs w:val="20"/>
        </w:rPr>
        <w:t xml:space="preserve">, finansinės priemonės lėšomis finansuojami galutiniai naudos gavėjai yra subjektai, kurių nuosavybės teise valdomi pastatai yra renovuojami pasinaudojant finansinės priemonės lėšomis. </w:t>
      </w:r>
    </w:p>
    <w:p w14:paraId="07810F79" w14:textId="77777777" w:rsidR="007552F3" w:rsidRDefault="007552F3" w:rsidP="007552F3">
      <w:pPr>
        <w:pStyle w:val="prastasis1"/>
        <w:spacing w:line="276" w:lineRule="auto"/>
        <w:jc w:val="both"/>
        <w:rPr>
          <w:rFonts w:ascii="Georgia" w:hAnsi="Georgia"/>
          <w:sz w:val="20"/>
          <w:szCs w:val="20"/>
        </w:rPr>
      </w:pPr>
      <w:r>
        <w:rPr>
          <w:rFonts w:ascii="Georgia" w:hAnsi="Georgia"/>
          <w:sz w:val="20"/>
          <w:szCs w:val="20"/>
        </w:rPr>
        <w:t>Centrinės valdžios pastatų modernizavimo atveju gautiniais naudos gavėjais bus laikomi centrinės valdžios pastatų savininkai/valdytojai.</w:t>
      </w:r>
    </w:p>
    <w:p w14:paraId="7D3B59F6" w14:textId="77777777" w:rsidR="007552F3" w:rsidRDefault="007552F3" w:rsidP="007552F3">
      <w:pPr>
        <w:pStyle w:val="prastasis1"/>
        <w:spacing w:line="276" w:lineRule="auto"/>
        <w:jc w:val="both"/>
        <w:rPr>
          <w:rFonts w:ascii="Georgia" w:hAnsi="Georgia"/>
          <w:sz w:val="20"/>
          <w:szCs w:val="20"/>
        </w:rPr>
      </w:pPr>
      <w:r>
        <w:rPr>
          <w:rFonts w:ascii="Georgia" w:hAnsi="Georgia"/>
          <w:sz w:val="20"/>
          <w:szCs w:val="20"/>
        </w:rPr>
        <w:t xml:space="preserve">Atsižvelgiant į tai, kad dauguma savivaldybių gatvių apšvietimo tinklų priežiūros funkciją ir visas su gatvių apšvietimo tinklo priežiūra susijusias veiklas (tame tarpe ir investicijas) yra perdavę savivaldybių įmonėms ar savivaldybių kontroliuojamoms įmonėms (tokioms kaip pvz. UAB Vilniaus gatvių apšvietimo elektros tinklai, UAB Jonavos paslaugos ir t.t.), savivaldybės gali pavesti gatvių apšvietimo modernizavimo projekto įgyvendinimą tokiai savivaldybės įmonei ar savivaldybės kontroliuojamai įmonei. Taip pat siekiant neapriboti savivaldybių pasirinkimo teisės savivaldybės (savivaldybių administracijos) galėtų pasirinkti įgyvendinti projektus pačios, arba viešųjų pirkimų būdu atrinkti ESCO įmonę. Atsižvelgiant į tai galutiniais naudos gavėjais, gatvių apšvietimo modernizavimo atveju, bus laikomos savivaldybės, kurioms per tarpininkus (pvz. ESCO) teikiamos finansinės priemonės. </w:t>
      </w:r>
    </w:p>
    <w:p w14:paraId="68F73DBB" w14:textId="77777777" w:rsidR="007552F3" w:rsidRPr="00105B94" w:rsidRDefault="007552F3" w:rsidP="007552F3">
      <w:pPr>
        <w:pStyle w:val="prastasis1"/>
        <w:spacing w:line="276" w:lineRule="auto"/>
        <w:jc w:val="both"/>
        <w:rPr>
          <w:rFonts w:ascii="Georgia" w:hAnsi="Georgia"/>
          <w:sz w:val="20"/>
          <w:szCs w:val="20"/>
        </w:rPr>
      </w:pPr>
      <w:r>
        <w:rPr>
          <w:rFonts w:ascii="Georgia" w:hAnsi="Georgia"/>
          <w:sz w:val="20"/>
          <w:szCs w:val="20"/>
        </w:rPr>
        <w:t>Atkreiptinas dėmesys, kad galutinė projekto nauda ir rezultatai didžiąja dalimi atitenka viešiesiems centrinės valdžios pastatams bei savivaldybėms, kurioms priklauso gatvių apšvietimo tinklai. Pastarosios institucijos, įgyvendinus projektus, turės energetiškai efektyvius, komfortiškai modernizuotus pastatus, taip pat efektyvesnį, geriau valdomą ir prižiūrėtą gatvių apšvietimo tinklą, be to, pasibaigus sutarties su ESCO kompanija laikotarpiui, turės daug mažesnes energijos sąnaudas.</w:t>
      </w:r>
    </w:p>
    <w:p w14:paraId="70082970" w14:textId="77777777" w:rsidR="007552F3" w:rsidRPr="00AC3318" w:rsidRDefault="007552F3" w:rsidP="007552F3">
      <w:pPr>
        <w:pStyle w:val="prastasis1"/>
        <w:spacing w:line="276" w:lineRule="auto"/>
        <w:jc w:val="both"/>
        <w:rPr>
          <w:rFonts w:ascii="Georgia" w:hAnsi="Georgia"/>
          <w:sz w:val="20"/>
          <w:szCs w:val="20"/>
        </w:rPr>
      </w:pPr>
      <w:r w:rsidRPr="00105B94">
        <w:rPr>
          <w:rFonts w:ascii="Georgia" w:hAnsi="Georgia"/>
          <w:sz w:val="20"/>
          <w:szCs w:val="20"/>
        </w:rPr>
        <w:t>Pažymėtina, kad siekiant užtikrinti gatvių apšvietimo modernizavimo finansinės priemonės darną su Veiksmų programos siektinais tikslais, gatvių apšvietimo modernizavim</w:t>
      </w:r>
      <w:r>
        <w:rPr>
          <w:rFonts w:ascii="Georgia" w:hAnsi="Georgia"/>
          <w:sz w:val="20"/>
          <w:szCs w:val="20"/>
        </w:rPr>
        <w:t>as</w:t>
      </w:r>
      <w:r w:rsidRPr="00105B94">
        <w:rPr>
          <w:rFonts w:ascii="Georgia" w:hAnsi="Georgia"/>
          <w:sz w:val="20"/>
          <w:szCs w:val="20"/>
        </w:rPr>
        <w:t xml:space="preserve"> turėtų būti </w:t>
      </w:r>
      <w:r>
        <w:rPr>
          <w:rFonts w:ascii="Georgia" w:hAnsi="Georgia"/>
          <w:sz w:val="20"/>
          <w:szCs w:val="20"/>
        </w:rPr>
        <w:t>įgyvendinamas</w:t>
      </w:r>
      <w:r w:rsidRPr="00105B94">
        <w:rPr>
          <w:rFonts w:ascii="Georgia" w:hAnsi="Georgia"/>
          <w:sz w:val="20"/>
          <w:szCs w:val="20"/>
        </w:rPr>
        <w:t xml:space="preserve"> </w:t>
      </w:r>
      <w:r>
        <w:rPr>
          <w:rFonts w:ascii="Georgia" w:hAnsi="Georgia"/>
          <w:sz w:val="20"/>
          <w:szCs w:val="20"/>
        </w:rPr>
        <w:t xml:space="preserve">miestuose ir prie jų esančiose gyvenvietėse , bet </w:t>
      </w:r>
      <w:r w:rsidRPr="00105B94">
        <w:rPr>
          <w:rFonts w:ascii="Georgia" w:hAnsi="Georgia"/>
          <w:sz w:val="20"/>
          <w:szCs w:val="20"/>
        </w:rPr>
        <w:t>ne rajonuose.</w:t>
      </w:r>
      <w:r>
        <w:rPr>
          <w:rFonts w:ascii="Georgia" w:hAnsi="Georgia"/>
          <w:sz w:val="20"/>
          <w:szCs w:val="20"/>
        </w:rPr>
        <w:t xml:space="preserve"> </w:t>
      </w:r>
    </w:p>
    <w:p w14:paraId="042AAD38" w14:textId="77777777" w:rsidR="007552F3" w:rsidRPr="00DF3A8E" w:rsidRDefault="007552F3" w:rsidP="007552F3">
      <w:pPr>
        <w:pStyle w:val="Antrat2"/>
        <w:numPr>
          <w:ilvl w:val="2"/>
          <w:numId w:val="2"/>
        </w:numPr>
        <w:spacing w:after="240"/>
        <w:ind w:left="709"/>
        <w:rPr>
          <w:lang w:val="lt-LT"/>
        </w:rPr>
      </w:pPr>
      <w:bookmarkStart w:id="370" w:name="_Toc398043863"/>
      <w:bookmarkStart w:id="371" w:name="_Toc398567615"/>
      <w:bookmarkStart w:id="372" w:name="_Toc503196429"/>
      <w:bookmarkStart w:id="373" w:name="_Toc25589977"/>
      <w:r w:rsidRPr="00DF3A8E">
        <w:rPr>
          <w:lang w:val="lt-LT"/>
        </w:rPr>
        <w:t>Finansinio produkto parinkimas</w:t>
      </w:r>
      <w:bookmarkEnd w:id="370"/>
      <w:bookmarkEnd w:id="371"/>
      <w:bookmarkEnd w:id="372"/>
      <w:bookmarkEnd w:id="373"/>
    </w:p>
    <w:p w14:paraId="7443F6D0"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4-iame skyriuje buvo analizuojami ir vertinami įvairūs finansiniai produktai, skaičiuojamas jų multiplikatoriaus efektas bei galimybės pritraukti papildomas privačias lėšas (sverto efektas). Viešųjų pastatų ir gatvių apšvietimo modernizavimo įgyvendinimui siūlomi finansiniai produktai, parinkti pagal geriausius kiekybinius rezultatus, detalizuojami žemiau. </w:t>
      </w:r>
    </w:p>
    <w:p w14:paraId="6E606F9D" w14:textId="77777777" w:rsidR="007552F3" w:rsidRPr="00AA32EA" w:rsidRDefault="007552F3" w:rsidP="007552F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 xml:space="preserve">Centrinės valdžios </w:t>
      </w:r>
      <w:r>
        <w:rPr>
          <w:rFonts w:ascii="Georgia" w:eastAsia="Times New Roman" w:hAnsi="Georgia" w:cs="Times New Roman"/>
          <w:b/>
          <w:sz w:val="20"/>
          <w:szCs w:val="20"/>
          <w:lang w:val="lt-LT" w:eastAsia="lt-LT"/>
        </w:rPr>
        <w:t xml:space="preserve">viešųjų </w:t>
      </w:r>
      <w:r w:rsidRPr="00AA32EA">
        <w:rPr>
          <w:rFonts w:ascii="Georgia" w:eastAsia="Times New Roman" w:hAnsi="Georgia" w:cs="Times New Roman"/>
          <w:b/>
          <w:sz w:val="20"/>
          <w:szCs w:val="20"/>
          <w:lang w:val="lt-LT" w:eastAsia="lt-LT"/>
        </w:rPr>
        <w:t>pastatų modernizavimas</w:t>
      </w:r>
    </w:p>
    <w:p w14:paraId="04A6C32A" w14:textId="77777777" w:rsidR="007552F3" w:rsidRPr="00AC3318" w:rsidRDefault="007552F3" w:rsidP="007552F3">
      <w:pPr>
        <w:pStyle w:val="prastasis1"/>
        <w:spacing w:line="276" w:lineRule="auto"/>
        <w:jc w:val="both"/>
        <w:rPr>
          <w:rFonts w:ascii="Georgia" w:hAnsi="Georgia"/>
          <w:sz w:val="20"/>
          <w:szCs w:val="20"/>
        </w:rPr>
      </w:pPr>
      <w:r>
        <w:rPr>
          <w:rFonts w:ascii="Georgia" w:hAnsi="Georgia"/>
          <w:sz w:val="20"/>
          <w:szCs w:val="20"/>
        </w:rPr>
        <w:t>Centrinės valdžios v</w:t>
      </w:r>
      <w:r w:rsidRPr="00AC3318">
        <w:rPr>
          <w:rFonts w:ascii="Georgia" w:hAnsi="Georgia"/>
          <w:sz w:val="20"/>
          <w:szCs w:val="20"/>
        </w:rPr>
        <w:t xml:space="preserve">iešųjų pastatų </w:t>
      </w:r>
      <w:r>
        <w:rPr>
          <w:rFonts w:ascii="Georgia" w:hAnsi="Georgia"/>
          <w:sz w:val="20"/>
          <w:szCs w:val="20"/>
        </w:rPr>
        <w:t>modernizavimui</w:t>
      </w:r>
      <w:r w:rsidRPr="00AC3318">
        <w:rPr>
          <w:rFonts w:ascii="Georgia" w:hAnsi="Georgia"/>
          <w:sz w:val="20"/>
          <w:szCs w:val="20"/>
        </w:rPr>
        <w:t xml:space="preserve"> buvo įvertinti (</w:t>
      </w:r>
      <w:r>
        <w:rPr>
          <w:rFonts w:ascii="Georgia" w:hAnsi="Georgia"/>
          <w:sz w:val="20"/>
          <w:szCs w:val="20"/>
        </w:rPr>
        <w:t>4</w:t>
      </w:r>
      <w:r w:rsidRPr="00AC3318">
        <w:rPr>
          <w:rFonts w:ascii="Georgia" w:hAnsi="Georgia"/>
          <w:sz w:val="20"/>
          <w:szCs w:val="20"/>
        </w:rPr>
        <w:t>.1.</w:t>
      </w:r>
      <w:r>
        <w:rPr>
          <w:rFonts w:ascii="Georgia" w:hAnsi="Georgia"/>
          <w:sz w:val="20"/>
          <w:szCs w:val="20"/>
          <w:lang w:val="en-US"/>
        </w:rPr>
        <w:t>3.1</w:t>
      </w:r>
      <w:r w:rsidRPr="00AC3318">
        <w:rPr>
          <w:rFonts w:ascii="Georgia" w:hAnsi="Georgia"/>
          <w:sz w:val="20"/>
          <w:szCs w:val="20"/>
        </w:rPr>
        <w:t xml:space="preserve"> </w:t>
      </w:r>
      <w:r>
        <w:rPr>
          <w:rFonts w:ascii="Georgia" w:hAnsi="Georgia"/>
          <w:sz w:val="20"/>
          <w:szCs w:val="20"/>
        </w:rPr>
        <w:t>skyrius</w:t>
      </w:r>
      <w:r w:rsidRPr="00AC3318">
        <w:rPr>
          <w:rFonts w:ascii="Georgia" w:hAnsi="Georgia"/>
          <w:sz w:val="20"/>
          <w:szCs w:val="20"/>
        </w:rPr>
        <w:t xml:space="preserve">) </w:t>
      </w:r>
      <w:r>
        <w:rPr>
          <w:rFonts w:ascii="Georgia" w:hAnsi="Georgia"/>
          <w:sz w:val="20"/>
          <w:szCs w:val="20"/>
        </w:rPr>
        <w:t>keturi</w:t>
      </w:r>
      <w:r w:rsidRPr="00AC3318">
        <w:rPr>
          <w:rFonts w:ascii="Georgia" w:hAnsi="Georgia"/>
          <w:sz w:val="20"/>
          <w:szCs w:val="20"/>
        </w:rPr>
        <w:t xml:space="preserve"> scenarijai su skirtingais </w:t>
      </w:r>
      <w:r>
        <w:rPr>
          <w:rFonts w:ascii="Georgia" w:hAnsi="Georgia"/>
          <w:sz w:val="20"/>
          <w:szCs w:val="20"/>
        </w:rPr>
        <w:t xml:space="preserve">administravimo </w:t>
      </w:r>
      <w:r w:rsidRPr="00AC3318">
        <w:rPr>
          <w:rFonts w:ascii="Georgia" w:hAnsi="Georgia"/>
          <w:sz w:val="20"/>
          <w:szCs w:val="20"/>
        </w:rPr>
        <w:t xml:space="preserve">modeliais ir finansinėmis </w:t>
      </w:r>
      <w:r>
        <w:rPr>
          <w:rFonts w:ascii="Georgia" w:hAnsi="Georgia"/>
          <w:sz w:val="20"/>
          <w:szCs w:val="20"/>
        </w:rPr>
        <w:t xml:space="preserve">priemonėmis. </w:t>
      </w:r>
      <w:r w:rsidRPr="00AC3318">
        <w:rPr>
          <w:rFonts w:ascii="Georgia" w:hAnsi="Georgia"/>
          <w:sz w:val="20"/>
          <w:szCs w:val="20"/>
        </w:rPr>
        <w:t>Nustatyta, kad didžiausią pridėtin</w:t>
      </w:r>
      <w:r>
        <w:rPr>
          <w:rFonts w:ascii="Georgia" w:hAnsi="Georgia"/>
          <w:sz w:val="20"/>
          <w:szCs w:val="20"/>
        </w:rPr>
        <w:t>ę</w:t>
      </w:r>
      <w:r w:rsidRPr="00AC3318">
        <w:rPr>
          <w:rFonts w:ascii="Georgia" w:hAnsi="Georgia"/>
          <w:sz w:val="20"/>
          <w:szCs w:val="20"/>
        </w:rPr>
        <w:t xml:space="preserve"> vertę turi </w:t>
      </w:r>
      <w:r>
        <w:rPr>
          <w:rFonts w:ascii="Georgia" w:hAnsi="Georgia"/>
          <w:sz w:val="20"/>
          <w:szCs w:val="20"/>
        </w:rPr>
        <w:t>alternatyva</w:t>
      </w:r>
      <w:r w:rsidRPr="00AC3318">
        <w:rPr>
          <w:rFonts w:ascii="Georgia" w:hAnsi="Georgia"/>
          <w:sz w:val="20"/>
          <w:szCs w:val="20"/>
        </w:rPr>
        <w:t>, kurio</w:t>
      </w:r>
      <w:r>
        <w:rPr>
          <w:rFonts w:ascii="Georgia" w:hAnsi="Georgia"/>
          <w:sz w:val="20"/>
          <w:szCs w:val="20"/>
        </w:rPr>
        <w:t>s</w:t>
      </w:r>
      <w:r w:rsidRPr="00AC3318">
        <w:rPr>
          <w:rFonts w:ascii="Georgia" w:hAnsi="Georgia"/>
          <w:sz w:val="20"/>
          <w:szCs w:val="20"/>
        </w:rPr>
        <w:t xml:space="preserve"> metu </w:t>
      </w:r>
      <w:r>
        <w:rPr>
          <w:rFonts w:ascii="Georgia" w:hAnsi="Georgia"/>
          <w:sz w:val="20"/>
          <w:szCs w:val="20"/>
        </w:rPr>
        <w:t>teikiamos paskolos ir taikomas paskolų išpirkimo modelis (pvz. forfeitingas ar pakeitimo vertybiniais popieriais). ESI lėšos naudojamos sukuriant pirminį renovacijos projektų srautą, ir siekiant sumažinti privačių investuotojų riziką jiems parduodami paskolų pinigų srautai. G</w:t>
      </w:r>
      <w:r w:rsidRPr="00AC3318">
        <w:rPr>
          <w:rFonts w:ascii="Georgia" w:hAnsi="Georgia"/>
          <w:sz w:val="20"/>
          <w:szCs w:val="20"/>
        </w:rPr>
        <w:t>rįž</w:t>
      </w:r>
      <w:r>
        <w:rPr>
          <w:rFonts w:ascii="Georgia" w:hAnsi="Georgia"/>
          <w:sz w:val="20"/>
          <w:szCs w:val="20"/>
        </w:rPr>
        <w:t>usios</w:t>
      </w:r>
      <w:r w:rsidRPr="00AC3318">
        <w:rPr>
          <w:rFonts w:ascii="Georgia" w:hAnsi="Georgia"/>
          <w:sz w:val="20"/>
          <w:szCs w:val="20"/>
        </w:rPr>
        <w:t xml:space="preserve"> </w:t>
      </w:r>
      <w:r>
        <w:rPr>
          <w:rFonts w:ascii="Georgia" w:hAnsi="Georgia"/>
          <w:sz w:val="20"/>
          <w:szCs w:val="20"/>
        </w:rPr>
        <w:t>lėšos yra</w:t>
      </w:r>
      <w:r w:rsidRPr="00AC3318">
        <w:rPr>
          <w:rFonts w:ascii="Georgia" w:hAnsi="Georgia"/>
          <w:sz w:val="20"/>
          <w:szCs w:val="20"/>
        </w:rPr>
        <w:t xml:space="preserve"> </w:t>
      </w:r>
      <w:r>
        <w:rPr>
          <w:rFonts w:ascii="Georgia" w:hAnsi="Georgia"/>
          <w:sz w:val="20"/>
          <w:szCs w:val="20"/>
        </w:rPr>
        <w:t xml:space="preserve">naudojamos tiems patiems tikslams – kitų centrinės valdžios renovacijos </w:t>
      </w:r>
      <w:r w:rsidRPr="00AC3318">
        <w:rPr>
          <w:rFonts w:ascii="Georgia" w:hAnsi="Georgia"/>
          <w:sz w:val="20"/>
          <w:szCs w:val="20"/>
        </w:rPr>
        <w:t>projekt</w:t>
      </w:r>
      <w:r>
        <w:rPr>
          <w:rFonts w:ascii="Georgia" w:hAnsi="Georgia"/>
          <w:sz w:val="20"/>
          <w:szCs w:val="20"/>
        </w:rPr>
        <w:t>ų finansavimui</w:t>
      </w:r>
      <w:r w:rsidRPr="00AC3318">
        <w:rPr>
          <w:rFonts w:ascii="Georgia" w:hAnsi="Georgia"/>
          <w:sz w:val="20"/>
          <w:szCs w:val="20"/>
        </w:rPr>
        <w:t>.</w:t>
      </w:r>
      <w:r>
        <w:rPr>
          <w:rFonts w:ascii="Georgia" w:hAnsi="Georgia"/>
          <w:sz w:val="20"/>
          <w:szCs w:val="20"/>
        </w:rPr>
        <w:t xml:space="preserve"> Įnašas ir (ar) grįžusios lėšos taip pat galėtų būti naudojamos asimetrinio rizikos pasidalijimo modelio įgyvendinimui.</w:t>
      </w:r>
    </w:p>
    <w:p w14:paraId="0C99CFBE" w14:textId="77777777" w:rsidR="007552F3" w:rsidRPr="005B31C6" w:rsidRDefault="007552F3" w:rsidP="007552F3">
      <w:pPr>
        <w:pStyle w:val="prastasis1"/>
        <w:spacing w:line="276" w:lineRule="auto"/>
        <w:jc w:val="both"/>
        <w:rPr>
          <w:rFonts w:ascii="Georgia" w:hAnsi="Georgia"/>
          <w:sz w:val="20"/>
          <w:szCs w:val="20"/>
          <w:lang w:val="en-US"/>
        </w:rPr>
      </w:pPr>
      <w:r w:rsidRPr="00AC3318">
        <w:rPr>
          <w:rFonts w:ascii="Georgia" w:hAnsi="Georgia"/>
          <w:sz w:val="20"/>
          <w:szCs w:val="20"/>
        </w:rPr>
        <w:t xml:space="preserve">Atsižvelgiant į </w:t>
      </w:r>
      <w:r>
        <w:rPr>
          <w:rFonts w:ascii="Georgia" w:hAnsi="Georgia"/>
          <w:sz w:val="20"/>
          <w:szCs w:val="20"/>
        </w:rPr>
        <w:t xml:space="preserve">4.1 ir </w:t>
      </w:r>
      <w:r>
        <w:rPr>
          <w:rFonts w:ascii="Georgia" w:hAnsi="Georgia"/>
          <w:sz w:val="20"/>
          <w:szCs w:val="20"/>
          <w:lang w:val="en-US"/>
        </w:rPr>
        <w:t>4.2</w:t>
      </w:r>
      <w:r>
        <w:rPr>
          <w:rFonts w:ascii="Georgia" w:hAnsi="Georgia"/>
          <w:sz w:val="20"/>
          <w:szCs w:val="20"/>
        </w:rPr>
        <w:t xml:space="preserve"> dalyse</w:t>
      </w:r>
      <w:r w:rsidRPr="00AC3318">
        <w:rPr>
          <w:rFonts w:ascii="Georgia" w:hAnsi="Georgia"/>
          <w:sz w:val="20"/>
          <w:szCs w:val="20"/>
        </w:rPr>
        <w:t xml:space="preserve"> išdėstytus kiekvienos alternatyvos privalumus ir trūkumus bei prognozuojamą lėšų poreikį tai priemonei įgyvendinti ir tikėtiną finansinio sverto rodiklį, siūloma vadovaujančiai institucijai kartu su Energetikos ministerija pasirinkti</w:t>
      </w:r>
      <w:r>
        <w:rPr>
          <w:rFonts w:ascii="Georgia" w:hAnsi="Georgia"/>
          <w:sz w:val="20"/>
          <w:szCs w:val="20"/>
        </w:rPr>
        <w:t xml:space="preserve"> </w:t>
      </w:r>
      <w:r w:rsidRPr="00AC3318">
        <w:rPr>
          <w:rFonts w:ascii="Georgia" w:hAnsi="Georgia"/>
          <w:sz w:val="20"/>
          <w:szCs w:val="20"/>
        </w:rPr>
        <w:t xml:space="preserve">paskolų </w:t>
      </w:r>
      <w:r>
        <w:rPr>
          <w:rFonts w:ascii="Georgia" w:hAnsi="Georgia"/>
          <w:sz w:val="20"/>
          <w:szCs w:val="20"/>
        </w:rPr>
        <w:t xml:space="preserve">teikimą kaip finansinį produktą, o atsiradus projektų srautui ir (ar) projektų finansavimo istorijai ir (ar) atsiradus galimybei pritraukti privačias lėšas - taikyti </w:t>
      </w:r>
      <w:r>
        <w:rPr>
          <w:rFonts w:ascii="Georgia" w:hAnsi="Georgia"/>
          <w:sz w:val="20"/>
          <w:szCs w:val="20"/>
        </w:rPr>
        <w:lastRenderedPageBreak/>
        <w:t>paskolų išpirkimo modelį ir (ar) asimetrinį rizikos pasidalijimo modelį privačioms lėšoms pritraukti</w:t>
      </w:r>
      <w:r w:rsidRPr="00AC3318">
        <w:rPr>
          <w:rFonts w:ascii="Georgia" w:hAnsi="Georgia"/>
          <w:sz w:val="20"/>
          <w:szCs w:val="20"/>
        </w:rPr>
        <w:t xml:space="preserve">. </w:t>
      </w:r>
      <w:r>
        <w:rPr>
          <w:rFonts w:ascii="Georgia" w:hAnsi="Georgia"/>
          <w:sz w:val="20"/>
          <w:szCs w:val="20"/>
        </w:rPr>
        <w:t>Atsižvelgiant į tai, kad produkto nustatoma finansavimo kaina gali skirtis, nuo privačių finansuotojų teikiamų finansavimo salygų, esant poreikiui rekomenduojama apsvarstyti galimybę grįžtančias lėšas panaudoti investuotojams pirmumo tvarka atlyginti, kaip tai numatyta</w:t>
      </w:r>
      <w:r w:rsidRPr="00AF6CAB">
        <w:t xml:space="preserve"> </w:t>
      </w:r>
      <w:r w:rsidRPr="00AF6CAB">
        <w:rPr>
          <w:rFonts w:ascii="Georgia" w:hAnsi="Georgia"/>
          <w:sz w:val="20"/>
          <w:szCs w:val="20"/>
        </w:rPr>
        <w:t>Bendrųjų nuostatų reglamento 44 straipsnio 1 dal</w:t>
      </w:r>
      <w:r>
        <w:rPr>
          <w:rFonts w:ascii="Georgia" w:hAnsi="Georgia"/>
          <w:sz w:val="20"/>
          <w:szCs w:val="20"/>
        </w:rPr>
        <w:t>yje.</w:t>
      </w:r>
    </w:p>
    <w:p w14:paraId="03C36952" w14:textId="77777777" w:rsidR="007552F3" w:rsidRPr="00AC3318" w:rsidRDefault="007552F3" w:rsidP="007552F3">
      <w:pPr>
        <w:pStyle w:val="prastasis1"/>
        <w:spacing w:line="276" w:lineRule="auto"/>
        <w:jc w:val="both"/>
        <w:rPr>
          <w:rFonts w:ascii="Georgia" w:hAnsi="Georgia"/>
          <w:sz w:val="20"/>
          <w:szCs w:val="20"/>
        </w:rPr>
      </w:pPr>
      <w:r w:rsidRPr="00AC3318">
        <w:rPr>
          <w:rFonts w:ascii="Georgia" w:hAnsi="Georgia"/>
          <w:sz w:val="20"/>
          <w:szCs w:val="20"/>
        </w:rPr>
        <w:t xml:space="preserve">Siūlomas finansinis </w:t>
      </w:r>
      <w:r>
        <w:rPr>
          <w:rFonts w:ascii="Georgia" w:hAnsi="Georgia"/>
          <w:sz w:val="20"/>
          <w:szCs w:val="20"/>
        </w:rPr>
        <w:t>mechanizmas</w:t>
      </w:r>
      <w:r w:rsidRPr="00AC3318">
        <w:rPr>
          <w:rFonts w:ascii="Georgia" w:hAnsi="Georgia"/>
          <w:sz w:val="20"/>
          <w:szCs w:val="20"/>
        </w:rPr>
        <w:t xml:space="preserve"> –</w:t>
      </w:r>
      <w:r>
        <w:rPr>
          <w:rFonts w:ascii="Georgia" w:hAnsi="Georgia"/>
          <w:sz w:val="20"/>
          <w:szCs w:val="20"/>
        </w:rPr>
        <w:t xml:space="preserve"> paskolų teikimas taikant paskolų išpirkimo modelį arba</w:t>
      </w:r>
      <w:r w:rsidRPr="00AC3318">
        <w:rPr>
          <w:rFonts w:ascii="Georgia" w:hAnsi="Georgia"/>
          <w:sz w:val="20"/>
          <w:szCs w:val="20"/>
        </w:rPr>
        <w:t xml:space="preserve"> </w:t>
      </w:r>
      <w:r>
        <w:rPr>
          <w:rFonts w:ascii="Georgia" w:hAnsi="Georgia"/>
          <w:sz w:val="20"/>
          <w:szCs w:val="20"/>
        </w:rPr>
        <w:t>asimetrinio rizikos pasidalijimo modelio pagrindu pritraukiant papildomų lėšų (lėšų pritraukimo būdo pasirinkimą deleguojant finansinės priemonės ar fondų fondo valdytojui)</w:t>
      </w:r>
      <w:r w:rsidRPr="00AC3318">
        <w:rPr>
          <w:rFonts w:ascii="Georgia" w:hAnsi="Georgia"/>
          <w:sz w:val="20"/>
          <w:szCs w:val="20"/>
        </w:rPr>
        <w:t xml:space="preserve">. </w:t>
      </w:r>
      <w:r>
        <w:rPr>
          <w:rFonts w:ascii="Georgia" w:hAnsi="Georgia"/>
          <w:sz w:val="20"/>
          <w:szCs w:val="20"/>
        </w:rPr>
        <w:t>Atsižvelgiant į tai, kad, jautrumo analizėje nustatytas subsidijos poreikis, Energetikos ir Finansų ministerijoms  rekomenduojama ieškoti papildomų lėšų šaltinių, iš kurių galimai būtų teikiama subsidija projektams</w:t>
      </w:r>
      <w:r w:rsidRPr="005B4195">
        <w:rPr>
          <w:rFonts w:ascii="Georgia" w:hAnsi="Georgia"/>
          <w:sz w:val="20"/>
          <w:szCs w:val="20"/>
        </w:rPr>
        <w:t>.</w:t>
      </w:r>
      <w:r>
        <w:rPr>
          <w:rFonts w:ascii="Georgia" w:hAnsi="Georgia"/>
          <w:sz w:val="20"/>
          <w:szCs w:val="20"/>
        </w:rPr>
        <w:t xml:space="preserve"> </w:t>
      </w:r>
    </w:p>
    <w:p w14:paraId="7AAC123A" w14:textId="77777777" w:rsidR="007552F3" w:rsidRPr="00640DEC" w:rsidRDefault="007552F3" w:rsidP="007552F3">
      <w:pPr>
        <w:pStyle w:val="prastasis1"/>
        <w:spacing w:line="276" w:lineRule="auto"/>
        <w:jc w:val="both"/>
        <w:rPr>
          <w:rFonts w:ascii="Georgia" w:hAnsi="Georgia"/>
          <w:b/>
          <w:i/>
          <w:sz w:val="20"/>
          <w:szCs w:val="20"/>
        </w:rPr>
      </w:pPr>
      <w:r w:rsidRPr="00640DEC">
        <w:rPr>
          <w:rFonts w:ascii="Georgia" w:hAnsi="Georgia"/>
          <w:b/>
          <w:i/>
          <w:sz w:val="20"/>
          <w:szCs w:val="20"/>
        </w:rPr>
        <w:t>Siūlomo finansinio produkto – lengvatinės paskolos – sąlygos:</w:t>
      </w:r>
    </w:p>
    <w:p w14:paraId="3644380D" w14:textId="77777777" w:rsidR="007552F3" w:rsidRPr="00AE7E91" w:rsidRDefault="007552F3" w:rsidP="007552F3">
      <w:pPr>
        <w:pStyle w:val="prastasis1"/>
        <w:numPr>
          <w:ilvl w:val="0"/>
          <w:numId w:val="20"/>
        </w:numPr>
        <w:spacing w:line="276" w:lineRule="auto"/>
        <w:jc w:val="both"/>
        <w:rPr>
          <w:rFonts w:ascii="Georgia" w:hAnsi="Georgia"/>
          <w:sz w:val="20"/>
          <w:szCs w:val="20"/>
        </w:rPr>
      </w:pPr>
      <w:r>
        <w:rPr>
          <w:rFonts w:ascii="Georgia" w:hAnsi="Georgia"/>
          <w:sz w:val="20"/>
          <w:szCs w:val="20"/>
        </w:rPr>
        <w:t xml:space="preserve">palūkanų norma iki </w:t>
      </w:r>
      <w:r w:rsidRPr="00206511">
        <w:rPr>
          <w:rFonts w:ascii="Georgia" w:hAnsi="Georgia"/>
          <w:sz w:val="20"/>
          <w:szCs w:val="20"/>
        </w:rPr>
        <w:t>2% + 6 mėn.</w:t>
      </w:r>
      <w:r>
        <w:rPr>
          <w:rFonts w:ascii="Georgia" w:hAnsi="Georgia"/>
          <w:sz w:val="20"/>
          <w:szCs w:val="20"/>
        </w:rPr>
        <w:t xml:space="preserve"> </w:t>
      </w:r>
      <w:r w:rsidRPr="00206511">
        <w:rPr>
          <w:rFonts w:ascii="Georgia" w:hAnsi="Georgia"/>
          <w:sz w:val="20"/>
          <w:szCs w:val="20"/>
        </w:rPr>
        <w:t>EURIBOR (</w:t>
      </w:r>
      <w:r>
        <w:rPr>
          <w:rFonts w:ascii="Georgia" w:hAnsi="Georgia"/>
          <w:sz w:val="20"/>
          <w:szCs w:val="20"/>
        </w:rPr>
        <w:t xml:space="preserve">bet </w:t>
      </w:r>
      <w:r w:rsidRPr="00206511">
        <w:rPr>
          <w:rFonts w:ascii="Georgia" w:hAnsi="Georgia"/>
          <w:sz w:val="20"/>
          <w:szCs w:val="20"/>
        </w:rPr>
        <w:t>ne mažiau kaip 0%)</w:t>
      </w:r>
      <w:r>
        <w:rPr>
          <w:rFonts w:ascii="Georgia" w:hAnsi="Georgia"/>
          <w:sz w:val="20"/>
          <w:szCs w:val="20"/>
        </w:rPr>
        <w:t xml:space="preserve">. Finansinės priemonės (ar fondų fondo) valdytojas gali pasiūlyti užfiksuoti palūkanų normą (įskaitant, bet neapsiribojant palūkanų fiksavimu, kuris būtų paremtas rinkos sąlygomis prieinamais instrumentais). Atsiradus galimybei pritraukti papildomas privačias lėšas, gali būti taikomos papildomos finansavimo išlaidos (susijusios su papildomo finansavimo pritraukimu); </w:t>
      </w:r>
    </w:p>
    <w:p w14:paraId="722723A9" w14:textId="77777777" w:rsidR="007552F3" w:rsidRPr="00AE7E91" w:rsidRDefault="007552F3" w:rsidP="007552F3">
      <w:pPr>
        <w:pStyle w:val="prastasis1"/>
        <w:numPr>
          <w:ilvl w:val="0"/>
          <w:numId w:val="20"/>
        </w:numPr>
        <w:spacing w:line="276" w:lineRule="auto"/>
        <w:jc w:val="both"/>
        <w:rPr>
          <w:rFonts w:ascii="Georgia" w:hAnsi="Georgia"/>
          <w:sz w:val="20"/>
          <w:szCs w:val="20"/>
        </w:rPr>
      </w:pPr>
      <w:r w:rsidRPr="00AE7E91">
        <w:rPr>
          <w:rFonts w:ascii="Georgia" w:hAnsi="Georgia"/>
          <w:sz w:val="20"/>
          <w:szCs w:val="20"/>
        </w:rPr>
        <w:t>paskolos terminas – iki 20 metų;</w:t>
      </w:r>
    </w:p>
    <w:p w14:paraId="628FFB89" w14:textId="77777777" w:rsidR="007552F3" w:rsidRPr="00AE7E91" w:rsidRDefault="007552F3" w:rsidP="007552F3">
      <w:pPr>
        <w:pStyle w:val="prastasis1"/>
        <w:numPr>
          <w:ilvl w:val="0"/>
          <w:numId w:val="20"/>
        </w:numPr>
        <w:spacing w:line="276" w:lineRule="auto"/>
        <w:jc w:val="both"/>
        <w:rPr>
          <w:rFonts w:ascii="Georgia" w:hAnsi="Georgia"/>
          <w:sz w:val="20"/>
          <w:szCs w:val="20"/>
        </w:rPr>
      </w:pPr>
      <w:r w:rsidRPr="00AE7E91">
        <w:rPr>
          <w:rFonts w:ascii="Georgia" w:hAnsi="Georgia"/>
          <w:sz w:val="20"/>
          <w:szCs w:val="20"/>
        </w:rPr>
        <w:t xml:space="preserve">paskola teikiama iki </w:t>
      </w:r>
      <w:r>
        <w:rPr>
          <w:rFonts w:ascii="Georgia" w:hAnsi="Georgia"/>
          <w:sz w:val="20"/>
          <w:szCs w:val="20"/>
        </w:rPr>
        <w:t>100</w:t>
      </w:r>
      <w:r w:rsidRPr="00AE7E91">
        <w:rPr>
          <w:rFonts w:ascii="Georgia" w:hAnsi="Georgia"/>
          <w:sz w:val="20"/>
          <w:szCs w:val="20"/>
        </w:rPr>
        <w:t xml:space="preserve"> % projekto vertės</w:t>
      </w:r>
      <w:r>
        <w:rPr>
          <w:rFonts w:ascii="Georgia" w:hAnsi="Georgia"/>
          <w:sz w:val="20"/>
          <w:szCs w:val="20"/>
        </w:rPr>
        <w:t>, ESCO atveju iki 80</w:t>
      </w:r>
      <w:r>
        <w:rPr>
          <w:rFonts w:ascii="Georgia" w:hAnsi="Georgia"/>
          <w:sz w:val="20"/>
          <w:szCs w:val="20"/>
          <w:lang w:val="en-US"/>
        </w:rPr>
        <w:t>%</w:t>
      </w:r>
      <w:r>
        <w:rPr>
          <w:rFonts w:ascii="Georgia" w:hAnsi="Georgia"/>
          <w:sz w:val="20"/>
          <w:szCs w:val="20"/>
        </w:rPr>
        <w:t xml:space="preserve"> projekto vertės</w:t>
      </w:r>
      <w:r w:rsidRPr="00AE7E91">
        <w:rPr>
          <w:rFonts w:ascii="Georgia" w:hAnsi="Georgia"/>
          <w:sz w:val="20"/>
          <w:szCs w:val="20"/>
        </w:rPr>
        <w:t xml:space="preserve">; </w:t>
      </w:r>
    </w:p>
    <w:p w14:paraId="48B19B66" w14:textId="77777777" w:rsidR="007552F3" w:rsidRPr="001C63DB" w:rsidRDefault="007552F3" w:rsidP="007552F3">
      <w:pPr>
        <w:pStyle w:val="prastasis1"/>
        <w:numPr>
          <w:ilvl w:val="0"/>
          <w:numId w:val="20"/>
        </w:numPr>
        <w:spacing w:line="276" w:lineRule="auto"/>
        <w:jc w:val="both"/>
        <w:rPr>
          <w:rFonts w:ascii="Georgia" w:hAnsi="Georgia"/>
          <w:sz w:val="20"/>
          <w:szCs w:val="20"/>
        </w:rPr>
      </w:pPr>
      <w:r w:rsidRPr="001C63DB">
        <w:rPr>
          <w:rFonts w:ascii="Georgia" w:hAnsi="Georgia"/>
          <w:sz w:val="20"/>
          <w:szCs w:val="20"/>
        </w:rPr>
        <w:t xml:space="preserve">projektams </w:t>
      </w:r>
      <w:r>
        <w:rPr>
          <w:rFonts w:ascii="Georgia" w:hAnsi="Georgia"/>
          <w:sz w:val="20"/>
          <w:szCs w:val="20"/>
        </w:rPr>
        <w:t>turi</w:t>
      </w:r>
      <w:r w:rsidRPr="001C63DB">
        <w:rPr>
          <w:rFonts w:ascii="Georgia" w:hAnsi="Georgia"/>
          <w:sz w:val="20"/>
          <w:szCs w:val="20"/>
        </w:rPr>
        <w:t xml:space="preserve"> būti teikiama </w:t>
      </w:r>
      <w:r w:rsidRPr="00DA65C2">
        <w:rPr>
          <w:rFonts w:ascii="Georgia" w:hAnsi="Georgia"/>
          <w:sz w:val="20"/>
          <w:szCs w:val="20"/>
        </w:rPr>
        <w:t>papildoma</w:t>
      </w:r>
      <w:r w:rsidRPr="001C63DB">
        <w:rPr>
          <w:rFonts w:ascii="Georgia" w:hAnsi="Georgia"/>
          <w:sz w:val="20"/>
          <w:szCs w:val="20"/>
        </w:rPr>
        <w:t xml:space="preserve"> subsidija;</w:t>
      </w:r>
    </w:p>
    <w:p w14:paraId="60A36FB8" w14:textId="77777777" w:rsidR="007552F3" w:rsidRPr="00AC3318" w:rsidRDefault="007552F3" w:rsidP="007552F3">
      <w:pPr>
        <w:pStyle w:val="prastasis1"/>
        <w:numPr>
          <w:ilvl w:val="0"/>
          <w:numId w:val="20"/>
        </w:numPr>
        <w:spacing w:line="276" w:lineRule="auto"/>
        <w:jc w:val="both"/>
        <w:rPr>
          <w:rFonts w:ascii="Georgia" w:hAnsi="Georgia"/>
          <w:sz w:val="20"/>
          <w:szCs w:val="20"/>
        </w:rPr>
      </w:pPr>
      <w:r>
        <w:rPr>
          <w:rFonts w:ascii="Georgia" w:hAnsi="Georgia"/>
          <w:sz w:val="20"/>
          <w:szCs w:val="20"/>
        </w:rPr>
        <w:t>ESCO kompanijos, įgyvendinamos projektą, privalo prisidėti savomis lėšomis;</w:t>
      </w:r>
    </w:p>
    <w:p w14:paraId="7901D39C" w14:textId="77777777" w:rsidR="007552F3" w:rsidRPr="00AC3318" w:rsidRDefault="007552F3" w:rsidP="007552F3">
      <w:pPr>
        <w:pStyle w:val="prastasis1"/>
        <w:numPr>
          <w:ilvl w:val="0"/>
          <w:numId w:val="20"/>
        </w:numPr>
        <w:spacing w:line="276" w:lineRule="auto"/>
        <w:jc w:val="both"/>
        <w:rPr>
          <w:rFonts w:ascii="Georgia" w:hAnsi="Georgia"/>
          <w:sz w:val="20"/>
          <w:szCs w:val="20"/>
        </w:rPr>
      </w:pPr>
      <w:r w:rsidRPr="00AC3318">
        <w:rPr>
          <w:rFonts w:ascii="Georgia" w:hAnsi="Georgia"/>
          <w:sz w:val="20"/>
          <w:szCs w:val="20"/>
        </w:rPr>
        <w:t>grįžtančios lėšos iš paskolų reinvestuojamos</w:t>
      </w:r>
      <w:r>
        <w:rPr>
          <w:rFonts w:ascii="Georgia" w:hAnsi="Georgia"/>
          <w:sz w:val="20"/>
          <w:szCs w:val="20"/>
        </w:rPr>
        <w:t xml:space="preserve"> į naujus projektus ir (ar) naudojamos privačiam kapitalui pritraukti ir (ar) investuotojamas pirmumo tvarka atlyginti</w:t>
      </w:r>
      <w:r>
        <w:rPr>
          <w:rStyle w:val="Puslapioinaosnuoroda"/>
          <w:rFonts w:ascii="Georgia" w:hAnsi="Georgia"/>
          <w:sz w:val="20"/>
          <w:szCs w:val="20"/>
        </w:rPr>
        <w:footnoteReference w:id="191"/>
      </w:r>
      <w:r w:rsidRPr="00AC3318">
        <w:rPr>
          <w:rFonts w:ascii="Georgia" w:hAnsi="Georgia"/>
          <w:sz w:val="20"/>
          <w:szCs w:val="20"/>
        </w:rPr>
        <w:t>;</w:t>
      </w:r>
    </w:p>
    <w:p w14:paraId="56200BD8" w14:textId="77777777" w:rsidR="007552F3" w:rsidRPr="00AC3318" w:rsidRDefault="007552F3" w:rsidP="007552F3">
      <w:pPr>
        <w:pStyle w:val="prastasis1"/>
        <w:numPr>
          <w:ilvl w:val="0"/>
          <w:numId w:val="20"/>
        </w:numPr>
        <w:spacing w:line="276" w:lineRule="auto"/>
        <w:jc w:val="both"/>
        <w:rPr>
          <w:rFonts w:ascii="Georgia" w:hAnsi="Georgia"/>
          <w:sz w:val="20"/>
          <w:szCs w:val="20"/>
        </w:rPr>
      </w:pPr>
      <w:r>
        <w:rPr>
          <w:rFonts w:ascii="Georgia" w:hAnsi="Georgia"/>
          <w:sz w:val="20"/>
          <w:szCs w:val="20"/>
        </w:rPr>
        <w:t>atsiradus galimybei privačioms lėšoms pritraukti taikomas paskolų išpirkimo arba asimetrinis rizikos pasidalijimo modelis.</w:t>
      </w:r>
    </w:p>
    <w:p w14:paraId="26734732" w14:textId="77777777" w:rsidR="007552F3" w:rsidRPr="00D503F7" w:rsidRDefault="007552F3" w:rsidP="007552F3">
      <w:pPr>
        <w:keepNext/>
        <w:rPr>
          <w:rFonts w:ascii="Georgia" w:hAnsi="Georgia"/>
          <w:sz w:val="20"/>
          <w:szCs w:val="20"/>
          <w:lang w:val="lt-LT"/>
        </w:rPr>
      </w:pPr>
      <w:r>
        <w:rPr>
          <w:noProof/>
          <w:lang w:val="lt-LT" w:eastAsia="lt-LT"/>
        </w:rPr>
        <w:drawing>
          <wp:inline distT="0" distB="0" distL="0" distR="0" wp14:anchorId="54FEBE0F" wp14:editId="4BCE2FC3">
            <wp:extent cx="6032807" cy="1475117"/>
            <wp:effectExtent l="0" t="0" r="6350" b="0"/>
            <wp:docPr id="50180" name="Picture 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SCO Nr. 2.jpg"/>
                    <pic:cNvPicPr/>
                  </pic:nvPicPr>
                  <pic:blipFill>
                    <a:blip r:embed="rId47" cstate="screen">
                      <a:extLst>
                        <a:ext uri="{28A0092B-C50C-407E-A947-70E740481C1C}">
                          <a14:useLocalDpi xmlns:a14="http://schemas.microsoft.com/office/drawing/2010/main"/>
                        </a:ext>
                      </a:extLst>
                    </a:blip>
                    <a:stretch>
                      <a:fillRect/>
                    </a:stretch>
                  </pic:blipFill>
                  <pic:spPr>
                    <a:xfrm>
                      <a:off x="0" y="0"/>
                      <a:ext cx="6058780" cy="1481468"/>
                    </a:xfrm>
                    <a:prstGeom prst="rect">
                      <a:avLst/>
                    </a:prstGeom>
                  </pic:spPr>
                </pic:pic>
              </a:graphicData>
            </a:graphic>
          </wp:inline>
        </w:drawing>
      </w:r>
    </w:p>
    <w:p w14:paraId="2F7F07F5" w14:textId="0C2B304B" w:rsidR="007552F3" w:rsidRPr="005B4195" w:rsidRDefault="007552F3" w:rsidP="007552F3">
      <w:pPr>
        <w:pStyle w:val="Antrat"/>
        <w:rPr>
          <w:rFonts w:eastAsia="Times New Roman"/>
          <w:szCs w:val="20"/>
          <w:lang w:val="lt-LT" w:eastAsia="lt-LT"/>
        </w:rPr>
      </w:pPr>
      <w:bookmarkStart w:id="374" w:name="_Toc503196642"/>
      <w:bookmarkStart w:id="375" w:name="_Toc507939290"/>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9652A6">
        <w:rPr>
          <w:noProof/>
          <w:lang w:val="lt-LT"/>
        </w:rPr>
        <w:t>31</w:t>
      </w:r>
      <w:r w:rsidRPr="005B4195">
        <w:rPr>
          <w:lang w:val="lt-LT"/>
        </w:rPr>
        <w:fldChar w:fldCharType="end"/>
      </w:r>
      <w:r w:rsidRPr="005B4195">
        <w:rPr>
          <w:lang w:val="lt-LT"/>
        </w:rPr>
        <w:t xml:space="preserve">. </w:t>
      </w:r>
      <w:r w:rsidRPr="005B4195">
        <w:rPr>
          <w:rFonts w:eastAsia="Times New Roman"/>
          <w:szCs w:val="20"/>
          <w:lang w:val="lt-LT" w:eastAsia="lt-LT"/>
        </w:rPr>
        <w:t>Siūloma centrinės valdžios pastatų renovacijos, naudojant finansines priemones, schema</w:t>
      </w:r>
      <w:bookmarkEnd w:id="374"/>
      <w:bookmarkEnd w:id="375"/>
    </w:p>
    <w:p w14:paraId="3760FDB9" w14:textId="77777777" w:rsidR="007552F3" w:rsidRPr="00AA32EA" w:rsidRDefault="007552F3" w:rsidP="007552F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projektai</w:t>
      </w:r>
    </w:p>
    <w:p w14:paraId="1EF27322" w14:textId="77777777" w:rsidR="007552F3" w:rsidRDefault="007552F3" w:rsidP="007552F3">
      <w:pPr>
        <w:pStyle w:val="prastasis1"/>
        <w:spacing w:line="276" w:lineRule="auto"/>
        <w:jc w:val="both"/>
        <w:rPr>
          <w:rFonts w:ascii="Georgia" w:hAnsi="Georgia"/>
          <w:sz w:val="20"/>
          <w:szCs w:val="20"/>
        </w:rPr>
      </w:pPr>
      <w:r w:rsidRPr="00AC3318">
        <w:rPr>
          <w:rFonts w:ascii="Georgia" w:hAnsi="Georgia"/>
          <w:sz w:val="20"/>
          <w:szCs w:val="20"/>
        </w:rPr>
        <w:t xml:space="preserve">Atsižvelgiant į </w:t>
      </w:r>
      <w:r>
        <w:rPr>
          <w:rFonts w:ascii="Georgia" w:hAnsi="Georgia"/>
          <w:sz w:val="20"/>
          <w:szCs w:val="20"/>
        </w:rPr>
        <w:t>4.1 ir 4.2</w:t>
      </w:r>
      <w:r w:rsidRPr="00AC3318">
        <w:rPr>
          <w:rFonts w:ascii="Georgia" w:hAnsi="Georgia"/>
          <w:sz w:val="20"/>
          <w:szCs w:val="20"/>
        </w:rPr>
        <w:t xml:space="preserve"> </w:t>
      </w:r>
      <w:r>
        <w:rPr>
          <w:rFonts w:ascii="Georgia" w:hAnsi="Georgia"/>
          <w:sz w:val="20"/>
          <w:szCs w:val="20"/>
        </w:rPr>
        <w:t>dalyse</w:t>
      </w:r>
      <w:r w:rsidRPr="00AC3318">
        <w:rPr>
          <w:rFonts w:ascii="Georgia" w:hAnsi="Georgia"/>
          <w:sz w:val="20"/>
          <w:szCs w:val="20"/>
        </w:rPr>
        <w:t xml:space="preserve"> išdėstytus kiekvienos alternatyvos skaičiavimus bei prognozuojamą lėšų poreikį priemonei įgyvendinti ir tikėtiną finansinio sverto rodiklį, siūloma vadovaujančiai institucijai kartu su Ener</w:t>
      </w:r>
      <w:r>
        <w:rPr>
          <w:rFonts w:ascii="Georgia" w:hAnsi="Georgia"/>
          <w:sz w:val="20"/>
          <w:szCs w:val="20"/>
        </w:rPr>
        <w:t>getikos  ministerija pasirinkti</w:t>
      </w:r>
      <w:r w:rsidRPr="00AC3318">
        <w:rPr>
          <w:rFonts w:ascii="Georgia" w:hAnsi="Georgia"/>
          <w:sz w:val="20"/>
          <w:szCs w:val="20"/>
        </w:rPr>
        <w:t xml:space="preserve"> </w:t>
      </w:r>
      <w:r>
        <w:rPr>
          <w:rFonts w:ascii="Georgia" w:hAnsi="Georgia"/>
          <w:sz w:val="20"/>
          <w:szCs w:val="20"/>
        </w:rPr>
        <w:t>ketvirtąjį</w:t>
      </w:r>
      <w:r w:rsidRPr="00AC3318">
        <w:rPr>
          <w:rFonts w:ascii="Georgia" w:hAnsi="Georgia"/>
          <w:sz w:val="20"/>
          <w:szCs w:val="20"/>
        </w:rPr>
        <w:t xml:space="preserve"> </w:t>
      </w:r>
      <w:r>
        <w:rPr>
          <w:rFonts w:ascii="Georgia" w:hAnsi="Georgia"/>
          <w:sz w:val="20"/>
          <w:szCs w:val="20"/>
        </w:rPr>
        <w:t>scenarijų</w:t>
      </w:r>
      <w:r w:rsidRPr="00AC3318">
        <w:rPr>
          <w:rFonts w:ascii="Georgia" w:hAnsi="Georgia"/>
          <w:sz w:val="20"/>
          <w:szCs w:val="20"/>
        </w:rPr>
        <w:t xml:space="preserve"> – </w:t>
      </w:r>
      <w:r>
        <w:rPr>
          <w:rFonts w:ascii="Georgia" w:hAnsi="Georgia"/>
          <w:sz w:val="20"/>
          <w:szCs w:val="20"/>
        </w:rPr>
        <w:t>garantij</w:t>
      </w:r>
      <w:r w:rsidRPr="00AC3318">
        <w:rPr>
          <w:rFonts w:ascii="Georgia" w:hAnsi="Georgia"/>
          <w:sz w:val="20"/>
          <w:szCs w:val="20"/>
        </w:rPr>
        <w:t xml:space="preserve">ų </w:t>
      </w:r>
      <w:r>
        <w:rPr>
          <w:rFonts w:ascii="Georgia" w:hAnsi="Georgia"/>
          <w:sz w:val="20"/>
          <w:szCs w:val="20"/>
        </w:rPr>
        <w:t xml:space="preserve">teikimą. </w:t>
      </w:r>
    </w:p>
    <w:p w14:paraId="5637996C" w14:textId="77777777" w:rsidR="007552F3" w:rsidRPr="00AC3318" w:rsidRDefault="007552F3" w:rsidP="007552F3">
      <w:pPr>
        <w:pStyle w:val="prastasis1"/>
        <w:spacing w:line="276" w:lineRule="auto"/>
        <w:jc w:val="both"/>
        <w:rPr>
          <w:rFonts w:ascii="Georgia" w:hAnsi="Georgia"/>
          <w:sz w:val="20"/>
          <w:szCs w:val="20"/>
        </w:rPr>
      </w:pPr>
      <w:r w:rsidRPr="00AC3318">
        <w:rPr>
          <w:rFonts w:ascii="Georgia" w:hAnsi="Georgia"/>
          <w:sz w:val="20"/>
          <w:szCs w:val="20"/>
        </w:rPr>
        <w:t xml:space="preserve">Siūlomas finansinis produktas – </w:t>
      </w:r>
      <w:r>
        <w:rPr>
          <w:rFonts w:ascii="Georgia" w:hAnsi="Georgia"/>
          <w:sz w:val="20"/>
          <w:szCs w:val="20"/>
        </w:rPr>
        <w:t>garantijos</w:t>
      </w:r>
      <w:r w:rsidRPr="00AC3318">
        <w:rPr>
          <w:rFonts w:ascii="Georgia" w:hAnsi="Georgia"/>
          <w:sz w:val="20"/>
          <w:szCs w:val="20"/>
        </w:rPr>
        <w:t xml:space="preserve">. Siūloma </w:t>
      </w:r>
      <w:r>
        <w:rPr>
          <w:rFonts w:ascii="Georgia" w:hAnsi="Georgia"/>
          <w:sz w:val="20"/>
          <w:szCs w:val="20"/>
        </w:rPr>
        <w:t>visas ESI fondų lėšas skirti finansinės priemonės sukūrimui, o investicines veiklas įgyvendinti kartu su centrinės valdžios viešųjų pastatų siūlomu kurti investiciniu fondu</w:t>
      </w:r>
      <w:r w:rsidRPr="00AC3318">
        <w:rPr>
          <w:rFonts w:ascii="Georgia" w:hAnsi="Georgia"/>
          <w:sz w:val="20"/>
          <w:szCs w:val="20"/>
        </w:rPr>
        <w:t>.</w:t>
      </w:r>
    </w:p>
    <w:p w14:paraId="2E05954F" w14:textId="77777777" w:rsidR="007552F3" w:rsidRPr="00640DEC" w:rsidRDefault="007552F3" w:rsidP="007552F3">
      <w:pPr>
        <w:pStyle w:val="prastasis1"/>
        <w:spacing w:line="276" w:lineRule="auto"/>
        <w:jc w:val="both"/>
        <w:rPr>
          <w:rFonts w:ascii="Georgia" w:hAnsi="Georgia"/>
          <w:b/>
          <w:i/>
          <w:sz w:val="20"/>
          <w:szCs w:val="20"/>
        </w:rPr>
      </w:pPr>
      <w:r w:rsidRPr="00640DEC">
        <w:rPr>
          <w:rFonts w:ascii="Georgia" w:hAnsi="Georgia"/>
          <w:b/>
          <w:i/>
          <w:sz w:val="20"/>
          <w:szCs w:val="20"/>
        </w:rPr>
        <w:lastRenderedPageBreak/>
        <w:t xml:space="preserve">Siūlomo finansinio produkto </w:t>
      </w:r>
      <w:r>
        <w:rPr>
          <w:rFonts w:ascii="Georgia" w:hAnsi="Georgia"/>
          <w:b/>
          <w:i/>
          <w:sz w:val="20"/>
          <w:szCs w:val="20"/>
        </w:rPr>
        <w:t>–</w:t>
      </w:r>
      <w:r w:rsidRPr="00640DEC">
        <w:rPr>
          <w:rFonts w:ascii="Georgia" w:hAnsi="Georgia"/>
          <w:b/>
          <w:i/>
          <w:sz w:val="20"/>
          <w:szCs w:val="20"/>
        </w:rPr>
        <w:t xml:space="preserve"> </w:t>
      </w:r>
      <w:r>
        <w:rPr>
          <w:rFonts w:ascii="Georgia" w:hAnsi="Georgia"/>
          <w:b/>
          <w:i/>
          <w:sz w:val="20"/>
          <w:szCs w:val="20"/>
        </w:rPr>
        <w:t>garantijos</w:t>
      </w:r>
      <w:r w:rsidRPr="00640DEC">
        <w:rPr>
          <w:rFonts w:ascii="Georgia" w:hAnsi="Georgia"/>
          <w:b/>
          <w:i/>
          <w:sz w:val="20"/>
          <w:szCs w:val="20"/>
        </w:rPr>
        <w:t xml:space="preserve"> – sąlygos:</w:t>
      </w:r>
    </w:p>
    <w:p w14:paraId="273DBFB5" w14:textId="77777777" w:rsidR="007552F3" w:rsidRPr="00A7138A" w:rsidRDefault="007552F3" w:rsidP="007552F3">
      <w:pPr>
        <w:pStyle w:val="prastasis1"/>
        <w:numPr>
          <w:ilvl w:val="0"/>
          <w:numId w:val="20"/>
        </w:numPr>
        <w:spacing w:line="276" w:lineRule="auto"/>
        <w:jc w:val="both"/>
        <w:rPr>
          <w:rFonts w:ascii="Georgia" w:hAnsi="Georgia"/>
          <w:sz w:val="20"/>
          <w:szCs w:val="20"/>
        </w:rPr>
      </w:pPr>
      <w:r w:rsidRPr="00A7138A">
        <w:rPr>
          <w:rFonts w:ascii="Georgia" w:hAnsi="Georgia"/>
          <w:sz w:val="20"/>
          <w:szCs w:val="20"/>
        </w:rPr>
        <w:t>garantuojama iki 80 % paskolos sumos;</w:t>
      </w:r>
    </w:p>
    <w:p w14:paraId="06F04B97" w14:textId="77777777" w:rsidR="007552F3" w:rsidRPr="00A7138A" w:rsidRDefault="007552F3" w:rsidP="007552F3">
      <w:pPr>
        <w:pStyle w:val="prastasis1"/>
        <w:numPr>
          <w:ilvl w:val="0"/>
          <w:numId w:val="20"/>
        </w:numPr>
        <w:spacing w:line="276" w:lineRule="auto"/>
        <w:jc w:val="both"/>
        <w:rPr>
          <w:rFonts w:ascii="Georgia" w:hAnsi="Georgia"/>
          <w:sz w:val="20"/>
          <w:szCs w:val="20"/>
        </w:rPr>
      </w:pPr>
      <w:r w:rsidRPr="00A7138A">
        <w:rPr>
          <w:rFonts w:ascii="Georgia" w:hAnsi="Georgia"/>
          <w:sz w:val="20"/>
          <w:szCs w:val="20"/>
        </w:rPr>
        <w:t>gali būti teikiamos portfelinės arba individualios garantijos;</w:t>
      </w:r>
    </w:p>
    <w:p w14:paraId="4B90823F" w14:textId="77777777" w:rsidR="007552F3" w:rsidRPr="00A7138A" w:rsidRDefault="007552F3" w:rsidP="007552F3">
      <w:pPr>
        <w:pStyle w:val="prastasis1"/>
        <w:numPr>
          <w:ilvl w:val="0"/>
          <w:numId w:val="20"/>
        </w:numPr>
        <w:spacing w:line="276" w:lineRule="auto"/>
        <w:jc w:val="both"/>
        <w:rPr>
          <w:rFonts w:ascii="Georgia" w:hAnsi="Georgia"/>
          <w:sz w:val="20"/>
          <w:szCs w:val="20"/>
        </w:rPr>
      </w:pPr>
      <w:r w:rsidRPr="00A7138A">
        <w:rPr>
          <w:rFonts w:ascii="Georgia" w:hAnsi="Georgia"/>
          <w:sz w:val="20"/>
          <w:szCs w:val="20"/>
        </w:rPr>
        <w:t>paskolos terminas – iki 20 metų (tačiau tikėtina, kad esant pinigų srautų išpirkimo galimybei, komerciniai bankai suteiks tik trumpo – vidutinio laikotarpio paskolas);</w:t>
      </w:r>
    </w:p>
    <w:p w14:paraId="01E1930B" w14:textId="77777777" w:rsidR="007552F3" w:rsidRPr="00A7138A" w:rsidRDefault="007552F3" w:rsidP="007552F3">
      <w:pPr>
        <w:pStyle w:val="prastasis1"/>
        <w:numPr>
          <w:ilvl w:val="0"/>
          <w:numId w:val="20"/>
        </w:numPr>
        <w:spacing w:line="276" w:lineRule="auto"/>
        <w:jc w:val="both"/>
        <w:rPr>
          <w:rFonts w:ascii="Georgia" w:hAnsi="Georgia"/>
          <w:sz w:val="20"/>
          <w:szCs w:val="20"/>
        </w:rPr>
      </w:pPr>
      <w:r>
        <w:rPr>
          <w:rFonts w:ascii="Georgia" w:hAnsi="Georgia"/>
          <w:sz w:val="20"/>
          <w:szCs w:val="20"/>
        </w:rPr>
        <w:t>garantijos atlyginimas taikomas finansinės priemonės ar fondų fondo valdytojo pasirinkimu;</w:t>
      </w:r>
    </w:p>
    <w:p w14:paraId="45D2AC8A" w14:textId="77777777" w:rsidR="007552F3" w:rsidRDefault="007552F3" w:rsidP="007552F3">
      <w:pPr>
        <w:pStyle w:val="Antrat"/>
        <w:jc w:val="both"/>
        <w:rPr>
          <w:szCs w:val="20"/>
        </w:rPr>
      </w:pPr>
      <w:r>
        <w:rPr>
          <w:noProof/>
          <w:lang w:val="lt-LT" w:eastAsia="lt-LT"/>
        </w:rPr>
        <w:drawing>
          <wp:inline distT="0" distB="0" distL="0" distR="0" wp14:anchorId="400B3317" wp14:editId="08B3DEBD">
            <wp:extent cx="5598795" cy="2173605"/>
            <wp:effectExtent l="0" t="0" r="1905" b="0"/>
            <wp:docPr id="50181" name="Paveikslėlis 4128"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14:paraId="3E321608" w14:textId="273E3A21" w:rsidR="007552F3" w:rsidRPr="005B4195" w:rsidRDefault="007552F3" w:rsidP="007552F3">
      <w:pPr>
        <w:pStyle w:val="Antrat"/>
        <w:jc w:val="both"/>
        <w:rPr>
          <w:szCs w:val="20"/>
          <w:lang w:val="lt-LT"/>
        </w:rPr>
      </w:pPr>
      <w:bookmarkStart w:id="376" w:name="_Toc503196643"/>
      <w:bookmarkStart w:id="377" w:name="_Toc507939291"/>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9652A6">
        <w:rPr>
          <w:noProof/>
          <w:lang w:val="lt-LT"/>
        </w:rPr>
        <w:t>32</w:t>
      </w:r>
      <w:r w:rsidRPr="005B4195">
        <w:rPr>
          <w:lang w:val="lt-LT"/>
        </w:rPr>
        <w:fldChar w:fldCharType="end"/>
      </w:r>
      <w:r w:rsidRPr="005B4195">
        <w:rPr>
          <w:lang w:val="lt-LT"/>
        </w:rPr>
        <w:t xml:space="preserve">. </w:t>
      </w:r>
      <w:r w:rsidRPr="005B4195">
        <w:rPr>
          <w:szCs w:val="20"/>
          <w:lang w:val="lt-LT"/>
        </w:rPr>
        <w:t>Siūloma gatvių apšvietimo atnaujinimo, naudojant finansines priemones, schema</w:t>
      </w:r>
      <w:bookmarkEnd w:id="376"/>
      <w:bookmarkEnd w:id="377"/>
    </w:p>
    <w:p w14:paraId="228410F7" w14:textId="77777777" w:rsidR="007552F3" w:rsidRDefault="007552F3" w:rsidP="007552F3">
      <w:pPr>
        <w:pStyle w:val="prastasis1"/>
        <w:spacing w:line="276" w:lineRule="auto"/>
        <w:jc w:val="both"/>
        <w:rPr>
          <w:rFonts w:ascii="Georgia" w:hAnsi="Georgia"/>
          <w:sz w:val="20"/>
          <w:szCs w:val="20"/>
        </w:rPr>
      </w:pPr>
      <w:r>
        <w:rPr>
          <w:rFonts w:ascii="Georgia" w:hAnsi="Georgia"/>
          <w:sz w:val="20"/>
          <w:szCs w:val="20"/>
        </w:rPr>
        <w:t xml:space="preserve">Du faktoriai, mažinantys fondų fondo apimtį, yra blogos paskolos ir valdymo mokestis fondo valdytojui. Pažymėtina, kad finansinis produktas turėtų būti struktūrizuotas taip, kad fondo mažėjimas ilgainiui būtų kuo mažesnis. Tai taip pat yra reglamentuojama ir ES teisės aktuose, kuriuose nustatoma, jog ESI fondų lėšos turi būti valdomos pagal patikimus finansų valdymo principus. </w:t>
      </w:r>
    </w:p>
    <w:p w14:paraId="3F8BA853" w14:textId="77777777" w:rsidR="007552F3" w:rsidRPr="00AA32EA" w:rsidRDefault="007552F3" w:rsidP="007552F3">
      <w:pPr>
        <w:pStyle w:val="Antrat2"/>
        <w:numPr>
          <w:ilvl w:val="2"/>
          <w:numId w:val="2"/>
        </w:numPr>
        <w:spacing w:after="240"/>
        <w:ind w:left="709"/>
        <w:rPr>
          <w:lang w:val="lt-LT"/>
        </w:rPr>
      </w:pPr>
      <w:bookmarkStart w:id="378" w:name="_Toc398043864"/>
      <w:bookmarkStart w:id="379" w:name="_Toc398567616"/>
      <w:bookmarkStart w:id="380" w:name="_Toc503196430"/>
      <w:bookmarkStart w:id="381" w:name="_Toc25589978"/>
      <w:r w:rsidRPr="00AA32EA">
        <w:rPr>
          <w:lang w:val="lt-LT"/>
        </w:rPr>
        <w:t>Finansinės priemonės derinimas su parama</w:t>
      </w:r>
      <w:bookmarkEnd w:id="378"/>
      <w:bookmarkEnd w:id="379"/>
      <w:bookmarkEnd w:id="380"/>
      <w:bookmarkEnd w:id="381"/>
    </w:p>
    <w:p w14:paraId="6BC554C3" w14:textId="77777777" w:rsidR="007552F3" w:rsidRDefault="007552F3" w:rsidP="007552F3">
      <w:pPr>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Centrinės valdžios pastatai</w:t>
      </w:r>
    </w:p>
    <w:p w14:paraId="0C51AA2A" w14:textId="77777777" w:rsidR="007552F3" w:rsidRDefault="007552F3" w:rsidP="007552F3">
      <w:pPr>
        <w:jc w:val="both"/>
        <w:rPr>
          <w:rFonts w:ascii="Georgia" w:hAnsi="Georgia"/>
          <w:sz w:val="20"/>
          <w:lang w:val="lt-LT"/>
        </w:rPr>
      </w:pPr>
      <w:r>
        <w:rPr>
          <w:rFonts w:ascii="Georgia" w:hAnsi="Georgia"/>
          <w:sz w:val="20"/>
          <w:lang w:val="lt-LT"/>
        </w:rPr>
        <w:t xml:space="preserve">Jautrumo analizės ir kokybinės analizės vertinimu buvo nustatyta, jog centrinės valdžios pastatų renovacijai reikėtų taikyti </w:t>
      </w:r>
      <w:r>
        <w:rPr>
          <w:rFonts w:ascii="Georgia" w:hAnsi="Georgia"/>
          <w:sz w:val="20"/>
        </w:rPr>
        <w:t>40 proc. subsidij</w:t>
      </w:r>
      <w:r>
        <w:rPr>
          <w:rFonts w:ascii="Georgia" w:hAnsi="Georgia"/>
          <w:sz w:val="20"/>
          <w:lang w:val="lt-LT"/>
        </w:rPr>
        <w:t xml:space="preserve">ą, tačiau nebuvo diskutuojama kokio tipo turėtų būti subsidija ir jos derinimo galimybės su FP. Žemiau trumpai aptariami galimi tokios subsidijos atvejai. Pabrėžtina, jog pagal Bendrųjų nuostatų reglamento </w:t>
      </w:r>
      <w:r>
        <w:rPr>
          <w:rFonts w:ascii="Georgia" w:hAnsi="Georgia"/>
          <w:sz w:val="20"/>
        </w:rPr>
        <w:t>37 straipsnio 2 dal</w:t>
      </w:r>
      <w:r>
        <w:rPr>
          <w:rFonts w:ascii="Georgia" w:hAnsi="Georgia"/>
          <w:sz w:val="20"/>
          <w:lang w:val="lt-LT"/>
        </w:rPr>
        <w:t>į, ex-ante vertinimo objektas yra parama teikiama per FP, o ne per subsidiją, todėl čia nustatomos tik siūlomos FP ir subsidijos derinimo galimybės . Galutinį sprendimą  dėl subsidijos teikimo priims  vadovaujančioji institucija ir ministerijos.</w:t>
      </w:r>
    </w:p>
    <w:tbl>
      <w:tblPr>
        <w:tblStyle w:val="Lentelstinklelis"/>
        <w:tblW w:w="9781" w:type="dxa"/>
        <w:tblInd w:w="-34" w:type="dxa"/>
        <w:shd w:val="clear" w:color="auto" w:fill="FDE9D9" w:themeFill="accent6" w:themeFillTint="33"/>
        <w:tblLook w:val="04A0" w:firstRow="1" w:lastRow="0" w:firstColumn="1" w:lastColumn="0" w:noHBand="0" w:noVBand="1"/>
      </w:tblPr>
      <w:tblGrid>
        <w:gridCol w:w="9781"/>
      </w:tblGrid>
      <w:tr w:rsidR="007552F3" w14:paraId="24E99B15" w14:textId="77777777" w:rsidTr="007E38FC">
        <w:trPr>
          <w:trHeight w:val="557"/>
        </w:trPr>
        <w:tc>
          <w:tcPr>
            <w:tcW w:w="9781" w:type="dxa"/>
            <w:shd w:val="clear" w:color="auto" w:fill="FDE9D9" w:themeFill="accent6" w:themeFillTint="33"/>
          </w:tcPr>
          <w:p w14:paraId="33F9C156" w14:textId="77777777" w:rsidR="007552F3" w:rsidRPr="00950129" w:rsidRDefault="007552F3" w:rsidP="007E38FC">
            <w:pPr>
              <w:pStyle w:val="Sraopastraipa"/>
              <w:numPr>
                <w:ilvl w:val="0"/>
                <w:numId w:val="92"/>
              </w:numPr>
              <w:spacing w:after="120"/>
              <w:ind w:left="465" w:hanging="357"/>
              <w:contextualSpacing w:val="0"/>
              <w:jc w:val="both"/>
              <w:rPr>
                <w:rFonts w:ascii="Georgia" w:hAnsi="Georgia" w:cs="Times New Roman"/>
                <w:b/>
                <w:sz w:val="20"/>
                <w:szCs w:val="20"/>
                <w:lang w:val="lt-LT" w:eastAsia="lt-LT"/>
              </w:rPr>
            </w:pPr>
            <w:r w:rsidRPr="00950129">
              <w:rPr>
                <w:rFonts w:ascii="Georgia" w:hAnsi="Georgia" w:cs="Times New Roman"/>
                <w:b/>
                <w:sz w:val="20"/>
                <w:szCs w:val="20"/>
                <w:lang w:val="lt-LT" w:eastAsia="lt-LT"/>
              </w:rPr>
              <w:t xml:space="preserve">Taikoma </w:t>
            </w:r>
            <w:r w:rsidRPr="00950129">
              <w:rPr>
                <w:rFonts w:ascii="Georgia" w:hAnsi="Georgia" w:cs="Times New Roman"/>
                <w:b/>
                <w:sz w:val="20"/>
                <w:szCs w:val="20"/>
                <w:lang w:eastAsia="lt-LT"/>
              </w:rPr>
              <w:t xml:space="preserve">40 proc. subsidija </w:t>
            </w:r>
            <w:r>
              <w:rPr>
                <w:rFonts w:ascii="Georgia" w:hAnsi="Georgia" w:cs="Times New Roman"/>
                <w:b/>
                <w:sz w:val="20"/>
                <w:szCs w:val="20"/>
                <w:lang w:eastAsia="lt-LT"/>
              </w:rPr>
              <w:t>galutinių naudos gavėjų lygmenyje</w:t>
            </w:r>
            <w:r w:rsidRPr="00950129">
              <w:rPr>
                <w:rFonts w:ascii="Georgia" w:hAnsi="Georgia" w:cs="Times New Roman"/>
                <w:b/>
                <w:sz w:val="20"/>
                <w:szCs w:val="20"/>
                <w:lang w:eastAsia="lt-LT"/>
              </w:rPr>
              <w:t xml:space="preserve"> </w:t>
            </w:r>
          </w:p>
          <w:p w14:paraId="0F7ABCF0" w14:textId="77777777" w:rsidR="007552F3" w:rsidRDefault="007552F3" w:rsidP="007E38FC">
            <w:pPr>
              <w:spacing w:after="120"/>
              <w:ind w:left="467"/>
              <w:contextualSpacing/>
              <w:jc w:val="both"/>
              <w:rPr>
                <w:rFonts w:ascii="Georgia" w:hAnsi="Georgia" w:cs="Times New Roman"/>
                <w:sz w:val="20"/>
                <w:szCs w:val="20"/>
                <w:lang w:val="lt-LT" w:eastAsia="lt-LT"/>
              </w:rPr>
            </w:pPr>
            <w:r>
              <w:rPr>
                <w:rFonts w:ascii="Georgia" w:hAnsi="Georgia" w:cs="Times New Roman"/>
                <w:sz w:val="20"/>
                <w:szCs w:val="20"/>
                <w:lang w:val="lt-LT" w:eastAsia="lt-LT"/>
              </w:rPr>
              <w:t>Šiuo atveju subsidija būtų teikiama kartu su FP (paskolos taikant paskolų išpirkimo modelį) kaip dvi atskiros veiklos, kurių kiekviena turi savo atskirą leistiną išlaidų elementą. Tokiu atveju siekiant paramos priemonių suderinamumo, turėtų būti tenkinamos šios sąlygos:</w:t>
            </w:r>
          </w:p>
          <w:p w14:paraId="72AEFB9B" w14:textId="77777777" w:rsidR="007552F3" w:rsidRDefault="007552F3" w:rsidP="007E38FC">
            <w:pPr>
              <w:pStyle w:val="Sraopastraipa"/>
              <w:numPr>
                <w:ilvl w:val="0"/>
                <w:numId w:val="93"/>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Parama teikiama iš ESIF lėšų galutiniams naudos gavėjams per FP yra dalis veiklos, kurios tinkamos išlaidos yra atskirtos nuo paramos tinkamų išlaidų taikant subsidiją;</w:t>
            </w:r>
          </w:p>
          <w:p w14:paraId="3DF760E5" w14:textId="77777777" w:rsidR="007552F3" w:rsidRDefault="007552F3" w:rsidP="007E38FC">
            <w:pPr>
              <w:pStyle w:val="Sraopastraipa"/>
              <w:numPr>
                <w:ilvl w:val="0"/>
                <w:numId w:val="93"/>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Laikomasi visų valstybės pagalbos taisyklių;</w:t>
            </w:r>
          </w:p>
          <w:p w14:paraId="564D0722" w14:textId="77777777" w:rsidR="007552F3" w:rsidRDefault="007552F3" w:rsidP="007E38FC">
            <w:pPr>
              <w:pStyle w:val="Sraopastraipa"/>
              <w:numPr>
                <w:ilvl w:val="0"/>
                <w:numId w:val="93"/>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FP ir subsidijos įrašai vedami atskirai kiekvienai paramos priemonei.</w:t>
            </w:r>
          </w:p>
          <w:p w14:paraId="64178A4D" w14:textId="77777777" w:rsidR="007552F3" w:rsidRDefault="007552F3" w:rsidP="007E38FC">
            <w:pPr>
              <w:spacing w:after="120"/>
              <w:ind w:left="467"/>
              <w:contextualSpacing/>
              <w:jc w:val="both"/>
              <w:rPr>
                <w:rFonts w:ascii="Georgia" w:hAnsi="Georgia" w:cs="Times New Roman"/>
                <w:sz w:val="20"/>
                <w:szCs w:val="20"/>
                <w:lang w:eastAsia="lt-LT"/>
              </w:rPr>
            </w:pPr>
            <w:r>
              <w:rPr>
                <w:rFonts w:ascii="Georgia" w:hAnsi="Georgia" w:cs="Times New Roman"/>
                <w:sz w:val="20"/>
                <w:szCs w:val="20"/>
                <w:lang w:val="lt-LT" w:eastAsia="lt-LT"/>
              </w:rPr>
              <w:t xml:space="preserve">Atsižvelgus į šias sąlygas ir užtikrinus, jog laikomasi </w:t>
            </w:r>
            <w:r w:rsidRPr="006A7380">
              <w:rPr>
                <w:rFonts w:ascii="Georgia" w:hAnsi="Georgia" w:cs="Times New Roman"/>
                <w:sz w:val="20"/>
                <w:szCs w:val="20"/>
                <w:lang w:val="lt-LT" w:eastAsia="lt-LT"/>
              </w:rPr>
              <w:t>Bendrųjų nuostatų reglamento</w:t>
            </w:r>
            <w:r w:rsidRPr="006A7380" w:rsidDel="006A7380">
              <w:rPr>
                <w:rFonts w:ascii="Georgia" w:hAnsi="Georgia" w:cs="Times New Roman"/>
                <w:sz w:val="20"/>
                <w:szCs w:val="20"/>
                <w:lang w:val="lt-LT" w:eastAsia="lt-LT"/>
              </w:rPr>
              <w:t xml:space="preserve"> </w:t>
            </w:r>
            <w:r>
              <w:rPr>
                <w:rFonts w:ascii="Georgia" w:hAnsi="Georgia" w:cs="Times New Roman"/>
                <w:sz w:val="20"/>
                <w:szCs w:val="20"/>
                <w:lang w:eastAsia="lt-LT"/>
              </w:rPr>
              <w:t xml:space="preserve">37 straipsnio 8 ir 9 dalies nuostatų (t.y. derinamų finansavimo formų parama neviršyja visos atitinkamo išlaidų elemento sumos, subsidijos nenaudojamos finansavimui, gautam pagal FP, apmokėti ir FP nenauodojamos iš </w:t>
            </w:r>
            <w:r>
              <w:rPr>
                <w:rFonts w:ascii="Georgia" w:hAnsi="Georgia" w:cs="Times New Roman"/>
                <w:sz w:val="20"/>
                <w:szCs w:val="20"/>
                <w:lang w:eastAsia="lt-LT"/>
              </w:rPr>
              <w:lastRenderedPageBreak/>
              <w:t>anksto, kol negautas subsidijų finansavimas), galėtų būti dvi galimybės priklausomai nuo FP ir subsidijos finansavimo šaltinio:</w:t>
            </w:r>
          </w:p>
          <w:p w14:paraId="76219BD6" w14:textId="77777777" w:rsidR="007552F3" w:rsidRDefault="007552F3" w:rsidP="007E38FC">
            <w:pPr>
              <w:pStyle w:val="Sraopastraipa"/>
              <w:numPr>
                <w:ilvl w:val="0"/>
                <w:numId w:val="94"/>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 xml:space="preserve">FP ir subsidija finansuojamos per vieną ESI fondų priemonę arba per skirtingas priemones. </w:t>
            </w:r>
          </w:p>
          <w:p w14:paraId="02646837" w14:textId="77777777" w:rsidR="007552F3" w:rsidRDefault="007552F3" w:rsidP="007E38FC">
            <w:pPr>
              <w:pStyle w:val="Sraopastraipa"/>
              <w:numPr>
                <w:ilvl w:val="0"/>
                <w:numId w:val="94"/>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 xml:space="preserve">FP finansuojama ESI fondų lėšomis, o subsidijos parama teikiama per  kitą priemonę iš ES ir (ar) nacionalionio  biudžeto. </w:t>
            </w:r>
          </w:p>
          <w:p w14:paraId="60FEC90A" w14:textId="77777777" w:rsidR="007552F3" w:rsidRPr="00950129" w:rsidRDefault="007552F3" w:rsidP="007E38FC">
            <w:pPr>
              <w:spacing w:after="240"/>
              <w:ind w:left="465"/>
              <w:jc w:val="both"/>
              <w:rPr>
                <w:rFonts w:ascii="Georgia" w:hAnsi="Georgia" w:cs="Times New Roman"/>
                <w:sz w:val="20"/>
                <w:szCs w:val="20"/>
                <w:lang w:val="lt-LT" w:eastAsia="lt-LT"/>
              </w:rPr>
            </w:pPr>
            <w:r>
              <w:rPr>
                <w:rFonts w:ascii="Georgia" w:hAnsi="Georgia" w:cs="Times New Roman"/>
                <w:sz w:val="20"/>
                <w:szCs w:val="20"/>
                <w:lang w:val="lt-LT" w:eastAsia="lt-LT"/>
              </w:rPr>
              <w:t>Pirmuoju atveju nėra skirtumo ar subsidija būtų negrąžintina parama, ar grąžintina subsidija. Galima paminėti, jog pagrindinis grąžintinos paramos privalumas lyginant su globalia dotacija yra tas, jog grąžintina parama skatina perėjimą nuo subsidijų prie FP kultūros, atsakingesnį skolinimąsi ir didesnę motyvaciją siekiant geresnių rezultatų (jei nustatomi atitinkami kriterijai, pagal kuriuos paramos grąžinti nereikėtų). Dar vienas privalumas tas, jog FP administruojanti institucija gali veikti vieno langelio principu, nes jai gali būti suteikti grąžintinos paramos administravimo įgaliojimai, minimizuojant administracinius kaštus. Taikant globalią subsidiją, tikėtina, jog padidėtų administravimo kaštai, tačiau galimai pagreitėtų lėšų įsisavinimas. Galutinį sprendimą turėtų priimti vadovaujančioji institucija, atsižvelgdama  į esamą rinkos situaciją ir esamus prioritetus.</w:t>
            </w:r>
          </w:p>
          <w:p w14:paraId="29737448" w14:textId="77777777" w:rsidR="007552F3" w:rsidRPr="00950129" w:rsidRDefault="007552F3" w:rsidP="007E38FC">
            <w:pPr>
              <w:pStyle w:val="Sraopastraipa"/>
              <w:numPr>
                <w:ilvl w:val="0"/>
                <w:numId w:val="92"/>
              </w:numPr>
              <w:spacing w:after="120"/>
              <w:ind w:left="465" w:hanging="357"/>
              <w:contextualSpacing w:val="0"/>
              <w:jc w:val="both"/>
              <w:rPr>
                <w:rFonts w:ascii="Georgia" w:hAnsi="Georgia" w:cs="Times New Roman"/>
                <w:b/>
                <w:sz w:val="20"/>
                <w:szCs w:val="20"/>
                <w:lang w:val="lt-LT" w:eastAsia="lt-LT"/>
              </w:rPr>
            </w:pPr>
            <w:r w:rsidRPr="00950129">
              <w:rPr>
                <w:rFonts w:ascii="Georgia" w:hAnsi="Georgia" w:cs="Times New Roman"/>
                <w:b/>
                <w:sz w:val="20"/>
                <w:szCs w:val="20"/>
                <w:lang w:eastAsia="lt-LT"/>
              </w:rPr>
              <w:t xml:space="preserve">Taikoma 30 proc. subsidija </w:t>
            </w:r>
            <w:r>
              <w:rPr>
                <w:rFonts w:ascii="Georgia" w:hAnsi="Georgia" w:cs="Times New Roman"/>
                <w:b/>
                <w:sz w:val="20"/>
                <w:szCs w:val="20"/>
                <w:lang w:eastAsia="lt-LT"/>
              </w:rPr>
              <w:t>galutinių naudotojų lygmenyje</w:t>
            </w:r>
            <w:r w:rsidRPr="00950129">
              <w:rPr>
                <w:rFonts w:ascii="Georgia" w:hAnsi="Georgia" w:cs="Times New Roman"/>
                <w:b/>
                <w:sz w:val="20"/>
                <w:szCs w:val="20"/>
                <w:lang w:eastAsia="lt-LT"/>
              </w:rPr>
              <w:t xml:space="preserve"> ir </w:t>
            </w:r>
            <w:r>
              <w:rPr>
                <w:rFonts w:ascii="Georgia" w:hAnsi="Georgia" w:cs="Times New Roman"/>
                <w:b/>
                <w:sz w:val="20"/>
                <w:szCs w:val="20"/>
                <w:lang w:eastAsia="lt-LT"/>
              </w:rPr>
              <w:t xml:space="preserve">iki </w:t>
            </w:r>
            <w:r w:rsidRPr="00950129">
              <w:rPr>
                <w:rFonts w:ascii="Georgia" w:hAnsi="Georgia" w:cs="Times New Roman"/>
                <w:b/>
                <w:sz w:val="20"/>
                <w:szCs w:val="20"/>
                <w:lang w:eastAsia="lt-LT"/>
              </w:rPr>
              <w:t xml:space="preserve">10 proc. subsidija techninei paramai </w:t>
            </w:r>
            <w:r>
              <w:rPr>
                <w:rFonts w:ascii="Georgia" w:hAnsi="Georgia" w:cs="Times New Roman"/>
                <w:b/>
                <w:sz w:val="20"/>
                <w:szCs w:val="20"/>
                <w:lang w:eastAsia="lt-LT"/>
              </w:rPr>
              <w:t>FP lygmenyje</w:t>
            </w:r>
          </w:p>
          <w:p w14:paraId="4D40AAFF" w14:textId="77777777" w:rsidR="007552F3" w:rsidRDefault="007552F3" w:rsidP="007E38FC">
            <w:pPr>
              <w:ind w:left="467"/>
              <w:jc w:val="both"/>
              <w:rPr>
                <w:rFonts w:ascii="Georgia" w:hAnsi="Georgia" w:cs="Times New Roman"/>
                <w:sz w:val="20"/>
                <w:szCs w:val="20"/>
                <w:lang w:val="lt-LT" w:eastAsia="lt-LT"/>
              </w:rPr>
            </w:pPr>
            <w:r>
              <w:rPr>
                <w:rFonts w:ascii="Georgia" w:hAnsi="Georgia" w:cs="Times New Roman"/>
                <w:sz w:val="20"/>
                <w:szCs w:val="20"/>
                <w:lang w:val="lt-LT" w:eastAsia="lt-LT"/>
              </w:rPr>
              <w:t xml:space="preserve">Šiuo atveju </w:t>
            </w:r>
            <w:r>
              <w:rPr>
                <w:rFonts w:ascii="Georgia" w:hAnsi="Georgia" w:cs="Times New Roman"/>
                <w:sz w:val="20"/>
                <w:szCs w:val="20"/>
                <w:lang w:eastAsia="lt-LT"/>
              </w:rPr>
              <w:t>30 proc. subsidija būtų derinama su FP kaip ir aukščiau. Tuo tarpu iki 10 proc. subsidija techninei paramai b</w:t>
            </w:r>
            <w:r>
              <w:rPr>
                <w:rFonts w:ascii="Georgia" w:hAnsi="Georgia" w:cs="Times New Roman"/>
                <w:sz w:val="20"/>
                <w:szCs w:val="20"/>
                <w:lang w:val="lt-LT" w:eastAsia="lt-LT"/>
              </w:rPr>
              <w:t xml:space="preserve">ūtų teikiama jau FP lygmenyje, nes </w:t>
            </w:r>
            <w:r>
              <w:rPr>
                <w:rFonts w:ascii="Georgia" w:hAnsi="Georgia" w:cs="Times New Roman"/>
                <w:sz w:val="20"/>
                <w:szCs w:val="20"/>
                <w:lang w:eastAsia="lt-LT"/>
              </w:rPr>
              <w:t>remiantis Bendrųjų nuostatų reglamento 37 straipnsio 7 dalies nuostatomis</w:t>
            </w:r>
            <w:r>
              <w:rPr>
                <w:rFonts w:ascii="Georgia" w:hAnsi="Georgia" w:cs="Times New Roman"/>
                <w:sz w:val="20"/>
                <w:szCs w:val="20"/>
                <w:lang w:val="lt-LT" w:eastAsia="lt-LT"/>
              </w:rPr>
              <w:t xml:space="preserve">, kai „ESI fondų parama teikiama pasitelkiant FP ir kai ji, vykdant vieną veiksmą derinama su kitų formų parama tiesiogiai susieta su FP, skirtoms tiem patiems galutiniams naudos gavėjams įskaitant techninę pagalbą, FP taikytinos nuostatos taikomos visų formų paramai, teikiamai tam veiksmui“. </w:t>
            </w:r>
          </w:p>
          <w:p w14:paraId="44ECE55C" w14:textId="77777777" w:rsidR="007552F3" w:rsidRDefault="007552F3" w:rsidP="007E38FC">
            <w:pPr>
              <w:ind w:left="467"/>
              <w:jc w:val="both"/>
              <w:rPr>
                <w:rFonts w:ascii="Georgia" w:hAnsi="Georgia" w:cs="Times New Roman"/>
                <w:sz w:val="20"/>
                <w:szCs w:val="20"/>
                <w:lang w:val="lt-LT" w:eastAsia="lt-LT"/>
              </w:rPr>
            </w:pPr>
            <w:r>
              <w:rPr>
                <w:rFonts w:ascii="Georgia" w:hAnsi="Georgia" w:cs="Times New Roman"/>
                <w:sz w:val="20"/>
                <w:szCs w:val="20"/>
                <w:lang w:val="lt-LT" w:eastAsia="lt-LT"/>
              </w:rPr>
              <w:t xml:space="preserve">Nustatytas techinės paramos dydis buvo pasirinktas remiantis daugiabučių namų renovacijos projektų statistika, kuri indikuoja, jog techninė parama rengiant renovacijos projektus šiame sektoriuje siekia apie </w:t>
            </w:r>
            <w:r>
              <w:rPr>
                <w:rFonts w:ascii="Georgia" w:hAnsi="Georgia" w:cs="Times New Roman"/>
                <w:sz w:val="20"/>
                <w:szCs w:val="20"/>
                <w:lang w:eastAsia="lt-LT"/>
              </w:rPr>
              <w:t>8 proc. Kadangi vie</w:t>
            </w:r>
            <w:r>
              <w:rPr>
                <w:rFonts w:ascii="Georgia" w:hAnsi="Georgia" w:cs="Times New Roman"/>
                <w:sz w:val="20"/>
                <w:szCs w:val="20"/>
                <w:lang w:val="lt-LT" w:eastAsia="lt-LT"/>
              </w:rPr>
              <w:t xml:space="preserve">šųjų pastatų renovacijos projektai tikėtina bus kompleksiškesni ir pareikalaus daugiau resursų, siūloma apsvarstyti iki </w:t>
            </w:r>
            <w:r>
              <w:rPr>
                <w:rFonts w:ascii="Georgia" w:hAnsi="Georgia" w:cs="Times New Roman"/>
                <w:sz w:val="20"/>
                <w:szCs w:val="20"/>
                <w:lang w:eastAsia="lt-LT"/>
              </w:rPr>
              <w:t>10 proc. paramą.</w:t>
            </w:r>
            <w:r>
              <w:rPr>
                <w:rFonts w:ascii="Georgia" w:hAnsi="Georgia" w:cs="Times New Roman"/>
                <w:sz w:val="20"/>
                <w:szCs w:val="20"/>
                <w:lang w:val="lt-LT" w:eastAsia="lt-LT"/>
              </w:rPr>
              <w:t xml:space="preserve"> </w:t>
            </w:r>
          </w:p>
          <w:p w14:paraId="4F27C367" w14:textId="77777777" w:rsidR="007552F3" w:rsidRPr="00950129" w:rsidRDefault="007552F3" w:rsidP="007E38FC">
            <w:pPr>
              <w:ind w:left="467"/>
              <w:jc w:val="both"/>
              <w:rPr>
                <w:rFonts w:ascii="Georgia" w:hAnsi="Georgia" w:cs="Times New Roman"/>
                <w:sz w:val="20"/>
                <w:szCs w:val="20"/>
                <w:lang w:val="lt-LT" w:eastAsia="lt-LT"/>
              </w:rPr>
            </w:pPr>
            <w:r>
              <w:rPr>
                <w:rFonts w:ascii="Georgia" w:hAnsi="Georgia" w:cs="Times New Roman"/>
                <w:sz w:val="20"/>
                <w:szCs w:val="20"/>
                <w:lang w:val="lt-LT" w:eastAsia="lt-LT"/>
              </w:rPr>
              <w:t>Techninė parama patraukli ne tik dėl to, jog ji gali būti administruojama kaip FP, tokiu būdu sutaupant  papildomus kaštus, tačiau ir dėl to, kad techininių projektų parengimas ir pasiruošimas įgyendintirenovacijos projektus reikalauja laiko ir žmogiškųjų resursų, todėl galimai atgraso pastatų valdytojus nuo tokių projektų inicijavimo. Pastarosios problemos buvo pasimėtos ir Turto Banko apklausos metu. Tikėtina, jog pradėjus teikti techninę paramą įsibėgės ir viešųjų pastatų renovacijos projektų srautas. Be to, teikiant subsidiją techninei paramai, techninių darbų kokybę vertina ir subsidijos valdytojas, taip užtikrinant papildomą kontrolės lygį.</w:t>
            </w:r>
          </w:p>
          <w:p w14:paraId="43801D1C" w14:textId="77777777" w:rsidR="007552F3" w:rsidRPr="00950129" w:rsidRDefault="007552F3" w:rsidP="007E38FC">
            <w:pPr>
              <w:jc w:val="both"/>
              <w:rPr>
                <w:rFonts w:ascii="Georgia" w:hAnsi="Georgia" w:cs="Times New Roman"/>
                <w:sz w:val="20"/>
                <w:szCs w:val="20"/>
                <w:lang w:val="lt-LT" w:eastAsia="lt-LT"/>
              </w:rPr>
            </w:pPr>
          </w:p>
        </w:tc>
      </w:tr>
    </w:tbl>
    <w:p w14:paraId="30EF3B4A" w14:textId="77777777" w:rsidR="007552F3" w:rsidRDefault="007552F3" w:rsidP="007552F3">
      <w:pPr>
        <w:spacing w:after="0"/>
        <w:jc w:val="both"/>
        <w:rPr>
          <w:rFonts w:ascii="Georgia" w:hAnsi="Georgia"/>
          <w:sz w:val="20"/>
          <w:lang w:val="lt-LT"/>
        </w:rPr>
      </w:pPr>
      <w:r>
        <w:rPr>
          <w:rFonts w:ascii="Georgia" w:hAnsi="Georgia"/>
          <w:sz w:val="20"/>
          <w:lang w:val="lt-LT"/>
        </w:rPr>
        <w:lastRenderedPageBreak/>
        <w:t xml:space="preserve"> </w:t>
      </w:r>
    </w:p>
    <w:p w14:paraId="64C2445F"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Vadovaujantis šiuo metu patvirtinta 2014-2020 m. ESI fondų lėšų administravimo teisine baze, siekiant vienam projektui skirti iki </w:t>
      </w:r>
      <w:r>
        <w:rPr>
          <w:rFonts w:ascii="Georgia" w:eastAsia="Times New Roman" w:hAnsi="Georgia" w:cs="Times New Roman"/>
          <w:sz w:val="20"/>
          <w:szCs w:val="20"/>
          <w:lang w:eastAsia="lt-LT"/>
        </w:rPr>
        <w:t>40</w:t>
      </w:r>
      <w:r>
        <w:rPr>
          <w:rFonts w:ascii="Georgia" w:eastAsia="Times New Roman" w:hAnsi="Georgia" w:cs="Times New Roman"/>
          <w:sz w:val="20"/>
          <w:szCs w:val="20"/>
          <w:lang w:val="lt-LT" w:eastAsia="lt-LT"/>
        </w:rPr>
        <w:t xml:space="preserve"> proc. subsidiją ir nuo 60 proc. finansavimą per FP, būtų sukuriama didžiulė našta administruojant šias dvi atskiras paramos formas, per skirtingas institucijas.. </w:t>
      </w:r>
    </w:p>
    <w:p w14:paraId="0BC5DD16"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jog efektyvus šių </w:t>
      </w:r>
      <w:r>
        <w:rPr>
          <w:rFonts w:ascii="Georgia" w:eastAsia="Times New Roman" w:hAnsi="Georgia" w:cs="Times New Roman"/>
          <w:b/>
          <w:sz w:val="20"/>
          <w:szCs w:val="20"/>
          <w:lang w:val="lt-LT" w:eastAsia="lt-LT"/>
        </w:rPr>
        <w:t>dviejų finansavimo formų suderinimas būtų įgyvendinamas per vieną instituciją,</w:t>
      </w:r>
      <w:r>
        <w:rPr>
          <w:rFonts w:ascii="Georgia" w:eastAsia="Times New Roman" w:hAnsi="Georgia" w:cs="Times New Roman"/>
          <w:sz w:val="20"/>
          <w:szCs w:val="20"/>
          <w:lang w:val="lt-LT" w:eastAsia="lt-LT"/>
        </w:rPr>
        <w:t xml:space="preserve"> kuri tuo pačiu atliktų įgyvendinančiosios institucijos funkcijas</w:t>
      </w:r>
      <w:r>
        <w:rPr>
          <w:rStyle w:val="Puslapioinaosnuoroda"/>
          <w:rFonts w:ascii="Georgia" w:eastAsia="Times New Roman" w:hAnsi="Georgia" w:cs="Times New Roman"/>
          <w:sz w:val="20"/>
          <w:szCs w:val="20"/>
          <w:lang w:val="lt-LT" w:eastAsia="lt-LT"/>
        </w:rPr>
        <w:footnoteReference w:id="192"/>
      </w:r>
      <w:r>
        <w:rPr>
          <w:rFonts w:ascii="Georgia" w:eastAsia="Times New Roman" w:hAnsi="Georgia" w:cs="Times New Roman"/>
          <w:sz w:val="20"/>
          <w:szCs w:val="20"/>
          <w:lang w:val="lt-LT" w:eastAsia="lt-LT"/>
        </w:rPr>
        <w:t xml:space="preserve"> ir finansinės priemonės valdytojo funkcijas. Tokiu būdu projekto administravimas būtų valdomas vieno langelio principu ir taip sumažinama administracinė našta tiek pareiškėjui, tiek institucijoms. Atsižvelgiant į tai, rekomenduojama įvertinti, ar institucija, galinti veikti kaip finansinės priemonės valdytojas, galėtų veikti ir kaip įgyvendinančioji institucija subsidijos atžvilgiu. </w:t>
      </w:r>
    </w:p>
    <w:p w14:paraId="40BF5009"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Atsiradus galimybei skirti papildomą subsidiją viešųjų pastatų modernizavimui iš kitų šaltinių (pvz. Klimato kaitos programos lėšų ar pan.), siūloma išnaudoti tokią galimybę siekiant sutrumpinti projektų atsipirkimo laikotarpį ir motyvuoti pastatų valdytojus aktyviau atnaujinti viešuosius pastatus, tokiu būdu prisidedant prie energijos taupymo strateginių tikslų.</w:t>
      </w:r>
    </w:p>
    <w:p w14:paraId="066E4835"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Labai svarbu į viešųjų pastatų renovaciją žvelgti kompleksiškai, kadangi įvertinusinterviu su viešųjų pastatų valdytojais rezultatus, darytina išvada, jog subsidijos teikimas yra būtina, bet nepakankama sąlyga renovacijos projektų srautui išvystyti. Žemiau pateikiamos interviu metu įvardintos problemos beisiūlomi jų sprendimo būdai.</w:t>
      </w:r>
    </w:p>
    <w:tbl>
      <w:tblPr>
        <w:tblStyle w:val="PwCTableText"/>
        <w:tblW w:w="0" w:type="auto"/>
        <w:tblLook w:val="04A0" w:firstRow="1" w:lastRow="0" w:firstColumn="1" w:lastColumn="0" w:noHBand="0" w:noVBand="1"/>
      </w:tblPr>
      <w:tblGrid>
        <w:gridCol w:w="4510"/>
        <w:gridCol w:w="4143"/>
        <w:gridCol w:w="236"/>
        <w:gridCol w:w="236"/>
        <w:gridCol w:w="629"/>
      </w:tblGrid>
      <w:tr w:rsidR="007552F3" w:rsidRPr="00F35E79" w14:paraId="422D607C" w14:textId="77777777" w:rsidTr="007E38FC">
        <w:trPr>
          <w:cnfStyle w:val="100000000000" w:firstRow="1" w:lastRow="0" w:firstColumn="0" w:lastColumn="0" w:oddVBand="0" w:evenVBand="0" w:oddHBand="0" w:evenHBand="0" w:firstRowFirstColumn="0" w:firstRowLastColumn="0" w:lastRowFirstColumn="0" w:lastRowLastColumn="0"/>
        </w:trPr>
        <w:tc>
          <w:tcPr>
            <w:tcW w:w="4510" w:type="dxa"/>
          </w:tcPr>
          <w:p w14:paraId="4FD4D20D" w14:textId="77777777" w:rsidR="007552F3" w:rsidRPr="00F35E79" w:rsidRDefault="007552F3" w:rsidP="007E38FC">
            <w:pPr>
              <w:pStyle w:val="Pagrindinistekstas"/>
              <w:rPr>
                <w:lang w:val="lt-LT"/>
              </w:rPr>
            </w:pPr>
            <w:r>
              <w:rPr>
                <w:lang w:val="lt-LT"/>
              </w:rPr>
              <w:t>Problema</w:t>
            </w:r>
          </w:p>
        </w:tc>
        <w:tc>
          <w:tcPr>
            <w:tcW w:w="4143" w:type="dxa"/>
          </w:tcPr>
          <w:p w14:paraId="328B0A6D" w14:textId="77777777" w:rsidR="007552F3" w:rsidRPr="00F35E79" w:rsidRDefault="007552F3" w:rsidP="007E38FC">
            <w:pPr>
              <w:pStyle w:val="Pagrindinistekstas"/>
              <w:rPr>
                <w:lang w:val="lt-LT"/>
              </w:rPr>
            </w:pPr>
            <w:r>
              <w:rPr>
                <w:lang w:val="lt-LT"/>
              </w:rPr>
              <w:t>Sprendimo pasiūlymas</w:t>
            </w:r>
          </w:p>
        </w:tc>
        <w:tc>
          <w:tcPr>
            <w:tcW w:w="0" w:type="auto"/>
          </w:tcPr>
          <w:p w14:paraId="1B1BB8F0" w14:textId="77777777" w:rsidR="007552F3" w:rsidRPr="00F35E79" w:rsidRDefault="007552F3" w:rsidP="007E38FC">
            <w:pPr>
              <w:pStyle w:val="Pagrindinistekstas"/>
              <w:rPr>
                <w:lang w:val="lt-LT"/>
              </w:rPr>
            </w:pPr>
          </w:p>
        </w:tc>
        <w:tc>
          <w:tcPr>
            <w:tcW w:w="0" w:type="auto"/>
          </w:tcPr>
          <w:p w14:paraId="119291A7" w14:textId="77777777" w:rsidR="007552F3" w:rsidRPr="00F35E79" w:rsidRDefault="007552F3" w:rsidP="007E38FC">
            <w:pPr>
              <w:pStyle w:val="Pagrindinistekstas"/>
              <w:jc w:val="right"/>
              <w:rPr>
                <w:lang w:val="lt-LT"/>
              </w:rPr>
            </w:pPr>
          </w:p>
        </w:tc>
        <w:tc>
          <w:tcPr>
            <w:tcW w:w="629" w:type="dxa"/>
          </w:tcPr>
          <w:p w14:paraId="3EEA6B91" w14:textId="77777777" w:rsidR="007552F3" w:rsidRPr="00F35E79" w:rsidRDefault="007552F3" w:rsidP="007E38FC">
            <w:pPr>
              <w:pStyle w:val="Pagrindinistekstas"/>
              <w:jc w:val="right"/>
              <w:rPr>
                <w:lang w:val="lt-LT"/>
              </w:rPr>
            </w:pPr>
          </w:p>
        </w:tc>
      </w:tr>
      <w:tr w:rsidR="007552F3" w:rsidRPr="00F35E79" w14:paraId="436409AD" w14:textId="77777777" w:rsidTr="007E38FC">
        <w:trPr>
          <w:trHeight w:val="377"/>
        </w:trPr>
        <w:tc>
          <w:tcPr>
            <w:tcW w:w="4510" w:type="dxa"/>
          </w:tcPr>
          <w:p w14:paraId="61DB4179" w14:textId="77777777" w:rsidR="007552F3" w:rsidRPr="00F35E79" w:rsidRDefault="007552F3" w:rsidP="007E38FC">
            <w:pPr>
              <w:pStyle w:val="Pagrindinistekstas"/>
              <w:rPr>
                <w:lang w:val="lt-LT"/>
              </w:rPr>
            </w:pPr>
            <w:r w:rsidRPr="0029139E">
              <w:rPr>
                <w:lang w:val="lt-LT"/>
              </w:rPr>
              <w:t>Renovuoti galima tik centralizuoto turto valdytojo valdomą valstybės objekto dalį. Pastatų, kurie pilnai priklauso tik valstybei yra labai nedaug, o tai trukdo formuotis renovacijos projektų srautui.</w:t>
            </w:r>
          </w:p>
        </w:tc>
        <w:tc>
          <w:tcPr>
            <w:tcW w:w="5244" w:type="dxa"/>
            <w:gridSpan w:val="4"/>
          </w:tcPr>
          <w:p w14:paraId="336BA349" w14:textId="77777777" w:rsidR="007552F3" w:rsidRPr="00F35E79" w:rsidRDefault="007552F3" w:rsidP="007E38FC">
            <w:pPr>
              <w:pStyle w:val="Pagrindinistekstas"/>
              <w:rPr>
                <w:lang w:val="lt-LT"/>
              </w:rPr>
            </w:pPr>
            <w:r>
              <w:rPr>
                <w:lang w:val="lt-LT"/>
              </w:rPr>
              <w:t xml:space="preserve">Galiojančioje Viešųjų pastatų energinio efektyvumo didinimo programoje numatyta, kad gali būti finansuojami renovacijos projektai kai bent </w:t>
            </w:r>
            <w:r>
              <w:rPr>
                <w:lang w:val="en-US"/>
              </w:rPr>
              <w:t>51 proc. viso pastato ploto naudojama programoje nurodytų pastat</w:t>
            </w:r>
            <w:r>
              <w:rPr>
                <w:lang w:val="lt-LT"/>
              </w:rPr>
              <w:t xml:space="preserve">ų valdytojų, taip pat yra visų pastato patalpų savininkų rašytinis susitarimas dėl pastato energijos vartojimo efektyvumo projekto vykdymo. </w:t>
            </w:r>
            <w:r w:rsidRPr="00946821">
              <w:rPr>
                <w:lang w:val="lt-LT"/>
              </w:rPr>
              <w:t>Rekomenduotina keisti taisykles</w:t>
            </w:r>
            <w:r>
              <w:rPr>
                <w:lang w:val="lt-LT"/>
              </w:rPr>
              <w:t xml:space="preserve"> ir jei būtina – teisės aktus</w:t>
            </w:r>
            <w:r w:rsidRPr="00946821">
              <w:rPr>
                <w:lang w:val="lt-LT"/>
              </w:rPr>
              <w:t>,</w:t>
            </w:r>
            <w:r>
              <w:rPr>
                <w:lang w:val="lt-LT"/>
              </w:rPr>
              <w:t xml:space="preserve"> nustatant</w:t>
            </w:r>
            <w:r w:rsidRPr="00946821">
              <w:rPr>
                <w:lang w:val="lt-LT"/>
              </w:rPr>
              <w:t xml:space="preserve"> jog jei bent 51% pastato nuosavybės priklauso centrinei valdžiai, tokiems pastatams leisti įgyvendinti renovaciją nelaukiant sutikimo iš likusių savininkų (kaip ir daugiabučių atveju)</w:t>
            </w:r>
            <w:r>
              <w:rPr>
                <w:lang w:val="lt-LT"/>
              </w:rPr>
              <w:t>. Nusprendus įgyvendinti šį pasiūlymą reikėtų atlikti papildomą galiojančios teisinės bazės, valstybės pagalbos ir kitų susijusių klausimų analizę.</w:t>
            </w:r>
          </w:p>
        </w:tc>
      </w:tr>
      <w:tr w:rsidR="007552F3" w:rsidRPr="00F35E79" w14:paraId="251BE8E8" w14:textId="77777777" w:rsidTr="007E38FC">
        <w:trPr>
          <w:trHeight w:val="377"/>
        </w:trPr>
        <w:tc>
          <w:tcPr>
            <w:tcW w:w="4510" w:type="dxa"/>
          </w:tcPr>
          <w:p w14:paraId="6FD409BC" w14:textId="77777777" w:rsidR="007552F3" w:rsidRPr="0029139E" w:rsidRDefault="007552F3" w:rsidP="007E38FC">
            <w:pPr>
              <w:pStyle w:val="Pagrindinistekstas"/>
              <w:rPr>
                <w:lang w:val="lt-LT"/>
              </w:rPr>
            </w:pPr>
            <w:r w:rsidRPr="00946821">
              <w:rPr>
                <w:lang w:val="lt-LT"/>
              </w:rPr>
              <w:t>Techninės paramos stygius trukdo įsibėgėti projektų srautui, nes techninė dokumentacija užima daug įstaigos resursų ir mažina motyvaciją imtis renovacijos projektų.</w:t>
            </w:r>
          </w:p>
        </w:tc>
        <w:tc>
          <w:tcPr>
            <w:tcW w:w="5244" w:type="dxa"/>
            <w:gridSpan w:val="4"/>
          </w:tcPr>
          <w:p w14:paraId="348673F9" w14:textId="77777777" w:rsidR="007552F3" w:rsidRPr="00946821" w:rsidRDefault="007552F3" w:rsidP="007E38FC">
            <w:pPr>
              <w:pStyle w:val="Pagrindinistekstas"/>
              <w:rPr>
                <w:lang w:val="lt-LT"/>
              </w:rPr>
            </w:pPr>
            <w:r>
              <w:rPr>
                <w:lang w:val="lt-LT"/>
              </w:rPr>
              <w:t>Rekomenduotina teikti paramą techiniam projekto parengimui (energetinio audito irtechinio projekto parengimas ir pan.)</w:t>
            </w:r>
          </w:p>
        </w:tc>
      </w:tr>
      <w:tr w:rsidR="007552F3" w:rsidRPr="00F35E79" w14:paraId="647D3B5F" w14:textId="77777777" w:rsidTr="007E38FC">
        <w:trPr>
          <w:trHeight w:val="377"/>
        </w:trPr>
        <w:tc>
          <w:tcPr>
            <w:tcW w:w="4510" w:type="dxa"/>
          </w:tcPr>
          <w:p w14:paraId="3AC2D0C4" w14:textId="77777777" w:rsidR="007552F3" w:rsidRPr="00946821" w:rsidRDefault="007552F3" w:rsidP="007E38FC">
            <w:pPr>
              <w:pStyle w:val="Pagrindinistekstas"/>
              <w:rPr>
                <w:lang w:val="lt-LT"/>
              </w:rPr>
            </w:pPr>
            <w:r w:rsidRPr="00946821">
              <w:rPr>
                <w:lang w:val="lt-LT"/>
              </w:rPr>
              <w:t xml:space="preserve">Masto ekonomijos trūkumas dėl pavienių pastatų renovacijos arba </w:t>
            </w:r>
            <w:r>
              <w:rPr>
                <w:lang w:val="lt-LT"/>
              </w:rPr>
              <w:t xml:space="preserve">iššūkiai kylantys </w:t>
            </w:r>
            <w:r w:rsidRPr="00946821">
              <w:rPr>
                <w:lang w:val="lt-LT"/>
              </w:rPr>
              <w:t>pastatą renovuojant dviem skirtingiems rangovams</w:t>
            </w:r>
          </w:p>
        </w:tc>
        <w:tc>
          <w:tcPr>
            <w:tcW w:w="5244" w:type="dxa"/>
            <w:gridSpan w:val="4"/>
          </w:tcPr>
          <w:p w14:paraId="5ECFC9CA" w14:textId="77777777" w:rsidR="007552F3" w:rsidRDefault="007552F3" w:rsidP="007E38FC">
            <w:pPr>
              <w:pStyle w:val="Pagrindinistekstas"/>
              <w:rPr>
                <w:lang w:val="lt-LT"/>
              </w:rPr>
            </w:pPr>
            <w:r w:rsidRPr="006B736D">
              <w:rPr>
                <w:lang w:val="lt-LT"/>
              </w:rPr>
              <w:t xml:space="preserve">Apsvarstyti galimybę derinti viešuosius pirkimus pastatų grupėms/kvartalams su Viešųjų Pirkimų Tarnyba, taip sudarant masto ekonomiją potencialiems rangovams. Taip pat peržiūrėti energetinio efektyvumo </w:t>
            </w:r>
            <w:r>
              <w:rPr>
                <w:lang w:val="lt-LT"/>
              </w:rPr>
              <w:t xml:space="preserve">priemonių </w:t>
            </w:r>
            <w:r w:rsidRPr="006B736D">
              <w:rPr>
                <w:lang w:val="lt-LT"/>
              </w:rPr>
              <w:t>ir kitų pastato remonto darbų derinimą.</w:t>
            </w:r>
          </w:p>
        </w:tc>
      </w:tr>
      <w:tr w:rsidR="007552F3" w:rsidRPr="00F35E79" w14:paraId="1303475F" w14:textId="77777777" w:rsidTr="007E38FC">
        <w:trPr>
          <w:trHeight w:val="377"/>
        </w:trPr>
        <w:tc>
          <w:tcPr>
            <w:tcW w:w="4510" w:type="dxa"/>
          </w:tcPr>
          <w:p w14:paraId="335BA86B" w14:textId="77777777" w:rsidR="007552F3" w:rsidRPr="006B736D" w:rsidRDefault="007552F3" w:rsidP="007E38FC">
            <w:pPr>
              <w:pStyle w:val="Pagrindinistekstas"/>
              <w:rPr>
                <w:lang w:val="lt-LT"/>
              </w:rPr>
            </w:pPr>
            <w:r>
              <w:rPr>
                <w:lang w:val="lt-LT"/>
              </w:rPr>
              <w:t>Informacijos sklaidos stoka, nes ne visi pastatų valdytojai yra pilnai informuoti dėl centrinės valdžios ir gatvių apšvietimo renovacijos galimybių.</w:t>
            </w:r>
            <w:r>
              <w:rPr>
                <w:rStyle w:val="Puslapioinaosnuoroda"/>
                <w:lang w:val="lt-LT"/>
              </w:rPr>
              <w:footnoteReference w:id="193"/>
            </w:r>
          </w:p>
        </w:tc>
        <w:tc>
          <w:tcPr>
            <w:tcW w:w="5244" w:type="dxa"/>
            <w:gridSpan w:val="4"/>
          </w:tcPr>
          <w:p w14:paraId="5E58E2D7" w14:textId="77777777" w:rsidR="007552F3" w:rsidRPr="006B736D" w:rsidRDefault="007552F3" w:rsidP="007E38FC">
            <w:pPr>
              <w:pStyle w:val="Pagrindinistekstas"/>
              <w:rPr>
                <w:lang w:val="lt-LT"/>
              </w:rPr>
            </w:pPr>
            <w:r>
              <w:rPr>
                <w:lang w:val="lt-LT"/>
              </w:rPr>
              <w:t xml:space="preserve">Aktyviau vystyti informacijos sklaidos veiklas siekiant užtikrinti pastatų valdytojų įsitraukimą į renovacijos procesą. Tikėtina tai lemtų aktyvesnį  </w:t>
            </w:r>
          </w:p>
        </w:tc>
      </w:tr>
      <w:tr w:rsidR="007552F3" w:rsidRPr="00F35E79" w14:paraId="7722D19C" w14:textId="77777777" w:rsidTr="007E38FC">
        <w:trPr>
          <w:trHeight w:val="377"/>
        </w:trPr>
        <w:tc>
          <w:tcPr>
            <w:tcW w:w="4510" w:type="dxa"/>
          </w:tcPr>
          <w:p w14:paraId="7FD5C540" w14:textId="77777777" w:rsidR="007552F3" w:rsidRPr="00946821" w:rsidRDefault="007552F3" w:rsidP="007E38FC">
            <w:pPr>
              <w:pStyle w:val="Pagrindinistekstas"/>
              <w:rPr>
                <w:lang w:val="lt-LT"/>
              </w:rPr>
            </w:pPr>
            <w:r w:rsidRPr="006B736D">
              <w:rPr>
                <w:lang w:val="lt-LT"/>
              </w:rPr>
              <w:t xml:space="preserve">Ilgojo ir trumpojo renovuotinų viešųjų pastatų sąrašo sudarymas, kadangi pastatų neįtrauktų į ilgąjį sąrašą negalima finansuoti </w:t>
            </w:r>
            <w:r>
              <w:rPr>
                <w:lang w:val="lt-LT"/>
              </w:rPr>
              <w:t>FP</w:t>
            </w:r>
            <w:r w:rsidRPr="006B736D">
              <w:rPr>
                <w:lang w:val="lt-LT"/>
              </w:rPr>
              <w:t xml:space="preserve"> lėšomis, kas smarkiai stabdo viešųjų pastatų projektų apimtis ir didina masto ekonomijos problemą.</w:t>
            </w:r>
          </w:p>
        </w:tc>
        <w:tc>
          <w:tcPr>
            <w:tcW w:w="5244" w:type="dxa"/>
            <w:gridSpan w:val="4"/>
          </w:tcPr>
          <w:p w14:paraId="46FD1BDD" w14:textId="77777777" w:rsidR="007552F3" w:rsidRPr="006B736D" w:rsidRDefault="007552F3" w:rsidP="007E38FC">
            <w:pPr>
              <w:pStyle w:val="Pagrindinistekstas"/>
              <w:rPr>
                <w:lang w:val="lt-LT"/>
              </w:rPr>
            </w:pPr>
            <w:r w:rsidRPr="006B736D">
              <w:rPr>
                <w:lang w:val="lt-LT"/>
              </w:rPr>
              <w:t xml:space="preserve">Rekomenduotina apsvarstyti plėsti </w:t>
            </w:r>
            <w:r>
              <w:rPr>
                <w:lang w:val="lt-LT"/>
              </w:rPr>
              <w:t>FP</w:t>
            </w:r>
            <w:r w:rsidRPr="006B736D">
              <w:rPr>
                <w:lang w:val="lt-LT"/>
              </w:rPr>
              <w:t xml:space="preserve"> finansuojamų ce</w:t>
            </w:r>
            <w:r>
              <w:rPr>
                <w:lang w:val="lt-LT"/>
              </w:rPr>
              <w:t>ntrinės valdžios pastatų apimtį, įtraukiant ne tik pastatus papuolančius į šiuos sąrašus arba praplėčiant pačius sąrašus.</w:t>
            </w:r>
          </w:p>
        </w:tc>
      </w:tr>
      <w:tr w:rsidR="007552F3" w:rsidRPr="00F35E79" w14:paraId="428DBB5B" w14:textId="77777777" w:rsidTr="007E38FC">
        <w:trPr>
          <w:trHeight w:val="377"/>
        </w:trPr>
        <w:tc>
          <w:tcPr>
            <w:tcW w:w="4510" w:type="dxa"/>
          </w:tcPr>
          <w:p w14:paraId="0DD05632" w14:textId="77777777" w:rsidR="007552F3" w:rsidRPr="006B736D" w:rsidRDefault="007552F3" w:rsidP="007E38FC">
            <w:pPr>
              <w:pStyle w:val="Pagrindinistekstas"/>
              <w:rPr>
                <w:lang w:val="lt-LT"/>
              </w:rPr>
            </w:pPr>
            <w:r>
              <w:rPr>
                <w:lang w:val="lt-LT"/>
              </w:rPr>
              <w:t>Nepakankami asignavimai dėl padidėjusių ESCO kaštų. Įgyvendinant renovaciją ESCO pagrindu, teikiamos paslaugos kaina bus didesnė nei iki tol mokėta kaina už šildymą.</w:t>
            </w:r>
          </w:p>
        </w:tc>
        <w:tc>
          <w:tcPr>
            <w:tcW w:w="5244" w:type="dxa"/>
            <w:gridSpan w:val="4"/>
          </w:tcPr>
          <w:p w14:paraId="0C876DD8" w14:textId="77777777" w:rsidR="007552F3" w:rsidRPr="006B736D" w:rsidRDefault="007552F3" w:rsidP="007E38FC">
            <w:pPr>
              <w:pStyle w:val="Pagrindinistekstas"/>
              <w:rPr>
                <w:lang w:val="lt-LT"/>
              </w:rPr>
            </w:pPr>
            <w:r>
              <w:rPr>
                <w:lang w:val="lt-LT"/>
              </w:rPr>
              <w:t xml:space="preserve">Biudžeto planavimo metu finansų ministerija turėtų atsižvelgti į papildomų lėšų poreikį pastatų valdytojams, kurie įgyvendina energijos efektyvumo projektus ESCO būdu, taip prisidėdami prie valstybės strateginių tikslų bei išvengdami Europos komisijos baudų dėl nepasiektų rodiklių.  </w:t>
            </w:r>
          </w:p>
        </w:tc>
      </w:tr>
    </w:tbl>
    <w:p w14:paraId="52595B43" w14:textId="01525882" w:rsidR="0047468E"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 </w:t>
      </w:r>
    </w:p>
    <w:p w14:paraId="4F1A26A0" w14:textId="77777777" w:rsidR="0047468E" w:rsidRDefault="0047468E">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br w:type="page"/>
      </w:r>
    </w:p>
    <w:p w14:paraId="25F69F84" w14:textId="77777777" w:rsidR="007552F3" w:rsidRDefault="007552F3" w:rsidP="007552F3">
      <w:pPr>
        <w:jc w:val="both"/>
        <w:rPr>
          <w:rFonts w:ascii="Georgia" w:hAnsi="Georgia"/>
          <w:i/>
          <w:sz w:val="20"/>
          <w:lang w:val="lt-LT"/>
        </w:rPr>
      </w:pPr>
    </w:p>
    <w:p w14:paraId="490F04F0" w14:textId="77777777" w:rsidR="007552F3" w:rsidRDefault="007552F3" w:rsidP="007552F3">
      <w:pPr>
        <w:jc w:val="both"/>
        <w:rPr>
          <w:rFonts w:ascii="Georgia" w:hAnsi="Georgia"/>
          <w:b/>
          <w:sz w:val="20"/>
          <w:lang w:val="lt-LT"/>
        </w:rPr>
      </w:pPr>
      <w:r w:rsidRPr="005B31C6">
        <w:rPr>
          <w:rFonts w:ascii="Georgia" w:hAnsi="Georgia"/>
          <w:b/>
          <w:sz w:val="20"/>
          <w:lang w:val="lt-LT"/>
        </w:rPr>
        <w:t>Gatvių apšvietim</w:t>
      </w:r>
      <w:r>
        <w:rPr>
          <w:rFonts w:ascii="Georgia" w:hAnsi="Georgia"/>
          <w:b/>
          <w:sz w:val="20"/>
          <w:lang w:val="lt-LT"/>
        </w:rPr>
        <w:t>as</w:t>
      </w:r>
    </w:p>
    <w:p w14:paraId="603D3EBB" w14:textId="77777777" w:rsidR="007552F3" w:rsidRDefault="007552F3" w:rsidP="007552F3">
      <w:pPr>
        <w:jc w:val="both"/>
        <w:rPr>
          <w:rFonts w:ascii="Georgia" w:hAnsi="Georgia"/>
          <w:lang w:val="lt-LT"/>
        </w:rPr>
      </w:pPr>
      <w:r>
        <w:rPr>
          <w:rFonts w:ascii="Georgia" w:eastAsia="Times New Roman" w:hAnsi="Georgia" w:cs="Times New Roman"/>
          <w:sz w:val="20"/>
          <w:szCs w:val="20"/>
          <w:lang w:val="lt-LT" w:eastAsia="lt-LT"/>
        </w:rPr>
        <w:t>Jautrumo analizės metu nebuvo analizuojamas gatvių apšvietimo modernizavimo projektų finansinis gyvybingumas ir subsidijų poreikis, nes šio tipo projektų atsiperkamumas buvo nustatytas KPMG atliktoje studijoje. Remiantis minėtos studijos išvadomis,  gatvių apšvietimo modernizavimo projektams subsidijų poreikio nėra</w:t>
      </w:r>
      <w:r>
        <w:rPr>
          <w:rFonts w:ascii="Georgia" w:hAnsi="Georgia"/>
          <w:lang w:val="lt-LT"/>
        </w:rPr>
        <w:t>.</w:t>
      </w:r>
    </w:p>
    <w:p w14:paraId="289C7A14" w14:textId="77777777" w:rsidR="007552F3" w:rsidRDefault="007552F3" w:rsidP="007552F3">
      <w:pPr>
        <w:spacing w:after="0" w:line="240" w:lineRule="auto"/>
        <w:jc w:val="both"/>
        <w:rPr>
          <w:rFonts w:ascii="Georgia" w:hAnsi="Georgia"/>
          <w:sz w:val="20"/>
          <w:lang w:val="lt-LT"/>
        </w:rPr>
      </w:pPr>
      <w:r w:rsidRPr="001E13B9">
        <w:rPr>
          <w:rFonts w:ascii="Georgia" w:hAnsi="Georgia"/>
          <w:sz w:val="20"/>
          <w:lang w:val="lt-LT"/>
        </w:rPr>
        <w:t xml:space="preserve">Vis dėlto </w:t>
      </w:r>
      <w:r>
        <w:rPr>
          <w:rFonts w:ascii="Georgia" w:hAnsi="Georgia"/>
          <w:sz w:val="20"/>
          <w:lang w:val="lt-LT"/>
        </w:rPr>
        <w:t>svarbu</w:t>
      </w:r>
      <w:r w:rsidRPr="001E13B9">
        <w:rPr>
          <w:rFonts w:ascii="Georgia" w:hAnsi="Georgia"/>
          <w:sz w:val="20"/>
          <w:lang w:val="lt-LT"/>
        </w:rPr>
        <w:t xml:space="preserve"> atkreipti dėmesį į galimybę derinti </w:t>
      </w:r>
      <w:r>
        <w:rPr>
          <w:rFonts w:ascii="Georgia" w:hAnsi="Georgia"/>
          <w:sz w:val="20"/>
          <w:lang w:val="lt-LT"/>
        </w:rPr>
        <w:t xml:space="preserve">subsidiją/grąžinamąją subsidiją su </w:t>
      </w:r>
      <w:r w:rsidRPr="001E13B9">
        <w:rPr>
          <w:rFonts w:ascii="Georgia" w:hAnsi="Georgia"/>
          <w:sz w:val="20"/>
          <w:lang w:val="lt-LT"/>
        </w:rPr>
        <w:t>finansin</w:t>
      </w:r>
      <w:r>
        <w:rPr>
          <w:rFonts w:ascii="Georgia" w:hAnsi="Georgia"/>
          <w:sz w:val="20"/>
          <w:lang w:val="lt-LT"/>
        </w:rPr>
        <w:t>ėmi</w:t>
      </w:r>
      <w:r w:rsidRPr="001E13B9">
        <w:rPr>
          <w:rFonts w:ascii="Georgia" w:hAnsi="Georgia"/>
          <w:sz w:val="20"/>
          <w:lang w:val="lt-LT"/>
        </w:rPr>
        <w:t>s priemon</w:t>
      </w:r>
      <w:r>
        <w:rPr>
          <w:rFonts w:ascii="Georgia" w:hAnsi="Georgia"/>
          <w:sz w:val="20"/>
          <w:lang w:val="lt-LT"/>
        </w:rPr>
        <w:t>ėmis</w:t>
      </w:r>
      <w:r w:rsidRPr="001E13B9">
        <w:rPr>
          <w:rFonts w:ascii="Georgia" w:hAnsi="Georgia"/>
          <w:sz w:val="20"/>
          <w:lang w:val="lt-LT"/>
        </w:rPr>
        <w:t xml:space="preserve"> ateityje</w:t>
      </w:r>
      <w:r>
        <w:rPr>
          <w:rFonts w:ascii="Georgia" w:hAnsi="Georgia"/>
          <w:sz w:val="20"/>
          <w:lang w:val="lt-LT"/>
        </w:rPr>
        <w:t>. Nustačius tokio derinimo poreikį,</w:t>
      </w:r>
      <w:r w:rsidRPr="001E13B9">
        <w:rPr>
          <w:rFonts w:ascii="Georgia" w:hAnsi="Georgia"/>
          <w:sz w:val="20"/>
          <w:lang w:val="lt-LT"/>
        </w:rPr>
        <w:t xml:space="preserve"> </w:t>
      </w:r>
      <w:r>
        <w:rPr>
          <w:rFonts w:ascii="Georgia" w:hAnsi="Georgia"/>
          <w:sz w:val="20"/>
          <w:lang w:val="lt-LT"/>
        </w:rPr>
        <w:t>ž</w:t>
      </w:r>
      <w:r w:rsidRPr="001E13B9">
        <w:rPr>
          <w:rFonts w:ascii="Georgia" w:hAnsi="Georgia"/>
          <w:sz w:val="20"/>
          <w:lang w:val="lt-LT"/>
        </w:rPr>
        <w:t>emiau trumpai aprašomos sąlygos tokių priemonių derin</w:t>
      </w:r>
      <w:r>
        <w:rPr>
          <w:rFonts w:ascii="Georgia" w:hAnsi="Georgia"/>
          <w:sz w:val="20"/>
          <w:lang w:val="lt-LT"/>
        </w:rPr>
        <w:t>imui</w:t>
      </w:r>
      <w:r w:rsidRPr="001E13B9">
        <w:rPr>
          <w:rFonts w:ascii="Georgia" w:hAnsi="Georgia"/>
          <w:sz w:val="20"/>
          <w:lang w:val="lt-LT"/>
        </w:rPr>
        <w:t xml:space="preserve"> gatvių apšvietimo </w:t>
      </w:r>
      <w:r>
        <w:rPr>
          <w:rFonts w:ascii="Georgia" w:hAnsi="Georgia"/>
          <w:sz w:val="20"/>
          <w:lang w:val="lt-LT"/>
        </w:rPr>
        <w:t xml:space="preserve">modernizavimo </w:t>
      </w:r>
      <w:r w:rsidRPr="001E13B9">
        <w:rPr>
          <w:rFonts w:ascii="Georgia" w:hAnsi="Georgia"/>
          <w:sz w:val="20"/>
          <w:lang w:val="lt-LT"/>
        </w:rPr>
        <w:t>projektuose</w:t>
      </w:r>
      <w:r>
        <w:rPr>
          <w:rFonts w:ascii="Georgia" w:hAnsi="Georgia"/>
          <w:sz w:val="20"/>
          <w:lang w:val="lt-LT"/>
        </w:rPr>
        <w:t>:</w:t>
      </w:r>
    </w:p>
    <w:p w14:paraId="16042B8F" w14:textId="77777777" w:rsidR="007552F3" w:rsidRPr="001E13B9" w:rsidRDefault="007552F3" w:rsidP="007552F3">
      <w:pPr>
        <w:spacing w:after="0" w:line="240" w:lineRule="auto"/>
        <w:jc w:val="both"/>
        <w:rPr>
          <w:rFonts w:ascii="Georgia" w:hAnsi="Georgia"/>
          <w:sz w:val="20"/>
          <w:lang w:val="lt-LT"/>
        </w:rPr>
      </w:pPr>
    </w:p>
    <w:tbl>
      <w:tblPr>
        <w:tblStyle w:val="Lentelstinklelis"/>
        <w:tblW w:w="9781" w:type="dxa"/>
        <w:tblInd w:w="-34" w:type="dxa"/>
        <w:shd w:val="clear" w:color="auto" w:fill="FDE9D9" w:themeFill="accent6" w:themeFillTint="33"/>
        <w:tblLook w:val="04A0" w:firstRow="1" w:lastRow="0" w:firstColumn="1" w:lastColumn="0" w:noHBand="0" w:noVBand="1"/>
      </w:tblPr>
      <w:tblGrid>
        <w:gridCol w:w="9781"/>
      </w:tblGrid>
      <w:tr w:rsidR="007552F3" w14:paraId="2BDAB9EE" w14:textId="77777777" w:rsidTr="007E38FC">
        <w:trPr>
          <w:trHeight w:val="4964"/>
        </w:trPr>
        <w:tc>
          <w:tcPr>
            <w:tcW w:w="9781" w:type="dxa"/>
            <w:shd w:val="clear" w:color="auto" w:fill="FDE9D9" w:themeFill="accent6" w:themeFillTint="33"/>
          </w:tcPr>
          <w:p w14:paraId="3907BBB5" w14:textId="77777777" w:rsidR="007552F3" w:rsidRPr="002C20EB" w:rsidRDefault="007552F3" w:rsidP="007E38FC">
            <w:pPr>
              <w:rPr>
                <w:rFonts w:ascii="Georgia" w:hAnsi="Georgia"/>
                <w:b/>
                <w:sz w:val="20"/>
                <w:lang w:val="lt-LT"/>
              </w:rPr>
            </w:pPr>
            <w:r w:rsidRPr="002C20EB">
              <w:rPr>
                <w:rFonts w:ascii="Georgia" w:hAnsi="Georgia"/>
                <w:b/>
                <w:sz w:val="20"/>
                <w:lang w:val="lt-LT"/>
              </w:rPr>
              <w:t>Garantinė priemonė su palūkanų subsidija</w:t>
            </w:r>
          </w:p>
          <w:p w14:paraId="78B8CF6A" w14:textId="77777777" w:rsidR="007552F3" w:rsidRPr="001E13B9" w:rsidRDefault="007552F3" w:rsidP="007E38FC">
            <w:pPr>
              <w:jc w:val="both"/>
              <w:rPr>
                <w:rFonts w:ascii="Georgia" w:hAnsi="Georgia"/>
                <w:sz w:val="20"/>
                <w:lang w:val="lt-LT"/>
              </w:rPr>
            </w:pPr>
          </w:p>
          <w:p w14:paraId="64FA0C58" w14:textId="77777777" w:rsidR="007552F3" w:rsidRPr="00BC0C08" w:rsidRDefault="007552F3" w:rsidP="007E38FC">
            <w:pPr>
              <w:jc w:val="both"/>
              <w:rPr>
                <w:rFonts w:ascii="Georgia" w:hAnsi="Georgia"/>
                <w:sz w:val="20"/>
                <w:szCs w:val="20"/>
                <w:lang w:val="lt-LT"/>
              </w:rPr>
            </w:pPr>
            <w:r>
              <w:rPr>
                <w:rFonts w:ascii="Georgia" w:hAnsi="Georgia"/>
                <w:sz w:val="20"/>
                <w:szCs w:val="20"/>
                <w:lang w:val="lt-LT"/>
              </w:rPr>
              <w:t>Šiuo atveju būtų teikiama garantija paskolai ir tuo pačiu pilnai kompensuojamos paskolos palūkanos. Remiantis EK išaiškinimu</w:t>
            </w:r>
            <w:r>
              <w:rPr>
                <w:rStyle w:val="Puslapioinaosnuoroda"/>
                <w:rFonts w:ascii="Georgia" w:hAnsi="Georgia"/>
                <w:sz w:val="20"/>
                <w:szCs w:val="20"/>
                <w:lang w:val="lt-LT"/>
              </w:rPr>
              <w:footnoteReference w:id="194"/>
            </w:r>
            <w:r>
              <w:rPr>
                <w:rFonts w:ascii="Georgia" w:hAnsi="Georgia"/>
                <w:sz w:val="20"/>
                <w:szCs w:val="20"/>
                <w:lang w:val="lt-LT"/>
              </w:rPr>
              <w:t xml:space="preserve">, paramos derinimas teikiant garantiją paskolai su palūkanų subsidija tai pačiai paskolai yra leistinas. Pagal Bendrųjų nuostatų reglamento </w:t>
            </w:r>
            <w:r>
              <w:rPr>
                <w:rFonts w:ascii="Georgia" w:hAnsi="Georgia"/>
                <w:sz w:val="20"/>
                <w:szCs w:val="20"/>
              </w:rPr>
              <w:t xml:space="preserve">37 </w:t>
            </w:r>
            <w:r>
              <w:rPr>
                <w:rFonts w:ascii="Georgia" w:hAnsi="Georgia"/>
                <w:sz w:val="20"/>
                <w:szCs w:val="20"/>
                <w:lang w:val="lt-LT"/>
              </w:rPr>
              <w:t xml:space="preserve">str. 9 dalį, derinant subsidijas ir finansines priemones  galima finansuoti tą patį išlaidų elementą, jei visų derinamų paramos formų suma neviršija visos atitinkamos išlaidų elementų sumos. Tačiau kadangi garantinės priemonės išlaidų elementas yra paskolos suma, o palūkanų subsidijos išlaidų elementas – finansiniai paskolos kaštai, tai nelaikoma tuo pačiu elementu. Tokiu atveju </w:t>
            </w:r>
            <w:r w:rsidRPr="001C2764">
              <w:rPr>
                <w:rFonts w:ascii="Georgia" w:hAnsi="Georgia"/>
                <w:sz w:val="20"/>
                <w:szCs w:val="20"/>
                <w:lang w:val="lt-LT"/>
              </w:rPr>
              <w:t>Bendrųjų nuostatų reglamento</w:t>
            </w:r>
            <w:r>
              <w:rPr>
                <w:rFonts w:ascii="Georgia" w:hAnsi="Georgia"/>
                <w:sz w:val="20"/>
                <w:szCs w:val="20"/>
                <w:lang w:val="lt-LT"/>
              </w:rPr>
              <w:t xml:space="preserve"> </w:t>
            </w:r>
            <w:r w:rsidRPr="002C20EB">
              <w:rPr>
                <w:rFonts w:ascii="Georgia" w:hAnsi="Georgia"/>
                <w:sz w:val="20"/>
                <w:szCs w:val="20"/>
                <w:lang w:val="lt-LT"/>
              </w:rPr>
              <w:t xml:space="preserve">apribojimas negalioja ir paramos derinimas yra leistinas.  </w:t>
            </w:r>
          </w:p>
          <w:p w14:paraId="67B8691A" w14:textId="77777777" w:rsidR="007552F3" w:rsidRDefault="007552F3" w:rsidP="007E38FC">
            <w:pPr>
              <w:jc w:val="both"/>
              <w:rPr>
                <w:lang w:val="lt-LT"/>
              </w:rPr>
            </w:pPr>
          </w:p>
          <w:p w14:paraId="28A5022F" w14:textId="77777777" w:rsidR="007552F3" w:rsidRPr="002C20EB" w:rsidRDefault="007552F3" w:rsidP="007E38FC">
            <w:pPr>
              <w:rPr>
                <w:rFonts w:ascii="Georgia" w:hAnsi="Georgia"/>
                <w:b/>
                <w:sz w:val="20"/>
                <w:lang w:val="lt-LT"/>
              </w:rPr>
            </w:pPr>
            <w:r w:rsidRPr="002C20EB">
              <w:rPr>
                <w:rFonts w:ascii="Georgia" w:hAnsi="Georgia"/>
                <w:b/>
                <w:sz w:val="20"/>
                <w:lang w:val="lt-LT"/>
              </w:rPr>
              <w:t>Garantinė priemonė, kai dalis lėšų nukreipiama į grąžinamąją subsidiją</w:t>
            </w:r>
          </w:p>
          <w:p w14:paraId="5D518297" w14:textId="77777777" w:rsidR="007552F3" w:rsidRDefault="007552F3" w:rsidP="007E38FC">
            <w:pPr>
              <w:jc w:val="both"/>
              <w:rPr>
                <w:rFonts w:ascii="Times New Roman" w:hAnsi="Times New Roman" w:cs="Times New Roman"/>
                <w:sz w:val="24"/>
                <w:szCs w:val="24"/>
                <w:lang w:val="lt-LT" w:eastAsia="lt-LT"/>
              </w:rPr>
            </w:pPr>
          </w:p>
          <w:p w14:paraId="1B0BB991" w14:textId="77777777" w:rsidR="007552F3" w:rsidRPr="002C20EB" w:rsidRDefault="007552F3" w:rsidP="007E38FC">
            <w:pPr>
              <w:jc w:val="both"/>
              <w:rPr>
                <w:rFonts w:ascii="Georgia" w:hAnsi="Georgia" w:cs="Times New Roman"/>
                <w:sz w:val="20"/>
                <w:szCs w:val="20"/>
                <w:lang w:val="lt-LT" w:eastAsia="lt-LT"/>
              </w:rPr>
            </w:pPr>
            <w:r>
              <w:rPr>
                <w:rFonts w:ascii="Georgia" w:hAnsi="Georgia" w:cs="Times New Roman"/>
                <w:sz w:val="20"/>
                <w:szCs w:val="20"/>
                <w:lang w:val="lt-LT" w:eastAsia="lt-LT"/>
              </w:rPr>
              <w:t xml:space="preserve">Šiuo atveju būtų teikiama garantija paskolai ir tuo pačiu grąžintina subsidija rangos darbams. Remiantis subsidijų ir finansinių priemonių derinimo aiškinimu, skirtumo tarp grąžinamosios ir paprastosios subsidijos šiuo atveju nebelieka. Abiem atvejais deklaravus subsidijos ar grąžinamosios subsidijos išlaidas EK, vykdant mokėjimus bus taikomas kofinansavimo intensyvumas energijos efektyvumo prioritetui. Remiantis Valstybės pagalbos </w:t>
            </w:r>
            <w:r>
              <w:rPr>
                <w:rFonts w:ascii="Georgia" w:hAnsi="Georgia" w:cs="Times New Roman"/>
                <w:sz w:val="20"/>
                <w:szCs w:val="20"/>
                <w:lang w:eastAsia="lt-LT"/>
              </w:rPr>
              <w:t>37 str. 7 dalimi</w:t>
            </w:r>
            <w:r>
              <w:rPr>
                <w:rStyle w:val="Puslapioinaosnuoroda"/>
                <w:rFonts w:ascii="Georgia" w:hAnsi="Georgia" w:cs="Times New Roman"/>
                <w:sz w:val="20"/>
                <w:szCs w:val="20"/>
                <w:lang w:val="lt-LT" w:eastAsia="lt-LT"/>
              </w:rPr>
              <w:t xml:space="preserve"> </w:t>
            </w:r>
            <w:r>
              <w:rPr>
                <w:rStyle w:val="Puslapioinaosnuoroda"/>
                <w:rFonts w:ascii="Georgia" w:hAnsi="Georgia" w:cs="Times New Roman"/>
                <w:sz w:val="20"/>
                <w:szCs w:val="20"/>
                <w:lang w:val="lt-LT" w:eastAsia="lt-LT"/>
              </w:rPr>
              <w:footnoteReference w:id="195"/>
            </w:r>
            <w:r>
              <w:rPr>
                <w:rFonts w:ascii="Georgia" w:hAnsi="Georgia" w:cs="Times New Roman"/>
                <w:sz w:val="20"/>
                <w:szCs w:val="20"/>
                <w:lang w:val="lt-LT" w:eastAsia="lt-LT"/>
              </w:rPr>
              <w:t xml:space="preserve"> , papildomos pritrauktos privačios investicijos energijos efektyvumo projektuose negali sudaryti mažiau nei </w:t>
            </w:r>
            <w:r>
              <w:rPr>
                <w:rFonts w:ascii="Georgia" w:hAnsi="Georgia" w:cs="Times New Roman"/>
                <w:sz w:val="20"/>
                <w:szCs w:val="20"/>
                <w:lang w:eastAsia="lt-LT"/>
              </w:rPr>
              <w:t>30%</w:t>
            </w:r>
            <w:r>
              <w:rPr>
                <w:rFonts w:ascii="Georgia" w:hAnsi="Georgia" w:cs="Times New Roman"/>
                <w:sz w:val="20"/>
                <w:szCs w:val="20"/>
                <w:lang w:val="lt-LT" w:eastAsia="lt-LT"/>
              </w:rPr>
              <w:t xml:space="preserve">. Tokiu atveju garantinės priemonės ir grąžinamosios subsidijos derinimas yra leistinas. </w:t>
            </w:r>
          </w:p>
        </w:tc>
      </w:tr>
    </w:tbl>
    <w:p w14:paraId="011BB987" w14:textId="77777777" w:rsidR="007552F3" w:rsidRPr="005349A7" w:rsidRDefault="007552F3" w:rsidP="007552F3">
      <w:pPr>
        <w:spacing w:before="120" w:after="120"/>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 </w:t>
      </w:r>
    </w:p>
    <w:p w14:paraId="1FA93042" w14:textId="77777777" w:rsidR="007552F3" w:rsidRPr="00DF3A8E" w:rsidRDefault="007552F3" w:rsidP="007552F3">
      <w:pPr>
        <w:pStyle w:val="Antrat2"/>
        <w:numPr>
          <w:ilvl w:val="2"/>
          <w:numId w:val="2"/>
        </w:numPr>
        <w:spacing w:after="240"/>
        <w:ind w:left="709"/>
        <w:rPr>
          <w:lang w:val="lt-LT"/>
        </w:rPr>
      </w:pPr>
      <w:bookmarkStart w:id="382" w:name="_Toc398043865"/>
      <w:bookmarkStart w:id="383" w:name="_Toc398567617"/>
      <w:bookmarkStart w:id="384" w:name="_Toc503196431"/>
      <w:bookmarkStart w:id="385" w:name="_Toc25589979"/>
      <w:r>
        <w:rPr>
          <w:lang w:val="lt-LT"/>
        </w:rPr>
        <w:t>F</w:t>
      </w:r>
      <w:r w:rsidRPr="00DF3A8E">
        <w:rPr>
          <w:lang w:val="lt-LT"/>
        </w:rPr>
        <w:t>inansinės priemonės įgyvendinimo struktūra</w:t>
      </w:r>
      <w:bookmarkEnd w:id="382"/>
      <w:bookmarkEnd w:id="383"/>
      <w:bookmarkEnd w:id="384"/>
      <w:bookmarkEnd w:id="385"/>
    </w:p>
    <w:p w14:paraId="38AD2101" w14:textId="77777777" w:rsidR="007552F3" w:rsidRDefault="007552F3" w:rsidP="007552F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Visos įmanomos finansinių priemonių įgyvendinimo struktūros, reglamentuojamos Bendrųjų nuostatų reglamente, yra aptartos 1.3. skyriuje. </w:t>
      </w:r>
    </w:p>
    <w:p w14:paraId="64D7FE36"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Siekiant identifikuoti efektyviausią finansinės priemonės įgyvendinimo struktūrą, reikėtų atsižvelgti į kelis aspektus. Pirmiausia, siūloma steigti vieną fondą viešųjų pastatų ir gatvių apšvietimo modernizavimui, taip siekiant užtikrinti administracinės naštos mažinimą, mažesnį procedūrų kiekį, greitesnį lėšų skirstymą tarp sričių. Atsižvelgiant į tai, kad gatvių apšvietimo modernizavimas ir centrinės valdžios pastatų modernizavimas sudaro dvi atskiras finansines priemones, jų bendram įgyvendinimui ir valdymui reikia steigti fondų fondą (kadangi fondų fondo valdytojas valdo visas fondų fonde esančias finansines priemones).</w:t>
      </w:r>
    </w:p>
    <w:p w14:paraId="4D4053DB" w14:textId="77777777" w:rsidR="007552F3" w:rsidRDefault="007552F3" w:rsidP="007552F3">
      <w:pPr>
        <w:jc w:val="both"/>
        <w:rPr>
          <w:rFonts w:ascii="Georgia" w:eastAsia="Times New Roman" w:hAnsi="Georgia" w:cs="Times New Roman"/>
          <w:i/>
          <w:sz w:val="20"/>
          <w:szCs w:val="20"/>
          <w:lang w:val="lt-LT" w:eastAsia="lt-LT"/>
        </w:rPr>
      </w:pPr>
      <w:r>
        <w:rPr>
          <w:rFonts w:ascii="Georgia" w:eastAsia="Times New Roman" w:hAnsi="Georgia" w:cs="Times New Roman"/>
          <w:sz w:val="20"/>
          <w:szCs w:val="20"/>
          <w:lang w:val="lt-LT" w:eastAsia="lt-LT"/>
        </w:rPr>
        <w:t xml:space="preserve">Kaip numatyta Bendrųjų nuostatų reglamento 38.5 punkte, </w:t>
      </w:r>
      <w:r w:rsidRPr="00A07762">
        <w:rPr>
          <w:rFonts w:ascii="Georgia" w:hAnsi="Georgia"/>
          <w:sz w:val="20"/>
          <w:lang w:val="lt-LT"/>
        </w:rPr>
        <w:t xml:space="preserve">subjektai, kuriems patikėta įgyvendinti fondų fondą, užduotis gali įgyvendinti patys arba jas patikėti vykdyti finansiniams tarpininkams. Iš to seka išvada, kad </w:t>
      </w:r>
      <w:r>
        <w:rPr>
          <w:rFonts w:ascii="Georgia" w:hAnsi="Georgia"/>
          <w:sz w:val="20"/>
          <w:lang w:val="lt-LT"/>
        </w:rPr>
        <w:t>fondų f</w:t>
      </w:r>
      <w:r w:rsidRPr="00A07762">
        <w:rPr>
          <w:rFonts w:ascii="Georgia" w:hAnsi="Georgia"/>
          <w:sz w:val="20"/>
          <w:lang w:val="lt-LT"/>
        </w:rPr>
        <w:t>ondo valdytojas galėtų tiesiogiai atrinkinėti finansuo</w:t>
      </w:r>
      <w:r>
        <w:rPr>
          <w:rFonts w:ascii="Georgia" w:hAnsi="Georgia"/>
          <w:sz w:val="20"/>
          <w:lang w:val="lt-LT"/>
        </w:rPr>
        <w:t>jamus projektus, atitinkančius fondų f</w:t>
      </w:r>
      <w:r w:rsidRPr="00A07762">
        <w:rPr>
          <w:rFonts w:ascii="Georgia" w:hAnsi="Georgia"/>
          <w:sz w:val="20"/>
          <w:lang w:val="lt-LT"/>
        </w:rPr>
        <w:t xml:space="preserve">ondo </w:t>
      </w:r>
      <w:r w:rsidRPr="00A07762">
        <w:rPr>
          <w:rFonts w:ascii="Georgia" w:hAnsi="Georgia"/>
          <w:sz w:val="20"/>
          <w:lang w:val="lt-LT"/>
        </w:rPr>
        <w:lastRenderedPageBreak/>
        <w:t xml:space="preserve">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kaip ir kokius pro</w:t>
      </w:r>
      <w:r>
        <w:rPr>
          <w:rFonts w:ascii="Georgia" w:hAnsi="Georgia"/>
          <w:sz w:val="20"/>
          <w:lang w:val="lt-LT"/>
        </w:rPr>
        <w:t>jektus fondų f</w:t>
      </w:r>
      <w:r w:rsidRPr="00A07762">
        <w:rPr>
          <w:rFonts w:ascii="Georgia" w:hAnsi="Georgia"/>
          <w:sz w:val="20"/>
          <w:lang w:val="lt-LT"/>
        </w:rPr>
        <w:t>ondo valdytojas galėtų finansuoti, tačiau ES</w:t>
      </w:r>
      <w:r>
        <w:rPr>
          <w:rFonts w:ascii="Georgia" w:hAnsi="Georgia"/>
          <w:sz w:val="20"/>
          <w:lang w:val="lt-LT"/>
        </w:rPr>
        <w:t>I</w:t>
      </w:r>
      <w:r w:rsidRPr="00A07762">
        <w:rPr>
          <w:rFonts w:ascii="Georgia" w:hAnsi="Georgia"/>
          <w:sz w:val="20"/>
          <w:lang w:val="lt-LT"/>
        </w:rPr>
        <w:t xml:space="preserve"> fondų valdymo reguliavime yra akcentuojamas skaidrumas, proporcingumas, nediskriminavimas bei interesų konflikto vengimas. </w:t>
      </w:r>
      <w:r>
        <w:rPr>
          <w:rFonts w:ascii="Georgia" w:hAnsi="Georgia"/>
          <w:sz w:val="20"/>
          <w:lang w:val="lt-LT"/>
        </w:rPr>
        <w:t>Be to, kyla rizika, jog finansiniai tarpininkai aktyviai nedalyvautų fondų fondo finansinių priemonių įgyvendinime (tai patvirtina ir 2007-2013 m. JESSICA KF patirtis)</w:t>
      </w:r>
      <w:r w:rsidRPr="00A07762">
        <w:rPr>
          <w:rFonts w:ascii="Georgia" w:hAnsi="Georgia"/>
          <w:sz w:val="20"/>
          <w:lang w:val="lt-LT"/>
        </w:rPr>
        <w:t xml:space="preserve"> numatoma, jog </w:t>
      </w:r>
      <w:r>
        <w:rPr>
          <w:rFonts w:ascii="Georgia" w:hAnsi="Georgia"/>
          <w:sz w:val="20"/>
          <w:lang w:val="lt-LT"/>
        </w:rPr>
        <w:t>fondų</w:t>
      </w:r>
      <w:r w:rsidRPr="00A07762">
        <w:rPr>
          <w:rFonts w:ascii="Georgia" w:hAnsi="Georgia"/>
          <w:sz w:val="20"/>
          <w:lang w:val="lt-LT"/>
        </w:rPr>
        <w:t xml:space="preserve"> fondo valdytojas gali pats </w:t>
      </w:r>
      <w:r>
        <w:rPr>
          <w:rFonts w:ascii="Georgia" w:hAnsi="Georgia"/>
          <w:sz w:val="20"/>
          <w:lang w:val="lt-LT"/>
        </w:rPr>
        <w:t>įgyvendinti</w:t>
      </w:r>
      <w:r w:rsidRPr="00A07762">
        <w:rPr>
          <w:rFonts w:ascii="Georgia" w:hAnsi="Georgia"/>
          <w:sz w:val="20"/>
          <w:lang w:val="lt-LT"/>
        </w:rPr>
        <w:t xml:space="preserve"> finansin</w:t>
      </w:r>
      <w:r>
        <w:rPr>
          <w:rFonts w:ascii="Georgia" w:hAnsi="Georgia"/>
          <w:sz w:val="20"/>
          <w:lang w:val="lt-LT"/>
        </w:rPr>
        <w:t>es</w:t>
      </w:r>
      <w:r w:rsidRPr="00A07762">
        <w:rPr>
          <w:rFonts w:ascii="Georgia" w:hAnsi="Georgia"/>
          <w:sz w:val="20"/>
          <w:lang w:val="lt-LT"/>
        </w:rPr>
        <w:t xml:space="preserve"> </w:t>
      </w:r>
      <w:r>
        <w:rPr>
          <w:rFonts w:ascii="Georgia" w:hAnsi="Georgia"/>
          <w:sz w:val="20"/>
          <w:lang w:val="lt-LT"/>
        </w:rPr>
        <w:t>priemones</w:t>
      </w:r>
      <w:r w:rsidRPr="00A07762">
        <w:rPr>
          <w:rFonts w:ascii="Georgia" w:hAnsi="Georgia"/>
          <w:sz w:val="20"/>
          <w:lang w:val="lt-LT"/>
        </w:rPr>
        <w:t>.</w:t>
      </w:r>
      <w:r>
        <w:rPr>
          <w:rFonts w:ascii="Georgia" w:hAnsi="Georgia"/>
          <w:sz w:val="20"/>
          <w:lang w:val="lt-LT"/>
        </w:rPr>
        <w:t xml:space="preserve"> Todėl siūlytina paskolinių finansinių priemonių įgyvendinimą patikėti fondų fondo valdytojui, o komerciniams bankams (kurie paprastai veikia kaip finansiniai tarpininkai tarp fondų fondo ir galutinių naudos gavėjų) išreiškus pageidavimą, apsvarstyti galimybę galimybę dalyvauti finansinėse priemonėse savo lėšomis, prisiimant dalį rizikų ir dalyvaujant priimtina apimtimi. Tokia fondų fondo valdymo ir įgyvendinimo alternatyva yra struktūra 1.3 skyriuje aprašytos II ir III struktūros, kuri yra pavaizduota žemiau paveiksle. 47-ame paveiksle pavaizduotas struktūrų derinys, kuris siūlomas fondų fondui. </w:t>
      </w:r>
    </w:p>
    <w:p w14:paraId="37DDC429" w14:textId="77777777" w:rsidR="007552F3" w:rsidRDefault="007552F3" w:rsidP="007552F3">
      <w:pPr>
        <w:jc w:val="both"/>
        <w:rPr>
          <w:rFonts w:ascii="Georgia" w:eastAsia="Times New Roman" w:hAnsi="Georgia" w:cs="Times New Roman"/>
          <w:sz w:val="20"/>
          <w:szCs w:val="20"/>
          <w:lang w:val="lt-LT" w:eastAsia="lt-LT"/>
        </w:rPr>
      </w:pPr>
      <w:r>
        <w:rPr>
          <w:noProof/>
          <w:lang w:val="lt-LT" w:eastAsia="lt-LT"/>
        </w:rPr>
        <mc:AlternateContent>
          <mc:Choice Requires="wpc">
            <w:drawing>
              <wp:inline distT="0" distB="0" distL="0" distR="0" wp14:anchorId="7774A2EB" wp14:editId="509AFC4B">
                <wp:extent cx="5732145" cy="3651936"/>
                <wp:effectExtent l="0" t="0" r="0" b="0"/>
                <wp:docPr id="162"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53" name="Rectangle 8"/>
                        <wps:cNvSpPr>
                          <a:spLocks noChangeArrowheads="1"/>
                        </wps:cNvSpPr>
                        <wps:spPr bwMode="auto">
                          <a:xfrm>
                            <a:off x="922307"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156" name="AutoShape 11"/>
                        <wps:cNvSpPr>
                          <a:spLocks noChangeArrowheads="1"/>
                        </wps:cNvSpPr>
                        <wps:spPr bwMode="auto">
                          <a:xfrm>
                            <a:off x="1164409" y="735700"/>
                            <a:ext cx="1423709" cy="241200"/>
                          </a:xfrm>
                          <a:prstGeom prst="roundRect">
                            <a:avLst>
                              <a:gd name="adj" fmla="val 16667"/>
                            </a:avLst>
                          </a:prstGeom>
                          <a:solidFill>
                            <a:srgbClr val="E36C0A"/>
                          </a:solidFill>
                          <a:ln w="9525">
                            <a:solidFill>
                              <a:srgbClr val="974706"/>
                            </a:solidFill>
                            <a:round/>
                            <a:headEnd/>
                            <a:tailEnd/>
                          </a:ln>
                        </wps:spPr>
                        <wps:txbx>
                          <w:txbxContent>
                            <w:p w14:paraId="34FDED48" w14:textId="77777777" w:rsidR="00133798" w:rsidRDefault="00133798" w:rsidP="007552F3">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159" name="AutoShape 14"/>
                        <wps:cNvSpPr>
                          <a:spLocks noChangeArrowheads="1"/>
                        </wps:cNvSpPr>
                        <wps:spPr bwMode="auto">
                          <a:xfrm>
                            <a:off x="1139104" y="2978900"/>
                            <a:ext cx="1469109" cy="465500"/>
                          </a:xfrm>
                          <a:prstGeom prst="roundRect">
                            <a:avLst>
                              <a:gd name="adj" fmla="val 16667"/>
                            </a:avLst>
                          </a:prstGeom>
                          <a:solidFill>
                            <a:srgbClr val="E36C0A"/>
                          </a:solidFill>
                          <a:ln w="9525">
                            <a:solidFill>
                              <a:srgbClr val="974706"/>
                            </a:solidFill>
                            <a:round/>
                            <a:headEnd/>
                            <a:tailEnd/>
                          </a:ln>
                        </wps:spPr>
                        <wps:txbx>
                          <w:txbxContent>
                            <w:p w14:paraId="5AEEB8D5" w14:textId="60A3B3D1" w:rsidR="00133798" w:rsidRDefault="00133798" w:rsidP="007552F3">
                              <w:pPr>
                                <w:spacing w:after="0" w:line="240" w:lineRule="auto"/>
                                <w:jc w:val="center"/>
                                <w:rPr>
                                  <w:b/>
                                  <w:color w:val="FFFFFF"/>
                                  <w:sz w:val="16"/>
                                  <w:szCs w:val="16"/>
                                </w:rPr>
                              </w:pPr>
                              <w:r>
                                <w:rPr>
                                  <w:b/>
                                  <w:color w:val="FFFFFF"/>
                                  <w:sz w:val="16"/>
                                  <w:szCs w:val="16"/>
                                </w:rPr>
                                <w:t>Galutiniai naudos</w:t>
                              </w:r>
                            </w:p>
                            <w:p w14:paraId="1335B9EB" w14:textId="77777777" w:rsidR="00133798" w:rsidRDefault="00133798" w:rsidP="007552F3">
                              <w:pPr>
                                <w:spacing w:after="0" w:line="240" w:lineRule="auto"/>
                                <w:jc w:val="center"/>
                                <w:rPr>
                                  <w:b/>
                                  <w:color w:val="FFFFFF"/>
                                  <w:sz w:val="16"/>
                                  <w:szCs w:val="16"/>
                                </w:rPr>
                              </w:pPr>
                              <w:r>
                                <w:rPr>
                                  <w:b/>
                                  <w:color w:val="FFFFFF"/>
                                  <w:sz w:val="16"/>
                                  <w:szCs w:val="16"/>
                                </w:rPr>
                                <w:t xml:space="preserve"> gavėjai</w:t>
                              </w:r>
                            </w:p>
                            <w:p w14:paraId="0F2A2D7D" w14:textId="77777777" w:rsidR="00133798" w:rsidRDefault="00133798" w:rsidP="007552F3">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29" name="AutoShape 16"/>
                        <wps:cNvSpPr>
                          <a:spLocks noChangeArrowheads="1"/>
                        </wps:cNvSpPr>
                        <wps:spPr bwMode="auto">
                          <a:xfrm>
                            <a:off x="1164409" y="2059804"/>
                            <a:ext cx="1423709" cy="421500"/>
                          </a:xfrm>
                          <a:prstGeom prst="roundRect">
                            <a:avLst>
                              <a:gd name="adj" fmla="val 16667"/>
                            </a:avLst>
                          </a:prstGeom>
                          <a:solidFill>
                            <a:srgbClr val="E36C0A"/>
                          </a:solidFill>
                          <a:ln w="9525">
                            <a:solidFill>
                              <a:srgbClr val="974706"/>
                            </a:solidFill>
                            <a:round/>
                            <a:headEnd/>
                            <a:tailEnd/>
                          </a:ln>
                        </wps:spPr>
                        <wps:txbx>
                          <w:txbxContent>
                            <w:p w14:paraId="3D610B5B" w14:textId="77777777" w:rsidR="00133798" w:rsidRDefault="00133798" w:rsidP="007552F3">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132" name="Oval 20"/>
                        <wps:cNvSpPr>
                          <a:spLocks noChangeArrowheads="1"/>
                        </wps:cNvSpPr>
                        <wps:spPr bwMode="auto">
                          <a:xfrm>
                            <a:off x="1305757" y="1203878"/>
                            <a:ext cx="1140207" cy="644400"/>
                          </a:xfrm>
                          <a:prstGeom prst="ellipse">
                            <a:avLst/>
                          </a:prstGeom>
                          <a:solidFill>
                            <a:srgbClr val="FFC000"/>
                          </a:solidFill>
                          <a:ln w="9525">
                            <a:solidFill>
                              <a:srgbClr val="974706"/>
                            </a:solidFill>
                            <a:round/>
                            <a:headEnd/>
                            <a:tailEnd/>
                          </a:ln>
                        </wps:spPr>
                        <wps:txbx>
                          <w:txbxContent>
                            <w:p w14:paraId="6A81BB03" w14:textId="77777777" w:rsidR="00133798" w:rsidRPr="00873719" w:rsidRDefault="00133798" w:rsidP="007552F3">
                              <w:pPr>
                                <w:jc w:val="center"/>
                                <w:rPr>
                                  <w:b/>
                                  <w:color w:val="FFFFFF"/>
                                  <w:lang w:val="lt-LT"/>
                                </w:rPr>
                              </w:pPr>
                              <w:r>
                                <w:rPr>
                                  <w:b/>
                                  <w:color w:val="FFFFFF"/>
                                  <w:sz w:val="18"/>
                                  <w:lang w:val="lt-LT"/>
                                </w:rPr>
                                <w:t>Finansinė priemonė</w:t>
                              </w:r>
                            </w:p>
                            <w:p w14:paraId="0DF05DE0" w14:textId="77777777" w:rsidR="00133798" w:rsidRPr="00873719" w:rsidRDefault="00133798" w:rsidP="007552F3">
                              <w:pPr>
                                <w:jc w:val="center"/>
                                <w:rPr>
                                  <w:b/>
                                  <w:color w:val="FFFFFF"/>
                                  <w:lang w:val="lt-LT"/>
                                </w:rPr>
                              </w:pPr>
                            </w:p>
                          </w:txbxContent>
                        </wps:txbx>
                        <wps:bodyPr rot="0" vert="horz" wrap="square" lIns="91440" tIns="45720" rIns="91440" bIns="45720" anchor="t" anchorCtr="0" upright="1">
                          <a:noAutofit/>
                        </wps:bodyPr>
                      </wps:wsp>
                      <wps:wsp>
                        <wps:cNvPr id="137" name="AutoShape 24"/>
                        <wps:cNvCnPr>
                          <a:cxnSpLocks noChangeShapeType="1"/>
                          <a:stCxn id="132" idx="4"/>
                          <a:endCxn id="129" idx="0"/>
                        </wps:cNvCnPr>
                        <wps:spPr bwMode="auto">
                          <a:xfrm>
                            <a:off x="1875861" y="1848278"/>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5"/>
                        <wps:cNvCnPr>
                          <a:cxnSpLocks noChangeShapeType="1"/>
                          <a:stCxn id="129" idx="2"/>
                          <a:endCxn id="4159" idx="0"/>
                        </wps:cNvCnPr>
                        <wps:spPr bwMode="auto">
                          <a:xfrm flipH="1">
                            <a:off x="1873659" y="2481304"/>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26"/>
                        <wps:cNvCnPr>
                          <a:cxnSpLocks noChangeShapeType="1"/>
                          <a:stCxn id="4156" idx="2"/>
                          <a:endCxn id="132" idx="0"/>
                        </wps:cNvCnPr>
                        <wps:spPr bwMode="auto">
                          <a:xfrm flipH="1">
                            <a:off x="1875861" y="976900"/>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0"/>
                        <wps:cNvSpPr>
                          <a:spLocks noChangeArrowheads="1"/>
                        </wps:cNvSpPr>
                        <wps:spPr bwMode="auto">
                          <a:xfrm>
                            <a:off x="1118808"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2DDB137" w14:textId="77777777" w:rsidR="00133798" w:rsidRDefault="00133798" w:rsidP="007552F3">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148" name="AutoShape 10"/>
                        <wps:cNvSpPr>
                          <a:spLocks noChangeArrowheads="1"/>
                        </wps:cNvSpPr>
                        <wps:spPr bwMode="auto">
                          <a:xfrm>
                            <a:off x="3181420"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8EF1829" w14:textId="77777777" w:rsidR="00133798" w:rsidRDefault="00133798" w:rsidP="007552F3">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227" name="Rectangle 9"/>
                        <wps:cNvSpPr>
                          <a:spLocks noChangeArrowheads="1"/>
                        </wps:cNvSpPr>
                        <wps:spPr bwMode="auto">
                          <a:xfrm>
                            <a:off x="3018450" y="554195"/>
                            <a:ext cx="1802130" cy="3004820"/>
                          </a:xfrm>
                          <a:prstGeom prst="rect">
                            <a:avLst/>
                          </a:prstGeom>
                          <a:solidFill>
                            <a:srgbClr val="FFFFFF"/>
                          </a:solidFill>
                          <a:ln w="19050">
                            <a:solidFill>
                              <a:srgbClr val="E36C0A"/>
                            </a:solidFill>
                            <a:miter lim="800000"/>
                            <a:headEnd/>
                            <a:tailEnd/>
                          </a:ln>
                        </wps:spPr>
                        <wps:txbx>
                          <w:txbxContent>
                            <w:p w14:paraId="4F584875" w14:textId="77777777" w:rsidR="00133798" w:rsidRDefault="00133798" w:rsidP="007552F3">
                              <w:pPr>
                                <w:rPr>
                                  <w:rFonts w:eastAsia="Times New Roman"/>
                                </w:rPr>
                              </w:pPr>
                            </w:p>
                          </w:txbxContent>
                        </wps:txbx>
                        <wps:bodyPr rot="0" vert="horz" wrap="square" lIns="91440" tIns="45720" rIns="91440" bIns="45720" anchor="t" anchorCtr="0" upright="1">
                          <a:noAutofit/>
                        </wps:bodyPr>
                      </wps:wsp>
                      <wps:wsp>
                        <wps:cNvPr id="228" name="AutoShape 12"/>
                        <wps:cNvSpPr>
                          <a:spLocks noChangeArrowheads="1"/>
                        </wps:cNvSpPr>
                        <wps:spPr bwMode="auto">
                          <a:xfrm>
                            <a:off x="3197520" y="734535"/>
                            <a:ext cx="1423670" cy="240665"/>
                          </a:xfrm>
                          <a:prstGeom prst="roundRect">
                            <a:avLst>
                              <a:gd name="adj" fmla="val 16667"/>
                            </a:avLst>
                          </a:prstGeom>
                          <a:solidFill>
                            <a:srgbClr val="E36C0A"/>
                          </a:solidFill>
                          <a:ln w="9525">
                            <a:solidFill>
                              <a:srgbClr val="974706"/>
                            </a:solidFill>
                            <a:round/>
                            <a:headEnd/>
                            <a:tailEnd/>
                          </a:ln>
                        </wps:spPr>
                        <wps:txbx>
                          <w:txbxContent>
                            <w:p w14:paraId="28D7A743"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229" name="AutoShape 15"/>
                        <wps:cNvSpPr>
                          <a:spLocks noChangeArrowheads="1"/>
                        </wps:cNvSpPr>
                        <wps:spPr bwMode="auto">
                          <a:xfrm>
                            <a:off x="3197520" y="2977990"/>
                            <a:ext cx="1423670" cy="466090"/>
                          </a:xfrm>
                          <a:prstGeom prst="roundRect">
                            <a:avLst>
                              <a:gd name="adj" fmla="val 16667"/>
                            </a:avLst>
                          </a:prstGeom>
                          <a:solidFill>
                            <a:srgbClr val="E36C0A"/>
                          </a:solidFill>
                          <a:ln w="9525">
                            <a:solidFill>
                              <a:srgbClr val="974706"/>
                            </a:solidFill>
                            <a:round/>
                            <a:headEnd/>
                            <a:tailEnd/>
                          </a:ln>
                        </wps:spPr>
                        <wps:txbx>
                          <w:txbxContent>
                            <w:p w14:paraId="38D3E9A4" w14:textId="0336401B"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34B71A36"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6F755717"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230" name="AutoShape 17"/>
                        <wps:cNvSpPr>
                          <a:spLocks noChangeArrowheads="1"/>
                        </wps:cNvSpPr>
                        <wps:spPr bwMode="auto">
                          <a:xfrm>
                            <a:off x="3193710" y="2496660"/>
                            <a:ext cx="1424305" cy="241935"/>
                          </a:xfrm>
                          <a:prstGeom prst="roundRect">
                            <a:avLst>
                              <a:gd name="adj" fmla="val 16667"/>
                            </a:avLst>
                          </a:prstGeom>
                          <a:solidFill>
                            <a:srgbClr val="E36C0A"/>
                          </a:solidFill>
                          <a:ln w="9525">
                            <a:solidFill>
                              <a:srgbClr val="974706"/>
                            </a:solidFill>
                            <a:prstDash val="dash"/>
                            <a:round/>
                            <a:headEnd/>
                            <a:tailEnd/>
                          </a:ln>
                        </wps:spPr>
                        <wps:txbx>
                          <w:txbxContent>
                            <w:p w14:paraId="6D55C4DA"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31" name="AutoShape 18"/>
                        <wps:cNvSpPr>
                          <a:spLocks noChangeArrowheads="1"/>
                        </wps:cNvSpPr>
                        <wps:spPr bwMode="auto">
                          <a:xfrm>
                            <a:off x="3198790" y="1265395"/>
                            <a:ext cx="1423670" cy="241935"/>
                          </a:xfrm>
                          <a:prstGeom prst="roundRect">
                            <a:avLst>
                              <a:gd name="adj" fmla="val 16667"/>
                            </a:avLst>
                          </a:prstGeom>
                          <a:solidFill>
                            <a:srgbClr val="E36C0A"/>
                          </a:solidFill>
                          <a:ln w="9525">
                            <a:solidFill>
                              <a:srgbClr val="974706"/>
                            </a:solidFill>
                            <a:round/>
                            <a:headEnd/>
                            <a:tailEnd/>
                          </a:ln>
                        </wps:spPr>
                        <wps:txbx>
                          <w:txbxContent>
                            <w:p w14:paraId="23EA2E3A"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32" name="AutoShape 27"/>
                        <wps:cNvCnPr>
                          <a:cxnSpLocks noChangeShapeType="1"/>
                        </wps:cNvCnPr>
                        <wps:spPr bwMode="auto">
                          <a:xfrm flipH="1">
                            <a:off x="3907450" y="1507330"/>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8"/>
                        <wps:cNvCnPr>
                          <a:cxnSpLocks noChangeShapeType="1"/>
                        </wps:cNvCnPr>
                        <wps:spPr bwMode="auto">
                          <a:xfrm flipH="1">
                            <a:off x="3905545" y="2285840"/>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9"/>
                        <wps:cNvCnPr>
                          <a:cxnSpLocks noChangeShapeType="1"/>
                        </wps:cNvCnPr>
                        <wps:spPr bwMode="auto">
                          <a:xfrm flipH="1">
                            <a:off x="3904275" y="2739230"/>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30"/>
                        <wps:cNvCnPr>
                          <a:cxnSpLocks noChangeShapeType="1"/>
                        </wps:cNvCnPr>
                        <wps:spPr bwMode="auto">
                          <a:xfrm>
                            <a:off x="3905545" y="2739230"/>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a:off x="3909355" y="975835"/>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Oval 166"/>
                        <wps:cNvSpPr>
                          <a:spLocks noChangeArrowheads="1"/>
                        </wps:cNvSpPr>
                        <wps:spPr bwMode="auto">
                          <a:xfrm>
                            <a:off x="3337855" y="1641950"/>
                            <a:ext cx="1139825" cy="643890"/>
                          </a:xfrm>
                          <a:prstGeom prst="ellipse">
                            <a:avLst/>
                          </a:prstGeom>
                          <a:solidFill>
                            <a:srgbClr val="FFC000"/>
                          </a:solidFill>
                          <a:ln w="9525">
                            <a:solidFill>
                              <a:srgbClr val="974706"/>
                            </a:solidFill>
                            <a:round/>
                            <a:headEnd/>
                            <a:tailEnd/>
                          </a:ln>
                        </wps:spPr>
                        <wps:txbx>
                          <w:txbxContent>
                            <w:p w14:paraId="0922CC8F"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170E3F9A"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38"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">
                <v:shape id="_x0000_s1139" type="#_x0000_t75" style="position:absolute;width:57321;height:36518;visibility:visible;mso-wrap-style:square">
                  <v:fill o:detectmouseclick="t"/>
                  <v:path o:connecttype="none"/>
                </v:shape>
                <v:rect id="Rectangle 8" o:spid="_x0000_s1140" style="position:absolute;left:9223;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VmcQA&#10;AADdAAAADwAAAGRycy9kb3ducmV2LnhtbESPQYvCMBSE74L/ITzBm6bqrizVKCIIohdXF5a9PZtn&#10;W2xeShJt/fcbQfA4zMw3zHzZmkrcyfnSsoLRMAFBnFldcq7g57QZfIHwAVljZZkUPMjDctHtzDHV&#10;tuFvuh9DLiKEfYoKihDqVEqfFWTQD21NHL2LdQZDlC6X2mET4aaS4ySZSoMlx4UCa1oXlF2PN6Og&#10;/tuRboKWv+3Jnbduvzrs84NS/V67moEI1IZ3+NXeagUfo88J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lZnEAAAA3QAAAA8AAAAAAAAAAAAAAAAAmAIAAGRycy9k&#10;b3ducmV2LnhtbFBLBQYAAAAABAAEAPUAAACJAwAAAAA=&#10;" strokecolor="#e36c0a" strokeweight="1.5pt"/>
                <v:roundrect id="_x0000_s1141" style="position:absolute;left:11644;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uQsMA&#10;AADdAAAADwAAAGRycy9kb3ducmV2LnhtbESPQWsCMRSE7wX/Q3gFbzWr6CJbo4hU8GZXxfNj85os&#10;3bwsm9Rd/fWNUOhxmJlvmNVmcI24URdqzwqmkwwEceV1zUbB5bx/W4IIEVlj45kU3CnAZj16WWGh&#10;fc8l3U7RiAThUKACG2NbSBkqSw7DxLfEyfvyncOYZGek7rBPcNfIWZbl0mHNacFiSztL1ffpxykw&#10;2m7Lz6MpPzIzD5eYz/DRX5Uavw7bdxCRhvgf/msftIL5dJH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PuQsMAAADdAAAADwAAAAAAAAAAAAAAAACYAgAAZHJzL2Rv&#10;d25yZXYueG1sUEsFBgAAAAAEAAQA9QAAAIgDAAAAAA==&#10;" fillcolor="#e36c0a" strokecolor="#974706">
                  <v:textbox>
                    <w:txbxContent>
                      <w:p w14:paraId="34FDED48" w14:textId="77777777" w:rsidR="00133798" w:rsidRDefault="00133798" w:rsidP="007552F3">
                        <w:pPr>
                          <w:spacing w:after="0" w:line="240" w:lineRule="auto"/>
                          <w:jc w:val="center"/>
                          <w:rPr>
                            <w:b/>
                            <w:color w:val="FFFFFF"/>
                            <w:sz w:val="16"/>
                            <w:szCs w:val="16"/>
                          </w:rPr>
                        </w:pPr>
                        <w:r>
                          <w:rPr>
                            <w:b/>
                            <w:color w:val="FFFFFF"/>
                            <w:sz w:val="16"/>
                            <w:szCs w:val="16"/>
                          </w:rPr>
                          <w:t>Vadovaujančioji institucija</w:t>
                        </w:r>
                      </w:p>
                    </w:txbxContent>
                  </v:textbox>
                </v:roundrect>
                <v:roundrect id="_x0000_s1142" style="position:absolute;left:11391;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6MMMA&#10;AADdAAAADwAAAGRycy9kb3ducmV2LnhtbESPQWsCMRSE7wX/Q3gFbzWrWLGrUUQUvLWr0vNj80yW&#10;bl6WTXRXf70pFHocZuYbZrnuXS1u1IbKs4LxKANBXHpdsVFwPu3f5iBCRNZYeyYFdwqwXg1elphr&#10;33FBt2M0IkE45KjAxtjkUobSksMw8g1x8i6+dRiTbI3ULXYJ7mo5ybKZdFhxWrDY0NZS+XO8OgVG&#10;203x9WmKXWam4RxnE3x030oNX/vNAkSkPv6H/9oHrWA6fv+A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x6MMMAAADdAAAADwAAAAAAAAAAAAAAAACYAgAAZHJzL2Rv&#10;d25yZXYueG1sUEsFBgAAAAAEAAQA9QAAAIgDAAAAAA==&#10;" fillcolor="#e36c0a" strokecolor="#974706">
                  <v:textbox>
                    <w:txbxContent>
                      <w:p w14:paraId="5AEEB8D5" w14:textId="60A3B3D1" w:rsidR="00133798" w:rsidRDefault="00133798" w:rsidP="007552F3">
                        <w:pPr>
                          <w:spacing w:after="0" w:line="240" w:lineRule="auto"/>
                          <w:jc w:val="center"/>
                          <w:rPr>
                            <w:b/>
                            <w:color w:val="FFFFFF"/>
                            <w:sz w:val="16"/>
                            <w:szCs w:val="16"/>
                          </w:rPr>
                        </w:pPr>
                        <w:r>
                          <w:rPr>
                            <w:b/>
                            <w:color w:val="FFFFFF"/>
                            <w:sz w:val="16"/>
                            <w:szCs w:val="16"/>
                          </w:rPr>
                          <w:t>Galutiniai naudos</w:t>
                        </w:r>
                      </w:p>
                      <w:p w14:paraId="1335B9EB" w14:textId="77777777" w:rsidR="00133798" w:rsidRDefault="00133798" w:rsidP="007552F3">
                        <w:pPr>
                          <w:spacing w:after="0" w:line="240" w:lineRule="auto"/>
                          <w:jc w:val="center"/>
                          <w:rPr>
                            <w:b/>
                            <w:color w:val="FFFFFF"/>
                            <w:sz w:val="16"/>
                            <w:szCs w:val="16"/>
                          </w:rPr>
                        </w:pPr>
                        <w:r>
                          <w:rPr>
                            <w:b/>
                            <w:color w:val="FFFFFF"/>
                            <w:sz w:val="16"/>
                            <w:szCs w:val="16"/>
                          </w:rPr>
                          <w:t xml:space="preserve"> gavėjai</w:t>
                        </w:r>
                      </w:p>
                      <w:p w14:paraId="0F2A2D7D" w14:textId="77777777" w:rsidR="00133798" w:rsidRDefault="00133798" w:rsidP="007552F3">
                        <w:pPr>
                          <w:spacing w:after="0" w:line="240" w:lineRule="auto"/>
                          <w:jc w:val="center"/>
                          <w:rPr>
                            <w:b/>
                            <w:color w:val="FFFFFF"/>
                            <w:sz w:val="16"/>
                            <w:szCs w:val="16"/>
                          </w:rPr>
                        </w:pPr>
                      </w:p>
                    </w:txbxContent>
                  </v:textbox>
                </v:roundrect>
                <v:roundrect id="_x0000_s1143" style="position:absolute;left:11644;top:2059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xu8AA&#10;AADcAAAADwAAAGRycy9kb3ducmV2LnhtbERP32vCMBB+H/g/hBN8m6lFZFajiDjwbauKz0dzJsXm&#10;UprM1v31y2Cwt/v4ft56O7hGPKgLtWcFs2kGgrjyumaj4HJ+f30DESKyxsYzKXhSgO1m9LLGQvue&#10;S3qcohEphEOBCmyMbSFlqCw5DFPfEifu5juHMcHOSN1hn8JdI/MsW0iHNacGiy3tLVX305dTYLTd&#10;lZ8fpjxkZh4ucZHjd39VajIedisQkYb4L/5zH3Wany/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jxu8AAAADcAAAADwAAAAAAAAAAAAAAAACYAgAAZHJzL2Rvd25y&#10;ZXYueG1sUEsFBgAAAAAEAAQA9QAAAIUDAAAAAA==&#10;" fillcolor="#e36c0a" strokecolor="#974706">
                  <v:textbox>
                    <w:txbxContent>
                      <w:p w14:paraId="3D610B5B" w14:textId="77777777" w:rsidR="00133798" w:rsidRDefault="00133798" w:rsidP="007552F3">
                        <w:pPr>
                          <w:spacing w:after="0" w:line="240" w:lineRule="auto"/>
                          <w:jc w:val="center"/>
                          <w:rPr>
                            <w:b/>
                            <w:color w:val="FFFFFF"/>
                            <w:sz w:val="16"/>
                            <w:szCs w:val="16"/>
                          </w:rPr>
                        </w:pPr>
                        <w:r>
                          <w:rPr>
                            <w:b/>
                            <w:color w:val="FFFFFF"/>
                            <w:sz w:val="16"/>
                            <w:szCs w:val="16"/>
                          </w:rPr>
                          <w:t>Finansinės priemonės valdytojas</w:t>
                        </w:r>
                      </w:p>
                    </w:txbxContent>
                  </v:textbox>
                </v:roundrect>
                <v:oval id="_x0000_s1144" style="position:absolute;left:13057;top:12038;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7U8IA&#10;AADcAAAADwAAAGRycy9kb3ducmV2LnhtbERPTYvCMBC9C/6HMII3Ta0i0jWKLCsqHharB73NNrNt&#10;2WZSmqj135sFwds83ufMl62pxI0aV1pWMBpGIIgzq0vOFZyO68EMhPPIGivLpOBBDpaLbmeOibZ3&#10;PtAt9bkIIewSVFB4XydSuqwgg25oa+LA/drGoA+wyaVu8B7CTSXjKJpKgyWHhgJr+iwo+0uvRkF8&#10;+f7Z17vJ5uwnrtrsdxHOtl9K9Xvt6gOEp9a/xS/3Vof54x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PtTwgAAANwAAAAPAAAAAAAAAAAAAAAAAJgCAABkcnMvZG93&#10;bnJldi54bWxQSwUGAAAAAAQABAD1AAAAhwMAAAAA&#10;" fillcolor="#ffc000" strokecolor="#974706">
                  <v:textbox>
                    <w:txbxContent>
                      <w:p w14:paraId="6A81BB03" w14:textId="77777777" w:rsidR="00133798" w:rsidRPr="00873719" w:rsidRDefault="00133798" w:rsidP="007552F3">
                        <w:pPr>
                          <w:jc w:val="center"/>
                          <w:rPr>
                            <w:b/>
                            <w:color w:val="FFFFFF"/>
                            <w:lang w:val="lt-LT"/>
                          </w:rPr>
                        </w:pPr>
                        <w:r>
                          <w:rPr>
                            <w:b/>
                            <w:color w:val="FFFFFF"/>
                            <w:sz w:val="18"/>
                            <w:lang w:val="lt-LT"/>
                          </w:rPr>
                          <w:t>Finansinė priemonė</w:t>
                        </w:r>
                      </w:p>
                      <w:p w14:paraId="0DF05DE0" w14:textId="77777777" w:rsidR="00133798" w:rsidRPr="00873719" w:rsidRDefault="00133798" w:rsidP="007552F3">
                        <w:pPr>
                          <w:jc w:val="center"/>
                          <w:rPr>
                            <w:b/>
                            <w:color w:val="FFFFFF"/>
                            <w:lang w:val="lt-LT"/>
                          </w:rPr>
                        </w:pPr>
                      </w:p>
                    </w:txbxContent>
                  </v:textbox>
                </v:oval>
                <v:shape id="AutoShape 24" o:spid="_x0000_s1145" type="#_x0000_t32" style="position:absolute;left:18758;top:18482;width:4;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25" o:spid="_x0000_s1146" type="#_x0000_t32" style="position:absolute;left:18736;top:2481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26" o:spid="_x0000_s1147" type="#_x0000_t32" style="position:absolute;left:18758;top:9769;width:4;height:2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roundrect id="_x0000_s1148" style="position:absolute;left:11188;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dNcIA&#10;AADcAAAADwAAAGRycy9kb3ducmV2LnhtbERPTWvCQBC9F/oflhG81Y1FUomuYkMD3tpGL96G7JgE&#10;s7Pp7jaJ/75bKPQ2j/c52/1kOjGQ861lBctFAoK4srrlWsH5VDytQfiArLGzTAru5GG/e3zYYqbt&#10;yJ80lKEWMYR9hgqaEPpMSl81ZNAvbE8cuat1BkOErpba4RjDTSefkySVBluODQ32lDdU3cpvo+Cr&#10;da9Fbt1Hlabl28m/XzrsL0rNZ9NhAyLQFP7Ff+6jjvNXL/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t01wgAAANwAAAAPAAAAAAAAAAAAAAAAAJgCAABkcnMvZG93&#10;bnJldi54bWxQSwUGAAAAAAQABAD1AAAAhwMAAAAA&#10;" fillcolor="white [3201]" strokecolor="#f79646 [3209]" strokeweight="2pt">
                  <v:textbox>
                    <w:txbxContent>
                      <w:p w14:paraId="22DDB137" w14:textId="77777777" w:rsidR="00133798" w:rsidRDefault="00133798" w:rsidP="007552F3">
                        <w:pPr>
                          <w:pStyle w:val="prastasistinklapis"/>
                          <w:jc w:val="center"/>
                        </w:pPr>
                        <w:r>
                          <w:rPr>
                            <w:rFonts w:ascii="Calibri" w:eastAsia="Calibri" w:hAnsi="Calibri"/>
                            <w:b/>
                            <w:bCs/>
                            <w:sz w:val="16"/>
                            <w:szCs w:val="16"/>
                          </w:rPr>
                          <w:t>II STRUKTŪRA</w:t>
                        </w:r>
                      </w:p>
                    </w:txbxContent>
                  </v:textbox>
                </v:roundrect>
                <v:roundrect id="_x0000_s1149" style="position:absolute;left:3181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JR8MA&#10;AADcAAAADwAAAGRycy9kb3ducmV2LnhtbESPQW/CMAyF75P4D5GRuI2UCVVTR0CAhsSNrezCzWpM&#10;W9E4JQlQ/v18mLSbrff83ufFanCdulOIrWcDs2kGirjytuXawM9x9/oOKiZki51nMvCkCKvl6GWB&#10;hfUP/qZ7mWolIRwLNNCk1Bdax6ohh3Hqe2LRzj44TLKGWtuADwl3nX7Lslw7bFkaGuxp21B1KW/O&#10;wLUNm93Wh68qz8vPYzycOuxPxkzGw/oDVKIh/Zv/rvdW8OdCK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JR8MAAADcAAAADwAAAAAAAAAAAAAAAACYAgAAZHJzL2Rv&#10;d25yZXYueG1sUEsFBgAAAAAEAAQA9QAAAIgDAAAAAA==&#10;" fillcolor="white [3201]" strokecolor="#f79646 [3209]" strokeweight="2pt">
                  <v:textbox>
                    <w:txbxContent>
                      <w:p w14:paraId="28EF1829" w14:textId="77777777" w:rsidR="00133798" w:rsidRDefault="00133798" w:rsidP="007552F3">
                        <w:pPr>
                          <w:pStyle w:val="prastasistinklapis"/>
                          <w:jc w:val="center"/>
                        </w:pPr>
                        <w:r>
                          <w:rPr>
                            <w:rFonts w:ascii="Calibri" w:eastAsia="Calibri" w:hAnsi="Calibri"/>
                            <w:b/>
                            <w:bCs/>
                            <w:sz w:val="16"/>
                            <w:szCs w:val="16"/>
                          </w:rPr>
                          <w:t>III STRUKTŪRA</w:t>
                        </w:r>
                      </w:p>
                    </w:txbxContent>
                  </v:textbox>
                </v:roundrect>
                <v:rect id="_x0000_s1150" style="position:absolute;left:30184;top:5541;width:18021;height:30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8n8MA&#10;AADcAAAADwAAAGRycy9kb3ducmV2LnhtbESPT4vCMBTE74LfITzBm03tQaUaRRYE0Yv/QLy9bd62&#10;ZZuXkkTb/fabhQWPw8z8hlltetOIFzlfW1YwTVIQxIXVNZcKbtfdZAHCB2SNjWVS8EMeNuvhYIW5&#10;th2f6XUJpYgQ9jkqqEJocyl9UZFBn9iWOHpf1hkMUbpSaoddhJtGZmk6kwZrjgsVtvRRUfF9eRoF&#10;7eNAugta3vur+9y74/Z0LE9KjUf9dgkiUB/e4f/2XivIsj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8n8MAAADcAAAADwAAAAAAAAAAAAAAAACYAgAAZHJzL2Rv&#10;d25yZXYueG1sUEsFBgAAAAAEAAQA9QAAAIgDAAAAAA==&#10;" strokecolor="#e36c0a" strokeweight="1.5pt">
                  <v:textbox>
                    <w:txbxContent>
                      <w:p w14:paraId="4F584875" w14:textId="77777777" w:rsidR="00133798" w:rsidRDefault="00133798" w:rsidP="007552F3">
                        <w:pPr>
                          <w:rPr>
                            <w:rFonts w:eastAsia="Times New Roman"/>
                          </w:rPr>
                        </w:pPr>
                      </w:p>
                    </w:txbxContent>
                  </v:textbox>
                </v:rect>
                <v:roundrect id="_x0000_s1151" style="position:absolute;left:31975;top:734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1XMAA&#10;AADcAAAADwAAAGRycy9kb3ducmV2LnhtbERPz0vDMBS+D/wfwhN2W1OLFKnLxhAH3lxn2fnRPJNi&#10;81KarK3765eD4PHj+73dL64XE42h86zgKctBELded2wUNF/HzQuIEJE19p5JwS8F2O8eVlustJ+5&#10;pukcjUghHCpUYGMcKilDa8lhyPxAnLhvPzqMCY5G6hHnFO56WeR5KR12nBosDvRmqf05X50Co+2h&#10;Pn2a+j03z6GJZYG3+aLU+nE5vIKItMR/8Z/7QysoirQ2nUlHQO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E1XMAAAADcAAAADwAAAAAAAAAAAAAAAACYAgAAZHJzL2Rvd25y&#10;ZXYueG1sUEsFBgAAAAAEAAQA9QAAAIUDAAAAAA==&#10;" fillcolor="#e36c0a" strokecolor="#974706">
                  <v:textbox>
                    <w:txbxContent>
                      <w:p w14:paraId="28D7A743"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_x0000_s1152" style="position:absolute;left:31975;top:29779;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Qx8IA&#10;AADcAAAADwAAAGRycy9kb3ducmV2LnhtbESPQWsCMRSE74X+h/AKvdWsS5G6NYqIQm+6Kp4fm9dk&#10;cfOybKK79dcbQehxmJlvmNlicI24UhdqzwrGowwEceV1zUbB8bD5+AIRIrLGxjMp+KMAi/nrywwL&#10;7Xsu6bqPRiQIhwIV2BjbQspQWXIYRr4lTt6v7xzGJDsjdYd9grtG5lk2kQ5rTgsWW1pZqs77i1Ng&#10;tF2Wu60p15n5DMc4yfHWn5R6fxuW3yAiDfE//Gz/aAV5PoXHmX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ZDHwgAAANwAAAAPAAAAAAAAAAAAAAAAAJgCAABkcnMvZG93&#10;bnJldi54bWxQSwUGAAAAAAQABAD1AAAAhwMAAAAA&#10;" fillcolor="#e36c0a" strokecolor="#974706">
                  <v:textbox>
                    <w:txbxContent>
                      <w:p w14:paraId="38D3E9A4" w14:textId="0336401B"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34B71A36"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6F755717"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_x0000_s1153" style="position:absolute;left:31937;top:24966;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K/sIA&#10;AADcAAAADwAAAGRycy9kb3ducmV2LnhtbERPzYrCMBC+C75DGGEvi6arrEg1iqxb8aCC1QcYmtm2&#10;bDOpTaz17c1B8Pjx/S9WnalES40rLSv4GkUgiDOrS84VXM7JcAbCeWSNlWVS8CAHq2W/t8BY2zuf&#10;qE19LkIIuxgVFN7XsZQuK8igG9maOHB/tjHoA2xyqRu8h3BTyXEUTaXBkkNDgTX9FJT9pzejoP3e&#10;1L+P9U5ictm66z75NIf0qNTHoFvPQXjq/Fv8cu+0gvE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r+wgAAANwAAAAPAAAAAAAAAAAAAAAAAJgCAABkcnMvZG93&#10;bnJldi54bWxQSwUGAAAAAAQABAD1AAAAhwMAAAAA&#10;" fillcolor="#e36c0a" strokecolor="#974706">
                  <v:stroke dashstyle="dash"/>
                  <v:textbox>
                    <w:txbxContent>
                      <w:p w14:paraId="6D55C4DA"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_x0000_s1154" style="position:absolute;left:31987;top:12653;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KHMIA&#10;AADcAAAADwAAAGRycy9kb3ducmV2LnhtbESPQWsCMRSE7wX/Q3hCbzXrKlJWo4goeGvXiufH5pks&#10;bl6WTXS3/fWNUOhxmJlvmNVmcI14UBdqzwqmkwwEceV1zUbB+evw9g4iRGSNjWdS8E0BNuvRywoL&#10;7Xsu6XGKRiQIhwIV2BjbQspQWXIYJr4lTt7Vdw5jkp2RusM+wV0j8yxbSIc1pwWLLe0sVbfT3Skw&#10;2m7Lzw9T7jMzD+e4yPGnvyj1Oh62SxCRhvgf/msftYJ8NoXn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cwgAAANwAAAAPAAAAAAAAAAAAAAAAAJgCAABkcnMvZG93&#10;bnJldi54bWxQSwUGAAAAAAQABAD1AAAAhwMAAAAA&#10;" fillcolor="#e36c0a" strokecolor="#974706">
                  <v:textbox>
                    <w:txbxContent>
                      <w:p w14:paraId="23EA2E3A"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155" type="#_x0000_t32" style="position:absolute;left:39074;top:1507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28" o:spid="_x0000_s1156" type="#_x0000_t32" style="position:absolute;left:39055;top:22858;width:13;height:2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9" o:spid="_x0000_s1157" type="#_x0000_t32" style="position:absolute;left:39042;top:27392;width:13;height:2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shape id="AutoShape 30" o:spid="_x0000_s1158" type="#_x0000_t32" style="position:absolute;left:39055;top:27392;width:32;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26" o:spid="_x0000_s1159" type="#_x0000_t32" style="position:absolute;left:39093;top:9758;width:6;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oval id="_x0000_s1160" style="position:absolute;left:33378;top:1641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5t8YA&#10;AADcAAAADwAAAGRycy9kb3ducmV2LnhtbESPQWvCQBSE74X+h+UVvNVNY7CSukoRJYoHadqD3l6z&#10;r0lo9m3Irib+e1co9DjMfDPMfDmYRlyoc7VlBS/jCARxYXXNpYKvz83zDITzyBoby6TgSg6Wi8eH&#10;Oaba9vxBl9yXIpSwS1FB5X2bSumKigy6sW2Jg/djO4M+yK6UusM+lJtGxlE0lQZrDgsVtrSqqPjN&#10;z0ZBfDp879tdkh194ppsv4twtl0rNXoa3t9AeBr8f/iP3urAT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5t8YAAADcAAAADwAAAAAAAAAAAAAAAACYAgAAZHJz&#10;L2Rvd25yZXYueG1sUEsFBgAAAAAEAAQA9QAAAIsDAAAAAA==&#10;" fillcolor="#ffc000" strokecolor="#974706">
                  <v:textbox>
                    <w:txbxContent>
                      <w:p w14:paraId="0922CC8F"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170E3F9A"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51BB3D4C" w14:textId="77777777" w:rsidR="007552F3" w:rsidRDefault="007552F3" w:rsidP="007552F3">
      <w:pPr>
        <w:pStyle w:val="Antrat"/>
        <w:rPr>
          <w:lang w:val="lt-LT"/>
        </w:rPr>
      </w:pPr>
    </w:p>
    <w:p w14:paraId="172B75BD" w14:textId="69AA9855" w:rsidR="007552F3" w:rsidRPr="00F435CE" w:rsidRDefault="007552F3" w:rsidP="007552F3">
      <w:pPr>
        <w:pStyle w:val="Antrat"/>
        <w:rPr>
          <w:lang w:val="lt-LT"/>
        </w:rPr>
      </w:pPr>
      <w:bookmarkStart w:id="386" w:name="_Toc503196644"/>
      <w:bookmarkStart w:id="387" w:name="_Toc507939292"/>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9652A6">
        <w:rPr>
          <w:noProof/>
          <w:lang w:val="lt-LT"/>
        </w:rPr>
        <w:t>33</w:t>
      </w:r>
      <w:r w:rsidRPr="00F435CE">
        <w:rPr>
          <w:lang w:val="lt-LT"/>
        </w:rPr>
        <w:fldChar w:fldCharType="end"/>
      </w:r>
      <w:r w:rsidRPr="00F435CE">
        <w:rPr>
          <w:lang w:val="lt-LT"/>
        </w:rPr>
        <w:t>. II ir III valdymo struktūros</w:t>
      </w:r>
      <w:bookmarkEnd w:id="386"/>
      <w:bookmarkEnd w:id="387"/>
    </w:p>
    <w:p w14:paraId="79508110" w14:textId="77777777" w:rsidR="007552F3" w:rsidRPr="00F435CE" w:rsidRDefault="007552F3" w:rsidP="007552F3">
      <w:pPr>
        <w:jc w:val="center"/>
        <w:rPr>
          <w:lang w:val="lt-LT"/>
        </w:rPr>
      </w:pPr>
      <w:r w:rsidRPr="00F435CE">
        <w:rPr>
          <w:noProof/>
          <w:lang w:val="lt-LT" w:eastAsia="lt-LT"/>
        </w:rPr>
        <mc:AlternateContent>
          <mc:Choice Requires="wpc">
            <w:drawing>
              <wp:inline distT="0" distB="0" distL="0" distR="0" wp14:anchorId="64CDAAE0" wp14:editId="41214737">
                <wp:extent cx="5732145" cy="3651885"/>
                <wp:effectExtent l="0" t="0" r="0" b="5715"/>
                <wp:docPr id="190"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Rectangle 8"/>
                        <wps:cNvSpPr>
                          <a:spLocks noChangeArrowheads="1"/>
                        </wps:cNvSpPr>
                        <wps:spPr bwMode="auto">
                          <a:xfrm>
                            <a:off x="922307" y="590776"/>
                            <a:ext cx="3232727"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170" name="AutoShape 11"/>
                        <wps:cNvSpPr>
                          <a:spLocks noChangeArrowheads="1"/>
                        </wps:cNvSpPr>
                        <wps:spPr bwMode="auto">
                          <a:xfrm>
                            <a:off x="1164409" y="735700"/>
                            <a:ext cx="2639495" cy="241200"/>
                          </a:xfrm>
                          <a:prstGeom prst="roundRect">
                            <a:avLst>
                              <a:gd name="adj" fmla="val 16667"/>
                            </a:avLst>
                          </a:prstGeom>
                          <a:solidFill>
                            <a:srgbClr val="E36C0A"/>
                          </a:solidFill>
                          <a:ln w="9525">
                            <a:solidFill>
                              <a:srgbClr val="974706"/>
                            </a:solidFill>
                            <a:round/>
                            <a:headEnd/>
                            <a:tailEnd/>
                          </a:ln>
                        </wps:spPr>
                        <wps:txbx>
                          <w:txbxContent>
                            <w:p w14:paraId="66A93F48" w14:textId="77777777" w:rsidR="00133798" w:rsidRDefault="00133798" w:rsidP="007552F3">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172" name="AutoShape 14"/>
                        <wps:cNvSpPr>
                          <a:spLocks noChangeArrowheads="1"/>
                        </wps:cNvSpPr>
                        <wps:spPr bwMode="auto">
                          <a:xfrm>
                            <a:off x="1139104" y="2978900"/>
                            <a:ext cx="2664800" cy="465500"/>
                          </a:xfrm>
                          <a:prstGeom prst="roundRect">
                            <a:avLst>
                              <a:gd name="adj" fmla="val 16667"/>
                            </a:avLst>
                          </a:prstGeom>
                          <a:solidFill>
                            <a:srgbClr val="E36C0A"/>
                          </a:solidFill>
                          <a:ln w="9525">
                            <a:solidFill>
                              <a:srgbClr val="974706"/>
                            </a:solidFill>
                            <a:round/>
                            <a:headEnd/>
                            <a:tailEnd/>
                          </a:ln>
                        </wps:spPr>
                        <wps:txbx>
                          <w:txbxContent>
                            <w:p w14:paraId="0A03B564" w14:textId="534603DB" w:rsidR="00133798" w:rsidRDefault="00133798" w:rsidP="007552F3">
                              <w:pPr>
                                <w:spacing w:after="0" w:line="240" w:lineRule="auto"/>
                                <w:jc w:val="center"/>
                                <w:rPr>
                                  <w:b/>
                                  <w:color w:val="FFFFFF"/>
                                  <w:sz w:val="16"/>
                                  <w:szCs w:val="16"/>
                                </w:rPr>
                              </w:pPr>
                              <w:r>
                                <w:rPr>
                                  <w:b/>
                                  <w:color w:val="FFFFFF"/>
                                  <w:sz w:val="16"/>
                                  <w:szCs w:val="16"/>
                                </w:rPr>
                                <w:t>Galutiniai naudos</w:t>
                              </w:r>
                            </w:p>
                            <w:p w14:paraId="4B527334" w14:textId="77777777" w:rsidR="00133798" w:rsidRDefault="00133798" w:rsidP="007552F3">
                              <w:pPr>
                                <w:spacing w:after="0" w:line="240" w:lineRule="auto"/>
                                <w:jc w:val="center"/>
                                <w:rPr>
                                  <w:b/>
                                  <w:color w:val="FFFFFF"/>
                                  <w:sz w:val="16"/>
                                  <w:szCs w:val="16"/>
                                </w:rPr>
                              </w:pPr>
                              <w:r>
                                <w:rPr>
                                  <w:b/>
                                  <w:color w:val="FFFFFF"/>
                                  <w:sz w:val="16"/>
                                  <w:szCs w:val="16"/>
                                </w:rPr>
                                <w:t xml:space="preserve"> gavėjai</w:t>
                              </w:r>
                            </w:p>
                            <w:p w14:paraId="351A5C5F" w14:textId="77777777" w:rsidR="00133798" w:rsidRDefault="00133798" w:rsidP="007552F3">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76" name="AutoShape 18"/>
                        <wps:cNvSpPr>
                          <a:spLocks noChangeArrowheads="1"/>
                        </wps:cNvSpPr>
                        <wps:spPr bwMode="auto">
                          <a:xfrm>
                            <a:off x="1164409" y="1195340"/>
                            <a:ext cx="2639495" cy="242000"/>
                          </a:xfrm>
                          <a:prstGeom prst="roundRect">
                            <a:avLst>
                              <a:gd name="adj" fmla="val 16667"/>
                            </a:avLst>
                          </a:prstGeom>
                          <a:solidFill>
                            <a:srgbClr val="E36C0A"/>
                          </a:solidFill>
                          <a:ln w="9525">
                            <a:solidFill>
                              <a:srgbClr val="974706"/>
                            </a:solidFill>
                            <a:round/>
                            <a:headEnd/>
                            <a:tailEnd/>
                          </a:ln>
                        </wps:spPr>
                        <wps:txbx>
                          <w:txbxContent>
                            <w:p w14:paraId="423E661D" w14:textId="77777777" w:rsidR="00133798" w:rsidRDefault="00133798" w:rsidP="007552F3">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177" name="Oval 20"/>
                        <wps:cNvSpPr>
                          <a:spLocks noChangeArrowheads="1"/>
                        </wps:cNvSpPr>
                        <wps:spPr bwMode="auto">
                          <a:xfrm>
                            <a:off x="1305757" y="1811040"/>
                            <a:ext cx="1140207" cy="644400"/>
                          </a:xfrm>
                          <a:prstGeom prst="ellipse">
                            <a:avLst/>
                          </a:prstGeom>
                          <a:solidFill>
                            <a:srgbClr val="FFC000"/>
                          </a:solidFill>
                          <a:ln w="9525">
                            <a:solidFill>
                              <a:srgbClr val="974706"/>
                            </a:solidFill>
                            <a:round/>
                            <a:headEnd/>
                            <a:tailEnd/>
                          </a:ln>
                        </wps:spPr>
                        <wps:txbx>
                          <w:txbxContent>
                            <w:p w14:paraId="2A5208B9" w14:textId="77777777" w:rsidR="00133798" w:rsidRPr="00873719" w:rsidRDefault="00133798" w:rsidP="007552F3">
                              <w:pPr>
                                <w:jc w:val="center"/>
                                <w:rPr>
                                  <w:b/>
                                  <w:color w:val="FFFFFF"/>
                                  <w:lang w:val="lt-LT"/>
                                </w:rPr>
                              </w:pPr>
                              <w:r>
                                <w:rPr>
                                  <w:b/>
                                  <w:color w:val="FFFFFF"/>
                                  <w:sz w:val="18"/>
                                  <w:lang w:val="lt-LT"/>
                                </w:rPr>
                                <w:t>Finansinė priemonė</w:t>
                              </w:r>
                            </w:p>
                            <w:p w14:paraId="28257175" w14:textId="77777777" w:rsidR="00133798" w:rsidRPr="00873719" w:rsidRDefault="00133798" w:rsidP="007552F3">
                              <w:pPr>
                                <w:jc w:val="center"/>
                                <w:rPr>
                                  <w:b/>
                                  <w:color w:val="FFFFFF"/>
                                  <w:lang w:val="lt-LT"/>
                                </w:rPr>
                              </w:pPr>
                            </w:p>
                          </w:txbxContent>
                        </wps:txbx>
                        <wps:bodyPr rot="0" vert="horz" wrap="square" lIns="91440" tIns="45720" rIns="91440" bIns="45720" anchor="t" anchorCtr="0" upright="1">
                          <a:noAutofit/>
                        </wps:bodyPr>
                      </wps:wsp>
                      <wps:wsp>
                        <wps:cNvPr id="180" name="AutoShape 26"/>
                        <wps:cNvCnPr>
                          <a:cxnSpLocks noChangeShapeType="1"/>
                          <a:stCxn id="170" idx="2"/>
                          <a:endCxn id="176" idx="0"/>
                        </wps:cNvCnPr>
                        <wps:spPr bwMode="auto">
                          <a:xfrm>
                            <a:off x="2484157" y="97690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
                        <wps:cNvSpPr>
                          <a:spLocks noChangeArrowheads="1"/>
                        </wps:cNvSpPr>
                        <wps:spPr bwMode="auto">
                          <a:xfrm>
                            <a:off x="1118808" y="180000"/>
                            <a:ext cx="2743618"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6DD9134A" w14:textId="77777777" w:rsidR="00133798" w:rsidRPr="003E691C" w:rsidRDefault="00133798" w:rsidP="007552F3">
                              <w:pPr>
                                <w:pStyle w:val="prastasistinklapis"/>
                                <w:jc w:val="center"/>
                                <w:rPr>
                                  <w:lang w:val="lt-LT"/>
                                </w:rPr>
                              </w:pPr>
                              <w:r>
                                <w:rPr>
                                  <w:rFonts w:ascii="Calibri" w:eastAsia="Calibri" w:hAnsi="Calibri"/>
                                  <w:b/>
                                  <w:bCs/>
                                  <w:sz w:val="16"/>
                                  <w:szCs w:val="16"/>
                                  <w:lang w:val="lt-LT"/>
                                </w:rPr>
                                <w:t>SIŪLOMA STRUKTŪRA</w:t>
                              </w:r>
                            </w:p>
                          </w:txbxContent>
                        </wps:txbx>
                        <wps:bodyPr rot="0" vert="horz" wrap="square" lIns="91440" tIns="45720" rIns="91440" bIns="45720" anchor="t" anchorCtr="0" upright="1">
                          <a:noAutofit/>
                        </wps:bodyPr>
                      </wps:wsp>
                      <wps:wsp>
                        <wps:cNvPr id="275" name="Oval 275"/>
                        <wps:cNvSpPr>
                          <a:spLocks noChangeArrowheads="1"/>
                        </wps:cNvSpPr>
                        <wps:spPr bwMode="auto">
                          <a:xfrm>
                            <a:off x="2608213" y="1811040"/>
                            <a:ext cx="1139825" cy="643890"/>
                          </a:xfrm>
                          <a:prstGeom prst="ellipse">
                            <a:avLst/>
                          </a:prstGeom>
                          <a:solidFill>
                            <a:srgbClr val="FFC000"/>
                          </a:solidFill>
                          <a:ln w="9525">
                            <a:solidFill>
                              <a:srgbClr val="974706"/>
                            </a:solidFill>
                            <a:round/>
                            <a:headEnd/>
                            <a:tailEnd/>
                          </a:ln>
                        </wps:spPr>
                        <wps:txbx>
                          <w:txbxContent>
                            <w:p w14:paraId="3283E844"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09723B18"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276" name="AutoShape 26"/>
                        <wps:cNvCnPr>
                          <a:cxnSpLocks noChangeShapeType="1"/>
                          <a:stCxn id="176" idx="2"/>
                          <a:endCxn id="177" idx="0"/>
                        </wps:cNvCnPr>
                        <wps:spPr bwMode="auto">
                          <a:xfrm flipH="1">
                            <a:off x="1875861" y="1437340"/>
                            <a:ext cx="608296"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26"/>
                        <wps:cNvCnPr>
                          <a:cxnSpLocks noChangeShapeType="1"/>
                          <a:stCxn id="176" idx="2"/>
                          <a:endCxn id="275" idx="0"/>
                        </wps:cNvCnPr>
                        <wps:spPr bwMode="auto">
                          <a:xfrm>
                            <a:off x="2484157" y="1437340"/>
                            <a:ext cx="693969"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26"/>
                        <wps:cNvCnPr>
                          <a:cxnSpLocks noChangeShapeType="1"/>
                        </wps:cNvCnPr>
                        <wps:spPr bwMode="auto">
                          <a:xfrm>
                            <a:off x="1875861" y="2454930"/>
                            <a:ext cx="0" cy="52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26"/>
                        <wps:cNvCnPr>
                          <a:cxnSpLocks noChangeShapeType="1"/>
                        </wps:cNvCnPr>
                        <wps:spPr bwMode="auto">
                          <a:xfrm>
                            <a:off x="3178345" y="245544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17"/>
                        <wps:cNvSpPr>
                          <a:spLocks noChangeArrowheads="1"/>
                        </wps:cNvSpPr>
                        <wps:spPr bwMode="auto">
                          <a:xfrm>
                            <a:off x="2469925" y="2557440"/>
                            <a:ext cx="1424305" cy="241300"/>
                          </a:xfrm>
                          <a:prstGeom prst="roundRect">
                            <a:avLst>
                              <a:gd name="adj" fmla="val 16667"/>
                            </a:avLst>
                          </a:prstGeom>
                          <a:solidFill>
                            <a:srgbClr val="E36C0A"/>
                          </a:solidFill>
                          <a:ln w="9525">
                            <a:solidFill>
                              <a:srgbClr val="974706"/>
                            </a:solidFill>
                            <a:prstDash val="dash"/>
                            <a:round/>
                            <a:headEnd/>
                            <a:tailEnd/>
                          </a:ln>
                        </wps:spPr>
                        <wps:txbx>
                          <w:txbxContent>
                            <w:p w14:paraId="2025833C"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20" name="AutoShape 26"/>
                        <wps:cNvCnPr>
                          <a:cxnSpLocks noChangeShapeType="1"/>
                          <a:stCxn id="275" idx="4"/>
                          <a:endCxn id="217" idx="0"/>
                        </wps:cNvCnPr>
                        <wps:spPr bwMode="auto">
                          <a:xfrm>
                            <a:off x="3178126" y="2454930"/>
                            <a:ext cx="3952" cy="102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161"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">
                <v:shape id="_x0000_s1162" type="#_x0000_t75" style="position:absolute;width:57321;height:36518;visibility:visible;mso-wrap-style:square">
                  <v:fill o:detectmouseclick="t"/>
                  <v:path o:connecttype="none"/>
                </v:shape>
                <v:rect id="Rectangle 8" o:spid="_x0000_s1163" style="position:absolute;left:9223;top:5907;width:323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iIL8A&#10;AADcAAAADwAAAGRycy9kb3ducmV2LnhtbERPy6rCMBDdX/AfwgjurqlXEKlGEUEQ3fgCcTc2Y1ts&#10;JiXJtfXvjSC4m8N5znTemko8yPnSsoJBPwFBnFldcq7gdFz9jkH4gKyxskwKnuRhPuv8TDHVtuE9&#10;PQ4hFzGEfYoKihDqVEqfFWTQ921NHLmbdQZDhC6X2mETw00l/5JkJA2WHBsKrGlZUHY//BsF9WVD&#10;uglantuju67ddrHb5julet12MQERqA1f8ce91nH+aAjvZ+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IgvwAAANwAAAAPAAAAAAAAAAAAAAAAAJgCAABkcnMvZG93bnJl&#10;di54bWxQSwUGAAAAAAQABAD1AAAAhAMAAAAA&#10;" strokecolor="#e36c0a" strokeweight="1.5pt"/>
                <v:roundrect id="_x0000_s1164" style="position:absolute;left:11644;top:7357;width:2639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3O8MA&#10;AADcAAAADwAAAGRycy9kb3ducmV2LnhtbESPQWsCMRCF74X+hzAFbzVbES1bo0ip4K2ulZ6HzZgs&#10;bibLJnW3/fWdg+BthvfmvW9WmzG06kp9aiIbeJkWoIjraBt2Bk5fu+dXUCkjW2wjk4FfSrBZPz6s&#10;sLRx4Iqux+yUhHAq0YDPuSu1TrWngGkaO2LRzrEPmGXtnbY9DhIeWj0rioUO2LA0eOzo3VN9Of4E&#10;A876bXX4dNVH4ebplBcz/Bu+jZk8jds3UJnGfDffrvdW8J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3O8MAAADcAAAADwAAAAAAAAAAAAAAAACYAgAAZHJzL2Rv&#10;d25yZXYueG1sUEsFBgAAAAAEAAQA9QAAAIgDAAAAAA==&#10;" fillcolor="#e36c0a" strokecolor="#974706">
                  <v:textbox>
                    <w:txbxContent>
                      <w:p w14:paraId="66A93F48" w14:textId="77777777" w:rsidR="00133798" w:rsidRDefault="00133798" w:rsidP="007552F3">
                        <w:pPr>
                          <w:spacing w:after="0" w:line="240" w:lineRule="auto"/>
                          <w:jc w:val="center"/>
                          <w:rPr>
                            <w:b/>
                            <w:color w:val="FFFFFF"/>
                            <w:sz w:val="16"/>
                            <w:szCs w:val="16"/>
                          </w:rPr>
                        </w:pPr>
                        <w:r>
                          <w:rPr>
                            <w:b/>
                            <w:color w:val="FFFFFF"/>
                            <w:sz w:val="16"/>
                            <w:szCs w:val="16"/>
                          </w:rPr>
                          <w:t>Vadovaujančioji institucija</w:t>
                        </w:r>
                      </w:p>
                    </w:txbxContent>
                  </v:textbox>
                </v:roundrect>
                <v:roundrect id="_x0000_s1165" style="position:absolute;left:11391;top:29789;width:26648;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M18AA&#10;AADcAAAADwAAAGRycy9kb3ducmV2LnhtbERP32vCMBB+H/g/hBN8m6lFnFSjiDjwbauKz0dzJsXm&#10;UprM1v31y2Cwt/v4ft56O7hGPKgLtWcFs2kGgrjyumaj4HJ+f12CCBFZY+OZFDwpwHYzelljoX3P&#10;JT1O0YgUwqFABTbGtpAyVJYchqlviRN3853DmGBnpO6wT+GukXmWLaTDmlODxZb2lqr76cspMNru&#10;ys8PUx4yMw+XuMj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9M18AAAADcAAAADwAAAAAAAAAAAAAAAACYAgAAZHJzL2Rvd25y&#10;ZXYueG1sUEsFBgAAAAAEAAQA9QAAAIUDAAAAAA==&#10;" fillcolor="#e36c0a" strokecolor="#974706">
                  <v:textbox>
                    <w:txbxContent>
                      <w:p w14:paraId="0A03B564" w14:textId="534603DB" w:rsidR="00133798" w:rsidRDefault="00133798" w:rsidP="007552F3">
                        <w:pPr>
                          <w:spacing w:after="0" w:line="240" w:lineRule="auto"/>
                          <w:jc w:val="center"/>
                          <w:rPr>
                            <w:b/>
                            <w:color w:val="FFFFFF"/>
                            <w:sz w:val="16"/>
                            <w:szCs w:val="16"/>
                          </w:rPr>
                        </w:pPr>
                        <w:r>
                          <w:rPr>
                            <w:b/>
                            <w:color w:val="FFFFFF"/>
                            <w:sz w:val="16"/>
                            <w:szCs w:val="16"/>
                          </w:rPr>
                          <w:t>Galutiniai naudos</w:t>
                        </w:r>
                      </w:p>
                      <w:p w14:paraId="4B527334" w14:textId="77777777" w:rsidR="00133798" w:rsidRDefault="00133798" w:rsidP="007552F3">
                        <w:pPr>
                          <w:spacing w:after="0" w:line="240" w:lineRule="auto"/>
                          <w:jc w:val="center"/>
                          <w:rPr>
                            <w:b/>
                            <w:color w:val="FFFFFF"/>
                            <w:sz w:val="16"/>
                            <w:szCs w:val="16"/>
                          </w:rPr>
                        </w:pPr>
                        <w:r>
                          <w:rPr>
                            <w:b/>
                            <w:color w:val="FFFFFF"/>
                            <w:sz w:val="16"/>
                            <w:szCs w:val="16"/>
                          </w:rPr>
                          <w:t xml:space="preserve"> gavėjai</w:t>
                        </w:r>
                      </w:p>
                      <w:p w14:paraId="351A5C5F" w14:textId="77777777" w:rsidR="00133798" w:rsidRDefault="00133798" w:rsidP="007552F3">
                        <w:pPr>
                          <w:spacing w:after="0" w:line="240" w:lineRule="auto"/>
                          <w:jc w:val="center"/>
                          <w:rPr>
                            <w:b/>
                            <w:color w:val="FFFFFF"/>
                            <w:sz w:val="16"/>
                            <w:szCs w:val="16"/>
                          </w:rPr>
                        </w:pPr>
                      </w:p>
                    </w:txbxContent>
                  </v:textbox>
                </v:roundrect>
                <v:roundrect id="_x0000_s1166" style="position:absolute;left:11644;top:11953;width:26395;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K1MAA&#10;AADcAAAADwAAAGRycy9kb3ducmV2LnhtbERP32vCMBB+H/g/hBN8m6kinVSjiDjwbauKz0dzJsXm&#10;UprM1v31y2Cwt/v4ft56O7hGPKgLtWcFs2kGgrjyumaj4HJ+f12CCBFZY+OZFDwpwHYzelljoX3P&#10;JT1O0YgUwqFABTbGtpAyVJYchqlviRN3853DmGBnpO6wT+GukfMsy6XDmlODxZb2lqr76cspMNru&#10;ys8PUx4yswiXmM/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RK1MAAAADcAAAADwAAAAAAAAAAAAAAAACYAgAAZHJzL2Rvd25y&#10;ZXYueG1sUEsFBgAAAAAEAAQA9QAAAIUDAAAAAA==&#10;" fillcolor="#e36c0a" strokecolor="#974706">
                  <v:textbox>
                    <w:txbxContent>
                      <w:p w14:paraId="423E661D" w14:textId="77777777" w:rsidR="00133798" w:rsidRDefault="00133798" w:rsidP="007552F3">
                        <w:pPr>
                          <w:spacing w:after="0" w:line="240" w:lineRule="auto"/>
                          <w:jc w:val="center"/>
                          <w:rPr>
                            <w:b/>
                            <w:color w:val="FFFFFF"/>
                            <w:sz w:val="16"/>
                            <w:szCs w:val="16"/>
                          </w:rPr>
                        </w:pPr>
                        <w:r>
                          <w:rPr>
                            <w:b/>
                            <w:color w:val="FFFFFF"/>
                            <w:sz w:val="16"/>
                            <w:szCs w:val="16"/>
                          </w:rPr>
                          <w:t>Fondų fondas</w:t>
                        </w:r>
                      </w:p>
                    </w:txbxContent>
                  </v:textbox>
                </v:roundrect>
                <v:oval id="_x0000_s1167" style="position:absolute;left:13057;top:18110;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hC8MA&#10;AADcAAAADwAAAGRycy9kb3ducmV2LnhtbERPTWvCQBC9C/6HZYTedGMIVWJWKdJixENRe6i3MTsm&#10;odnZkN1q+u9doeBtHu9zslVvGnGlztWWFUwnEQjiwuqaSwVfx4/xHITzyBoby6TgjxyslsNBhqm2&#10;N97T9eBLEULYpaig8r5NpXRFRQbdxLbEgbvYzqAPsCul7vAWwk0j4yh6lQZrDg0VtrSuqPg5/BoF&#10;8enzvGu3yebbJ67Z7LYRzvN3pV5G/dsChKfeP8X/7lyH+bMZ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hC8MAAADcAAAADwAAAAAAAAAAAAAAAACYAgAAZHJzL2Rv&#10;d25yZXYueG1sUEsFBgAAAAAEAAQA9QAAAIgDAAAAAA==&#10;" fillcolor="#ffc000" strokecolor="#974706">
                  <v:textbox>
                    <w:txbxContent>
                      <w:p w14:paraId="2A5208B9" w14:textId="77777777" w:rsidR="00133798" w:rsidRPr="00873719" w:rsidRDefault="00133798" w:rsidP="007552F3">
                        <w:pPr>
                          <w:jc w:val="center"/>
                          <w:rPr>
                            <w:b/>
                            <w:color w:val="FFFFFF"/>
                            <w:lang w:val="lt-LT"/>
                          </w:rPr>
                        </w:pPr>
                        <w:r>
                          <w:rPr>
                            <w:b/>
                            <w:color w:val="FFFFFF"/>
                            <w:sz w:val="18"/>
                            <w:lang w:val="lt-LT"/>
                          </w:rPr>
                          <w:t>Finansinė priemonė</w:t>
                        </w:r>
                      </w:p>
                      <w:p w14:paraId="28257175" w14:textId="77777777" w:rsidR="00133798" w:rsidRPr="00873719" w:rsidRDefault="00133798" w:rsidP="007552F3">
                        <w:pPr>
                          <w:jc w:val="center"/>
                          <w:rPr>
                            <w:b/>
                            <w:color w:val="FFFFFF"/>
                            <w:lang w:val="lt-LT"/>
                          </w:rPr>
                        </w:pPr>
                      </w:p>
                    </w:txbxContent>
                  </v:textbox>
                </v:oval>
                <v:shape id="AutoShape 26" o:spid="_x0000_s1168" type="#_x0000_t32" style="position:absolute;left:24841;top:9769;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roundrect id="_x0000_s1169" style="position:absolute;left:11188;top:1800;width:27436;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CNMEA&#10;AADcAAAADwAAAGRycy9kb3ducmV2LnhtbERPPWvDMBDdC/kP4gLdarkdjHGimNQ00K2pk8XbYV1s&#10;E+vkSmrs/vuoUOh2j/d523Ixo7iR84NlBc9JCoK4tXrgTsH5dHjKQfiArHG0TAp+yEO5Wz1ssdB2&#10;5k+61aETMYR9gQr6EKZCSt/2ZNAndiKO3MU6gyFC10ntcI7hZpQvaZpJgwPHhh4nqnpqr/W3UfA1&#10;uNdDZd2xzbL67eQ/mhGnRqnH9bLfgAi0hH/xn/tdx/l5Br/Px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DwjTBAAAA3AAAAA8AAAAAAAAAAAAAAAAAmAIAAGRycy9kb3du&#10;cmV2LnhtbFBLBQYAAAAABAAEAPUAAACGAwAAAAA=&#10;" fillcolor="white [3201]" strokecolor="#f79646 [3209]" strokeweight="2pt">
                  <v:textbox>
                    <w:txbxContent>
                      <w:p w14:paraId="6DD9134A" w14:textId="77777777" w:rsidR="00133798" w:rsidRPr="003E691C" w:rsidRDefault="00133798" w:rsidP="007552F3">
                        <w:pPr>
                          <w:pStyle w:val="prastasistinklapis"/>
                          <w:jc w:val="center"/>
                          <w:rPr>
                            <w:lang w:val="lt-LT"/>
                          </w:rPr>
                        </w:pPr>
                        <w:r>
                          <w:rPr>
                            <w:rFonts w:ascii="Calibri" w:eastAsia="Calibri" w:hAnsi="Calibri"/>
                            <w:b/>
                            <w:bCs/>
                            <w:sz w:val="16"/>
                            <w:szCs w:val="16"/>
                            <w:lang w:val="lt-LT"/>
                          </w:rPr>
                          <w:t>SIŪLOMA STRUKTŪRA</w:t>
                        </w:r>
                      </w:p>
                    </w:txbxContent>
                  </v:textbox>
                </v:roundrect>
                <v:oval id="Oval 275" o:spid="_x0000_s1170" style="position:absolute;left:26082;top:18110;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7m8YA&#10;AADcAAAADwAAAGRycy9kb3ducmV2LnhtbESPQWvCQBSE70L/w/IK3nTTEK2krlJKJYoHadqD3l6z&#10;r0lo9m3Irib9911B8DjMfDPMcj2YRlyoc7VlBU/TCARxYXXNpYKvz81kAcJ5ZI2NZVLwRw7Wq4fR&#10;ElNte/6gS+5LEUrYpaig8r5NpXRFRQbd1LbEwfuxnUEfZFdK3WEfyk0j4yiaS4M1h4UKW3qrqPjN&#10;z0ZBfDp879tdkh194ppsv4twsX1Xavw4vL6A8DT4e/hGb3Xgnmd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7m8YAAADcAAAADwAAAAAAAAAAAAAAAACYAgAAZHJz&#10;L2Rvd25yZXYueG1sUEsFBgAAAAAEAAQA9QAAAIsDAAAAAA==&#10;" fillcolor="#ffc000" strokecolor="#974706">
                  <v:textbox>
                    <w:txbxContent>
                      <w:p w14:paraId="3283E844"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09723B18" w14:textId="77777777" w:rsidR="00133798" w:rsidRDefault="00133798" w:rsidP="007552F3">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shape id="AutoShape 26" o:spid="_x0000_s1171" type="#_x0000_t32" style="position:absolute;left:18758;top:14373;width:6083;height:3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26" o:spid="_x0000_s1172" type="#_x0000_t32" style="position:absolute;left:24841;top:14373;width:6940;height:3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26" o:spid="_x0000_s1173" type="#_x0000_t32" style="position:absolute;left:18758;top:24549;width:0;height:5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26" o:spid="_x0000_s1174" type="#_x0000_t32" style="position:absolute;left:31783;top:24554;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roundrect id="_x0000_s1175" style="position:absolute;left:24699;top:25574;width:14243;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O6sYA&#10;AADcAAAADwAAAGRycy9kb3ducmV2LnhtbESP0WrCQBRE34X+w3ILvkjdKNSW6CZINcUHW2jMB1yy&#10;t0lo9m6aXWP8+25B8HGYmTPMJh1NKwbqXWNZwWIegSAurW64UlCcsqdXEM4ja2wtk4IrOUiTh8kG&#10;Y20v/EVD7isRIOxiVFB738VSurImg25uO+LgfdveoA+yr6Tu8RLgppXLKFpJgw2HhRo7equp/MnP&#10;RsHwvOv21+1BYla8u99jNjMf+adS08dxuwbhafT38K190AqWi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O6sYAAADcAAAADwAAAAAAAAAAAAAAAACYAgAAZHJz&#10;L2Rvd25yZXYueG1sUEsFBgAAAAAEAAQA9QAAAIsDAAAAAA==&#10;" fillcolor="#e36c0a" strokecolor="#974706">
                  <v:stroke dashstyle="dash"/>
                  <v:textbox>
                    <w:txbxContent>
                      <w:p w14:paraId="2025833C" w14:textId="77777777" w:rsidR="00133798" w:rsidRDefault="00133798" w:rsidP="007552F3">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shape id="AutoShape 26" o:spid="_x0000_s1176" type="#_x0000_t32" style="position:absolute;left:31781;top:24549;width:39;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w10:anchorlock/>
              </v:group>
            </w:pict>
          </mc:Fallback>
        </mc:AlternateContent>
      </w:r>
    </w:p>
    <w:p w14:paraId="207445DD" w14:textId="70AC4952" w:rsidR="007552F3" w:rsidRPr="00F435CE" w:rsidRDefault="007552F3" w:rsidP="007552F3">
      <w:pPr>
        <w:pStyle w:val="Antrat"/>
        <w:rPr>
          <w:lang w:val="lt-LT"/>
        </w:rPr>
      </w:pPr>
      <w:bookmarkStart w:id="388" w:name="_Toc503196645"/>
      <w:bookmarkStart w:id="389" w:name="_Toc507939293"/>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9652A6">
        <w:rPr>
          <w:noProof/>
          <w:lang w:val="lt-LT"/>
        </w:rPr>
        <w:t>34</w:t>
      </w:r>
      <w:r w:rsidRPr="00F435CE">
        <w:rPr>
          <w:lang w:val="lt-LT"/>
        </w:rPr>
        <w:fldChar w:fldCharType="end"/>
      </w:r>
      <w:r w:rsidRPr="00F435CE">
        <w:rPr>
          <w:lang w:val="lt-LT"/>
        </w:rPr>
        <w:t>. Siūloma valdymo struktūra fondų fondui.</w:t>
      </w:r>
      <w:bookmarkEnd w:id="388"/>
      <w:bookmarkEnd w:id="389"/>
    </w:p>
    <w:p w14:paraId="27A8FD4A" w14:textId="77777777" w:rsidR="007552F3" w:rsidRPr="00F435CE" w:rsidRDefault="007552F3" w:rsidP="007552F3">
      <w:pPr>
        <w:jc w:val="both"/>
        <w:rPr>
          <w:rFonts w:ascii="Georgia" w:hAnsi="Georgia"/>
          <w:sz w:val="20"/>
          <w:szCs w:val="20"/>
          <w:lang w:val="lt-LT"/>
        </w:rPr>
      </w:pPr>
      <w:r w:rsidRPr="00F435CE">
        <w:rPr>
          <w:rFonts w:ascii="Georgia" w:hAnsi="Georgia"/>
          <w:sz w:val="20"/>
          <w:szCs w:val="20"/>
          <w:lang w:val="lt-LT"/>
        </w:rPr>
        <w:t>Ankstesnėse analizės dalyse jau buvo konstatuota, kad 201</w:t>
      </w:r>
      <w:r>
        <w:rPr>
          <w:rFonts w:ascii="Georgia" w:hAnsi="Georgia"/>
          <w:sz w:val="20"/>
          <w:szCs w:val="20"/>
          <w:lang w:val="lt-LT"/>
        </w:rPr>
        <w:t>7</w:t>
      </w:r>
      <w:r w:rsidRPr="00F435CE">
        <w:rPr>
          <w:rFonts w:ascii="Georgia" w:hAnsi="Georgia"/>
          <w:sz w:val="20"/>
          <w:szCs w:val="20"/>
          <w:lang w:val="lt-LT"/>
        </w:rPr>
        <w:t>-202</w:t>
      </w:r>
      <w:r>
        <w:rPr>
          <w:rFonts w:ascii="Georgia" w:hAnsi="Georgia"/>
          <w:sz w:val="20"/>
          <w:szCs w:val="20"/>
          <w:lang w:val="lt-LT"/>
        </w:rPr>
        <w:t>3</w:t>
      </w:r>
      <w:r w:rsidRPr="00F435CE">
        <w:rPr>
          <w:rFonts w:ascii="Georgia" w:hAnsi="Georgia"/>
          <w:sz w:val="20"/>
          <w:szCs w:val="20"/>
          <w:lang w:val="lt-LT"/>
        </w:rPr>
        <w:t xml:space="preserve"> m. periodu yra labai svarbu pritraukti papildomų privačių lėšų siekiant didinti investicijas į energijos efektyvumo projektus. Trys principiniai modeliai tiek </w:t>
      </w:r>
      <w:r>
        <w:rPr>
          <w:rFonts w:ascii="Georgia" w:hAnsi="Georgia"/>
          <w:sz w:val="20"/>
          <w:szCs w:val="20"/>
          <w:lang w:val="lt-LT"/>
        </w:rPr>
        <w:t>paskolų finansinei priemonei įgyvendinti</w:t>
      </w:r>
      <w:r w:rsidRPr="00F435CE">
        <w:rPr>
          <w:rFonts w:ascii="Georgia" w:hAnsi="Georgia"/>
          <w:sz w:val="20"/>
          <w:szCs w:val="20"/>
          <w:lang w:val="lt-LT"/>
        </w:rPr>
        <w:t xml:space="preserve">, tiek ir privačių lėšų pritraukimo mechanizmo kūrimui buvo aprašyti 3 skyriuje. Žemiau yra aprašoma, kaip veiktų kiekviena iš šių principinių schemų centrinės valdžios pastatų ir gatvių apšvietimo modernizavimo projektų atveju. Įvertinus kiekvieną iš principinių modelių yra pasirenkama rekomenduotina </w:t>
      </w:r>
      <w:r>
        <w:rPr>
          <w:rFonts w:ascii="Georgia" w:hAnsi="Georgia"/>
          <w:sz w:val="20"/>
          <w:szCs w:val="20"/>
          <w:lang w:val="lt-LT"/>
        </w:rPr>
        <w:t>optimali</w:t>
      </w:r>
      <w:r w:rsidRPr="00F435CE">
        <w:rPr>
          <w:rFonts w:ascii="Georgia" w:hAnsi="Georgia"/>
          <w:sz w:val="20"/>
          <w:szCs w:val="20"/>
          <w:lang w:val="lt-LT"/>
        </w:rPr>
        <w:t xml:space="preserve"> alternatyva. Analizuojamos šios fondo veiklos alternatyvos</w:t>
      </w:r>
      <w:r w:rsidRPr="00F435CE">
        <w:rPr>
          <w:rFonts w:ascii="Georgia" w:eastAsia="Times New Roman" w:hAnsi="Georgia" w:cs="Times New Roman"/>
          <w:sz w:val="20"/>
          <w:szCs w:val="20"/>
          <w:lang w:val="lt-LT" w:eastAsia="lt-LT"/>
        </w:rPr>
        <w:t>:</w:t>
      </w:r>
    </w:p>
    <w:p w14:paraId="1909B6BC" w14:textId="77777777" w:rsidR="007552F3" w:rsidRPr="00F435CE" w:rsidRDefault="007552F3" w:rsidP="007552F3">
      <w:pPr>
        <w:pStyle w:val="Sraopastraipa"/>
        <w:numPr>
          <w:ilvl w:val="6"/>
          <w:numId w:val="17"/>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Fondų fondo</w:t>
      </w:r>
      <w:r>
        <w:rPr>
          <w:rFonts w:ascii="Georgia" w:eastAsia="Times New Roman" w:hAnsi="Georgia" w:cs="Times New Roman"/>
          <w:sz w:val="20"/>
          <w:szCs w:val="20"/>
          <w:lang w:val="lt-LT" w:eastAsia="lt-LT"/>
        </w:rPr>
        <w:t xml:space="preserve"> (ar finansinės priemonės)</w:t>
      </w:r>
      <w:r w:rsidRPr="00F435CE">
        <w:rPr>
          <w:rFonts w:ascii="Georgia" w:eastAsia="Times New Roman" w:hAnsi="Georgia" w:cs="Times New Roman"/>
          <w:sz w:val="20"/>
          <w:szCs w:val="20"/>
          <w:lang w:val="lt-LT" w:eastAsia="lt-LT"/>
        </w:rPr>
        <w:t xml:space="preserve"> sukūrimas; </w:t>
      </w:r>
    </w:p>
    <w:p w14:paraId="24B3FC47" w14:textId="77777777" w:rsidR="007552F3" w:rsidRPr="00F435CE" w:rsidRDefault="007552F3" w:rsidP="007552F3">
      <w:pPr>
        <w:pStyle w:val="Sraopastraipa"/>
        <w:numPr>
          <w:ilvl w:val="6"/>
          <w:numId w:val="17"/>
        </w:numPr>
        <w:ind w:left="426" w:hanging="426"/>
        <w:jc w:val="both"/>
        <w:rPr>
          <w:rFonts w:ascii="Georgia" w:hAnsi="Georgia"/>
          <w:sz w:val="20"/>
          <w:szCs w:val="20"/>
          <w:lang w:val="lt-LT"/>
        </w:rPr>
      </w:pPr>
      <w:r>
        <w:rPr>
          <w:rFonts w:ascii="Georgia" w:eastAsia="Times New Roman" w:hAnsi="Georgia" w:cs="Times New Roman"/>
          <w:sz w:val="20"/>
          <w:szCs w:val="20"/>
          <w:lang w:val="lt-LT" w:eastAsia="lt-LT"/>
        </w:rPr>
        <w:t>Asimetrinio rizikos pasidalijimo fondas (pvz. rizikos pasidalijimo fondo, paskolų išpirkimo fondas)</w:t>
      </w:r>
      <w:r w:rsidRPr="00F435CE">
        <w:rPr>
          <w:rFonts w:ascii="Georgia" w:eastAsia="Times New Roman" w:hAnsi="Georgia" w:cs="Times New Roman"/>
          <w:sz w:val="20"/>
          <w:szCs w:val="20"/>
          <w:lang w:val="lt-LT" w:eastAsia="lt-LT"/>
        </w:rPr>
        <w:t>;</w:t>
      </w:r>
    </w:p>
    <w:p w14:paraId="27E1E931" w14:textId="77777777" w:rsidR="007552F3" w:rsidRPr="00F435CE" w:rsidRDefault="007552F3" w:rsidP="007552F3">
      <w:pPr>
        <w:pStyle w:val="Sraopastraipa"/>
        <w:numPr>
          <w:ilvl w:val="6"/>
          <w:numId w:val="17"/>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 xml:space="preserve">Fondų fondo ir </w:t>
      </w:r>
      <w:r>
        <w:rPr>
          <w:rFonts w:ascii="Georgia" w:eastAsia="Times New Roman" w:hAnsi="Georgia" w:cs="Times New Roman"/>
          <w:sz w:val="20"/>
          <w:szCs w:val="20"/>
          <w:lang w:val="lt-LT" w:eastAsia="lt-LT"/>
        </w:rPr>
        <w:t>lėšas išperkančio</w:t>
      </w:r>
      <w:r w:rsidRPr="00F435CE">
        <w:rPr>
          <w:rFonts w:ascii="Georgia" w:eastAsia="Times New Roman" w:hAnsi="Georgia" w:cs="Times New Roman"/>
          <w:sz w:val="20"/>
          <w:szCs w:val="20"/>
          <w:lang w:val="lt-LT" w:eastAsia="lt-LT"/>
        </w:rPr>
        <w:t xml:space="preserve"> fondo steigimas.</w:t>
      </w:r>
    </w:p>
    <w:p w14:paraId="20BBB586" w14:textId="77777777" w:rsidR="007552F3" w:rsidRDefault="007552F3" w:rsidP="007552F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Žemiau pateikiamas kiekvienos iš šių alternatyvų aprašymas, identifikuojami privalumai ir trūkumai bei siūloma geriausioji iš šių alternatyvų. </w:t>
      </w:r>
    </w:p>
    <w:p w14:paraId="5C2F9C69" w14:textId="77777777" w:rsidR="007552F3" w:rsidRDefault="007552F3" w:rsidP="007552F3">
      <w:pPr>
        <w:jc w:val="both"/>
        <w:rPr>
          <w:rFonts w:ascii="Georgia" w:eastAsia="Times New Roman" w:hAnsi="Georgia" w:cs="Times New Roman"/>
          <w:sz w:val="20"/>
          <w:szCs w:val="20"/>
          <w:lang w:val="lt-LT" w:eastAsia="lt-LT"/>
        </w:rPr>
      </w:pPr>
    </w:p>
    <w:p w14:paraId="299053F8" w14:textId="77777777" w:rsidR="007552F3" w:rsidRPr="003351A4" w:rsidRDefault="007552F3" w:rsidP="007552F3">
      <w:pPr>
        <w:pStyle w:val="Antrat2"/>
        <w:numPr>
          <w:ilvl w:val="3"/>
          <w:numId w:val="2"/>
        </w:numPr>
        <w:spacing w:after="240"/>
        <w:ind w:left="1134"/>
        <w:rPr>
          <w:lang w:val="lt-LT"/>
        </w:rPr>
      </w:pPr>
      <w:bookmarkStart w:id="390" w:name="_Toc503196432"/>
      <w:bookmarkStart w:id="391" w:name="_Toc25589980"/>
      <w:r>
        <w:rPr>
          <w:lang w:val="lt-LT"/>
        </w:rPr>
        <w:lastRenderedPageBreak/>
        <w:t>Fondų fondo (ar finansinės priemonės) sukūrimas</w:t>
      </w:r>
      <w:bookmarkEnd w:id="390"/>
      <w:bookmarkEnd w:id="391"/>
    </w:p>
    <w:p w14:paraId="20F2132F" w14:textId="77777777" w:rsidR="007552F3" w:rsidRDefault="007552F3" w:rsidP="007552F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object w:dxaOrig="12420" w:dyaOrig="10425" w14:anchorId="1DA727A6">
          <v:shape id="_x0000_i1026" type="#_x0000_t75" style="width:439.05pt;height:366.45pt" o:ole="">
            <v:imagedata r:id="rId72" o:title=""/>
          </v:shape>
          <o:OLEObject Type="Embed" ProgID="Visio.Drawing.15" ShapeID="_x0000_i1026" DrawAspect="Content" ObjectID="_1636202880" r:id="rId73"/>
        </w:object>
      </w:r>
    </w:p>
    <w:p w14:paraId="01D6AD7F" w14:textId="7BEF4A8D" w:rsidR="007552F3" w:rsidRPr="00F435CE" w:rsidRDefault="007552F3" w:rsidP="007552F3">
      <w:pPr>
        <w:pStyle w:val="Antrat"/>
        <w:rPr>
          <w:szCs w:val="20"/>
          <w:lang w:val="lt-LT"/>
        </w:rPr>
      </w:pPr>
      <w:bookmarkStart w:id="392" w:name="_Toc503196646"/>
      <w:bookmarkStart w:id="393" w:name="_Toc507939294"/>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9652A6">
        <w:rPr>
          <w:noProof/>
          <w:lang w:val="lt-LT"/>
        </w:rPr>
        <w:t>35</w:t>
      </w:r>
      <w:r w:rsidRPr="00F435CE">
        <w:rPr>
          <w:lang w:val="lt-LT"/>
        </w:rPr>
        <w:fldChar w:fldCharType="end"/>
      </w:r>
      <w:r w:rsidRPr="00F435CE">
        <w:rPr>
          <w:lang w:val="lt-LT"/>
        </w:rPr>
        <w:t xml:space="preserve">. Fondų </w:t>
      </w:r>
      <w:r w:rsidRPr="00F435CE">
        <w:rPr>
          <w:rFonts w:eastAsia="Times New Roman"/>
          <w:szCs w:val="20"/>
          <w:lang w:val="lt-LT" w:eastAsia="lt-LT"/>
        </w:rPr>
        <w:t>fondo sukūrimas</w:t>
      </w:r>
      <w:bookmarkEnd w:id="392"/>
      <w:bookmarkEnd w:id="393"/>
      <w:r w:rsidRPr="00F435CE">
        <w:rPr>
          <w:rFonts w:eastAsia="Times New Roman"/>
          <w:szCs w:val="20"/>
          <w:lang w:val="lt-LT" w:eastAsia="lt-LT"/>
        </w:rPr>
        <w:t xml:space="preserve"> </w:t>
      </w:r>
    </w:p>
    <w:p w14:paraId="23CA9630" w14:textId="77777777" w:rsidR="007552F3" w:rsidRPr="00AC3318" w:rsidRDefault="007552F3" w:rsidP="007552F3">
      <w:pPr>
        <w:jc w:val="both"/>
        <w:rPr>
          <w:rFonts w:ascii="Georgia" w:hAnsi="Georgia"/>
          <w:sz w:val="20"/>
          <w:szCs w:val="20"/>
        </w:rPr>
      </w:pPr>
      <w:r>
        <w:rPr>
          <w:rFonts w:ascii="Georgia" w:eastAsia="Times New Roman" w:hAnsi="Georgia" w:cs="Times New Roman"/>
          <w:sz w:val="20"/>
          <w:szCs w:val="20"/>
          <w:lang w:val="lt-LT" w:eastAsia="lt-LT"/>
        </w:rPr>
        <w:t>Aukščiau esančiame paveiksle</w:t>
      </w:r>
      <w:r w:rsidRPr="00AC3318">
        <w:rPr>
          <w:rFonts w:ascii="Georgia" w:eastAsia="Times New Roman" w:hAnsi="Georgia" w:cs="Times New Roman"/>
          <w:sz w:val="20"/>
          <w:szCs w:val="20"/>
          <w:lang w:val="lt-LT" w:eastAsia="lt-LT"/>
        </w:rPr>
        <w:t xml:space="preserve"> pavaizduotas principinis </w:t>
      </w:r>
      <w:r>
        <w:rPr>
          <w:rFonts w:ascii="Georgia" w:eastAsia="Times New Roman" w:hAnsi="Georgia" w:cs="Times New Roman"/>
          <w:sz w:val="20"/>
          <w:szCs w:val="20"/>
          <w:lang w:val="lt-LT" w:eastAsia="lt-LT"/>
        </w:rPr>
        <w:t xml:space="preserve">fondų </w:t>
      </w:r>
      <w:r w:rsidRPr="00AC3318">
        <w:rPr>
          <w:rFonts w:ascii="Georgia" w:eastAsia="Times New Roman" w:hAnsi="Georgia" w:cs="Times New Roman"/>
          <w:sz w:val="20"/>
          <w:szCs w:val="20"/>
          <w:lang w:val="lt-LT" w:eastAsia="lt-LT"/>
        </w:rPr>
        <w:t>fondo</w:t>
      </w:r>
      <w:r>
        <w:rPr>
          <w:rFonts w:ascii="Georgia" w:eastAsia="Times New Roman" w:hAnsi="Georgia" w:cs="Times New Roman"/>
          <w:sz w:val="20"/>
          <w:szCs w:val="20"/>
          <w:lang w:val="lt-LT" w:eastAsia="lt-LT"/>
        </w:rPr>
        <w:t xml:space="preserve"> (ar finansinės priemonės)</w:t>
      </w:r>
      <w:r w:rsidRPr="00AC3318">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kūrimas, kuris, vadovaujantis Bendrųjų nuostatų reglamento nuostatomis, galėtų būti kuriamas </w:t>
      </w:r>
      <w:r w:rsidRPr="00AC3318">
        <w:rPr>
          <w:rFonts w:ascii="Georgia" w:eastAsia="Times New Roman" w:hAnsi="Georgia" w:cs="Times New Roman"/>
          <w:sz w:val="20"/>
          <w:szCs w:val="20"/>
          <w:lang w:val="lt-LT" w:eastAsia="lt-LT"/>
        </w:rPr>
        <w:t>kaip atskir</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finansini</w:t>
      </w:r>
      <w:r>
        <w:rPr>
          <w:rFonts w:ascii="Georgia" w:eastAsia="Times New Roman" w:hAnsi="Georgia" w:cs="Times New Roman"/>
          <w:sz w:val="20"/>
          <w:szCs w:val="20"/>
          <w:lang w:val="lt-LT" w:eastAsia="lt-LT"/>
        </w:rPr>
        <w:t>s</w:t>
      </w:r>
      <w:r w:rsidRPr="00AC3318">
        <w:rPr>
          <w:rFonts w:ascii="Georgia" w:eastAsia="Times New Roman" w:hAnsi="Georgia" w:cs="Times New Roman"/>
          <w:sz w:val="20"/>
          <w:szCs w:val="20"/>
          <w:lang w:val="lt-LT" w:eastAsia="lt-LT"/>
        </w:rPr>
        <w:t xml:space="preserve"> padalin</w:t>
      </w:r>
      <w:r>
        <w:rPr>
          <w:rFonts w:ascii="Georgia" w:eastAsia="Times New Roman" w:hAnsi="Georgia" w:cs="Times New Roman"/>
          <w:sz w:val="20"/>
          <w:szCs w:val="20"/>
          <w:lang w:val="lt-LT" w:eastAsia="lt-LT"/>
        </w:rPr>
        <w:t>ys</w:t>
      </w:r>
      <w:r w:rsidRPr="00AC3318">
        <w:rPr>
          <w:rFonts w:ascii="Georgia" w:eastAsia="Times New Roman" w:hAnsi="Georgia" w:cs="Times New Roman"/>
          <w:sz w:val="20"/>
          <w:szCs w:val="20"/>
          <w:lang w:val="lt-LT" w:eastAsia="lt-LT"/>
        </w:rPr>
        <w:t xml:space="preserve"> finansų įstaigoje</w:t>
      </w:r>
      <w:r>
        <w:rPr>
          <w:rFonts w:ascii="Georgia" w:eastAsia="Times New Roman" w:hAnsi="Georgia" w:cs="Times New Roman"/>
          <w:sz w:val="20"/>
          <w:szCs w:val="20"/>
          <w:lang w:val="lt-LT" w:eastAsia="lt-LT"/>
        </w:rPr>
        <w:t xml:space="preserve">. </w:t>
      </w:r>
      <w:r w:rsidRPr="00AC3318">
        <w:rPr>
          <w:rFonts w:ascii="Georgia" w:eastAsia="Times New Roman" w:hAnsi="Georgia" w:cs="Times New Roman"/>
          <w:sz w:val="20"/>
          <w:szCs w:val="20"/>
          <w:lang w:val="lt-LT" w:eastAsia="lt-LT"/>
        </w:rPr>
        <w:t xml:space="preserve"> </w:t>
      </w:r>
    </w:p>
    <w:p w14:paraId="2DF079FF"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Viešųjų pastatų ir gatvių apšvietimo renovacijos finansinių priemonių įgyvendinimui skirtas</w:t>
      </w:r>
      <w:r w:rsidRPr="00AC3318">
        <w:rPr>
          <w:rFonts w:ascii="Georgia" w:eastAsia="Times New Roman" w:hAnsi="Georgia" w:cs="Times New Roman"/>
          <w:sz w:val="20"/>
          <w:szCs w:val="20"/>
          <w:lang w:val="lt-LT" w:eastAsia="lt-LT"/>
        </w:rPr>
        <w:t xml:space="preserve"> fondas sukuriamas vadovaujantis ESI fondų lėšų panaudojimo reglamentavimo nuostatomis. Energetikos ir Finansų ministerijos vykdo </w:t>
      </w:r>
      <w:r>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fondo valdytojo atranką, su kuriuo pasirašoma trišalė finansavimo sutartis. Fondų fondo apimtis – Energetikos ministerijos asignavimai, skirti viešųjų pastatų modernizavimo ir gatvių apšvietimo modernizavimo veiklų finansavimui. Energetikos ir Finansų ministerijos fondo valdymui sukuria </w:t>
      </w:r>
      <w:r>
        <w:rPr>
          <w:rFonts w:ascii="Georgia" w:eastAsia="Times New Roman" w:hAnsi="Georgia" w:cs="Times New Roman"/>
          <w:sz w:val="20"/>
          <w:szCs w:val="20"/>
          <w:lang w:val="lt-LT" w:eastAsia="lt-LT"/>
        </w:rPr>
        <w:t>Priežiūros</w:t>
      </w:r>
      <w:r w:rsidRPr="00AC3318">
        <w:rPr>
          <w:rFonts w:ascii="Georgia" w:eastAsia="Times New Roman" w:hAnsi="Georgia" w:cs="Times New Roman"/>
          <w:sz w:val="20"/>
          <w:szCs w:val="20"/>
          <w:lang w:val="lt-LT" w:eastAsia="lt-LT"/>
        </w:rPr>
        <w:t xml:space="preserve"> komitetą, kuris yra pagrindinis </w:t>
      </w:r>
      <w:r>
        <w:rPr>
          <w:rFonts w:ascii="Georgia" w:eastAsia="Times New Roman" w:hAnsi="Georgia" w:cs="Times New Roman"/>
          <w:sz w:val="20"/>
          <w:szCs w:val="20"/>
          <w:lang w:val="lt-LT" w:eastAsia="lt-LT"/>
        </w:rPr>
        <w:t xml:space="preserve">fondų </w:t>
      </w:r>
      <w:r w:rsidRPr="00AC3318">
        <w:rPr>
          <w:rFonts w:ascii="Georgia" w:eastAsia="Times New Roman" w:hAnsi="Georgia" w:cs="Times New Roman"/>
          <w:sz w:val="20"/>
          <w:szCs w:val="20"/>
          <w:lang w:val="lt-LT" w:eastAsia="lt-LT"/>
        </w:rPr>
        <w:t xml:space="preserve">fondo valdymo organas. </w:t>
      </w:r>
    </w:p>
    <w:p w14:paraId="7D84EBD9" w14:textId="77777777" w:rsidR="007552F3" w:rsidRPr="00AC3318" w:rsidRDefault="007552F3" w:rsidP="007552F3">
      <w:pPr>
        <w:jc w:val="both"/>
        <w:rPr>
          <w:rFonts w:ascii="Georgia" w:hAnsi="Georgia"/>
          <w:sz w:val="20"/>
          <w:szCs w:val="20"/>
        </w:rPr>
      </w:pPr>
      <w:r w:rsidRPr="00AC3318">
        <w:rPr>
          <w:rFonts w:ascii="Georgia" w:eastAsia="Times New Roman" w:hAnsi="Georgia" w:cs="Times New Roman"/>
          <w:sz w:val="20"/>
          <w:szCs w:val="20"/>
          <w:lang w:val="lt-LT" w:eastAsia="lt-LT"/>
        </w:rPr>
        <w:t>Fondų fondo valdytojas, siekdamas užtikrinti fondo įgyvendinimą, organizuoja finansinių tarpininkų atranką arba fondo veikl</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vykdo pats</w:t>
      </w:r>
      <w:r>
        <w:rPr>
          <w:rFonts w:ascii="Georgia" w:eastAsia="Times New Roman" w:hAnsi="Georgia" w:cs="Times New Roman"/>
          <w:sz w:val="20"/>
          <w:szCs w:val="20"/>
          <w:lang w:val="lt-LT" w:eastAsia="lt-LT"/>
        </w:rPr>
        <w:t>, kaip tai buvo aprašyta aukščiau remiantis Bendrųjų nuostatų reglamento 38.5 punktu.</w:t>
      </w:r>
    </w:p>
    <w:p w14:paraId="6F58D738"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šio modelio privalumai ir trūkumai įvardinti lentelėje žemiau.</w:t>
      </w:r>
      <w:r w:rsidRPr="00AC3318">
        <w:rPr>
          <w:rFonts w:ascii="Georgia" w:eastAsia="Times New Roman" w:hAnsi="Georgia" w:cs="Times New Roman"/>
          <w:sz w:val="20"/>
          <w:szCs w:val="20"/>
          <w:lang w:val="lt-LT" w:eastAsia="lt-LT"/>
        </w:rPr>
        <w:t xml:space="preserve"> </w:t>
      </w:r>
    </w:p>
    <w:p w14:paraId="3E45750E" w14:textId="794256B3" w:rsidR="007552F3" w:rsidRPr="008377C9" w:rsidRDefault="007552F3" w:rsidP="007552F3">
      <w:pPr>
        <w:pStyle w:val="Antrat"/>
        <w:spacing w:line="276" w:lineRule="auto"/>
        <w:jc w:val="both"/>
        <w:rPr>
          <w:b w:val="0"/>
          <w:i/>
          <w:szCs w:val="20"/>
          <w:lang w:val="lt-LT"/>
        </w:rPr>
      </w:pPr>
      <w:bookmarkStart w:id="394" w:name="_Toc503193933"/>
      <w:bookmarkStart w:id="395" w:name="_Toc507939223"/>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101</w:t>
      </w:r>
      <w:r w:rsidRPr="008377C9">
        <w:rPr>
          <w:b w:val="0"/>
          <w:i/>
          <w:lang w:val="lt-LT"/>
        </w:rPr>
        <w:fldChar w:fldCharType="end"/>
      </w:r>
      <w:r w:rsidRPr="008377C9">
        <w:rPr>
          <w:b w:val="0"/>
          <w:i/>
          <w:lang w:val="lt-LT"/>
        </w:rPr>
        <w:t>. Pirmosios fondo kūrimo alternatyvos viešiesiems pastatams ir gatvių apšvietimui privalumų ir trūkumų palyginimas.</w:t>
      </w:r>
      <w:bookmarkEnd w:id="394"/>
      <w:bookmarkEnd w:id="395"/>
      <w:r w:rsidRPr="008377C9">
        <w:rPr>
          <w:b w:val="0"/>
          <w:i/>
          <w:lang w:val="lt-LT"/>
        </w:rPr>
        <w:t xml:space="preserve"> </w:t>
      </w:r>
    </w:p>
    <w:tbl>
      <w:tblPr>
        <w:tblStyle w:val="LightList-Accent21"/>
        <w:tblW w:w="0" w:type="auto"/>
        <w:tblLook w:val="04A0" w:firstRow="1" w:lastRow="0" w:firstColumn="1" w:lastColumn="0" w:noHBand="0" w:noVBand="1"/>
      </w:tblPr>
      <w:tblGrid>
        <w:gridCol w:w="4788"/>
        <w:gridCol w:w="4788"/>
      </w:tblGrid>
      <w:tr w:rsidR="007552F3" w:rsidRPr="00E649A6" w14:paraId="2A1CA6D7"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09A881B7" w14:textId="77777777" w:rsidR="007552F3" w:rsidRPr="00AC3318" w:rsidRDefault="007552F3" w:rsidP="007E38FC">
            <w:pPr>
              <w:spacing w:after="200" w:line="276" w:lineRule="auto"/>
              <w:jc w:val="center"/>
              <w:rPr>
                <w:rFonts w:ascii="Georgia" w:eastAsia="Times New Roman" w:hAnsi="Georgia" w:cs="Times New Roman"/>
                <w:b w:val="0"/>
                <w:sz w:val="20"/>
                <w:szCs w:val="20"/>
                <w:lang w:eastAsia="lt-LT"/>
              </w:rPr>
            </w:pPr>
            <w:r w:rsidRPr="00AC3318">
              <w:rPr>
                <w:rFonts w:ascii="Georgia" w:eastAsia="Times New Roman" w:hAnsi="Georgia" w:cs="Times New Roman"/>
                <w:sz w:val="20"/>
                <w:szCs w:val="20"/>
                <w:lang w:eastAsia="lt-LT"/>
              </w:rPr>
              <w:t>Privalumai</w:t>
            </w:r>
          </w:p>
        </w:tc>
        <w:tc>
          <w:tcPr>
            <w:tcW w:w="4788" w:type="dxa"/>
            <w:hideMark/>
          </w:tcPr>
          <w:p w14:paraId="208504FA" w14:textId="77777777" w:rsidR="007552F3" w:rsidRPr="00AC3318" w:rsidRDefault="007552F3" w:rsidP="007E38F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AC3318">
              <w:rPr>
                <w:rFonts w:ascii="Georgia" w:eastAsia="Times New Roman" w:hAnsi="Georgia" w:cs="Times New Roman"/>
                <w:sz w:val="20"/>
                <w:szCs w:val="20"/>
                <w:lang w:eastAsia="lt-LT"/>
              </w:rPr>
              <w:t>Trūkumai</w:t>
            </w:r>
          </w:p>
        </w:tc>
      </w:tr>
      <w:tr w:rsidR="007552F3" w:rsidRPr="00E649A6" w14:paraId="7F4C1CB2"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8394C8A" w14:textId="77777777" w:rsidR="007552F3" w:rsidRDefault="007552F3" w:rsidP="007E38FC">
            <w:pPr>
              <w:rPr>
                <w:rFonts w:ascii="Georgia" w:eastAsia="Times New Roman" w:hAnsi="Georgia" w:cs="Times New Roman"/>
                <w:b w:val="0"/>
                <w:sz w:val="20"/>
                <w:szCs w:val="20"/>
                <w:lang w:eastAsia="lt-LT"/>
              </w:rPr>
            </w:pPr>
            <w:r w:rsidRPr="00E044B9">
              <w:rPr>
                <w:rFonts w:ascii="Georgia" w:eastAsia="Times New Roman" w:hAnsi="Georgia" w:cs="Times New Roman"/>
                <w:b w:val="0"/>
                <w:sz w:val="20"/>
                <w:szCs w:val="20"/>
                <w:lang w:eastAsia="lt-LT"/>
              </w:rPr>
              <w:t>Modelio paprastumas</w:t>
            </w:r>
            <w:r>
              <w:rPr>
                <w:rFonts w:ascii="Georgia" w:eastAsia="Times New Roman" w:hAnsi="Georgia" w:cs="Times New Roman"/>
                <w:b w:val="0"/>
                <w:sz w:val="20"/>
                <w:szCs w:val="20"/>
                <w:lang w:eastAsia="lt-LT"/>
              </w:rPr>
              <w:t xml:space="preserve"> ir žinomumas</w:t>
            </w:r>
          </w:p>
          <w:p w14:paraId="393A1A15" w14:textId="77777777" w:rsidR="007552F3" w:rsidRPr="00AC3318" w:rsidRDefault="007552F3" w:rsidP="007E38FC">
            <w:pPr>
              <w:rPr>
                <w:rFonts w:ascii="Georgia" w:eastAsia="Times New Roman" w:hAnsi="Georgia" w:cs="Times New Roman"/>
                <w:sz w:val="20"/>
                <w:szCs w:val="20"/>
                <w:lang w:eastAsia="lt-LT"/>
              </w:rPr>
            </w:pPr>
          </w:p>
        </w:tc>
        <w:tc>
          <w:tcPr>
            <w:tcW w:w="4788" w:type="dxa"/>
          </w:tcPr>
          <w:p w14:paraId="05076A34" w14:textId="77777777" w:rsidR="007552F3" w:rsidRDefault="007552F3" w:rsidP="007E38FC">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Atskiro juridinio asmens statuso trūkumas mažintų papildomų privačių lėšų pritraukimą, nes fondo valdytojas atsakytu visu savo turtu ir potencialiai galėtų prisiimti rizikų dėl paimtų paskolų kitų fondų naudai  </w:t>
            </w:r>
          </w:p>
          <w:p w14:paraId="088206D0" w14:textId="77777777" w:rsidR="007552F3" w:rsidRPr="00AC3318" w:rsidRDefault="007552F3" w:rsidP="007E38FC">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 </w:t>
            </w:r>
          </w:p>
        </w:tc>
      </w:tr>
      <w:tr w:rsidR="007552F3" w:rsidRPr="00E649A6" w14:paraId="2567A70C" w14:textId="77777777" w:rsidTr="007E38FC">
        <w:tc>
          <w:tcPr>
            <w:cnfStyle w:val="001000000000" w:firstRow="0" w:lastRow="0" w:firstColumn="1" w:lastColumn="0" w:oddVBand="0" w:evenVBand="0" w:oddHBand="0" w:evenHBand="0" w:firstRowFirstColumn="0" w:firstRowLastColumn="0" w:lastRowFirstColumn="0" w:lastRowLastColumn="0"/>
            <w:tcW w:w="4788" w:type="dxa"/>
          </w:tcPr>
          <w:p w14:paraId="25F5CF47" w14:textId="77777777" w:rsidR="007552F3" w:rsidRPr="00E044B9" w:rsidRDefault="007552F3" w:rsidP="007E38FC">
            <w:pPr>
              <w:spacing w:after="200" w:line="276" w:lineRule="auto"/>
              <w:jc w:val="both"/>
              <w:rPr>
                <w:rFonts w:ascii="Georgia" w:eastAsia="Times New Roman" w:hAnsi="Georgia" w:cs="Times New Roman"/>
                <w:b w:val="0"/>
                <w:sz w:val="20"/>
                <w:szCs w:val="20"/>
                <w:lang w:eastAsia="lt-LT"/>
              </w:rPr>
            </w:pPr>
            <w:r w:rsidRPr="00E044B9">
              <w:rPr>
                <w:rFonts w:ascii="Georgia" w:eastAsia="Times New Roman" w:hAnsi="Georgia" w:cs="Times New Roman"/>
                <w:b w:val="0"/>
                <w:sz w:val="20"/>
                <w:szCs w:val="20"/>
                <w:lang w:eastAsia="lt-LT"/>
              </w:rPr>
              <w:t>Sukaupt</w:t>
            </w:r>
            <w:r>
              <w:rPr>
                <w:rFonts w:ascii="Georgia" w:eastAsia="Times New Roman" w:hAnsi="Georgia" w:cs="Times New Roman"/>
                <w:b w:val="0"/>
                <w:sz w:val="20"/>
                <w:szCs w:val="20"/>
                <w:lang w:eastAsia="lt-LT"/>
              </w:rPr>
              <w:t>a FM/AM</w:t>
            </w:r>
            <w:r w:rsidRPr="00E044B9">
              <w:rPr>
                <w:rFonts w:ascii="Georgia" w:eastAsia="Times New Roman" w:hAnsi="Georgia" w:cs="Times New Roman"/>
                <w:b w:val="0"/>
                <w:sz w:val="20"/>
                <w:szCs w:val="20"/>
                <w:lang w:eastAsia="lt-LT"/>
              </w:rPr>
              <w:t xml:space="preserve"> </w:t>
            </w:r>
            <w:r>
              <w:rPr>
                <w:rFonts w:ascii="Georgia" w:eastAsia="Times New Roman" w:hAnsi="Georgia" w:cs="Times New Roman"/>
                <w:b w:val="0"/>
                <w:sz w:val="20"/>
                <w:szCs w:val="20"/>
                <w:lang w:eastAsia="lt-LT"/>
              </w:rPr>
              <w:t xml:space="preserve">patirtis dalyvaujant </w:t>
            </w:r>
            <w:r w:rsidRPr="00E044B9">
              <w:rPr>
                <w:rFonts w:ascii="Georgia" w:eastAsia="Times New Roman" w:hAnsi="Georgia" w:cs="Times New Roman"/>
                <w:b w:val="0"/>
                <w:sz w:val="20"/>
                <w:szCs w:val="20"/>
                <w:lang w:eastAsia="lt-LT"/>
              </w:rPr>
              <w:t xml:space="preserve">JESSICA Kontroliuojančiojo fondo 2007-2013 </w:t>
            </w:r>
            <w:r>
              <w:rPr>
                <w:rFonts w:ascii="Georgia" w:eastAsia="Times New Roman" w:hAnsi="Georgia" w:cs="Times New Roman"/>
                <w:b w:val="0"/>
                <w:sz w:val="20"/>
                <w:szCs w:val="20"/>
                <w:lang w:eastAsia="lt-LT"/>
              </w:rPr>
              <w:t xml:space="preserve">valdyme </w:t>
            </w:r>
          </w:p>
        </w:tc>
        <w:tc>
          <w:tcPr>
            <w:tcW w:w="4788" w:type="dxa"/>
          </w:tcPr>
          <w:p w14:paraId="621D9EF2" w14:textId="77777777" w:rsidR="007552F3" w:rsidRPr="00AC3318" w:rsidRDefault="007552F3" w:rsidP="007E38F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AC3318">
              <w:rPr>
                <w:rFonts w:ascii="Georgia" w:eastAsia="Times New Roman" w:hAnsi="Georgia" w:cs="Times New Roman"/>
                <w:sz w:val="20"/>
                <w:szCs w:val="20"/>
                <w:lang w:eastAsia="lt-LT"/>
              </w:rPr>
              <w:t>Sudėtingas arba negalimas papildomų privačių lėšų pritraukimas siekiant investuoti į fondą</w:t>
            </w:r>
          </w:p>
        </w:tc>
      </w:tr>
      <w:tr w:rsidR="007552F3" w:rsidRPr="00E649A6" w14:paraId="259C25E0"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48037E0" w14:textId="77777777" w:rsidR="007552F3" w:rsidRPr="00E044B9" w:rsidRDefault="007552F3" w:rsidP="007E38FC">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b w:val="0"/>
                <w:sz w:val="20"/>
                <w:szCs w:val="20"/>
                <w:lang w:eastAsia="lt-LT"/>
              </w:rPr>
              <w:t>Trumpas laikas reikalingas išspręsti visus teisinius ir techninius klausimus susijusius su fondo įkurimu ir veiklos vystymu</w:t>
            </w:r>
          </w:p>
        </w:tc>
        <w:tc>
          <w:tcPr>
            <w:tcW w:w="4788" w:type="dxa"/>
          </w:tcPr>
          <w:p w14:paraId="15EC4EEA" w14:textId="77777777" w:rsidR="007552F3" w:rsidRPr="00AC3318" w:rsidRDefault="007552F3" w:rsidP="007E38F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AC3318">
              <w:rPr>
                <w:rFonts w:ascii="Georgia" w:eastAsia="Times New Roman" w:hAnsi="Georgia" w:cs="Times New Roman"/>
                <w:sz w:val="20"/>
                <w:szCs w:val="20"/>
                <w:lang w:eastAsia="lt-LT"/>
              </w:rPr>
              <w:t xml:space="preserve">Ilgas lėšų grąžinimo laikotarpis </w:t>
            </w:r>
          </w:p>
        </w:tc>
      </w:tr>
    </w:tbl>
    <w:p w14:paraId="7265C50F" w14:textId="77777777" w:rsidR="007552F3" w:rsidRPr="00AC3318" w:rsidRDefault="007552F3" w:rsidP="007552F3">
      <w:pPr>
        <w:jc w:val="both"/>
        <w:rPr>
          <w:rFonts w:ascii="Georgia" w:eastAsia="Times New Roman" w:hAnsi="Georgia" w:cs="Times New Roman"/>
          <w:sz w:val="20"/>
          <w:szCs w:val="20"/>
          <w:lang w:val="lt-LT" w:eastAsia="lt-LT"/>
        </w:rPr>
      </w:pPr>
    </w:p>
    <w:p w14:paraId="4545C39D" w14:textId="77777777" w:rsidR="007552F3" w:rsidRPr="003351A4" w:rsidRDefault="007552F3" w:rsidP="007552F3">
      <w:pPr>
        <w:pStyle w:val="Antrat2"/>
        <w:numPr>
          <w:ilvl w:val="3"/>
          <w:numId w:val="2"/>
        </w:numPr>
        <w:spacing w:after="240"/>
        <w:ind w:left="1134"/>
        <w:rPr>
          <w:lang w:val="lt-LT"/>
        </w:rPr>
      </w:pPr>
      <w:bookmarkStart w:id="396" w:name="_Toc398567619"/>
      <w:bookmarkStart w:id="397" w:name="_Toc503196433"/>
      <w:bookmarkStart w:id="398" w:name="_Toc25589981"/>
      <w:r>
        <w:rPr>
          <w:lang w:val="lt-LT"/>
        </w:rPr>
        <w:t>Asimetrinio rizikos fondo</w:t>
      </w:r>
      <w:r w:rsidRPr="003351A4">
        <w:rPr>
          <w:lang w:val="lt-LT"/>
        </w:rPr>
        <w:t xml:space="preserve"> steigimas</w:t>
      </w:r>
      <w:bookmarkEnd w:id="396"/>
      <w:bookmarkEnd w:id="397"/>
      <w:bookmarkEnd w:id="398"/>
    </w:p>
    <w:p w14:paraId="206E3EEB" w14:textId="77777777" w:rsidR="007552F3" w:rsidRDefault="007552F3" w:rsidP="007552F3">
      <w:pPr>
        <w:jc w:val="both"/>
        <w:rPr>
          <w:rFonts w:ascii="Georgia" w:eastAsia="Times New Roman" w:hAnsi="Georgia" w:cs="Times New Roman"/>
          <w:sz w:val="20"/>
          <w:szCs w:val="20"/>
          <w:lang w:val="lt-LT" w:eastAsia="lt-LT"/>
        </w:rPr>
      </w:pPr>
      <w:r w:rsidRPr="00313A41">
        <w:rPr>
          <w:rFonts w:ascii="Georgia" w:eastAsia="Times New Roman" w:hAnsi="Georgia" w:cs="Times New Roman"/>
          <w:sz w:val="20"/>
          <w:szCs w:val="20"/>
          <w:lang w:val="lt-LT" w:eastAsia="lt-LT"/>
        </w:rPr>
        <w:t>Antroji vertinama fondų fondo steigimo alternatyva pavaizduota paveiksle</w:t>
      </w:r>
      <w:r w:rsidRPr="00EC5CFD">
        <w:rPr>
          <w:rFonts w:ascii="Georgia" w:eastAsia="Times New Roman" w:hAnsi="Georgia" w:cs="Times New Roman"/>
          <w:sz w:val="20"/>
          <w:szCs w:val="20"/>
          <w:lang w:val="lt-LT" w:eastAsia="lt-LT"/>
        </w:rPr>
        <w:t xml:space="preserve"> žemiau, </w:t>
      </w:r>
      <w:r w:rsidRPr="00EE477F">
        <w:rPr>
          <w:rFonts w:ascii="Georgia" w:eastAsia="Times New Roman" w:hAnsi="Georgia" w:cs="Times New Roman"/>
          <w:sz w:val="20"/>
          <w:szCs w:val="20"/>
          <w:lang w:val="lt-LT" w:eastAsia="lt-LT"/>
        </w:rPr>
        <w:t xml:space="preserve">kuriame matyti, jog projektų finansavimui bei papildomų lėšų pritraukimui fondas yra steigiamas kaip atskiras subjektas, </w:t>
      </w:r>
      <w:r>
        <w:rPr>
          <w:rFonts w:ascii="Georgia" w:eastAsia="Times New Roman" w:hAnsi="Georgia" w:cs="Times New Roman"/>
          <w:sz w:val="20"/>
          <w:szCs w:val="20"/>
          <w:lang w:val="lt-LT" w:eastAsia="lt-LT"/>
        </w:rPr>
        <w:t>pavyzdžiui</w:t>
      </w:r>
      <w:r w:rsidRPr="00765F40">
        <w:rPr>
          <w:rFonts w:ascii="Georgia" w:eastAsia="Times New Roman" w:hAnsi="Georgia" w:cs="Times New Roman"/>
          <w:sz w:val="20"/>
          <w:szCs w:val="20"/>
          <w:lang w:val="lt-LT" w:eastAsia="lt-LT"/>
        </w:rPr>
        <w:t xml:space="preserve"> turintis komanditinės ūkinės bendrijos formą</w:t>
      </w:r>
      <w:r>
        <w:rPr>
          <w:rStyle w:val="Puslapioinaosnuoroda"/>
          <w:rFonts w:ascii="Georgia" w:eastAsia="Times New Roman" w:hAnsi="Georgia" w:cs="Times New Roman"/>
          <w:sz w:val="20"/>
          <w:szCs w:val="20"/>
          <w:lang w:val="lt-LT" w:eastAsia="lt-LT"/>
        </w:rPr>
        <w:footnoteReference w:id="196"/>
      </w:r>
      <w:r w:rsidRPr="00765F40">
        <w:rPr>
          <w:rFonts w:ascii="Georgia" w:eastAsia="Times New Roman" w:hAnsi="Georgia" w:cs="Times New Roman"/>
          <w:sz w:val="20"/>
          <w:szCs w:val="20"/>
          <w:lang w:val="lt-LT" w:eastAsia="lt-LT"/>
        </w:rPr>
        <w:t xml:space="preserve">. </w:t>
      </w:r>
    </w:p>
    <w:p w14:paraId="407091E4" w14:textId="77777777" w:rsidR="007552F3" w:rsidRDefault="007552F3" w:rsidP="007552F3">
      <w:pPr>
        <w:pStyle w:val="Antrat"/>
        <w:rPr>
          <w:rFonts w:eastAsia="Times New Roman"/>
          <w:szCs w:val="20"/>
          <w:lang w:val="lt-LT" w:eastAsia="lt-LT"/>
        </w:rPr>
      </w:pPr>
      <w:r w:rsidRPr="001251A5">
        <w:rPr>
          <w:rFonts w:eastAsia="Times New Roman"/>
          <w:szCs w:val="20"/>
          <w:lang w:val="lt-LT" w:eastAsia="lt-LT"/>
        </w:rPr>
        <w:object w:dxaOrig="10035" w:dyaOrig="3825" w14:anchorId="30A8C094">
          <v:shape id="_x0000_i1027" type="#_x0000_t75" style="width:454.1pt;height:173.45pt" o:ole="">
            <v:imagedata r:id="rId74" o:title=""/>
          </v:shape>
          <o:OLEObject Type="Embed" ProgID="Visio.Drawing.15" ShapeID="_x0000_i1027" DrawAspect="Content" ObjectID="_1636202881" r:id="rId75"/>
        </w:object>
      </w:r>
    </w:p>
    <w:p w14:paraId="3999AD79" w14:textId="3C27885C" w:rsidR="007552F3" w:rsidRPr="001251A5" w:rsidRDefault="007552F3" w:rsidP="007552F3">
      <w:pPr>
        <w:pStyle w:val="Antrat"/>
        <w:rPr>
          <w:rFonts w:eastAsia="Times New Roman"/>
          <w:szCs w:val="20"/>
          <w:lang w:val="lt-LT" w:eastAsia="lt-LT"/>
        </w:rPr>
      </w:pPr>
      <w:bookmarkStart w:id="399" w:name="_Toc503196647"/>
      <w:bookmarkStart w:id="400" w:name="_Toc507939295"/>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9652A6">
        <w:rPr>
          <w:noProof/>
          <w:lang w:val="lt-LT"/>
        </w:rPr>
        <w:t>36</w:t>
      </w:r>
      <w:r w:rsidRPr="001251A5">
        <w:rPr>
          <w:lang w:val="lt-LT"/>
        </w:rPr>
        <w:fldChar w:fldCharType="end"/>
      </w:r>
      <w:r w:rsidRPr="001251A5">
        <w:rPr>
          <w:lang w:val="lt-LT"/>
        </w:rPr>
        <w:t>.</w:t>
      </w:r>
      <w:r w:rsidRPr="001251A5">
        <w:rPr>
          <w:rFonts w:eastAsia="Times New Roman"/>
          <w:szCs w:val="20"/>
          <w:lang w:val="lt-LT" w:eastAsia="lt-LT"/>
        </w:rPr>
        <w:t xml:space="preserve"> Juridinio asmens statusą turinčio fondo steigimas Lietuvoje</w:t>
      </w:r>
      <w:bookmarkEnd w:id="399"/>
      <w:bookmarkEnd w:id="400"/>
    </w:p>
    <w:p w14:paraId="57A0C609" w14:textId="77777777" w:rsidR="007552F3" w:rsidRPr="00313A41" w:rsidRDefault="007552F3" w:rsidP="007552F3">
      <w:pPr>
        <w:jc w:val="both"/>
        <w:rPr>
          <w:rFonts w:ascii="Georgia" w:eastAsia="Times New Roman" w:hAnsi="Georgia" w:cs="Times New Roman"/>
          <w:sz w:val="20"/>
          <w:szCs w:val="20"/>
          <w:lang w:val="lt-LT" w:eastAsia="lt-LT"/>
        </w:rPr>
      </w:pPr>
      <w:r w:rsidRPr="001251A5">
        <w:rPr>
          <w:rFonts w:ascii="Georgia" w:hAnsi="Georgia"/>
          <w:sz w:val="20"/>
          <w:szCs w:val="20"/>
          <w:lang w:val="lt-LT"/>
        </w:rPr>
        <w:t>Fondų fondas įsteigiamas</w:t>
      </w:r>
      <w:r>
        <w:rPr>
          <w:rFonts w:ascii="Georgia" w:hAnsi="Georgia"/>
          <w:sz w:val="20"/>
          <w:szCs w:val="20"/>
          <w:lang w:val="lt-LT"/>
        </w:rPr>
        <w:t xml:space="preserve"> siekiant asimetrinio rizikos pasidalijimo modelio pagrindu pritraukti privačias lėšas</w:t>
      </w:r>
      <w:r w:rsidRPr="001251A5">
        <w:rPr>
          <w:rFonts w:ascii="Georgia" w:hAnsi="Georgia"/>
          <w:sz w:val="20"/>
          <w:szCs w:val="20"/>
          <w:lang w:val="lt-LT"/>
        </w:rPr>
        <w:t>.</w:t>
      </w:r>
      <w:r>
        <w:rPr>
          <w:rFonts w:ascii="Georgia" w:hAnsi="Georgia"/>
          <w:sz w:val="20"/>
          <w:szCs w:val="20"/>
          <w:lang w:val="lt-LT"/>
        </w:rPr>
        <w:t xml:space="preserve"> Pažymėtina, jog toks modelis gali būti taikomas ne tik fondo sukūrimo pradžioje, bet ir tada kai jau susiformuoja tam tikras projektų srautas.</w:t>
      </w:r>
      <w:r w:rsidRPr="001251A5">
        <w:rPr>
          <w:rFonts w:ascii="Georgia" w:hAnsi="Georgia"/>
          <w:sz w:val="20"/>
          <w:szCs w:val="20"/>
          <w:lang w:val="lt-LT"/>
        </w:rPr>
        <w:t xml:space="preserve"> Vadovaujančioji institucija gali investuoti į tokį </w:t>
      </w:r>
      <w:r>
        <w:rPr>
          <w:rFonts w:ascii="Georgia" w:hAnsi="Georgia"/>
          <w:sz w:val="20"/>
          <w:szCs w:val="20"/>
          <w:lang w:val="lt-LT"/>
        </w:rPr>
        <w:t>fondą</w:t>
      </w:r>
      <w:r w:rsidRPr="001251A5">
        <w:rPr>
          <w:rFonts w:ascii="Georgia" w:hAnsi="Georgia"/>
          <w:sz w:val="20"/>
          <w:szCs w:val="20"/>
          <w:lang w:val="lt-LT"/>
        </w:rPr>
        <w:t xml:space="preserve"> arba užduotis pavesti vykdyti kitoms institucijoms, kaip apibrėžta Bendrųjų nuostatų reglamento 38.4 punkte</w:t>
      </w:r>
      <w:r>
        <w:rPr>
          <w:rFonts w:ascii="Georgia" w:hAnsi="Georgia"/>
          <w:sz w:val="20"/>
          <w:szCs w:val="20"/>
          <w:lang w:val="lt-LT"/>
        </w:rPr>
        <w:t xml:space="preserve"> arba panaudodama grįžtančias lėšas modelio pagalba pritraukti privačias lėšas</w:t>
      </w:r>
      <w:r w:rsidRPr="001251A5">
        <w:rPr>
          <w:rFonts w:ascii="Georgia" w:hAnsi="Georgia"/>
          <w:sz w:val="20"/>
          <w:szCs w:val="20"/>
          <w:lang w:val="lt-LT"/>
        </w:rPr>
        <w:t xml:space="preserve">. </w:t>
      </w:r>
    </w:p>
    <w:p w14:paraId="4DDA2142" w14:textId="77777777" w:rsidR="007552F3" w:rsidRPr="005B4195" w:rsidRDefault="007552F3" w:rsidP="007552F3">
      <w:pPr>
        <w:jc w:val="both"/>
        <w:rPr>
          <w:rFonts w:ascii="Georgia" w:hAnsi="Georgia"/>
          <w:sz w:val="20"/>
          <w:szCs w:val="20"/>
          <w:lang w:val="lt-LT"/>
        </w:rPr>
      </w:pPr>
      <w:r w:rsidRPr="00DC6825">
        <w:rPr>
          <w:rFonts w:ascii="Georgia" w:eastAsia="Times New Roman" w:hAnsi="Georgia" w:cs="Times New Roman"/>
          <w:sz w:val="20"/>
          <w:szCs w:val="20"/>
          <w:lang w:val="lt-LT" w:eastAsia="lt-LT"/>
        </w:rPr>
        <w:t xml:space="preserve">Pagrindinis šio modelio privalumas – sukuriamas mechanizmas investuotojų įsitraukimui. </w:t>
      </w:r>
    </w:p>
    <w:p w14:paraId="443AC096"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 xml:space="preserve">Pagrindinis šio modelio trūkumas lyginant su šio modelio taikymu daugiabučių finansavimo atveju, kad nėra ESCO projektų įgyvendinimo patirties. Net ir sukūrus rizikos pasidalijimo schemą, didelė rizika, kad kol neatsiras sėkmingai įgyvendintų projektų pavyzdžių komerciniai bankai ir kiti joje nedalyvaus. Lyginant su daugiabučių renovacijos modeliu, komerciniai bankai jau dalyvauja kaip finansiniai tarpininkai, kiti bankai analizuoja ir stebi šios rinkos pokyčius, todėl gali būti identifikuojamos aiškios galimybės investuotojų pritraukimui. </w:t>
      </w:r>
    </w:p>
    <w:p w14:paraId="1CFB0BA4" w14:textId="56D8E29E" w:rsidR="007552F3" w:rsidRPr="008377C9" w:rsidRDefault="007552F3" w:rsidP="007552F3">
      <w:pPr>
        <w:pStyle w:val="Antrat"/>
        <w:rPr>
          <w:rFonts w:eastAsia="Times New Roman"/>
          <w:b w:val="0"/>
          <w:i/>
          <w:szCs w:val="20"/>
          <w:lang w:val="lt-LT" w:eastAsia="lt-LT"/>
        </w:rPr>
      </w:pPr>
      <w:bookmarkStart w:id="401" w:name="_Toc503193934"/>
      <w:bookmarkStart w:id="402" w:name="_Toc507939224"/>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102</w:t>
      </w:r>
      <w:r w:rsidRPr="008377C9">
        <w:rPr>
          <w:b w:val="0"/>
          <w:i/>
          <w:lang w:val="lt-LT"/>
        </w:rPr>
        <w:fldChar w:fldCharType="end"/>
      </w:r>
      <w:r w:rsidRPr="008377C9">
        <w:rPr>
          <w:b w:val="0"/>
          <w:i/>
          <w:lang w:val="lt-LT"/>
        </w:rPr>
        <w:t>. Antrosios fondo kūrimo alternatyvos viešiesiems pastatams ir gatvių apšvietimui privalumų ir trūkumų palyginimas</w:t>
      </w:r>
      <w:bookmarkEnd w:id="401"/>
      <w:bookmarkEnd w:id="402"/>
    </w:p>
    <w:tbl>
      <w:tblPr>
        <w:tblStyle w:val="LightList-Accent21"/>
        <w:tblW w:w="9606" w:type="dxa"/>
        <w:tblLook w:val="04A0" w:firstRow="1" w:lastRow="0" w:firstColumn="1" w:lastColumn="0" w:noHBand="0" w:noVBand="1"/>
      </w:tblPr>
      <w:tblGrid>
        <w:gridCol w:w="4219"/>
        <w:gridCol w:w="5387"/>
      </w:tblGrid>
      <w:tr w:rsidR="007552F3" w:rsidRPr="002878F6" w14:paraId="4E71B1BD"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hideMark/>
          </w:tcPr>
          <w:p w14:paraId="65FA618D" w14:textId="77777777" w:rsidR="007552F3" w:rsidRPr="002878F6" w:rsidRDefault="007552F3" w:rsidP="007E38FC">
            <w:pPr>
              <w:spacing w:after="200" w:line="276" w:lineRule="auto"/>
              <w:jc w:val="center"/>
              <w:rPr>
                <w:rFonts w:ascii="Georgia" w:eastAsia="Times New Roman" w:hAnsi="Georgia" w:cs="Times New Roman"/>
                <w:b w:val="0"/>
                <w:sz w:val="20"/>
                <w:szCs w:val="20"/>
                <w:lang w:eastAsia="lt-LT"/>
              </w:rPr>
            </w:pPr>
            <w:r w:rsidRPr="002878F6">
              <w:rPr>
                <w:rFonts w:ascii="Georgia" w:eastAsia="Times New Roman" w:hAnsi="Georgia" w:cs="Times New Roman"/>
                <w:sz w:val="20"/>
                <w:szCs w:val="20"/>
                <w:lang w:eastAsia="lt-LT"/>
              </w:rPr>
              <w:t>Privalumai</w:t>
            </w:r>
          </w:p>
        </w:tc>
        <w:tc>
          <w:tcPr>
            <w:tcW w:w="5387" w:type="dxa"/>
            <w:hideMark/>
          </w:tcPr>
          <w:p w14:paraId="517D494B" w14:textId="77777777" w:rsidR="007552F3" w:rsidRPr="002878F6" w:rsidRDefault="007552F3" w:rsidP="007E38F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2878F6">
              <w:rPr>
                <w:rFonts w:ascii="Georgia" w:eastAsia="Times New Roman" w:hAnsi="Georgia" w:cs="Times New Roman"/>
                <w:sz w:val="20"/>
                <w:szCs w:val="20"/>
                <w:lang w:eastAsia="lt-LT"/>
              </w:rPr>
              <w:t>Trūkumai</w:t>
            </w:r>
          </w:p>
        </w:tc>
      </w:tr>
      <w:tr w:rsidR="007552F3" w:rsidRPr="002878F6" w14:paraId="079F02C8"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hideMark/>
          </w:tcPr>
          <w:p w14:paraId="7ABC8449" w14:textId="58BD0559" w:rsidR="007552F3" w:rsidRPr="002878F6" w:rsidRDefault="0047468E" w:rsidP="007E38FC">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b w:val="0"/>
                <w:sz w:val="20"/>
                <w:szCs w:val="20"/>
                <w:lang w:eastAsia="lt-LT"/>
              </w:rPr>
              <w:t xml:space="preserve">1, </w:t>
            </w:r>
            <w:r w:rsidR="007552F3" w:rsidRPr="002878F6">
              <w:rPr>
                <w:rFonts w:ascii="Georgia" w:eastAsia="Times New Roman" w:hAnsi="Georgia" w:cs="Times New Roman"/>
                <w:b w:val="0"/>
                <w:sz w:val="20"/>
                <w:szCs w:val="20"/>
                <w:lang w:eastAsia="lt-LT"/>
              </w:rPr>
              <w:t>Sudaromos galimybės pritraukti papildomas investuotojų lėšas</w:t>
            </w:r>
          </w:p>
        </w:tc>
        <w:tc>
          <w:tcPr>
            <w:tcW w:w="5387" w:type="dxa"/>
          </w:tcPr>
          <w:p w14:paraId="2D2BE28D" w14:textId="77777777" w:rsidR="007552F3" w:rsidRPr="002878F6" w:rsidRDefault="007552F3" w:rsidP="007E38F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sidRPr="001251A5">
              <w:rPr>
                <w:rFonts w:ascii="Georgia" w:hAnsi="Georgia"/>
                <w:sz w:val="20"/>
                <w:szCs w:val="20"/>
              </w:rPr>
              <w:t>1. Finansinių tarpininkų atrinkimui galios Viešųjų pirkimų įstatymo nuostatos, todėl tai apsunkins ir gali užtęsti jų atranką.</w:t>
            </w:r>
          </w:p>
        </w:tc>
      </w:tr>
      <w:tr w:rsidR="007552F3" w:rsidRPr="002878F6" w14:paraId="3C30B383" w14:textId="77777777" w:rsidTr="007E38FC">
        <w:tc>
          <w:tcPr>
            <w:cnfStyle w:val="001000000000" w:firstRow="0" w:lastRow="0" w:firstColumn="1" w:lastColumn="0" w:oddVBand="0" w:evenVBand="0" w:oddHBand="0" w:evenHBand="0" w:firstRowFirstColumn="0" w:firstRowLastColumn="0" w:lastRowFirstColumn="0" w:lastRowLastColumn="0"/>
            <w:tcW w:w="4219" w:type="dxa"/>
          </w:tcPr>
          <w:p w14:paraId="7A3A7809" w14:textId="77777777" w:rsidR="007552F3" w:rsidRPr="002878F6" w:rsidRDefault="007552F3" w:rsidP="007E38FC">
            <w:pPr>
              <w:spacing w:after="200" w:line="276" w:lineRule="auto"/>
              <w:jc w:val="both"/>
              <w:rPr>
                <w:rFonts w:ascii="Georgia" w:eastAsia="Times New Roman" w:hAnsi="Georgia" w:cs="Times New Roman"/>
                <w:b w:val="0"/>
                <w:sz w:val="20"/>
                <w:szCs w:val="20"/>
                <w:lang w:eastAsia="lt-LT"/>
              </w:rPr>
            </w:pPr>
          </w:p>
        </w:tc>
        <w:tc>
          <w:tcPr>
            <w:tcW w:w="5387" w:type="dxa"/>
          </w:tcPr>
          <w:p w14:paraId="301BF91E" w14:textId="77777777" w:rsidR="007552F3" w:rsidRPr="002878F6" w:rsidRDefault="007552F3" w:rsidP="007E38F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hAnsi="Georgia"/>
                <w:sz w:val="20"/>
                <w:szCs w:val="20"/>
                <w:lang w:val="en-US"/>
              </w:rPr>
              <w:t>2</w:t>
            </w:r>
            <w:r w:rsidRPr="001251A5">
              <w:rPr>
                <w:rFonts w:ascii="Georgia" w:hAnsi="Georgia"/>
                <w:sz w:val="20"/>
                <w:szCs w:val="20"/>
              </w:rPr>
              <w:t>.</w:t>
            </w:r>
            <w:r>
              <w:rPr>
                <w:rFonts w:ascii="Georgia" w:hAnsi="Georgia"/>
                <w:sz w:val="20"/>
                <w:szCs w:val="20"/>
              </w:rPr>
              <w:t xml:space="preserve"> </w:t>
            </w:r>
            <w:r w:rsidRPr="001251A5">
              <w:rPr>
                <w:rFonts w:ascii="Georgia" w:hAnsi="Georgia"/>
                <w:sz w:val="20"/>
                <w:szCs w:val="20"/>
              </w:rPr>
              <w:t xml:space="preserve">Komerciniai bankai nenoriai </w:t>
            </w:r>
            <w:r>
              <w:rPr>
                <w:rFonts w:ascii="Georgia" w:hAnsi="Georgia"/>
                <w:sz w:val="20"/>
                <w:szCs w:val="20"/>
              </w:rPr>
              <w:t>dalyvauja projektuose kurių nepažysta ir kurių nėra projektų įgyvendinimo ir paskolų patarnavimo istorijos</w:t>
            </w:r>
            <w:r w:rsidRPr="001251A5">
              <w:rPr>
                <w:rFonts w:ascii="Georgia" w:hAnsi="Georgia"/>
                <w:sz w:val="20"/>
                <w:szCs w:val="20"/>
              </w:rPr>
              <w:t>.</w:t>
            </w:r>
          </w:p>
        </w:tc>
      </w:tr>
      <w:tr w:rsidR="007552F3" w:rsidRPr="002878F6" w14:paraId="104E4154"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3638A99" w14:textId="77777777" w:rsidR="007552F3" w:rsidRPr="002878F6" w:rsidRDefault="007552F3" w:rsidP="007E38FC">
            <w:pPr>
              <w:jc w:val="both"/>
              <w:rPr>
                <w:rFonts w:ascii="Georgia" w:eastAsia="Times New Roman" w:hAnsi="Georgia" w:cs="Times New Roman"/>
                <w:b w:val="0"/>
                <w:sz w:val="20"/>
                <w:szCs w:val="20"/>
                <w:lang w:eastAsia="lt-LT"/>
              </w:rPr>
            </w:pPr>
          </w:p>
        </w:tc>
        <w:tc>
          <w:tcPr>
            <w:tcW w:w="5387" w:type="dxa"/>
          </w:tcPr>
          <w:p w14:paraId="0CC8D98A" w14:textId="77777777" w:rsidR="007552F3" w:rsidRPr="005B31C6" w:rsidRDefault="007552F3" w:rsidP="007E38FC">
            <w:pPr>
              <w:jc w:val="both"/>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sz w:val="20"/>
                <w:szCs w:val="20"/>
              </w:rPr>
            </w:pPr>
            <w:r>
              <w:rPr>
                <w:rFonts w:ascii="Georgia" w:hAnsi="Georgia"/>
                <w:sz w:val="20"/>
                <w:szCs w:val="20"/>
                <w:lang w:val="en-US"/>
              </w:rPr>
              <w:t>3</w:t>
            </w:r>
            <w:r w:rsidRPr="001251A5">
              <w:rPr>
                <w:rFonts w:ascii="Georgia" w:hAnsi="Georgia"/>
                <w:sz w:val="20"/>
                <w:szCs w:val="20"/>
              </w:rPr>
              <w:t xml:space="preserve">. </w:t>
            </w:r>
            <w:r w:rsidRPr="005B31C6">
              <w:rPr>
                <w:rFonts w:ascii="Georgia" w:hAnsi="Georgia"/>
                <w:sz w:val="20"/>
                <w:szCs w:val="20"/>
              </w:rPr>
              <w:t>Papildoma rizika, kad finans</w:t>
            </w:r>
            <w:r>
              <w:rPr>
                <w:rFonts w:ascii="Georgia" w:hAnsi="Georgia"/>
                <w:sz w:val="20"/>
                <w:szCs w:val="20"/>
              </w:rPr>
              <w:t>uotoja stengiasi visą įmanomą riziką perkelti viešajam subjektui, tokiu būdu mažėja viešųjų lėšų apimtis</w:t>
            </w:r>
          </w:p>
        </w:tc>
      </w:tr>
    </w:tbl>
    <w:p w14:paraId="252CDDDA" w14:textId="77777777" w:rsidR="007552F3" w:rsidRDefault="007552F3" w:rsidP="007552F3">
      <w:pPr>
        <w:jc w:val="both"/>
        <w:rPr>
          <w:rFonts w:ascii="Georgia" w:eastAsia="Times New Roman" w:hAnsi="Georgia" w:cs="Times New Roman"/>
          <w:sz w:val="20"/>
          <w:szCs w:val="20"/>
          <w:lang w:val="lt-LT" w:eastAsia="lt-LT"/>
        </w:rPr>
      </w:pPr>
    </w:p>
    <w:p w14:paraId="4547BFB9" w14:textId="77777777" w:rsidR="007552F3" w:rsidRPr="003351A4" w:rsidRDefault="007552F3" w:rsidP="007552F3">
      <w:pPr>
        <w:pStyle w:val="Antrat2"/>
        <w:numPr>
          <w:ilvl w:val="3"/>
          <w:numId w:val="2"/>
        </w:numPr>
        <w:spacing w:after="240"/>
        <w:ind w:left="1134"/>
        <w:rPr>
          <w:lang w:val="lt-LT"/>
        </w:rPr>
      </w:pPr>
      <w:bookmarkStart w:id="403" w:name="_Toc398567620"/>
      <w:bookmarkStart w:id="404" w:name="_Toc503196434"/>
      <w:bookmarkStart w:id="405" w:name="_Toc25589982"/>
      <w:r w:rsidRPr="006B0B34">
        <w:rPr>
          <w:lang w:val="lt-LT"/>
        </w:rPr>
        <w:t>Fondų fondo ir investicinio fondo steigimas</w:t>
      </w:r>
      <w:bookmarkEnd w:id="403"/>
      <w:bookmarkEnd w:id="404"/>
      <w:bookmarkEnd w:id="405"/>
    </w:p>
    <w:p w14:paraId="6C92F9A4" w14:textId="77777777" w:rsidR="007552F3" w:rsidRPr="00501DF9" w:rsidRDefault="007552F3" w:rsidP="007552F3">
      <w:pPr>
        <w:jc w:val="both"/>
        <w:rPr>
          <w:rFonts w:ascii="Georgia" w:eastAsia="Times New Roman" w:hAnsi="Georgia" w:cs="Times New Roman"/>
          <w:sz w:val="20"/>
          <w:szCs w:val="20"/>
          <w:lang w:val="lt-LT" w:eastAsia="lt-LT"/>
        </w:rPr>
      </w:pPr>
      <w:r w:rsidRPr="00501DF9">
        <w:rPr>
          <w:rFonts w:ascii="Georgia" w:eastAsia="Times New Roman" w:hAnsi="Georgia" w:cs="Times New Roman"/>
          <w:sz w:val="20"/>
          <w:szCs w:val="20"/>
          <w:lang w:val="lt-LT" w:eastAsia="lt-LT"/>
        </w:rPr>
        <w:t>Šios alternatyvos įgyvendinimo atveju Finansų ministerija kaip vadovaujančioji institucija kartu su Energetikos ministerija priimtų sprendimą įkurti fondų fondą</w:t>
      </w:r>
      <w:r>
        <w:rPr>
          <w:rFonts w:ascii="Georgia" w:eastAsia="Times New Roman" w:hAnsi="Georgia" w:cs="Times New Roman"/>
          <w:sz w:val="20"/>
          <w:szCs w:val="20"/>
          <w:lang w:val="lt-LT" w:eastAsia="lt-LT"/>
        </w:rPr>
        <w:t xml:space="preserve"> (ar finansinę priemonę)</w:t>
      </w:r>
      <w:r w:rsidRPr="00501DF9">
        <w:rPr>
          <w:rFonts w:ascii="Georgia" w:eastAsia="Times New Roman" w:hAnsi="Georgia" w:cs="Times New Roman"/>
          <w:sz w:val="20"/>
          <w:szCs w:val="20"/>
          <w:lang w:val="lt-LT" w:eastAsia="lt-LT"/>
        </w:rPr>
        <w:t xml:space="preserve">, kuris vykdytų numatytą veiklą 2014 - 2020 m. </w:t>
      </w:r>
      <w:r>
        <w:rPr>
          <w:rFonts w:ascii="Georgia" w:eastAsia="Times New Roman" w:hAnsi="Georgia" w:cs="Times New Roman"/>
          <w:sz w:val="20"/>
          <w:szCs w:val="20"/>
          <w:lang w:val="lt-LT" w:eastAsia="lt-LT"/>
        </w:rPr>
        <w:t>periodu</w:t>
      </w:r>
      <w:r w:rsidRPr="00501DF9">
        <w:rPr>
          <w:rFonts w:ascii="Georgia" w:eastAsia="Times New Roman" w:hAnsi="Georgia" w:cs="Times New Roman"/>
          <w:sz w:val="20"/>
          <w:szCs w:val="20"/>
          <w:lang w:val="lt-LT" w:eastAsia="lt-LT"/>
        </w:rPr>
        <w:t>. Fondų fondas veiktų kaip sąskaitų rinkinys finansų įstaigoje</w:t>
      </w:r>
      <w:r>
        <w:rPr>
          <w:rFonts w:ascii="Georgia" w:eastAsia="Times New Roman" w:hAnsi="Georgia" w:cs="Times New Roman"/>
          <w:sz w:val="20"/>
          <w:szCs w:val="20"/>
          <w:lang w:val="lt-LT" w:eastAsia="lt-LT"/>
        </w:rPr>
        <w:t xml:space="preserve">, o jo valdytojas būtų paskiriamas arba atrenkamas kaip tai numatyta Bendrųjų nuostatų reglamento 38.4 punkte. </w:t>
      </w:r>
    </w:p>
    <w:p w14:paraId="5D7FF5D2"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Šio fondo (ar finansinės priemonės) valdytojas galėtų atrinkti finansinius tarpininkus, kurie teiktų finansavimą centrinės valdžios viešųjų pastatų ir gatvių apšvietimo tinklo modernizavimo projektams, arba finansavimą galėtų teikti pats. Tuo atveju jei tarpininkai būtų atrinkti, jie taip pat gautų nustatytą atlygį už teikiamas finansinio tarpininko paslaugas. Fondo (ar finansinės priemonės) valdytojas įvertinęs situaciją ir pasiūlymų naudingumą pats galėtų nuspręsti kam galėtų parduoti ESI fondų lėšomis sukurto fondo</w:t>
      </w:r>
      <w:r>
        <w:rPr>
          <w:rStyle w:val="Puslapioinaosnuoroda"/>
          <w:rFonts w:ascii="Georgia" w:eastAsia="Times New Roman" w:hAnsi="Georgia" w:cs="Times New Roman"/>
          <w:sz w:val="20"/>
          <w:szCs w:val="20"/>
          <w:lang w:val="lt-LT" w:eastAsia="lt-LT"/>
        </w:rPr>
        <w:footnoteReference w:id="197"/>
      </w:r>
      <w:r>
        <w:rPr>
          <w:rFonts w:ascii="Georgia" w:eastAsia="Times New Roman" w:hAnsi="Georgia" w:cs="Times New Roman"/>
          <w:sz w:val="20"/>
          <w:szCs w:val="20"/>
          <w:lang w:val="lt-LT" w:eastAsia="lt-LT"/>
        </w:rPr>
        <w:t xml:space="preserve"> paskolas. </w:t>
      </w:r>
    </w:p>
    <w:p w14:paraId="11067333" w14:textId="77777777" w:rsidR="007552F3" w:rsidRDefault="007552F3" w:rsidP="007552F3">
      <w:pPr>
        <w:pStyle w:val="Antrat"/>
        <w:spacing w:line="276" w:lineRule="auto"/>
        <w:jc w:val="center"/>
        <w:rPr>
          <w:rFonts w:eastAsia="Times New Roman"/>
          <w:szCs w:val="20"/>
          <w:lang w:val="lt-LT" w:eastAsia="lt-LT"/>
        </w:rPr>
      </w:pPr>
      <w:r w:rsidRPr="001251A5">
        <w:rPr>
          <w:rFonts w:eastAsia="Times New Roman"/>
          <w:szCs w:val="20"/>
          <w:lang w:val="lt-LT" w:eastAsia="lt-LT"/>
        </w:rPr>
        <w:object w:dxaOrig="15480" w:dyaOrig="11805" w14:anchorId="54F0CD39">
          <v:shape id="_x0000_i1028" type="#_x0000_t75" style="width:447.35pt;height:341.75pt" o:ole="">
            <v:imagedata r:id="rId76" o:title=""/>
          </v:shape>
          <o:OLEObject Type="Embed" ProgID="Visio.Drawing.15" ShapeID="_x0000_i1028" DrawAspect="Content" ObjectID="_1636202882" r:id="rId77"/>
        </w:object>
      </w:r>
    </w:p>
    <w:p w14:paraId="3F7E334F" w14:textId="76796E49" w:rsidR="007552F3" w:rsidRPr="001251A5" w:rsidRDefault="007552F3" w:rsidP="007552F3">
      <w:pPr>
        <w:pStyle w:val="Antrat"/>
        <w:spacing w:line="276" w:lineRule="auto"/>
        <w:rPr>
          <w:rFonts w:eastAsia="Times New Roman"/>
          <w:szCs w:val="20"/>
          <w:lang w:val="lt-LT" w:eastAsia="lt-LT"/>
        </w:rPr>
      </w:pPr>
      <w:bookmarkStart w:id="406" w:name="_Toc503196648"/>
      <w:bookmarkStart w:id="407" w:name="_Toc507939296"/>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9652A6">
        <w:rPr>
          <w:noProof/>
          <w:lang w:val="lt-LT"/>
        </w:rPr>
        <w:t>37</w:t>
      </w:r>
      <w:r w:rsidRPr="001251A5">
        <w:rPr>
          <w:lang w:val="lt-LT"/>
        </w:rPr>
        <w:fldChar w:fldCharType="end"/>
      </w:r>
      <w:r w:rsidRPr="001251A5">
        <w:rPr>
          <w:lang w:val="lt-LT"/>
        </w:rPr>
        <w:t xml:space="preserve">. </w:t>
      </w:r>
      <w:r w:rsidRPr="001251A5">
        <w:rPr>
          <w:rFonts w:eastAsia="Times New Roman"/>
          <w:szCs w:val="20"/>
          <w:lang w:val="lt-LT" w:eastAsia="lt-LT"/>
        </w:rPr>
        <w:t>2014-2020 lėšų investavimas fondą (sąskaitų rinkinį finansų įstaigoje) ir investicinio fondo steigimas</w:t>
      </w:r>
      <w:bookmarkEnd w:id="406"/>
      <w:bookmarkEnd w:id="407"/>
    </w:p>
    <w:p w14:paraId="678337FC"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Pagrindinis šios alternatyvos  privalumas yra tai, kad fondų fondas gali būti įsteigiamas minimaliais terminais ir maksimaliai greitai gali pradėti veikti, o paskolos galėtų būti parduodamos jau susiformavus proejktų srautui, lygiagrečiai derinant ir įvertinant potencialių investuotojų poreikius ir investavimo galimybes. </w:t>
      </w:r>
    </w:p>
    <w:p w14:paraId="3007BA08" w14:textId="77777777" w:rsidR="007552F3" w:rsidRDefault="007552F3" w:rsidP="007552F3">
      <w:pPr>
        <w:jc w:val="both"/>
        <w:rPr>
          <w:rFonts w:ascii="Georgia" w:hAnsi="Georgia" w:cs="Arial"/>
          <w:color w:val="000000"/>
          <w:sz w:val="20"/>
          <w:szCs w:val="20"/>
          <w:lang w:val="lt-LT"/>
        </w:rPr>
      </w:pPr>
      <w:r>
        <w:rPr>
          <w:rFonts w:ascii="Georgia" w:hAnsi="Georgia" w:cs="Arial"/>
          <w:color w:val="000000"/>
          <w:sz w:val="20"/>
          <w:szCs w:val="20"/>
          <w:lang w:val="lt-LT"/>
        </w:rPr>
        <w:t xml:space="preserve">Rinkos dalyviai pažymėjo, kad tuo atveju jei lėšų pritraukimo schemoje dalyvautų tarptautinė finansų institucija, būtų sumažinama politinė rizika, procesas atitiktų tarptautinę praktiką ir tai būtų efektyvus būdas pritraukti didesnį kiekį investicijų greičiau. Be to, dauguma tarptautinių finansų institucijų išmano įvairių investicinių fondų veiklos principus, todėl tai investiciniam fondui suteiktų stabilumo, gerintų veiklos efektyvumą, didintų investuotojų pasitikėjimą. </w:t>
      </w:r>
    </w:p>
    <w:p w14:paraId="33788592"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Būtent dėl įgyvendinimo etapiškumo šios alternatyvos atveju galima tikėtis didžiausio sverto efekto lyginant su kitomis alternatyvomis.</w:t>
      </w:r>
    </w:p>
    <w:p w14:paraId="31A90283" w14:textId="218D3A76" w:rsidR="007552F3" w:rsidRPr="008377C9" w:rsidRDefault="007552F3" w:rsidP="007552F3">
      <w:pPr>
        <w:pStyle w:val="Antrat"/>
        <w:rPr>
          <w:rFonts w:eastAsia="Times New Roman"/>
          <w:b w:val="0"/>
          <w:i/>
          <w:szCs w:val="20"/>
          <w:lang w:val="lt-LT" w:eastAsia="lt-LT"/>
        </w:rPr>
      </w:pPr>
      <w:bookmarkStart w:id="408" w:name="_Toc503193935"/>
      <w:bookmarkStart w:id="409" w:name="_Toc507939225"/>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103</w:t>
      </w:r>
      <w:r w:rsidRPr="008377C9">
        <w:rPr>
          <w:b w:val="0"/>
          <w:i/>
          <w:lang w:val="lt-LT"/>
        </w:rPr>
        <w:fldChar w:fldCharType="end"/>
      </w:r>
      <w:r w:rsidRPr="008377C9">
        <w:rPr>
          <w:b w:val="0"/>
          <w:i/>
          <w:lang w:val="lt-LT"/>
        </w:rPr>
        <w:t>. Trečiosios fondo kūrimo alternatyvos viešiesiems pastatams ir gatvių apšvietimui privalumų ir trūkumų palyginimas</w:t>
      </w:r>
      <w:bookmarkEnd w:id="408"/>
      <w:bookmarkEnd w:id="409"/>
    </w:p>
    <w:tbl>
      <w:tblPr>
        <w:tblStyle w:val="LightList-Accent21"/>
        <w:tblW w:w="0" w:type="auto"/>
        <w:tblLook w:val="04A0" w:firstRow="1" w:lastRow="0" w:firstColumn="1" w:lastColumn="0" w:noHBand="0" w:noVBand="1"/>
      </w:tblPr>
      <w:tblGrid>
        <w:gridCol w:w="4788"/>
        <w:gridCol w:w="4788"/>
      </w:tblGrid>
      <w:tr w:rsidR="007552F3" w14:paraId="19F215A7"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3BD23894" w14:textId="77777777" w:rsidR="007552F3" w:rsidRDefault="007552F3" w:rsidP="007E38FC">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Privalumai</w:t>
            </w:r>
          </w:p>
        </w:tc>
        <w:tc>
          <w:tcPr>
            <w:tcW w:w="4788" w:type="dxa"/>
            <w:hideMark/>
          </w:tcPr>
          <w:p w14:paraId="0AD14934" w14:textId="77777777" w:rsidR="007552F3" w:rsidRDefault="007552F3" w:rsidP="007E38F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Trūkumai</w:t>
            </w:r>
          </w:p>
        </w:tc>
      </w:tr>
      <w:tr w:rsidR="007552F3" w14:paraId="3DBF2DFD"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77355F43"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t>1. Paprastas modelis ir pakankamai lanksti valdymo struktūra</w:t>
            </w:r>
          </w:p>
        </w:tc>
        <w:tc>
          <w:tcPr>
            <w:tcW w:w="4788" w:type="dxa"/>
            <w:hideMark/>
          </w:tcPr>
          <w:p w14:paraId="55948500" w14:textId="77777777" w:rsidR="007552F3" w:rsidRDefault="007552F3" w:rsidP="007E38F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 2014 – 2020 m. periodo lėšų panaudojimui sudaroma nauja sutartis su fondo valdytoju.</w:t>
            </w:r>
          </w:p>
        </w:tc>
      </w:tr>
      <w:tr w:rsidR="007552F3" w14:paraId="521B3251" w14:textId="77777777" w:rsidTr="007E38FC">
        <w:tc>
          <w:tcPr>
            <w:cnfStyle w:val="001000000000" w:firstRow="0" w:lastRow="0" w:firstColumn="1" w:lastColumn="0" w:oddVBand="0" w:evenVBand="0" w:oddHBand="0" w:evenHBand="0" w:firstRowFirstColumn="0" w:firstRowLastColumn="0" w:lastRowFirstColumn="0" w:lastRowLastColumn="0"/>
            <w:tcW w:w="4788" w:type="dxa"/>
            <w:hideMark/>
          </w:tcPr>
          <w:p w14:paraId="6A540658"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t>2. Aiški ir paž</w:t>
            </w:r>
            <w:r>
              <w:rPr>
                <w:rFonts w:ascii="Georgia" w:eastAsia="Times New Roman" w:hAnsi="Georgia" w:cs="Times New Roman"/>
                <w:b w:val="0"/>
                <w:sz w:val="20"/>
                <w:szCs w:val="20"/>
                <w:lang w:eastAsia="lt-LT"/>
              </w:rPr>
              <w:t>į</w:t>
            </w:r>
            <w:r w:rsidRPr="003351A4">
              <w:rPr>
                <w:rFonts w:ascii="Georgia" w:eastAsia="Times New Roman" w:hAnsi="Georgia" w:cs="Times New Roman"/>
                <w:b w:val="0"/>
                <w:sz w:val="20"/>
                <w:szCs w:val="20"/>
                <w:lang w:eastAsia="lt-LT"/>
              </w:rPr>
              <w:t xml:space="preserve">stama finansinės priemonės veiklos </w:t>
            </w:r>
            <w:r w:rsidRPr="003351A4">
              <w:rPr>
                <w:rFonts w:ascii="Georgia" w:eastAsia="Times New Roman" w:hAnsi="Georgia" w:cs="Times New Roman"/>
                <w:b w:val="0"/>
                <w:sz w:val="20"/>
                <w:szCs w:val="20"/>
                <w:lang w:eastAsia="lt-LT"/>
              </w:rPr>
              <w:lastRenderedPageBreak/>
              <w:t>struktūra.</w:t>
            </w:r>
          </w:p>
        </w:tc>
        <w:tc>
          <w:tcPr>
            <w:tcW w:w="4788" w:type="dxa"/>
            <w:hideMark/>
          </w:tcPr>
          <w:p w14:paraId="34844A17" w14:textId="77777777" w:rsidR="007552F3" w:rsidRDefault="007552F3" w:rsidP="007E38F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lastRenderedPageBreak/>
              <w:t xml:space="preserve">2. Finansinių tarpininkų atrinkimui galioja Viešųjų pirkimų įstatymo nuostatos, todėl tai labai </w:t>
            </w:r>
            <w:r>
              <w:rPr>
                <w:rFonts w:ascii="Georgia" w:eastAsia="Times New Roman" w:hAnsi="Georgia" w:cs="Times New Roman"/>
                <w:sz w:val="20"/>
                <w:szCs w:val="20"/>
                <w:lang w:eastAsia="lt-LT"/>
              </w:rPr>
              <w:lastRenderedPageBreak/>
              <w:t>apsunkins ir gali užtęsti jų atranką.</w:t>
            </w:r>
          </w:p>
        </w:tc>
      </w:tr>
      <w:tr w:rsidR="007552F3" w14:paraId="4D676DBA"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78661EB8"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lastRenderedPageBreak/>
              <w:t>3. Finansinę priemonę galima įgyvendinti tiesiogiai ir (arba) per finansinius tarpininkus</w:t>
            </w:r>
          </w:p>
        </w:tc>
        <w:tc>
          <w:tcPr>
            <w:tcW w:w="4788" w:type="dxa"/>
            <w:hideMark/>
          </w:tcPr>
          <w:p w14:paraId="00B57C1F" w14:textId="77777777" w:rsidR="007552F3" w:rsidRDefault="007552F3" w:rsidP="007E38F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 Infrastruktūros projektų ateities pinigų srautų išpirkimo patirties trūkumas</w:t>
            </w:r>
          </w:p>
        </w:tc>
      </w:tr>
      <w:tr w:rsidR="007552F3" w14:paraId="112A3FD7" w14:textId="77777777" w:rsidTr="007E38FC">
        <w:tc>
          <w:tcPr>
            <w:cnfStyle w:val="001000000000" w:firstRow="0" w:lastRow="0" w:firstColumn="1" w:lastColumn="0" w:oddVBand="0" w:evenVBand="0" w:oddHBand="0" w:evenHBand="0" w:firstRowFirstColumn="0" w:firstRowLastColumn="0" w:lastRowFirstColumn="0" w:lastRowLastColumn="0"/>
            <w:tcW w:w="4788" w:type="dxa"/>
            <w:hideMark/>
          </w:tcPr>
          <w:p w14:paraId="13E968D1"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t xml:space="preserve">4. Leidžia sutaupyti laiko, nes projektai pradedami finansuoti ESI fondų lėšomis, o </w:t>
            </w:r>
            <w:r>
              <w:rPr>
                <w:rFonts w:ascii="Georgia" w:eastAsia="Times New Roman" w:hAnsi="Georgia" w:cs="Times New Roman"/>
                <w:b w:val="0"/>
                <w:sz w:val="20"/>
                <w:szCs w:val="20"/>
                <w:lang w:eastAsia="lt-LT"/>
              </w:rPr>
              <w:t>paskolos parduodamos tik susiformavus jų srautui</w:t>
            </w:r>
            <w:r w:rsidRPr="003351A4">
              <w:rPr>
                <w:rFonts w:ascii="Georgia" w:eastAsia="Times New Roman" w:hAnsi="Georgia" w:cs="Times New Roman"/>
                <w:b w:val="0"/>
                <w:sz w:val="20"/>
                <w:szCs w:val="20"/>
                <w:lang w:eastAsia="lt-LT"/>
              </w:rPr>
              <w:t>.</w:t>
            </w:r>
          </w:p>
        </w:tc>
        <w:tc>
          <w:tcPr>
            <w:tcW w:w="4788" w:type="dxa"/>
          </w:tcPr>
          <w:p w14:paraId="7C66DC9C" w14:textId="77777777" w:rsidR="007552F3" w:rsidRDefault="007552F3" w:rsidP="007E38F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r w:rsidR="007552F3" w14:paraId="4517A296"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1CDFD5A0"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t>5. Suteikia galimybę pritraukti privataus sektoriaus lėšas.</w:t>
            </w:r>
          </w:p>
        </w:tc>
        <w:tc>
          <w:tcPr>
            <w:tcW w:w="4788" w:type="dxa"/>
          </w:tcPr>
          <w:p w14:paraId="52132FA5" w14:textId="77777777" w:rsidR="007552F3" w:rsidRDefault="007552F3" w:rsidP="007E38F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p>
        </w:tc>
      </w:tr>
      <w:tr w:rsidR="007552F3" w14:paraId="48163227" w14:textId="77777777" w:rsidTr="007E38FC">
        <w:tc>
          <w:tcPr>
            <w:cnfStyle w:val="001000000000" w:firstRow="0" w:lastRow="0" w:firstColumn="1" w:lastColumn="0" w:oddVBand="0" w:evenVBand="0" w:oddHBand="0" w:evenHBand="0" w:firstRowFirstColumn="0" w:firstRowLastColumn="0" w:lastRowFirstColumn="0" w:lastRowLastColumn="0"/>
            <w:tcW w:w="4788" w:type="dxa"/>
            <w:hideMark/>
          </w:tcPr>
          <w:p w14:paraId="36C51F92" w14:textId="77777777" w:rsidR="007552F3" w:rsidRPr="008945A5" w:rsidRDefault="007552F3" w:rsidP="007E38FC">
            <w:pPr>
              <w:spacing w:after="200" w:line="276" w:lineRule="auto"/>
              <w:jc w:val="both"/>
              <w:rPr>
                <w:rFonts w:ascii="Georgia" w:eastAsia="Times New Roman" w:hAnsi="Georgia" w:cs="Times New Roman"/>
                <w:b w:val="0"/>
                <w:sz w:val="20"/>
                <w:szCs w:val="20"/>
                <w:lang w:eastAsia="lt-LT"/>
              </w:rPr>
            </w:pPr>
            <w:r w:rsidRPr="003351A4">
              <w:rPr>
                <w:rFonts w:ascii="Georgia" w:eastAsia="Times New Roman" w:hAnsi="Georgia" w:cs="Times New Roman"/>
                <w:b w:val="0"/>
                <w:sz w:val="20"/>
                <w:szCs w:val="20"/>
                <w:lang w:eastAsia="lt-LT"/>
              </w:rPr>
              <w:t>6. Greitai grįžtančios lėšos į fondą po ateities pinigų srautų išpirkimo</w:t>
            </w:r>
          </w:p>
        </w:tc>
        <w:tc>
          <w:tcPr>
            <w:tcW w:w="4788" w:type="dxa"/>
          </w:tcPr>
          <w:p w14:paraId="4358FE07" w14:textId="77777777" w:rsidR="007552F3" w:rsidRDefault="007552F3" w:rsidP="007E38F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p>
        </w:tc>
      </w:tr>
    </w:tbl>
    <w:p w14:paraId="168ED351" w14:textId="77777777" w:rsidR="007552F3" w:rsidRDefault="007552F3" w:rsidP="007552F3">
      <w:pPr>
        <w:jc w:val="both"/>
        <w:rPr>
          <w:rFonts w:ascii="Georgia" w:eastAsia="Times New Roman" w:hAnsi="Georgia" w:cs="Times New Roman"/>
          <w:sz w:val="20"/>
          <w:szCs w:val="20"/>
          <w:lang w:val="lt-LT" w:eastAsia="lt-LT"/>
        </w:rPr>
      </w:pPr>
    </w:p>
    <w:p w14:paraId="004D9968" w14:textId="77777777" w:rsidR="007552F3" w:rsidRPr="003351A4" w:rsidRDefault="007552F3" w:rsidP="007552F3">
      <w:pPr>
        <w:pStyle w:val="Antrat2"/>
        <w:numPr>
          <w:ilvl w:val="3"/>
          <w:numId w:val="2"/>
        </w:numPr>
        <w:spacing w:after="240"/>
        <w:ind w:left="1134"/>
        <w:rPr>
          <w:lang w:val="lt-LT"/>
        </w:rPr>
      </w:pPr>
      <w:bookmarkStart w:id="410" w:name="_Toc398567621"/>
      <w:bookmarkStart w:id="411" w:name="_Toc503196435"/>
      <w:bookmarkStart w:id="412" w:name="_Toc25589983"/>
      <w:r w:rsidRPr="003351A4">
        <w:rPr>
          <w:lang w:val="lt-LT"/>
        </w:rPr>
        <w:t>Siūloma įgyvendinti alternatyva</w:t>
      </w:r>
      <w:bookmarkEnd w:id="410"/>
      <w:bookmarkEnd w:id="411"/>
      <w:bookmarkEnd w:id="412"/>
    </w:p>
    <w:p w14:paraId="3C02C921"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Siūloma įgyvendinti alternatyva viešųjų pastatų ir gatvių apšvietimo modernizavimui remiasi kiekvieno iš aukščiau paminėtų modelių privalumais ir trūkumais, sverto skaičiavimais bei kitomis prielaidomis. Atsižvelgiant į visus šiuos faktorius, šiuo metu siūloma įgyvendinti alternatyva – tai lėšų investavimas į fondą (sąskaitų rinkinį finansų įstaigoje) derinant paskolų teikimo (su ateities pinigų srautų išpirkimu arba asimetrinio rizikos fondo steigimu) alternatyvas siekiant suderinti svarbiausius abiejų alternatyvų privalumus. Taip pat siūloma apsvarstyti galimybę panaudoti grąžinamąsias lėšas atlyginant privačių investuotojų lėšas pirmumo tvarka remiantis Bendrųjų nuostatų reglamentu, kai privačių lėšų pritraukimo kaina viršija nustatytus 2 proc. </w:t>
      </w:r>
    </w:p>
    <w:p w14:paraId="51EAC01E" w14:textId="77777777" w:rsidR="007552F3" w:rsidRDefault="007552F3" w:rsidP="007552F3">
      <w:pPr>
        <w:jc w:val="both"/>
        <w:rPr>
          <w:rFonts w:ascii="Georgia" w:hAnsi="Georgia" w:cs="Arial"/>
          <w:color w:val="000000"/>
          <w:sz w:val="20"/>
          <w:szCs w:val="20"/>
          <w:lang w:val="lt-LT"/>
        </w:rPr>
      </w:pPr>
      <w:r>
        <w:rPr>
          <w:rFonts w:ascii="Georgia" w:hAnsi="Georgia" w:cs="Arial"/>
          <w:color w:val="000000"/>
          <w:sz w:val="20"/>
          <w:szCs w:val="20"/>
          <w:lang w:val="lt-LT"/>
        </w:rPr>
        <w:t xml:space="preserve">Pagrindinis rekomenduoto įgyvendinimo modelio tikslas – pritraukti kuo daugiau privačių bei institucinių investuotojų, atsižvelgiant į rinkos pokyčius ir susidariusią situaciją. </w:t>
      </w:r>
    </w:p>
    <w:p w14:paraId="35D931EA" w14:textId="77777777" w:rsidR="007552F3" w:rsidRPr="00CC475A" w:rsidRDefault="007552F3" w:rsidP="007552F3">
      <w:pPr>
        <w:jc w:val="both"/>
        <w:rPr>
          <w:rFonts w:ascii="Georgia" w:eastAsia="Times New Roman" w:hAnsi="Georgia" w:cs="Times New Roman"/>
          <w:b/>
          <w:sz w:val="20"/>
          <w:szCs w:val="20"/>
          <w:lang w:val="lt-LT" w:eastAsia="lt-LT"/>
        </w:rPr>
      </w:pPr>
      <w:r w:rsidRPr="00CC475A">
        <w:rPr>
          <w:rFonts w:ascii="Georgia" w:eastAsia="Times New Roman" w:hAnsi="Georgia" w:cs="Times New Roman"/>
          <w:b/>
          <w:sz w:val="20"/>
          <w:szCs w:val="20"/>
          <w:lang w:val="lt-LT" w:eastAsia="lt-LT"/>
        </w:rPr>
        <w:t>Kūrimo eiga</w:t>
      </w:r>
    </w:p>
    <w:p w14:paraId="685CB0E0"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Naudojant ESI fondų lėšas būtų kuriamas fondų fondas (ar finansinė priemonė), kuris pradeda teikti paskolas viešųjų pastatų renovacijos projektams, o susiformavus tinkamam projektų srautui būtų pritraukiamos privačios lėšos taikant asimentrinės rizikos pasidalijimo arba pinigų srautų (paskolų) pardavimo modelius. </w:t>
      </w:r>
    </w:p>
    <w:p w14:paraId="46FA7D88" w14:textId="77777777" w:rsidR="007552F3" w:rsidRPr="00890789" w:rsidRDefault="007552F3" w:rsidP="007552F3">
      <w:pPr>
        <w:pStyle w:val="prastasis1"/>
        <w:keepNext/>
        <w:jc w:val="both"/>
        <w:rPr>
          <w:rFonts w:ascii="Georgia" w:hAnsi="Georgia"/>
          <w:b/>
          <w:sz w:val="20"/>
          <w:szCs w:val="20"/>
        </w:rPr>
      </w:pPr>
      <w:bookmarkStart w:id="413" w:name="_Toc398567622"/>
      <w:r w:rsidRPr="00890789">
        <w:rPr>
          <w:rFonts w:ascii="Georgia" w:hAnsi="Georgia"/>
          <w:b/>
          <w:sz w:val="20"/>
          <w:szCs w:val="20"/>
        </w:rPr>
        <w:t>Finansinių tarpininkų parinkimas</w:t>
      </w:r>
    </w:p>
    <w:p w14:paraId="12AEA36D" w14:textId="77777777" w:rsidR="007552F3" w:rsidRDefault="007552F3" w:rsidP="007552F3">
      <w:pPr>
        <w:keepNext/>
        <w:jc w:val="both"/>
        <w:rPr>
          <w:rFonts w:ascii="Georgia" w:hAnsi="Georgia"/>
          <w:sz w:val="20"/>
          <w:lang w:val="lt-LT"/>
        </w:rPr>
      </w:pPr>
      <w:r>
        <w:rPr>
          <w:rFonts w:ascii="Georgia" w:hAnsi="Georgia"/>
          <w:sz w:val="20"/>
          <w:lang w:val="lt-LT"/>
        </w:rPr>
        <w:t>Kaip aprašyta 7.</w:t>
      </w:r>
      <w:r>
        <w:rPr>
          <w:rFonts w:ascii="Georgia" w:hAnsi="Georgia"/>
          <w:sz w:val="20"/>
        </w:rPr>
        <w:t>1</w:t>
      </w:r>
      <w:r>
        <w:rPr>
          <w:rFonts w:ascii="Georgia" w:hAnsi="Georgia"/>
          <w:sz w:val="20"/>
          <w:lang w:val="lt-LT"/>
        </w:rPr>
        <w:t xml:space="preserve">.4 skyriaus pradžioje, fondų fondo valdytojas galėtų teikti paskolas pats arba, esant poreikiui, pasitelkti finansinius tarpininkus. Pažymėtina, jog šiuo metu bankai neišreiškė susidomėjimo atlikti finansinių tarpininkų vaidmenį. </w:t>
      </w:r>
    </w:p>
    <w:p w14:paraId="50C037FB" w14:textId="77777777" w:rsidR="007552F3" w:rsidRPr="00AA32EA" w:rsidRDefault="007552F3" w:rsidP="007552F3">
      <w:pPr>
        <w:jc w:val="both"/>
        <w:rPr>
          <w:rFonts w:ascii="Georgia" w:eastAsia="Times New Roman" w:hAnsi="Georgia" w:cs="Times New Roman"/>
          <w:sz w:val="20"/>
          <w:szCs w:val="20"/>
          <w:lang w:val="lt-LT" w:eastAsia="lt-LT"/>
        </w:rPr>
      </w:pPr>
    </w:p>
    <w:p w14:paraId="7930788A" w14:textId="77777777" w:rsidR="007552F3" w:rsidRPr="00AA32EA" w:rsidRDefault="007552F3" w:rsidP="007552F3">
      <w:pPr>
        <w:jc w:val="both"/>
        <w:rPr>
          <w:rFonts w:ascii="Georgia" w:eastAsia="Times New Roman" w:hAnsi="Georgia" w:cs="Times New Roman"/>
          <w:sz w:val="20"/>
          <w:szCs w:val="20"/>
          <w:lang w:val="lt-LT" w:eastAsia="lt-LT"/>
        </w:rPr>
      </w:pPr>
    </w:p>
    <w:p w14:paraId="538D3699" w14:textId="77777777" w:rsidR="007552F3" w:rsidRDefault="007552F3" w:rsidP="007552F3">
      <w:pPr>
        <w:rPr>
          <w:rFonts w:asciiTheme="majorHAnsi" w:eastAsiaTheme="majorEastAsia" w:hAnsiTheme="majorHAnsi" w:cstheme="majorBidi"/>
          <w:b/>
          <w:bCs/>
          <w:color w:val="4F81BD" w:themeColor="accent1"/>
          <w:sz w:val="26"/>
          <w:szCs w:val="26"/>
          <w:lang w:val="lt-LT"/>
        </w:rPr>
      </w:pPr>
      <w:r>
        <w:rPr>
          <w:lang w:val="lt-LT"/>
        </w:rPr>
        <w:br w:type="page"/>
      </w:r>
    </w:p>
    <w:p w14:paraId="6B747E25" w14:textId="77777777" w:rsidR="007552F3" w:rsidRPr="003351A4" w:rsidRDefault="007552F3" w:rsidP="007552F3">
      <w:pPr>
        <w:pStyle w:val="Antrat2"/>
        <w:numPr>
          <w:ilvl w:val="2"/>
          <w:numId w:val="2"/>
        </w:numPr>
        <w:spacing w:after="240"/>
        <w:ind w:left="709"/>
        <w:rPr>
          <w:lang w:val="lt-LT"/>
        </w:rPr>
      </w:pPr>
      <w:bookmarkStart w:id="414" w:name="_Toc503196436"/>
      <w:bookmarkStart w:id="415" w:name="_Toc25589984"/>
      <w:r w:rsidRPr="003351A4">
        <w:rPr>
          <w:lang w:val="lt-LT"/>
        </w:rPr>
        <w:lastRenderedPageBreak/>
        <w:t>Tikėtinų rezultatų nustatymas ir skaičiavimas</w:t>
      </w:r>
      <w:bookmarkEnd w:id="413"/>
      <w:bookmarkEnd w:id="414"/>
      <w:bookmarkEnd w:id="415"/>
    </w:p>
    <w:p w14:paraId="6F18473A" w14:textId="77777777" w:rsidR="007552F3" w:rsidRPr="00AA32EA" w:rsidRDefault="007552F3" w:rsidP="007552F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Centrinės valdžios viešųjų pastatų renovacija</w:t>
      </w:r>
    </w:p>
    <w:p w14:paraId="11716A98" w14:textId="77777777" w:rsidR="007552F3" w:rsidRDefault="007552F3" w:rsidP="007552F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4712F9B2" w14:textId="12AD15A3" w:rsidR="007552F3" w:rsidRPr="008377C9" w:rsidRDefault="007552F3" w:rsidP="007552F3">
      <w:pPr>
        <w:pStyle w:val="Antrat"/>
        <w:rPr>
          <w:rFonts w:eastAsia="Times New Roman"/>
          <w:b w:val="0"/>
          <w:i/>
          <w:szCs w:val="20"/>
          <w:lang w:val="lt-LT" w:eastAsia="lt-LT"/>
        </w:rPr>
      </w:pPr>
      <w:bookmarkStart w:id="416" w:name="_Toc503193936"/>
      <w:bookmarkStart w:id="417" w:name="_Toc507939226"/>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104</w:t>
      </w:r>
      <w:r w:rsidRPr="008377C9">
        <w:rPr>
          <w:b w:val="0"/>
          <w:i/>
          <w:lang w:val="lt-LT"/>
        </w:rPr>
        <w:fldChar w:fldCharType="end"/>
      </w:r>
      <w:r w:rsidRPr="008377C9">
        <w:rPr>
          <w:b w:val="0"/>
          <w:i/>
          <w:lang w:val="lt-LT"/>
        </w:rPr>
        <w:t>. Tikėtini finansinės priemonės rezultatai centrinės valdžios pastatų renovacijai</w:t>
      </w:r>
      <w:bookmarkEnd w:id="416"/>
      <w:bookmarkEnd w:id="417"/>
    </w:p>
    <w:tbl>
      <w:tblPr>
        <w:tblStyle w:val="LightList-Accent21"/>
        <w:tblW w:w="5000" w:type="pct"/>
        <w:tblLook w:val="04A0" w:firstRow="1" w:lastRow="0" w:firstColumn="1" w:lastColumn="0" w:noHBand="0" w:noVBand="1"/>
      </w:tblPr>
      <w:tblGrid>
        <w:gridCol w:w="3421"/>
        <w:gridCol w:w="3227"/>
        <w:gridCol w:w="3234"/>
      </w:tblGrid>
      <w:tr w:rsidR="007552F3" w14:paraId="609E9342"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E020F82" w14:textId="77777777" w:rsidR="007552F3" w:rsidRDefault="007552F3" w:rsidP="007E38FC">
            <w:pPr>
              <w:jc w:val="center"/>
              <w:rPr>
                <w:rFonts w:ascii="Georgia" w:hAnsi="Georgia"/>
                <w:color w:val="auto"/>
              </w:rPr>
            </w:pPr>
            <w:r w:rsidRPr="00F40BD0">
              <w:rPr>
                <w:rFonts w:ascii="Georgia" w:hAnsi="Georgia"/>
              </w:rPr>
              <w:t>Rodiklis</w:t>
            </w:r>
          </w:p>
        </w:tc>
        <w:tc>
          <w:tcPr>
            <w:tcW w:w="0" w:type="pct"/>
          </w:tcPr>
          <w:p w14:paraId="7019D301" w14:textId="77777777" w:rsidR="007552F3"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0" w:type="pct"/>
          </w:tcPr>
          <w:p w14:paraId="29C0B2F8" w14:textId="77777777" w:rsidR="007552F3"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7552F3" w14:paraId="3F8FF875"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E842989" w14:textId="77777777" w:rsidR="007552F3" w:rsidRDefault="007552F3" w:rsidP="007E38FC">
            <w:pPr>
              <w:rPr>
                <w:rFonts w:ascii="Georgia" w:hAnsi="Georgia"/>
                <w:b w:val="0"/>
                <w:sz w:val="20"/>
                <w:szCs w:val="20"/>
              </w:rPr>
            </w:pPr>
            <w:r>
              <w:rPr>
                <w:rFonts w:ascii="Georgia" w:hAnsi="Georgia"/>
                <w:sz w:val="20"/>
                <w:szCs w:val="20"/>
              </w:rPr>
              <w:t>Finansinė priemonė</w:t>
            </w:r>
          </w:p>
        </w:tc>
        <w:tc>
          <w:tcPr>
            <w:tcW w:w="0" w:type="pct"/>
            <w:hideMark/>
          </w:tcPr>
          <w:p w14:paraId="6F3A4F73"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 xml:space="preserve">Paskolų teikimas taikant paskolų išpirkimo modelį </w:t>
            </w:r>
          </w:p>
        </w:tc>
        <w:tc>
          <w:tcPr>
            <w:tcW w:w="0" w:type="pct"/>
          </w:tcPr>
          <w:p w14:paraId="2B06D116"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1C7F3FB5"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113B7494" w14:textId="77777777" w:rsidR="007552F3" w:rsidRDefault="007552F3" w:rsidP="007E38FC">
            <w:pPr>
              <w:rPr>
                <w:rFonts w:ascii="Georgia" w:hAnsi="Georgia"/>
                <w:b w:val="0"/>
                <w:sz w:val="20"/>
                <w:szCs w:val="20"/>
              </w:rPr>
            </w:pPr>
            <w:r>
              <w:rPr>
                <w:rFonts w:ascii="Georgia" w:hAnsi="Georgia"/>
                <w:sz w:val="20"/>
                <w:szCs w:val="20"/>
              </w:rPr>
              <w:t>Finansuojanti institucija</w:t>
            </w:r>
          </w:p>
        </w:tc>
        <w:tc>
          <w:tcPr>
            <w:tcW w:w="0" w:type="pct"/>
            <w:hideMark/>
          </w:tcPr>
          <w:p w14:paraId="30F3FD9A"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0" w:type="pct"/>
          </w:tcPr>
          <w:p w14:paraId="1B54BA64"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4EDB5B8C"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58BBD121" w14:textId="77777777" w:rsidR="007552F3" w:rsidRDefault="007552F3" w:rsidP="007E38FC">
            <w:pPr>
              <w:rPr>
                <w:rFonts w:ascii="Georgia" w:hAnsi="Georgia"/>
                <w:b w:val="0"/>
                <w:sz w:val="20"/>
                <w:szCs w:val="20"/>
              </w:rPr>
            </w:pPr>
            <w:r>
              <w:rPr>
                <w:rFonts w:ascii="Georgia" w:hAnsi="Georgia"/>
                <w:sz w:val="20"/>
                <w:szCs w:val="20"/>
              </w:rPr>
              <w:t>Galutinius naudos gavėjus pasiekusios lėšos</w:t>
            </w:r>
          </w:p>
        </w:tc>
        <w:tc>
          <w:tcPr>
            <w:tcW w:w="0" w:type="pct"/>
            <w:hideMark/>
          </w:tcPr>
          <w:p w14:paraId="3852B8AE"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lang w:val="en-US"/>
              </w:rPr>
              <w:t>125,5</w:t>
            </w:r>
            <w:r>
              <w:rPr>
                <w:rFonts w:ascii="Georgia" w:hAnsi="Georgia"/>
                <w:bCs/>
                <w:color w:val="000000"/>
                <w:sz w:val="20"/>
                <w:szCs w:val="20"/>
              </w:rPr>
              <w:t xml:space="preserve"> </w:t>
            </w:r>
            <w:r>
              <w:rPr>
                <w:rFonts w:ascii="Georgia" w:eastAsia="Times New Roman" w:hAnsi="Georgia" w:cs="Times New Roman"/>
                <w:sz w:val="20"/>
                <w:szCs w:val="20"/>
                <w:lang w:eastAsia="lt-LT"/>
              </w:rPr>
              <w:t>mln. eurų</w:t>
            </w:r>
            <w:r>
              <w:rPr>
                <w:rFonts w:ascii="Georgia" w:hAnsi="Georgia"/>
                <w:sz w:val="20"/>
                <w:szCs w:val="20"/>
              </w:rPr>
              <w:t xml:space="preserve"> </w:t>
            </w:r>
          </w:p>
        </w:tc>
        <w:tc>
          <w:tcPr>
            <w:tcW w:w="0" w:type="pct"/>
          </w:tcPr>
          <w:p w14:paraId="5883AEF2"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lang w:val="en-US"/>
              </w:rPr>
              <w:t>610,3</w:t>
            </w:r>
            <w:r w:rsidRPr="00BF68CC">
              <w:rPr>
                <w:rFonts w:ascii="Georgia" w:hAnsi="Georgia"/>
                <w:sz w:val="20"/>
                <w:szCs w:val="20"/>
              </w:rPr>
              <w:t xml:space="preserve"> mln. eurų</w:t>
            </w:r>
          </w:p>
        </w:tc>
      </w:tr>
      <w:tr w:rsidR="007552F3" w14:paraId="620DD4A3"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5053D756" w14:textId="77777777" w:rsidR="007552F3" w:rsidRDefault="007552F3" w:rsidP="007E38FC">
            <w:pPr>
              <w:rPr>
                <w:rFonts w:ascii="Georgia" w:hAnsi="Georgia"/>
                <w:b w:val="0"/>
                <w:sz w:val="20"/>
                <w:szCs w:val="20"/>
              </w:rPr>
            </w:pPr>
            <w:r>
              <w:rPr>
                <w:rFonts w:ascii="Georgia" w:hAnsi="Georgia"/>
                <w:sz w:val="20"/>
                <w:szCs w:val="20"/>
              </w:rPr>
              <w:t>Pritrauktos lėšos iš privačių šaltinių</w:t>
            </w:r>
          </w:p>
        </w:tc>
        <w:tc>
          <w:tcPr>
            <w:tcW w:w="0" w:type="pct"/>
            <w:hideMark/>
          </w:tcPr>
          <w:p w14:paraId="3B78D10A"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Pr>
                <w:rFonts w:ascii="Georgia" w:eastAsia="Times New Roman" w:hAnsi="Georgia" w:cs="Times New Roman"/>
                <w:sz w:val="20"/>
                <w:szCs w:val="20"/>
                <w:lang w:eastAsia="lt-LT"/>
              </w:rPr>
              <w:t>62,9 mln. eurų</w:t>
            </w:r>
          </w:p>
        </w:tc>
        <w:tc>
          <w:tcPr>
            <w:tcW w:w="0" w:type="pct"/>
          </w:tcPr>
          <w:p w14:paraId="24F83B76"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777BA3C6"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7A368F3" w14:textId="77777777" w:rsidR="007552F3" w:rsidRDefault="007552F3" w:rsidP="007E38FC">
            <w:pPr>
              <w:rPr>
                <w:rFonts w:ascii="Georgia" w:hAnsi="Georgia"/>
                <w:b w:val="0"/>
                <w:sz w:val="20"/>
                <w:szCs w:val="20"/>
              </w:rPr>
            </w:pPr>
            <w:r>
              <w:rPr>
                <w:rFonts w:ascii="Georgia" w:hAnsi="Georgia"/>
                <w:sz w:val="20"/>
                <w:szCs w:val="20"/>
              </w:rPr>
              <w:t>Sverto efektas</w:t>
            </w:r>
          </w:p>
        </w:tc>
        <w:tc>
          <w:tcPr>
            <w:tcW w:w="0" w:type="pct"/>
            <w:hideMark/>
          </w:tcPr>
          <w:p w14:paraId="62FE1628"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2,03</w:t>
            </w:r>
          </w:p>
        </w:tc>
        <w:tc>
          <w:tcPr>
            <w:tcW w:w="0" w:type="pct"/>
          </w:tcPr>
          <w:p w14:paraId="48A4DB3E"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7552F3" w14:paraId="3D79FFA8"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5D46E35B" w14:textId="77777777" w:rsidR="007552F3" w:rsidRDefault="007552F3" w:rsidP="007E38FC">
            <w:pPr>
              <w:rPr>
                <w:rFonts w:ascii="Georgia" w:hAnsi="Georgia"/>
                <w:b w:val="0"/>
                <w:sz w:val="20"/>
                <w:szCs w:val="20"/>
              </w:rPr>
            </w:pPr>
            <w:r>
              <w:rPr>
                <w:rFonts w:ascii="Georgia" w:hAnsi="Georgia"/>
                <w:sz w:val="20"/>
                <w:szCs w:val="20"/>
              </w:rPr>
              <w:t>Renovuotų pastatų skaičius iki 202</w:t>
            </w:r>
            <w:r>
              <w:rPr>
                <w:rFonts w:ascii="Georgia" w:hAnsi="Georgia"/>
                <w:sz w:val="20"/>
                <w:szCs w:val="20"/>
                <w:lang w:val="en-US"/>
              </w:rPr>
              <w:t>3</w:t>
            </w:r>
            <w:r>
              <w:rPr>
                <w:rFonts w:ascii="Georgia" w:hAnsi="Georgia"/>
                <w:sz w:val="20"/>
                <w:szCs w:val="20"/>
              </w:rPr>
              <w:t xml:space="preserve"> metų</w:t>
            </w:r>
          </w:p>
        </w:tc>
        <w:tc>
          <w:tcPr>
            <w:tcW w:w="0" w:type="pct"/>
            <w:hideMark/>
          </w:tcPr>
          <w:p w14:paraId="038D00CA"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285</w:t>
            </w:r>
          </w:p>
        </w:tc>
        <w:tc>
          <w:tcPr>
            <w:tcW w:w="0" w:type="pct"/>
          </w:tcPr>
          <w:p w14:paraId="5363F9FB"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1,947</w:t>
            </w:r>
          </w:p>
        </w:tc>
      </w:tr>
      <w:tr w:rsidR="007552F3" w14:paraId="3B30D446" w14:textId="77777777" w:rsidTr="007E38F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pct"/>
            <w:hideMark/>
          </w:tcPr>
          <w:p w14:paraId="0C5191F9" w14:textId="77777777" w:rsidR="007552F3" w:rsidRDefault="007552F3" w:rsidP="007E38FC">
            <w:pPr>
              <w:rPr>
                <w:rFonts w:ascii="Georgia" w:hAnsi="Georgia"/>
                <w:sz w:val="20"/>
                <w:szCs w:val="20"/>
              </w:rPr>
            </w:pPr>
            <w:r>
              <w:rPr>
                <w:rFonts w:ascii="Georgia" w:hAnsi="Georgia"/>
                <w:sz w:val="20"/>
                <w:szCs w:val="20"/>
              </w:rPr>
              <w:t>Renovuotų pastatų plotas iki 2023 metų</w:t>
            </w:r>
          </w:p>
        </w:tc>
        <w:tc>
          <w:tcPr>
            <w:tcW w:w="0" w:type="pct"/>
            <w:hideMark/>
          </w:tcPr>
          <w:p w14:paraId="3059AAF1"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596,0</w:t>
            </w:r>
            <w:r w:rsidRPr="00BC2CB8">
              <w:rPr>
                <w:rFonts w:ascii="Georgia" w:hAnsi="Georgia"/>
                <w:sz w:val="20"/>
                <w:szCs w:val="20"/>
              </w:rPr>
              <w:t xml:space="preserve"> tūkst. </w:t>
            </w:r>
            <w:r>
              <w:rPr>
                <w:rFonts w:ascii="Georgia" w:hAnsi="Georgia"/>
                <w:sz w:val="20"/>
                <w:szCs w:val="20"/>
              </w:rPr>
              <w:t>m</w:t>
            </w:r>
            <w:r w:rsidRPr="00D45CD8">
              <w:rPr>
                <w:rFonts w:ascii="Georgia" w:hAnsi="Georgia"/>
                <w:sz w:val="20"/>
                <w:szCs w:val="20"/>
                <w:vertAlign w:val="superscript"/>
              </w:rPr>
              <w:t>2</w:t>
            </w:r>
          </w:p>
        </w:tc>
        <w:tc>
          <w:tcPr>
            <w:tcW w:w="0" w:type="pct"/>
          </w:tcPr>
          <w:p w14:paraId="7AFF9CD7"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2,393</w:t>
            </w:r>
            <w:r w:rsidRPr="00BF68CC">
              <w:rPr>
                <w:rFonts w:ascii="Georgia" w:hAnsi="Georgia"/>
                <w:sz w:val="20"/>
                <w:szCs w:val="20"/>
              </w:rPr>
              <w:t xml:space="preserve"> tūkst. </w:t>
            </w:r>
            <w:r>
              <w:rPr>
                <w:rFonts w:ascii="Georgia" w:hAnsi="Georgia"/>
                <w:sz w:val="20"/>
                <w:szCs w:val="20"/>
              </w:rPr>
              <w:t>m</w:t>
            </w:r>
            <w:r w:rsidRPr="00D45CD8">
              <w:rPr>
                <w:rFonts w:ascii="Georgia" w:hAnsi="Georgia"/>
                <w:sz w:val="20"/>
                <w:szCs w:val="20"/>
                <w:vertAlign w:val="superscript"/>
              </w:rPr>
              <w:t>2</w:t>
            </w:r>
          </w:p>
        </w:tc>
      </w:tr>
      <w:tr w:rsidR="007552F3" w14:paraId="3152C36F" w14:textId="77777777" w:rsidTr="007E38FC">
        <w:trPr>
          <w:trHeight w:val="531"/>
        </w:trPr>
        <w:tc>
          <w:tcPr>
            <w:cnfStyle w:val="001000000000" w:firstRow="0" w:lastRow="0" w:firstColumn="1" w:lastColumn="0" w:oddVBand="0" w:evenVBand="0" w:oddHBand="0" w:evenHBand="0" w:firstRowFirstColumn="0" w:firstRowLastColumn="0" w:lastRowFirstColumn="0" w:lastRowLastColumn="0"/>
            <w:tcW w:w="0" w:type="pct"/>
            <w:hideMark/>
          </w:tcPr>
          <w:p w14:paraId="5B4C581F" w14:textId="77777777" w:rsidR="007552F3" w:rsidRDefault="007552F3" w:rsidP="007E38FC">
            <w:pPr>
              <w:rPr>
                <w:rFonts w:ascii="Georgia" w:hAnsi="Georgia"/>
                <w:b w:val="0"/>
                <w:sz w:val="20"/>
                <w:szCs w:val="20"/>
              </w:rPr>
            </w:pPr>
            <w:r>
              <w:rPr>
                <w:rFonts w:ascii="Georgia" w:hAnsi="Georgia"/>
                <w:sz w:val="20"/>
                <w:szCs w:val="20"/>
              </w:rPr>
              <w:t>Renovuotų namų energijos efektyvumo suvartojimo sumažėjimas, ne mažiau kaip</w:t>
            </w:r>
          </w:p>
        </w:tc>
        <w:tc>
          <w:tcPr>
            <w:tcW w:w="0" w:type="pct"/>
            <w:hideMark/>
          </w:tcPr>
          <w:p w14:paraId="1ADD7D2C"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0" w:type="pct"/>
          </w:tcPr>
          <w:p w14:paraId="3E17C7A4"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Kuo daugiau</w:t>
            </w:r>
          </w:p>
        </w:tc>
      </w:tr>
      <w:tr w:rsidR="007552F3" w14:paraId="464B964C"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F203F88" w14:textId="77777777" w:rsidR="007552F3" w:rsidRDefault="007552F3" w:rsidP="007E38FC">
            <w:pPr>
              <w:rPr>
                <w:rFonts w:ascii="Georgia" w:hAnsi="Georgia"/>
                <w:b w:val="0"/>
                <w:sz w:val="20"/>
                <w:szCs w:val="20"/>
              </w:rPr>
            </w:pPr>
            <w:r>
              <w:rPr>
                <w:rFonts w:ascii="Georgia" w:hAnsi="Georgia"/>
                <w:sz w:val="20"/>
                <w:szCs w:val="20"/>
              </w:rPr>
              <w:t xml:space="preserve">Pasiekta energetinio efektyvumo klasė renovuotuose daugiabučiuose ne mažesnė kaip </w:t>
            </w:r>
          </w:p>
        </w:tc>
        <w:tc>
          <w:tcPr>
            <w:tcW w:w="0" w:type="pct"/>
            <w:hideMark/>
          </w:tcPr>
          <w:p w14:paraId="233225D1"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c>
          <w:tcPr>
            <w:tcW w:w="0" w:type="pct"/>
          </w:tcPr>
          <w:p w14:paraId="55E17B7F"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r>
    </w:tbl>
    <w:p w14:paraId="5CD1AF4F" w14:textId="77777777" w:rsidR="007552F3" w:rsidRPr="00AC3318" w:rsidRDefault="007552F3" w:rsidP="007552F3">
      <w:pPr>
        <w:jc w:val="both"/>
        <w:rPr>
          <w:rFonts w:ascii="Georgia" w:eastAsia="Times New Roman" w:hAnsi="Georgia" w:cs="Times New Roman"/>
          <w:sz w:val="20"/>
          <w:szCs w:val="20"/>
          <w:lang w:val="lt-LT" w:eastAsia="lt-LT"/>
        </w:rPr>
      </w:pPr>
    </w:p>
    <w:p w14:paraId="733F5166" w14:textId="77777777" w:rsidR="007552F3" w:rsidRPr="00AA32EA" w:rsidRDefault="007552F3" w:rsidP="007552F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modernizavimas</w:t>
      </w:r>
    </w:p>
    <w:p w14:paraId="5F229EE1" w14:textId="77777777" w:rsidR="007552F3" w:rsidRDefault="007552F3" w:rsidP="007552F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4E35FC13" w14:textId="4A5526C9" w:rsidR="007552F3" w:rsidRPr="008377C9" w:rsidRDefault="007552F3" w:rsidP="007552F3">
      <w:pPr>
        <w:pStyle w:val="Antrat"/>
        <w:rPr>
          <w:b w:val="0"/>
          <w:i/>
          <w:lang w:val="lt-LT"/>
        </w:rPr>
      </w:pPr>
      <w:bookmarkStart w:id="418" w:name="_Toc503193937"/>
      <w:bookmarkStart w:id="419" w:name="_Toc507939227"/>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105</w:t>
      </w:r>
      <w:r w:rsidRPr="008377C9">
        <w:rPr>
          <w:b w:val="0"/>
          <w:i/>
          <w:lang w:val="lt-LT"/>
        </w:rPr>
        <w:fldChar w:fldCharType="end"/>
      </w:r>
      <w:r w:rsidRPr="008377C9">
        <w:rPr>
          <w:b w:val="0"/>
          <w:i/>
          <w:lang w:val="lt-LT"/>
        </w:rPr>
        <w:t>. Tikėtini finansinės priemonės rezultatai gatvių apšvietimui</w:t>
      </w:r>
      <w:bookmarkEnd w:id="418"/>
      <w:bookmarkEnd w:id="419"/>
      <w:r w:rsidRPr="008377C9">
        <w:rPr>
          <w:b w:val="0"/>
          <w:i/>
          <w:lang w:val="lt-LT"/>
        </w:rPr>
        <w:t xml:space="preserve"> </w:t>
      </w:r>
    </w:p>
    <w:tbl>
      <w:tblPr>
        <w:tblStyle w:val="LightList-Accent21"/>
        <w:tblW w:w="5000" w:type="pct"/>
        <w:tblLook w:val="04A0" w:firstRow="1" w:lastRow="0" w:firstColumn="1" w:lastColumn="0" w:noHBand="0" w:noVBand="1"/>
      </w:tblPr>
      <w:tblGrid>
        <w:gridCol w:w="3277"/>
        <w:gridCol w:w="3374"/>
        <w:gridCol w:w="3231"/>
      </w:tblGrid>
      <w:tr w:rsidR="007552F3" w14:paraId="5B3274AA"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81432AF" w14:textId="77777777" w:rsidR="007552F3" w:rsidRDefault="007552F3" w:rsidP="007E38FC">
            <w:pPr>
              <w:jc w:val="center"/>
              <w:rPr>
                <w:rFonts w:ascii="Georgia" w:hAnsi="Georgia"/>
                <w:color w:val="auto"/>
              </w:rPr>
            </w:pPr>
            <w:r w:rsidRPr="00F40BD0">
              <w:rPr>
                <w:rFonts w:ascii="Georgia" w:hAnsi="Georgia"/>
              </w:rPr>
              <w:t>Rodiklis</w:t>
            </w:r>
          </w:p>
        </w:tc>
        <w:tc>
          <w:tcPr>
            <w:tcW w:w="0" w:type="pct"/>
          </w:tcPr>
          <w:p w14:paraId="09E90585" w14:textId="77777777" w:rsidR="007552F3"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0" w:type="pct"/>
          </w:tcPr>
          <w:p w14:paraId="4B857DA8" w14:textId="77777777" w:rsidR="007552F3"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7552F3" w14:paraId="5B1A345F"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9B28768" w14:textId="77777777" w:rsidR="007552F3" w:rsidRDefault="007552F3" w:rsidP="007E38FC">
            <w:pPr>
              <w:rPr>
                <w:rFonts w:ascii="Georgia" w:hAnsi="Georgia"/>
                <w:b w:val="0"/>
                <w:sz w:val="20"/>
                <w:szCs w:val="20"/>
              </w:rPr>
            </w:pPr>
            <w:r>
              <w:rPr>
                <w:rFonts w:ascii="Georgia" w:hAnsi="Georgia"/>
                <w:sz w:val="20"/>
                <w:szCs w:val="20"/>
              </w:rPr>
              <w:t>Finansinė priemonė</w:t>
            </w:r>
          </w:p>
        </w:tc>
        <w:tc>
          <w:tcPr>
            <w:tcW w:w="0" w:type="pct"/>
            <w:hideMark/>
          </w:tcPr>
          <w:p w14:paraId="11017EF8"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Garantijų priemonė. Bankai teiks paskolas ESCO įmonėms arba tiesiogiai projektus įgyvendinantiems subjektams.</w:t>
            </w:r>
          </w:p>
        </w:tc>
        <w:tc>
          <w:tcPr>
            <w:tcW w:w="0" w:type="pct"/>
          </w:tcPr>
          <w:p w14:paraId="0170AFF0"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3BFD0401"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17580478" w14:textId="77777777" w:rsidR="007552F3" w:rsidRDefault="007552F3" w:rsidP="007E38FC">
            <w:pPr>
              <w:rPr>
                <w:rFonts w:ascii="Georgia" w:hAnsi="Georgia"/>
                <w:b w:val="0"/>
                <w:sz w:val="20"/>
                <w:szCs w:val="20"/>
              </w:rPr>
            </w:pPr>
            <w:r>
              <w:rPr>
                <w:rFonts w:ascii="Georgia" w:hAnsi="Georgia"/>
                <w:sz w:val="20"/>
                <w:szCs w:val="20"/>
              </w:rPr>
              <w:t>Finansuojanti institucija</w:t>
            </w:r>
          </w:p>
        </w:tc>
        <w:tc>
          <w:tcPr>
            <w:tcW w:w="0" w:type="pct"/>
            <w:hideMark/>
          </w:tcPr>
          <w:p w14:paraId="26B03A60"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0" w:type="pct"/>
          </w:tcPr>
          <w:p w14:paraId="51BC32FD"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261A44C8"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48F6A02" w14:textId="77777777" w:rsidR="007552F3" w:rsidRDefault="007552F3" w:rsidP="007E38FC">
            <w:pPr>
              <w:rPr>
                <w:rFonts w:ascii="Georgia" w:hAnsi="Georgia"/>
                <w:b w:val="0"/>
                <w:sz w:val="20"/>
                <w:szCs w:val="20"/>
              </w:rPr>
            </w:pPr>
            <w:r>
              <w:rPr>
                <w:rFonts w:ascii="Georgia" w:hAnsi="Georgia"/>
                <w:sz w:val="20"/>
                <w:szCs w:val="20"/>
              </w:rPr>
              <w:t>Galutinius naudos gavėjus pasiekusios lėšos</w:t>
            </w:r>
          </w:p>
        </w:tc>
        <w:tc>
          <w:tcPr>
            <w:tcW w:w="0" w:type="pct"/>
            <w:hideMark/>
          </w:tcPr>
          <w:p w14:paraId="3CE2D227"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 xml:space="preserve">35,0 </w:t>
            </w:r>
            <w:r>
              <w:rPr>
                <w:rFonts w:ascii="Georgia" w:eastAsia="Times New Roman" w:hAnsi="Georgia" w:cs="Times New Roman"/>
                <w:sz w:val="20"/>
                <w:szCs w:val="20"/>
                <w:lang w:eastAsia="lt-LT"/>
              </w:rPr>
              <w:t>mln. eurų</w:t>
            </w:r>
            <w:r>
              <w:rPr>
                <w:rFonts w:ascii="Georgia" w:hAnsi="Georgia"/>
                <w:sz w:val="20"/>
                <w:szCs w:val="20"/>
              </w:rPr>
              <w:t xml:space="preserve"> </w:t>
            </w:r>
          </w:p>
        </w:tc>
        <w:tc>
          <w:tcPr>
            <w:tcW w:w="0" w:type="pct"/>
          </w:tcPr>
          <w:p w14:paraId="64A4ECB8"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119,4</w:t>
            </w:r>
            <w:r w:rsidRPr="00BF68CC">
              <w:rPr>
                <w:rFonts w:ascii="Georgia" w:hAnsi="Georgia"/>
                <w:sz w:val="20"/>
                <w:szCs w:val="20"/>
              </w:rPr>
              <w:t xml:space="preserve"> mln. eurų</w:t>
            </w:r>
          </w:p>
        </w:tc>
      </w:tr>
      <w:tr w:rsidR="007552F3" w14:paraId="4D0969F1"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58CD82BF" w14:textId="77777777" w:rsidR="007552F3" w:rsidRDefault="007552F3" w:rsidP="007E38FC">
            <w:pPr>
              <w:rPr>
                <w:rFonts w:ascii="Georgia" w:hAnsi="Georgia"/>
                <w:b w:val="0"/>
                <w:sz w:val="20"/>
                <w:szCs w:val="20"/>
              </w:rPr>
            </w:pPr>
            <w:r>
              <w:rPr>
                <w:rFonts w:ascii="Georgia" w:hAnsi="Georgia"/>
                <w:sz w:val="20"/>
                <w:szCs w:val="20"/>
              </w:rPr>
              <w:t>Pritrauktos lėšos iš privačių šaltinių</w:t>
            </w:r>
          </w:p>
        </w:tc>
        <w:tc>
          <w:tcPr>
            <w:tcW w:w="0" w:type="pct"/>
            <w:hideMark/>
          </w:tcPr>
          <w:p w14:paraId="5F1DCE46"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Pr>
                <w:rFonts w:ascii="Georgia" w:eastAsia="Times New Roman" w:hAnsi="Georgia" w:cs="Times New Roman"/>
                <w:sz w:val="20"/>
                <w:szCs w:val="20"/>
                <w:lang w:eastAsia="lt-LT"/>
              </w:rPr>
              <w:t>35,0 mln. eurų</w:t>
            </w:r>
          </w:p>
        </w:tc>
        <w:tc>
          <w:tcPr>
            <w:tcW w:w="0" w:type="pct"/>
          </w:tcPr>
          <w:p w14:paraId="157F3B0F"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7552F3" w14:paraId="7CBDA0AA"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D3224EE" w14:textId="77777777" w:rsidR="007552F3" w:rsidRDefault="007552F3" w:rsidP="007E38FC">
            <w:pPr>
              <w:rPr>
                <w:rFonts w:ascii="Georgia" w:hAnsi="Georgia"/>
                <w:b w:val="0"/>
                <w:sz w:val="20"/>
                <w:szCs w:val="20"/>
              </w:rPr>
            </w:pPr>
            <w:r>
              <w:rPr>
                <w:rFonts w:ascii="Georgia" w:hAnsi="Georgia"/>
                <w:sz w:val="20"/>
                <w:szCs w:val="20"/>
              </w:rPr>
              <w:t>Sverto efektas</w:t>
            </w:r>
          </w:p>
        </w:tc>
        <w:tc>
          <w:tcPr>
            <w:tcW w:w="0" w:type="pct"/>
            <w:hideMark/>
          </w:tcPr>
          <w:p w14:paraId="07BFAB43" w14:textId="77777777" w:rsidR="007552F3"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3,42</w:t>
            </w:r>
          </w:p>
        </w:tc>
        <w:tc>
          <w:tcPr>
            <w:tcW w:w="0" w:type="pct"/>
          </w:tcPr>
          <w:p w14:paraId="5F19D2EC" w14:textId="77777777" w:rsidR="007552F3" w:rsidRPr="00BF68CC"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7552F3" w14:paraId="2710C8BC" w14:textId="77777777" w:rsidTr="007E38FC">
        <w:tc>
          <w:tcPr>
            <w:cnfStyle w:val="001000000000" w:firstRow="0" w:lastRow="0" w:firstColumn="1" w:lastColumn="0" w:oddVBand="0" w:evenVBand="0" w:oddHBand="0" w:evenHBand="0" w:firstRowFirstColumn="0" w:firstRowLastColumn="0" w:lastRowFirstColumn="0" w:lastRowLastColumn="0"/>
            <w:tcW w:w="0" w:type="pct"/>
            <w:hideMark/>
          </w:tcPr>
          <w:p w14:paraId="11C9A068" w14:textId="77777777" w:rsidR="007552F3" w:rsidRDefault="007552F3" w:rsidP="007E38FC">
            <w:pPr>
              <w:rPr>
                <w:rFonts w:ascii="Georgia" w:hAnsi="Georgia"/>
                <w:b w:val="0"/>
                <w:sz w:val="20"/>
                <w:szCs w:val="20"/>
              </w:rPr>
            </w:pPr>
            <w:r>
              <w:rPr>
                <w:rFonts w:ascii="Georgia" w:hAnsi="Georgia"/>
                <w:sz w:val="20"/>
                <w:szCs w:val="20"/>
              </w:rPr>
              <w:t>Modernizuotų šviestuvų skaičius iki 2022 metų</w:t>
            </w:r>
          </w:p>
        </w:tc>
        <w:tc>
          <w:tcPr>
            <w:tcW w:w="0" w:type="pct"/>
            <w:hideMark/>
          </w:tcPr>
          <w:p w14:paraId="7F1B78FD" w14:textId="77777777" w:rsidR="007552F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61,245</w:t>
            </w:r>
          </w:p>
        </w:tc>
        <w:tc>
          <w:tcPr>
            <w:tcW w:w="0" w:type="pct"/>
          </w:tcPr>
          <w:p w14:paraId="5BFD7F7D" w14:textId="77777777" w:rsidR="007552F3" w:rsidRPr="00BF68CC"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174 555</w:t>
            </w:r>
          </w:p>
        </w:tc>
      </w:tr>
    </w:tbl>
    <w:p w14:paraId="49F1A478" w14:textId="77777777" w:rsidR="007552F3" w:rsidRPr="003351A4" w:rsidRDefault="007552F3" w:rsidP="007552F3">
      <w:pPr>
        <w:pStyle w:val="Antrat2"/>
        <w:numPr>
          <w:ilvl w:val="2"/>
          <w:numId w:val="2"/>
        </w:numPr>
        <w:spacing w:after="240"/>
        <w:ind w:left="993" w:hanging="993"/>
        <w:rPr>
          <w:lang w:val="lt-LT"/>
        </w:rPr>
      </w:pPr>
      <w:bookmarkStart w:id="420" w:name="_Toc398567623"/>
      <w:bookmarkStart w:id="421" w:name="_Toc503196437"/>
      <w:bookmarkStart w:id="422" w:name="_Toc25589985"/>
      <w:r w:rsidRPr="003351A4">
        <w:rPr>
          <w:lang w:val="lt-LT"/>
        </w:rPr>
        <w:lastRenderedPageBreak/>
        <w:t>Finansinės priemonės rezultatų prisidėjimas prie strateginių tikslų</w:t>
      </w:r>
      <w:bookmarkEnd w:id="420"/>
      <w:bookmarkEnd w:id="421"/>
      <w:bookmarkEnd w:id="422"/>
      <w:r w:rsidRPr="003351A4">
        <w:rPr>
          <w:lang w:val="lt-LT"/>
        </w:rPr>
        <w:t xml:space="preserve"> </w:t>
      </w:r>
    </w:p>
    <w:p w14:paraId="563F7712" w14:textId="77777777" w:rsidR="007552F3" w:rsidRPr="0023462D" w:rsidRDefault="007552F3" w:rsidP="007552F3">
      <w:pPr>
        <w:jc w:val="both"/>
        <w:rPr>
          <w:rFonts w:ascii="Georgia" w:eastAsia="Times New Roman" w:hAnsi="Georgia" w:cs="Times New Roman"/>
          <w:sz w:val="20"/>
          <w:szCs w:val="20"/>
          <w:lang w:val="lt-LT" w:eastAsia="lt-LT"/>
        </w:rPr>
      </w:pPr>
      <w:bookmarkStart w:id="423" w:name="_Toc398567624"/>
      <w:r w:rsidRPr="0023462D">
        <w:rPr>
          <w:rFonts w:ascii="Georgia" w:eastAsia="Times New Roman" w:hAnsi="Georgia" w:cs="Times New Roman"/>
          <w:sz w:val="20"/>
          <w:szCs w:val="20"/>
          <w:lang w:val="lt-LT" w:eastAsia="lt-LT"/>
        </w:rPr>
        <w:t xml:space="preserve">Siūlomos finansinės priemonės kūrimas prisidės prie ES ir nacionalinių strateginių tikslų įgyvendinimo. Pagrindiniai tokie strateginiai dokumentai yra Energijos efektyvumo direktyva ir Nacionalinė energetinės nepriklausomybės strategija. Žemiau yra pateikiamas detalesnis įvertinimas, kiek finansinės priemonės sukūrimas padės pasiekti strateginius tikslus. </w:t>
      </w:r>
    </w:p>
    <w:p w14:paraId="5BC7C175" w14:textId="77777777" w:rsidR="007552F3" w:rsidRPr="0023462D" w:rsidRDefault="007552F3" w:rsidP="007552F3">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Centrinės valdžios viešieji pastatai</w:t>
      </w:r>
    </w:p>
    <w:p w14:paraId="19559021"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energinio efektyvumo tikslų vykdymo:</w:t>
      </w:r>
    </w:p>
    <w:p w14:paraId="028707AD"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valstybei nuosavybės teise priklausančių šildomų ir (arba) vėsinamų valstybės institucijų ir įstaigų – valstybinio administravimo subjektų naudojamų pastatų ploto atnaujinimas (m</w:t>
      </w:r>
      <w:r w:rsidRPr="00D45CD8">
        <w:rPr>
          <w:rFonts w:ascii="Georgia" w:hAnsi="Georgia"/>
          <w:sz w:val="20"/>
          <w:szCs w:val="20"/>
          <w:vertAlign w:val="superscript"/>
        </w:rPr>
        <w:t>2</w:t>
      </w:r>
      <w:r w:rsidRPr="0023462D">
        <w:rPr>
          <w:rFonts w:ascii="Georgia" w:hAnsi="Georgia"/>
          <w:sz w:val="20"/>
          <w:szCs w:val="20"/>
        </w:rPr>
        <w:t>) iki 2020 metų – 470</w:t>
      </w:r>
      <w:r>
        <w:rPr>
          <w:rFonts w:ascii="Georgia" w:hAnsi="Georgia"/>
          <w:sz w:val="20"/>
          <w:szCs w:val="20"/>
        </w:rPr>
        <w:t xml:space="preserve"> </w:t>
      </w:r>
      <w:r w:rsidRPr="0023462D">
        <w:rPr>
          <w:rFonts w:ascii="Georgia" w:hAnsi="Georgia"/>
          <w:sz w:val="20"/>
          <w:szCs w:val="20"/>
        </w:rPr>
        <w:t>000</w:t>
      </w:r>
    </w:p>
    <w:p w14:paraId="113E287B"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skaičiuojamųjų šiluminės energijos sąnaudų sumažėjimas atnaujintuose viešosios paskirties pastatuose (GWh) iki 2020 metų – 100</w:t>
      </w:r>
    </w:p>
    <w:p w14:paraId="18A3A5BE"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anglies dioksido išmetimo į atmosferą mažėjimas (tūkst. t. iki 2020 metų – 20</w:t>
      </w:r>
    </w:p>
    <w:p w14:paraId="591A3733"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viešosios paskirties pastatų energinio efektyvumo didinimo proceso dalyvių mokymas ir švietimas (procentais) iki 2020 metų – 90</w:t>
      </w:r>
    </w:p>
    <w:p w14:paraId="5DC47CD0"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w:t>
      </w:r>
      <w:r w:rsidRPr="00D45CD8">
        <w:rPr>
          <w:rFonts w:ascii="Georgia" w:hAnsi="Georgia"/>
          <w:sz w:val="20"/>
          <w:szCs w:val="20"/>
          <w:vertAlign w:val="subscript"/>
        </w:rPr>
        <w:t>2</w:t>
      </w:r>
      <w:r w:rsidRPr="0023462D">
        <w:rPr>
          <w:rFonts w:ascii="Georgia" w:hAnsi="Georgia"/>
          <w:sz w:val="20"/>
          <w:szCs w:val="20"/>
        </w:rPr>
        <w:t xml:space="preserve"> ekvivalentu, mln. </w:t>
      </w:r>
      <w:r>
        <w:rPr>
          <w:rFonts w:ascii="Georgia" w:hAnsi="Georgia"/>
          <w:sz w:val="20"/>
          <w:szCs w:val="20"/>
        </w:rPr>
        <w:t>t</w:t>
      </w:r>
      <w:r w:rsidRPr="0023462D">
        <w:rPr>
          <w:rFonts w:ascii="Georgia" w:hAnsi="Georgia"/>
          <w:sz w:val="20"/>
          <w:szCs w:val="20"/>
        </w:rPr>
        <w:t>onų, nuo 19,959 (2009) iki 26,886 (2020 metais)</w:t>
      </w:r>
    </w:p>
    <w:p w14:paraId="55F516DF"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Veiksmų programos (4.3. investicinio prioriteto) išdėstytų tikslų vykdymo:</w:t>
      </w:r>
    </w:p>
    <w:p w14:paraId="367B44A6"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Sunaudotas galutinės energijos kiekis paslaugų ir namų ūkių sektoriuose, tūkst. tne, nuo 2109,6 (2011) iki 1680 (2023)</w:t>
      </w:r>
    </w:p>
    <w:p w14:paraId="320573C4"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Galutinės energijos vartojimo efektyvumas, proc</w:t>
      </w:r>
      <w:r>
        <w:rPr>
          <w:rFonts w:ascii="Georgia" w:hAnsi="Georgia"/>
          <w:sz w:val="20"/>
          <w:szCs w:val="20"/>
        </w:rPr>
        <w:t>.</w:t>
      </w:r>
      <w:r w:rsidRPr="0023462D">
        <w:rPr>
          <w:rFonts w:ascii="Georgia" w:hAnsi="Georgia"/>
          <w:sz w:val="20"/>
          <w:szCs w:val="20"/>
        </w:rPr>
        <w:t>, nuo 4,5 (2011) iki 17 (2023)</w:t>
      </w:r>
    </w:p>
    <w:p w14:paraId="1636E96B" w14:textId="77777777" w:rsidR="007552F3" w:rsidRPr="0023462D" w:rsidRDefault="007552F3" w:rsidP="007552F3">
      <w:pPr>
        <w:pStyle w:val="prastasis1"/>
        <w:numPr>
          <w:ilvl w:val="0"/>
          <w:numId w:val="35"/>
        </w:numPr>
        <w:spacing w:after="240" w:afterAutospacing="0" w:line="276" w:lineRule="auto"/>
        <w:ind w:left="714" w:hanging="357"/>
        <w:jc w:val="both"/>
        <w:rPr>
          <w:rFonts w:ascii="Georgia" w:hAnsi="Georgia"/>
          <w:sz w:val="20"/>
          <w:szCs w:val="20"/>
        </w:rPr>
      </w:pPr>
      <w:r w:rsidRPr="0023462D">
        <w:rPr>
          <w:rFonts w:ascii="Georgia" w:hAnsi="Georgia"/>
          <w:sz w:val="20"/>
          <w:szCs w:val="20"/>
        </w:rPr>
        <w:t>Metinis pirminės energijos suvartojimo viešuosiuose pastatuose sumažėjimas, kWh/per metus, 60 000 000 (2023)</w:t>
      </w:r>
    </w:p>
    <w:p w14:paraId="53A55EB9"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Nacionalinėje pažangos programoje išdėstytų tikslų vykdymo:</w:t>
      </w:r>
    </w:p>
    <w:p w14:paraId="0A2FC989"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w:t>
      </w:r>
      <w:r w:rsidRPr="00D45CD8">
        <w:rPr>
          <w:rFonts w:ascii="Georgia" w:hAnsi="Georgia"/>
          <w:sz w:val="20"/>
          <w:szCs w:val="20"/>
          <w:vertAlign w:val="subscript"/>
        </w:rPr>
        <w:t>2</w:t>
      </w:r>
      <w:r w:rsidRPr="0023462D">
        <w:rPr>
          <w:rFonts w:ascii="Georgia" w:hAnsi="Georgia"/>
          <w:sz w:val="20"/>
          <w:szCs w:val="20"/>
        </w:rPr>
        <w:t xml:space="preserve"> ekvivalentu, mln. Tonų, nuo 19,959 (2009) iki 26,886 (2020 metais)</w:t>
      </w:r>
    </w:p>
    <w:p w14:paraId="66533694"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2161B33E"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3C262572"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Pasirinkus rekomenduojamą centrinės valdžios pastatų renovacijos scenarijų planuojami energijos sutaupymai ir taršos mažinimo rodikliai pateikti žemiau esančioje lentelėje.</w:t>
      </w:r>
    </w:p>
    <w:p w14:paraId="1E774AAD" w14:textId="308D2000" w:rsidR="007552F3" w:rsidRPr="008377C9" w:rsidRDefault="007552F3" w:rsidP="007552F3">
      <w:pPr>
        <w:pStyle w:val="Antrat"/>
        <w:jc w:val="both"/>
        <w:rPr>
          <w:b w:val="0"/>
          <w:i/>
          <w:sz w:val="22"/>
          <w:lang w:val="lt-LT"/>
        </w:rPr>
      </w:pPr>
      <w:bookmarkStart w:id="424" w:name="_Toc503193938"/>
      <w:bookmarkStart w:id="425" w:name="_Toc507939228"/>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106</w:t>
      </w:r>
      <w:r w:rsidRPr="008377C9">
        <w:rPr>
          <w:b w:val="0"/>
          <w:i/>
          <w:lang w:val="lt-LT"/>
        </w:rPr>
        <w:fldChar w:fldCharType="end"/>
      </w:r>
      <w:r w:rsidRPr="008377C9">
        <w:rPr>
          <w:b w:val="0"/>
          <w:i/>
          <w:lang w:val="lt-LT"/>
        </w:rPr>
        <w:t xml:space="preserve">. </w:t>
      </w:r>
      <w:r w:rsidRPr="008377C9">
        <w:rPr>
          <w:b w:val="0"/>
          <w:i/>
          <w:szCs w:val="20"/>
          <w:lang w:val="lt-LT"/>
        </w:rPr>
        <w:t>Tikėtini centrinės valdžios pastatų renovacijos energijos sutaupymo ir taršos mažinimo rezultatai.</w:t>
      </w:r>
      <w:bookmarkEnd w:id="424"/>
      <w:bookmarkEnd w:id="425"/>
    </w:p>
    <w:tbl>
      <w:tblPr>
        <w:tblStyle w:val="LightList-Accent21"/>
        <w:tblW w:w="5000" w:type="pct"/>
        <w:tblLook w:val="04A0" w:firstRow="1" w:lastRow="0" w:firstColumn="1" w:lastColumn="0" w:noHBand="0" w:noVBand="1"/>
      </w:tblPr>
      <w:tblGrid>
        <w:gridCol w:w="3444"/>
        <w:gridCol w:w="2876"/>
        <w:gridCol w:w="3562"/>
      </w:tblGrid>
      <w:tr w:rsidR="007552F3" w:rsidRPr="00467B8E" w14:paraId="5331C07E" w14:textId="77777777" w:rsidTr="007E38FC">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pct"/>
            <w:hideMark/>
          </w:tcPr>
          <w:p w14:paraId="61789487" w14:textId="77777777" w:rsidR="007552F3" w:rsidRPr="00467B8E" w:rsidRDefault="007552F3" w:rsidP="007E38FC">
            <w:pPr>
              <w:keepNext/>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0" w:type="pct"/>
            <w:hideMark/>
          </w:tcPr>
          <w:p w14:paraId="69E6FC65" w14:textId="77777777" w:rsidR="007552F3" w:rsidRPr="00467B8E" w:rsidRDefault="007552F3" w:rsidP="007E38FC">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0" w:type="pct"/>
            <w:hideMark/>
          </w:tcPr>
          <w:p w14:paraId="5D6DAA79" w14:textId="77777777" w:rsidR="007552F3" w:rsidRPr="00467B8E" w:rsidRDefault="007552F3" w:rsidP="007E38FC">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r w:rsidRPr="00467B8E">
              <w:rPr>
                <w:rStyle w:val="Puslapioinaosnuoroda"/>
                <w:rFonts w:ascii="Georgia" w:eastAsia="Times New Roman" w:hAnsi="Georgia" w:cs="Arial"/>
                <w:sz w:val="20"/>
                <w:lang w:eastAsia="lt-LT"/>
              </w:rPr>
              <w:footnoteReference w:id="198"/>
            </w:r>
          </w:p>
        </w:tc>
      </w:tr>
      <w:tr w:rsidR="007552F3" w:rsidRPr="00A90CB3" w14:paraId="3D6B9F87" w14:textId="77777777" w:rsidTr="007E38F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pct"/>
            <w:hideMark/>
          </w:tcPr>
          <w:p w14:paraId="36B28820" w14:textId="77777777" w:rsidR="007552F3" w:rsidRPr="00A90CB3" w:rsidRDefault="007552F3" w:rsidP="007E38FC">
            <w:pPr>
              <w:keepNext/>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 xml:space="preserve">a) Sutaupytos energijos kiekis </w:t>
            </w:r>
            <w:r>
              <w:rPr>
                <w:rFonts w:ascii="Georgia" w:eastAsia="Times New Roman" w:hAnsi="Georgia" w:cs="Arial"/>
                <w:color w:val="000000"/>
                <w:sz w:val="20"/>
                <w:lang w:eastAsia="lt-LT"/>
              </w:rPr>
              <w:t>iki 2023 m.</w:t>
            </w:r>
          </w:p>
        </w:tc>
        <w:tc>
          <w:tcPr>
            <w:tcW w:w="0" w:type="pct"/>
            <w:noWrap/>
            <w:hideMark/>
          </w:tcPr>
          <w:p w14:paraId="7A1D121B" w14:textId="77777777" w:rsidR="007552F3" w:rsidRPr="00A90CB3" w:rsidRDefault="007552F3" w:rsidP="007E38FC">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G</w:t>
            </w:r>
            <w:r w:rsidRPr="00A90CB3">
              <w:rPr>
                <w:rFonts w:ascii="Georgia" w:eastAsia="Times New Roman" w:hAnsi="Georgia" w:cs="Arial"/>
                <w:bCs/>
                <w:color w:val="000000"/>
                <w:sz w:val="20"/>
                <w:lang w:eastAsia="lt-LT"/>
              </w:rPr>
              <w:t>Wh</w:t>
            </w:r>
          </w:p>
        </w:tc>
        <w:tc>
          <w:tcPr>
            <w:tcW w:w="0" w:type="pct"/>
            <w:noWrap/>
            <w:hideMark/>
          </w:tcPr>
          <w:p w14:paraId="484C97E2" w14:textId="77777777" w:rsidR="007552F3" w:rsidRPr="00A90CB3" w:rsidRDefault="007552F3" w:rsidP="007E38FC">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139,0</w:t>
            </w:r>
            <w:r w:rsidRPr="00A90CB3">
              <w:rPr>
                <w:rFonts w:ascii="Georgia" w:eastAsia="Times New Roman" w:hAnsi="Georgia" w:cs="Arial"/>
                <w:bCs/>
                <w:color w:val="000000"/>
                <w:sz w:val="20"/>
                <w:lang w:eastAsia="lt-LT"/>
              </w:rPr>
              <w:t xml:space="preserve"> </w:t>
            </w:r>
          </w:p>
        </w:tc>
      </w:tr>
      <w:tr w:rsidR="007552F3" w:rsidRPr="00A90CB3" w14:paraId="55739271" w14:textId="77777777" w:rsidTr="007E38FC">
        <w:trPr>
          <w:trHeight w:val="615"/>
        </w:trPr>
        <w:tc>
          <w:tcPr>
            <w:cnfStyle w:val="001000000000" w:firstRow="0" w:lastRow="0" w:firstColumn="1" w:lastColumn="0" w:oddVBand="0" w:evenVBand="0" w:oddHBand="0" w:evenHBand="0" w:firstRowFirstColumn="0" w:firstRowLastColumn="0" w:lastRowFirstColumn="0" w:lastRowLastColumn="0"/>
            <w:tcW w:w="0" w:type="pct"/>
            <w:hideMark/>
          </w:tcPr>
          <w:p w14:paraId="64D3E37E" w14:textId="77777777" w:rsidR="007552F3" w:rsidRPr="00A90CB3" w:rsidRDefault="007552F3" w:rsidP="007E38FC">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 xml:space="preserve">b) Bendras išmetamųjų ŠESD kiekio sumažinimas </w:t>
            </w:r>
            <w:r>
              <w:rPr>
                <w:rFonts w:ascii="Georgia" w:eastAsia="Times New Roman" w:hAnsi="Georgia" w:cs="Arial"/>
                <w:color w:val="000000"/>
                <w:sz w:val="20"/>
                <w:lang w:eastAsia="lt-LT"/>
              </w:rPr>
              <w:t>iki 2023 m.</w:t>
            </w:r>
          </w:p>
        </w:tc>
        <w:tc>
          <w:tcPr>
            <w:tcW w:w="0" w:type="pct"/>
            <w:noWrap/>
            <w:hideMark/>
          </w:tcPr>
          <w:p w14:paraId="2FCB56BB" w14:textId="77777777" w:rsidR="007552F3" w:rsidRPr="00A90CB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t CO</w:t>
            </w:r>
            <w:r w:rsidRPr="00D45CD8">
              <w:rPr>
                <w:rFonts w:ascii="Georgia" w:eastAsia="Times New Roman" w:hAnsi="Georgia" w:cs="Arial"/>
                <w:bCs/>
                <w:color w:val="000000"/>
                <w:sz w:val="20"/>
                <w:vertAlign w:val="subscript"/>
                <w:lang w:eastAsia="lt-LT"/>
              </w:rPr>
              <w:t xml:space="preserve">2 </w:t>
            </w:r>
            <w:r w:rsidRPr="00A90CB3">
              <w:rPr>
                <w:rFonts w:ascii="Georgia" w:eastAsia="Times New Roman" w:hAnsi="Georgia" w:cs="Arial"/>
                <w:bCs/>
                <w:color w:val="000000"/>
                <w:sz w:val="20"/>
                <w:lang w:eastAsia="lt-LT"/>
              </w:rPr>
              <w:t>ekv</w:t>
            </w:r>
          </w:p>
        </w:tc>
        <w:tc>
          <w:tcPr>
            <w:tcW w:w="0" w:type="pct"/>
            <w:noWrap/>
            <w:hideMark/>
          </w:tcPr>
          <w:p w14:paraId="26CB0460" w14:textId="77777777" w:rsidR="007552F3" w:rsidRPr="00A90CB3"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32 385</w:t>
            </w:r>
          </w:p>
        </w:tc>
      </w:tr>
    </w:tbl>
    <w:p w14:paraId="4DC5E266" w14:textId="77777777" w:rsidR="007552F3" w:rsidRPr="0023462D" w:rsidRDefault="007552F3" w:rsidP="007552F3">
      <w:pPr>
        <w:jc w:val="both"/>
        <w:rPr>
          <w:rFonts w:ascii="Georgia" w:eastAsia="Times New Roman" w:hAnsi="Georgia" w:cs="Times New Roman"/>
          <w:b/>
          <w:i/>
          <w:sz w:val="20"/>
          <w:szCs w:val="20"/>
          <w:lang w:val="lt-LT" w:eastAsia="lt-LT"/>
        </w:rPr>
      </w:pPr>
    </w:p>
    <w:p w14:paraId="3B8B4BBB" w14:textId="77777777" w:rsidR="007552F3" w:rsidRPr="0023462D" w:rsidRDefault="007552F3" w:rsidP="007552F3">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Gatvių apšvietimo modernizavimas</w:t>
      </w:r>
    </w:p>
    <w:p w14:paraId="69E51541" w14:textId="77777777" w:rsidR="007552F3" w:rsidRPr="0023462D" w:rsidRDefault="007552F3" w:rsidP="007552F3">
      <w:pPr>
        <w:pStyle w:val="prastasis1"/>
        <w:spacing w:line="276" w:lineRule="auto"/>
        <w:jc w:val="both"/>
        <w:rPr>
          <w:rFonts w:ascii="Georgia" w:hAnsi="Georgia"/>
          <w:sz w:val="20"/>
          <w:szCs w:val="20"/>
        </w:rPr>
      </w:pPr>
      <w:r w:rsidRPr="0023462D">
        <w:rPr>
          <w:rFonts w:ascii="Georgia" w:hAnsi="Georgia"/>
          <w:sz w:val="20"/>
          <w:szCs w:val="20"/>
        </w:rPr>
        <w:t>Gatvių apšvietimo modernizavimo metu bus prisidedama prie šio Veiksmų programos (4.3. investicinio prioriteto) tikslų vykdymo:</w:t>
      </w:r>
    </w:p>
    <w:p w14:paraId="146D5407"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Miestų, kuriuose sumažintos miestų apšvietimo eksploatavimo ir energijos sąnaudos, skaičius, 3 (2023)</w:t>
      </w:r>
    </w:p>
    <w:p w14:paraId="413D5C39"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Gatvių apšvietimo modernizavimo metu bus prisidedama prie šių Nacionalinėje pažangos programoje išdėstytų tikslų vykdymo:</w:t>
      </w:r>
    </w:p>
    <w:p w14:paraId="6A07BBB7"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w:t>
      </w:r>
      <w:r w:rsidRPr="00D45CD8">
        <w:rPr>
          <w:rFonts w:ascii="Georgia" w:hAnsi="Georgia"/>
          <w:sz w:val="20"/>
          <w:szCs w:val="20"/>
          <w:vertAlign w:val="subscript"/>
        </w:rPr>
        <w:t>2</w:t>
      </w:r>
      <w:r w:rsidRPr="0023462D">
        <w:rPr>
          <w:rFonts w:ascii="Georgia" w:hAnsi="Georgia"/>
          <w:sz w:val="20"/>
          <w:szCs w:val="20"/>
        </w:rPr>
        <w:t xml:space="preserve"> ekvivalentu, mln. Tonų, nuo 19,959 (2009) iki 26,886 (2020 metais)</w:t>
      </w:r>
    </w:p>
    <w:p w14:paraId="45B9407C"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6EEBA930" w14:textId="77777777" w:rsidR="007552F3" w:rsidRPr="0023462D" w:rsidRDefault="007552F3" w:rsidP="007552F3">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61C695F7" w14:textId="77777777" w:rsidR="007552F3" w:rsidRPr="0023462D" w:rsidRDefault="007552F3" w:rsidP="007552F3">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Pasirinkus rekomenduojamą gatvių apšvietimo modernizavimo scenarijų planuojami energijos sutaupymai ir taršos mažinimo rodikliai pateikti žemiau esančioje lentelėje.</w:t>
      </w:r>
    </w:p>
    <w:p w14:paraId="1A740491" w14:textId="47694A41" w:rsidR="007552F3" w:rsidRPr="008377C9" w:rsidRDefault="007552F3" w:rsidP="007552F3">
      <w:pPr>
        <w:pStyle w:val="Antrat"/>
        <w:jc w:val="both"/>
        <w:rPr>
          <w:b w:val="0"/>
          <w:i/>
          <w:sz w:val="22"/>
          <w:lang w:val="lt-LT"/>
        </w:rPr>
      </w:pPr>
      <w:bookmarkStart w:id="426" w:name="_Toc503193939"/>
      <w:bookmarkStart w:id="427" w:name="_Toc507939229"/>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107</w:t>
      </w:r>
      <w:r w:rsidRPr="008377C9">
        <w:rPr>
          <w:b w:val="0"/>
          <w:i/>
          <w:lang w:val="lt-LT"/>
        </w:rPr>
        <w:fldChar w:fldCharType="end"/>
      </w:r>
      <w:r w:rsidRPr="008377C9">
        <w:rPr>
          <w:b w:val="0"/>
          <w:i/>
          <w:lang w:val="lt-LT"/>
        </w:rPr>
        <w:t xml:space="preserve">. </w:t>
      </w:r>
      <w:r w:rsidRPr="008377C9">
        <w:rPr>
          <w:b w:val="0"/>
          <w:i/>
          <w:szCs w:val="20"/>
          <w:lang w:val="lt-LT"/>
        </w:rPr>
        <w:t xml:space="preserve">Tikėtini </w:t>
      </w:r>
      <w:r w:rsidRPr="008377C9">
        <w:rPr>
          <w:rFonts w:eastAsia="Times New Roman"/>
          <w:b w:val="0"/>
          <w:i/>
          <w:szCs w:val="20"/>
          <w:lang w:val="lt-LT" w:eastAsia="lt-LT"/>
        </w:rPr>
        <w:t xml:space="preserve">gatvių apšvietimo modernizavimo </w:t>
      </w:r>
      <w:r w:rsidRPr="008377C9">
        <w:rPr>
          <w:b w:val="0"/>
          <w:i/>
          <w:szCs w:val="20"/>
          <w:lang w:val="lt-LT"/>
        </w:rPr>
        <w:t>energijos sutaupymo ir taršos mažinimo rezultata</w:t>
      </w:r>
      <w:bookmarkEnd w:id="426"/>
      <w:r w:rsidR="008377C9">
        <w:rPr>
          <w:b w:val="0"/>
          <w:i/>
          <w:szCs w:val="20"/>
          <w:lang w:val="lt-LT"/>
        </w:rPr>
        <w:t>i</w:t>
      </w:r>
      <w:bookmarkEnd w:id="427"/>
    </w:p>
    <w:tbl>
      <w:tblPr>
        <w:tblStyle w:val="LightList-Accent21"/>
        <w:tblW w:w="9077" w:type="dxa"/>
        <w:tblLook w:val="04A0" w:firstRow="1" w:lastRow="0" w:firstColumn="1" w:lastColumn="0" w:noHBand="0" w:noVBand="1"/>
      </w:tblPr>
      <w:tblGrid>
        <w:gridCol w:w="3772"/>
        <w:gridCol w:w="1776"/>
        <w:gridCol w:w="3529"/>
      </w:tblGrid>
      <w:tr w:rsidR="007552F3" w:rsidRPr="00467B8E" w14:paraId="41FA0F5C" w14:textId="77777777" w:rsidTr="007E38FC">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dxa"/>
            <w:hideMark/>
          </w:tcPr>
          <w:p w14:paraId="6FDFEE5D" w14:textId="77777777" w:rsidR="007552F3" w:rsidRPr="00467B8E" w:rsidRDefault="007552F3" w:rsidP="007E38FC">
            <w:pPr>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0" w:type="dxa"/>
            <w:hideMark/>
          </w:tcPr>
          <w:p w14:paraId="7CC84EC2" w14:textId="77777777" w:rsidR="007552F3" w:rsidRPr="00467B8E"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0" w:type="dxa"/>
            <w:hideMark/>
          </w:tcPr>
          <w:p w14:paraId="2B8254C0" w14:textId="77777777" w:rsidR="007552F3" w:rsidRPr="00467B8E" w:rsidRDefault="007552F3" w:rsidP="007E38FC">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p>
        </w:tc>
      </w:tr>
      <w:tr w:rsidR="007552F3" w:rsidRPr="007B3C20" w14:paraId="0A99F85A" w14:textId="77777777" w:rsidTr="007E38F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dxa"/>
            <w:hideMark/>
          </w:tcPr>
          <w:p w14:paraId="312C0C72" w14:textId="77777777" w:rsidR="007552F3" w:rsidRPr="007B3C20" w:rsidRDefault="007552F3" w:rsidP="007E38FC">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Sutaupytos energijos kiekis įskaitant 202</w:t>
            </w:r>
            <w:r>
              <w:rPr>
                <w:rFonts w:ascii="Georgia" w:eastAsia="Times New Roman" w:hAnsi="Georgia" w:cs="Arial"/>
                <w:color w:val="000000"/>
                <w:sz w:val="20"/>
                <w:lang w:eastAsia="lt-LT"/>
              </w:rPr>
              <w:t>3</w:t>
            </w:r>
            <w:r w:rsidRPr="007B3C20">
              <w:rPr>
                <w:rFonts w:ascii="Georgia" w:eastAsia="Times New Roman" w:hAnsi="Georgia" w:cs="Arial"/>
                <w:color w:val="000000"/>
                <w:sz w:val="20"/>
                <w:lang w:eastAsia="lt-LT"/>
              </w:rPr>
              <w:t xml:space="preserve"> m.</w:t>
            </w:r>
            <w:r>
              <w:rPr>
                <w:rStyle w:val="Puslapioinaosnuoroda"/>
                <w:rFonts w:ascii="Georgia" w:eastAsia="Times New Roman" w:hAnsi="Georgia" w:cs="Arial"/>
                <w:color w:val="000000"/>
                <w:sz w:val="20"/>
                <w:lang w:eastAsia="lt-LT"/>
              </w:rPr>
              <w:footnoteReference w:id="199"/>
            </w:r>
          </w:p>
        </w:tc>
        <w:tc>
          <w:tcPr>
            <w:tcW w:w="0" w:type="dxa"/>
            <w:noWrap/>
            <w:hideMark/>
          </w:tcPr>
          <w:p w14:paraId="01E64AF5" w14:textId="77777777" w:rsidR="007552F3" w:rsidRPr="007B3C20"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0" w:type="dxa"/>
            <w:noWrap/>
            <w:hideMark/>
          </w:tcPr>
          <w:p w14:paraId="7AD64ECD" w14:textId="77777777" w:rsidR="007552F3" w:rsidRPr="007B3C20" w:rsidRDefault="007552F3" w:rsidP="007E38F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1</w:t>
            </w:r>
            <w:r>
              <w:rPr>
                <w:rFonts w:ascii="Georgia" w:eastAsia="Times New Roman" w:hAnsi="Georgia" w:cs="Arial"/>
                <w:bCs/>
                <w:color w:val="000000"/>
                <w:sz w:val="20"/>
                <w:lang w:eastAsia="lt-LT"/>
              </w:rPr>
              <w:t>0</w:t>
            </w:r>
            <w:r>
              <w:rPr>
                <w:rFonts w:ascii="Georgia" w:eastAsia="Times New Roman" w:hAnsi="Georgia" w:cs="Arial"/>
                <w:bCs/>
                <w:color w:val="000000"/>
                <w:sz w:val="20"/>
                <w:lang w:val="en-US" w:eastAsia="lt-LT"/>
              </w:rPr>
              <w:t>3</w:t>
            </w:r>
            <w:r w:rsidRPr="007B3C20">
              <w:rPr>
                <w:rFonts w:ascii="Georgia" w:eastAsia="Times New Roman" w:hAnsi="Georgia" w:cs="Arial"/>
                <w:bCs/>
                <w:color w:val="000000"/>
                <w:sz w:val="20"/>
                <w:lang w:eastAsia="lt-LT"/>
              </w:rPr>
              <w:t>,</w:t>
            </w:r>
            <w:r>
              <w:rPr>
                <w:rFonts w:ascii="Georgia" w:eastAsia="Times New Roman" w:hAnsi="Georgia" w:cs="Arial"/>
                <w:bCs/>
                <w:color w:val="000000"/>
                <w:sz w:val="20"/>
                <w:lang w:eastAsia="lt-LT"/>
              </w:rPr>
              <w:t>382</w:t>
            </w:r>
          </w:p>
        </w:tc>
      </w:tr>
      <w:tr w:rsidR="007552F3" w:rsidRPr="007B3C20" w14:paraId="656B5F39" w14:textId="77777777" w:rsidTr="007E38FC">
        <w:trPr>
          <w:trHeight w:val="615"/>
        </w:trPr>
        <w:tc>
          <w:tcPr>
            <w:cnfStyle w:val="001000000000" w:firstRow="0" w:lastRow="0" w:firstColumn="1" w:lastColumn="0" w:oddVBand="0" w:evenVBand="0" w:oddHBand="0" w:evenHBand="0" w:firstRowFirstColumn="0" w:firstRowLastColumn="0" w:lastRowFirstColumn="0" w:lastRowLastColumn="0"/>
            <w:tcW w:w="0" w:type="dxa"/>
            <w:hideMark/>
          </w:tcPr>
          <w:p w14:paraId="4FD95210" w14:textId="77777777" w:rsidR="007552F3" w:rsidRPr="007B3C20" w:rsidRDefault="007552F3" w:rsidP="007E38FC">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 xml:space="preserve">b) Bendras išmetamųjų ŠESD kiekio sumažinimas </w:t>
            </w:r>
            <w:r>
              <w:rPr>
                <w:rFonts w:ascii="Georgia" w:eastAsia="Times New Roman" w:hAnsi="Georgia" w:cs="Arial"/>
                <w:color w:val="000000"/>
                <w:sz w:val="20"/>
                <w:lang w:eastAsia="lt-LT"/>
              </w:rPr>
              <w:t>iki</w:t>
            </w:r>
            <w:r w:rsidRPr="007B3C20">
              <w:rPr>
                <w:rFonts w:ascii="Georgia" w:eastAsia="Times New Roman" w:hAnsi="Georgia" w:cs="Arial"/>
                <w:color w:val="000000"/>
                <w:sz w:val="20"/>
                <w:lang w:eastAsia="lt-LT"/>
              </w:rPr>
              <w:t xml:space="preserve"> 202</w:t>
            </w:r>
            <w:r>
              <w:rPr>
                <w:rFonts w:ascii="Georgia" w:eastAsia="Times New Roman" w:hAnsi="Georgia" w:cs="Arial"/>
                <w:color w:val="000000"/>
                <w:sz w:val="20"/>
                <w:lang w:eastAsia="lt-LT"/>
              </w:rPr>
              <w:t>3 m.</w:t>
            </w:r>
          </w:p>
        </w:tc>
        <w:tc>
          <w:tcPr>
            <w:tcW w:w="0" w:type="dxa"/>
            <w:noWrap/>
            <w:hideMark/>
          </w:tcPr>
          <w:p w14:paraId="5F2E0095" w14:textId="77777777" w:rsidR="007552F3" w:rsidRPr="007B3C20"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w:t>
            </w:r>
            <w:r w:rsidRPr="00D45CD8">
              <w:rPr>
                <w:rFonts w:ascii="Georgia" w:eastAsia="Times New Roman" w:hAnsi="Georgia" w:cs="Arial"/>
                <w:bCs/>
                <w:color w:val="000000"/>
                <w:sz w:val="20"/>
                <w:vertAlign w:val="subscript"/>
                <w:lang w:eastAsia="lt-LT"/>
              </w:rPr>
              <w:t>2</w:t>
            </w:r>
            <w:r w:rsidRPr="007B3C20">
              <w:rPr>
                <w:rFonts w:ascii="Georgia" w:eastAsia="Times New Roman" w:hAnsi="Georgia" w:cs="Arial"/>
                <w:bCs/>
                <w:color w:val="000000"/>
                <w:sz w:val="20"/>
                <w:lang w:eastAsia="lt-LT"/>
              </w:rPr>
              <w:t xml:space="preserve"> ekv</w:t>
            </w:r>
          </w:p>
        </w:tc>
        <w:tc>
          <w:tcPr>
            <w:tcW w:w="0" w:type="dxa"/>
            <w:noWrap/>
            <w:hideMark/>
          </w:tcPr>
          <w:p w14:paraId="02D94CFE" w14:textId="77777777" w:rsidR="007552F3" w:rsidRPr="007B3C20" w:rsidRDefault="007552F3"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2</w:t>
            </w:r>
            <w:r>
              <w:rPr>
                <w:rFonts w:ascii="Georgia" w:eastAsia="Times New Roman" w:hAnsi="Georgia" w:cs="Arial"/>
                <w:bCs/>
                <w:color w:val="000000"/>
                <w:sz w:val="20"/>
                <w:lang w:val="en-US" w:eastAsia="lt-LT"/>
              </w:rPr>
              <w:t>4</w:t>
            </w:r>
            <w:r w:rsidRPr="007B3C20">
              <w:rPr>
                <w:rFonts w:ascii="Georgia" w:eastAsia="Times New Roman" w:hAnsi="Georgia" w:cs="Arial"/>
                <w:bCs/>
                <w:color w:val="000000"/>
                <w:sz w:val="20"/>
                <w:lang w:eastAsia="lt-LT"/>
              </w:rPr>
              <w:t>,</w:t>
            </w:r>
            <w:r>
              <w:rPr>
                <w:rFonts w:ascii="Georgia" w:eastAsia="Times New Roman" w:hAnsi="Georgia" w:cs="Arial"/>
                <w:bCs/>
                <w:color w:val="000000"/>
                <w:sz w:val="20"/>
                <w:lang w:eastAsia="lt-LT"/>
              </w:rPr>
              <w:t>088</w:t>
            </w:r>
          </w:p>
        </w:tc>
      </w:tr>
    </w:tbl>
    <w:p w14:paraId="6330FB54" w14:textId="77777777" w:rsidR="007552F3" w:rsidRPr="0023462D" w:rsidRDefault="007552F3" w:rsidP="007552F3">
      <w:pPr>
        <w:rPr>
          <w:lang w:val="lt-LT"/>
        </w:rPr>
      </w:pPr>
    </w:p>
    <w:p w14:paraId="6926AC64" w14:textId="77777777" w:rsidR="007552F3" w:rsidRPr="00DF3A8E" w:rsidRDefault="007552F3" w:rsidP="007552F3">
      <w:pPr>
        <w:pStyle w:val="Antrat2"/>
        <w:numPr>
          <w:ilvl w:val="2"/>
          <w:numId w:val="2"/>
        </w:numPr>
        <w:spacing w:after="240"/>
        <w:ind w:left="709"/>
        <w:rPr>
          <w:lang w:val="lt-LT"/>
        </w:rPr>
      </w:pPr>
      <w:bookmarkStart w:id="428" w:name="_Toc503196438"/>
      <w:bookmarkStart w:id="429" w:name="_Toc25589986"/>
      <w:r w:rsidRPr="00DF3A8E">
        <w:rPr>
          <w:lang w:val="lt-LT"/>
        </w:rPr>
        <w:lastRenderedPageBreak/>
        <w:t>Stebėsenos sistemos apibrėžimas</w:t>
      </w:r>
      <w:bookmarkEnd w:id="423"/>
      <w:bookmarkEnd w:id="428"/>
      <w:bookmarkEnd w:id="429"/>
    </w:p>
    <w:p w14:paraId="0BB0613B"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kad visi energijos efektyvumo tikslai yra pasiekti, o finansinė priemonė įgyvendinama efektyviai įgyvendinta, lėšos naudojamos pagal patikimus finansų principus, svarbu tinkamai reaguojama į rinkos pokyčius ar kitus didelę įtaką darančius veiksnius, lemiančius rezultatų pasiekimą bei būtina apibrėžti tinkamą stebėsenos sistemą finansinės priemonės įgyvendinimui. </w:t>
      </w:r>
    </w:p>
    <w:p w14:paraId="088ED34D" w14:textId="77777777" w:rsidR="007552F3" w:rsidRDefault="007552F3" w:rsidP="007552F3">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14:paraId="6A4CF3A8" w14:textId="77777777" w:rsidR="007552F3" w:rsidRDefault="007552F3" w:rsidP="007552F3">
      <w:pPr>
        <w:rPr>
          <w:rFonts w:ascii="Georgia" w:eastAsia="Times New Roman" w:hAnsi="Georgia" w:cs="Times New Roman"/>
          <w:sz w:val="20"/>
          <w:szCs w:val="20"/>
          <w:lang w:val="lt-LT" w:eastAsia="lt-LT"/>
        </w:rPr>
      </w:pPr>
      <w:r w:rsidRPr="004A263A">
        <w:rPr>
          <w:rFonts w:ascii="Georgia" w:eastAsia="Times New Roman" w:hAnsi="Georgia" w:cs="Times New Roman"/>
          <w:noProof/>
          <w:sz w:val="20"/>
          <w:szCs w:val="20"/>
          <w:lang w:val="lt-LT" w:eastAsia="lt-LT"/>
        </w:rPr>
        <mc:AlternateContent>
          <mc:Choice Requires="wpg">
            <w:drawing>
              <wp:inline distT="0" distB="0" distL="0" distR="0" wp14:anchorId="34B5DBC7" wp14:editId="3FBD301E">
                <wp:extent cx="5838825" cy="914400"/>
                <wp:effectExtent l="0" t="0" r="28575" b="19050"/>
                <wp:docPr id="260" name="Group 260"/>
                <wp:cNvGraphicFramePr/>
                <a:graphic xmlns:a="http://schemas.openxmlformats.org/drawingml/2006/main">
                  <a:graphicData uri="http://schemas.microsoft.com/office/word/2010/wordprocessingGroup">
                    <wpg:wgp>
                      <wpg:cNvGrpSpPr/>
                      <wpg:grpSpPr>
                        <a:xfrm>
                          <a:off x="0" y="0"/>
                          <a:ext cx="5838825" cy="914400"/>
                          <a:chOff x="0" y="0"/>
                          <a:chExt cx="5838825" cy="914400"/>
                        </a:xfrm>
                      </wpg:grpSpPr>
                      <wps:wsp>
                        <wps:cNvPr id="261" name="Text Box 261"/>
                        <wps:cNvSpPr txBox="1"/>
                        <wps:spPr>
                          <a:xfrm>
                            <a:off x="4198716" y="102413"/>
                            <a:ext cx="1640109"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184CAE"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Ataskaitos</w:t>
                              </w:r>
                            </w:p>
                            <w:p w14:paraId="7142A5F8"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Komunikacija</w:t>
                              </w:r>
                            </w:p>
                            <w:p w14:paraId="24E6177A"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3FF20"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Rodiklių matavimas</w:t>
                              </w:r>
                            </w:p>
                            <w:p w14:paraId="3B6F29BE"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Kita informacija ir duomenys</w:t>
                              </w:r>
                            </w:p>
                            <w:p w14:paraId="32A143ED"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Right Arrow 263"/>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32ACA" w14:textId="77777777" w:rsidR="00133798" w:rsidRPr="003D3348" w:rsidRDefault="00133798" w:rsidP="007552F3">
                              <w:pPr>
                                <w:jc w:val="center"/>
                                <w:rPr>
                                  <w:rFonts w:ascii="Georgia" w:hAnsi="Georgia"/>
                                  <w:b/>
                                  <w:lang w:val="lt-LT"/>
                                </w:rPr>
                              </w:pPr>
                              <w:r w:rsidRPr="003D3348">
                                <w:rPr>
                                  <w:rFonts w:ascii="Georgia" w:hAnsi="Georgia"/>
                                  <w:b/>
                                  <w:lang w:val="lt-LT"/>
                                </w:rPr>
                                <w:t>ANALIZĖ</w:t>
                              </w:r>
                            </w:p>
                            <w:p w14:paraId="411D6BB6" w14:textId="77777777" w:rsidR="00133798" w:rsidRPr="003D3348" w:rsidRDefault="00133798" w:rsidP="007552F3">
                              <w:pPr>
                                <w:jc w:val="center"/>
                                <w:rPr>
                                  <w:rFonts w:ascii="Georgia" w:hAnsi="Georgia"/>
                                  <w:b/>
                                  <w:lang w:val="lt-LT"/>
                                </w:rPr>
                              </w:pPr>
                              <w:r w:rsidRPr="003D3348">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0" o:spid="_x0000_s1177" style="width:459.75pt;height:1in;mso-position-horizontal-relative:char;mso-position-vertical-relative:line" coordsize="583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">
                <v:shape id="Text Box 261" o:spid="_x0000_s1178" type="#_x0000_t202" style="position:absolute;left:41987;top:1024;width:1640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uFsIA&#10;AADcAAAADwAAAGRycy9kb3ducmV2LnhtbESPQWsCMRSE74X+h/AKvdWsHmRdjaLFloIntfT82DyT&#10;4OZlSdJ1++8bodDjMDPfMKvN6DsxUEwusILppAJB3Abt2Cj4PL+91CBSRtbYBSYFP5Rgs358WGGj&#10;w42PNJyyEQXCqUEFNue+kTK1ljymSeiJi3cJ0WMuMhqpI94K3HdyVlVz6dFxWbDY06ul9nr69gr2&#10;O7MwbY3R7mvt3DB+XQ7mXannp3G7BJFpzP/hv/aHVjCbT+F+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a4WwgAAANwAAAAPAAAAAAAAAAAAAAAAAJgCAABkcnMvZG93&#10;bnJldi54bWxQSwUGAAAAAAQABAD1AAAAhwMAAAAA&#10;" fillcolor="white [3201]" strokeweight=".5pt">
                  <v:textbox>
                    <w:txbxContent>
                      <w:p w14:paraId="5A184CAE"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Ataskaitos</w:t>
                        </w:r>
                      </w:p>
                      <w:p w14:paraId="7142A5F8"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Komunikacija</w:t>
                        </w:r>
                      </w:p>
                      <w:p w14:paraId="24E6177A"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Veiksmai</w:t>
                        </w:r>
                      </w:p>
                    </w:txbxContent>
                  </v:textbox>
                </v:shape>
                <v:shape id="Text Box 262" o:spid="_x0000_s1179"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wYcIA&#10;AADcAAAADwAAAGRycy9kb3ducmV2LnhtbESPQUsDMRSE74L/ITzBm826h7LdNi1VqgieWqXnx+Y1&#10;Cd28LEncrv/eCIUeh5n5hlltJt+LkWJygRU8zyoQxF3Qjo2C76+3pwZEysga+8Ck4JcSbNb3dyts&#10;dbjwnsZDNqJAOLWowOY8tFKmzpLHNAsDcfFOIXrMRUYjdcRLgfte1lU1lx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zBhwgAAANwAAAAPAAAAAAAAAAAAAAAAAJgCAABkcnMvZG93&#10;bnJldi54bWxQSwUGAAAAAAQABAD1AAAAhwMAAAAA&#10;" fillcolor="white [3201]" strokeweight=".5pt">
                  <v:textbox>
                    <w:txbxContent>
                      <w:p w14:paraId="1253FF20"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Rodiklių matavimas</w:t>
                        </w:r>
                      </w:p>
                      <w:p w14:paraId="3B6F29BE"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Kita informacija ir duomenys</w:t>
                        </w:r>
                      </w:p>
                      <w:p w14:paraId="32A143ED" w14:textId="77777777" w:rsidR="00133798" w:rsidRPr="003D3348" w:rsidRDefault="00133798" w:rsidP="007552F3">
                        <w:pPr>
                          <w:pStyle w:val="Sraopastraipa"/>
                          <w:numPr>
                            <w:ilvl w:val="0"/>
                            <w:numId w:val="38"/>
                          </w:numPr>
                          <w:rPr>
                            <w:rFonts w:ascii="Georgia" w:hAnsi="Georgia"/>
                            <w:sz w:val="20"/>
                          </w:rPr>
                        </w:pPr>
                        <w:r w:rsidRPr="003D3348">
                          <w:rPr>
                            <w:rFonts w:ascii="Georgia" w:hAnsi="Georgia"/>
                            <w:sz w:val="20"/>
                            <w:lang w:val="lt-LT"/>
                          </w:rPr>
                          <w:t>Vertinimo ataskaitos</w:t>
                        </w:r>
                      </w:p>
                    </w:txbxContent>
                  </v:textbox>
                </v:shape>
                <v:shape id="Right Arrow 263" o:spid="_x0000_s1180"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nesUA&#10;AADcAAAADwAAAGRycy9kb3ducmV2LnhtbESPQWvCQBSE70L/w/IKvenGVEWiq7SFghZEmpZSb4/s&#10;MxvNvg3ZVeO/7wpCj8PMfMPMl52txZlaXzlWMBwkIIgLpysuFXx/vfenIHxA1lg7JgVX8rBcPPTm&#10;mGl34U8656EUEcI+QwUmhCaT0heGLPqBa4ijt3etxRBlW0rd4iXCbS3TJJlIixXHBYMNvRkqjvnJ&#10;KsDffLe9jtb69UduxgebeuM/pko9PXYvMxCBuvAfvrdXWkE6eY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6d6xQAAANwAAAAPAAAAAAAAAAAAAAAAAJgCAABkcnMv&#10;ZG93bnJldi54bWxQSwUGAAAAAAQABAD1AAAAigMAAAAA&#10;" adj="19377" fillcolor="#c0504d [3205]" strokecolor="#622423 [1605]" strokeweight="2pt"/>
                <v:shape id="Text Box 264" o:spid="_x0000_s1181"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SNcQA&#10;AADcAAAADwAAAGRycy9kb3ducmV2LnhtbESPzWrDMBCE74W+g9hCbrVcE0LqRgmh1ODcUqeX3hZr&#10;a4taK2Op/nn7KBDocZiZb5jdYbadGGnwxrGClyQFQVw7bbhR8HUpnrcgfEDW2DkmBQt5OOwfH3aY&#10;azfxJ41VaESEsM9RQRtCn0vp65Ys+sT1xNH7cYPFEOXQSD3gFOG2k1mabqRFw3GhxZ7eW6p/qz+r&#10;oFjKj3J+Pevv40lu6VSPlTFSqdXTfHwDEWgO/+F7u9QKss0abmfiEZ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0jXEAAAA3AAAAA8AAAAAAAAAAAAAAAAAmAIAAGRycy9k&#10;b3ducmV2LnhtbFBLBQYAAAAABAAEAPUAAACJAwAAAAA=&#10;" fillcolor="#ffd03b" strokeweight=".5pt">
                  <v:textbox>
                    <w:txbxContent>
                      <w:p w14:paraId="75D32ACA" w14:textId="77777777" w:rsidR="00133798" w:rsidRPr="003D3348" w:rsidRDefault="00133798" w:rsidP="007552F3">
                        <w:pPr>
                          <w:jc w:val="center"/>
                          <w:rPr>
                            <w:rFonts w:ascii="Georgia" w:hAnsi="Georgia"/>
                            <w:b/>
                            <w:lang w:val="lt-LT"/>
                          </w:rPr>
                        </w:pPr>
                        <w:r w:rsidRPr="003D3348">
                          <w:rPr>
                            <w:rFonts w:ascii="Georgia" w:hAnsi="Georgia"/>
                            <w:b/>
                            <w:lang w:val="lt-LT"/>
                          </w:rPr>
                          <w:t>ANALIZĖ</w:t>
                        </w:r>
                      </w:p>
                      <w:p w14:paraId="411D6BB6" w14:textId="77777777" w:rsidR="00133798" w:rsidRPr="003D3348" w:rsidRDefault="00133798" w:rsidP="007552F3">
                        <w:pPr>
                          <w:jc w:val="center"/>
                          <w:rPr>
                            <w:rFonts w:ascii="Georgia" w:hAnsi="Georgia"/>
                            <w:b/>
                            <w:lang w:val="lt-LT"/>
                          </w:rPr>
                        </w:pPr>
                        <w:r w:rsidRPr="003D3348">
                          <w:rPr>
                            <w:rFonts w:ascii="Georgia" w:hAnsi="Georgia"/>
                            <w:b/>
                            <w:lang w:val="lt-LT"/>
                          </w:rPr>
                          <w:t>SPRENDIMŲ PRIĖMIMAS</w:t>
                        </w:r>
                      </w:p>
                    </w:txbxContent>
                  </v:textbox>
                </v:shape>
                <w10:anchorlock/>
              </v:group>
            </w:pict>
          </mc:Fallback>
        </mc:AlternateContent>
      </w:r>
    </w:p>
    <w:p w14:paraId="252C6733" w14:textId="77777777" w:rsidR="007552F3" w:rsidRDefault="007552F3" w:rsidP="007552F3">
      <w:pPr>
        <w:pStyle w:val="Antrat"/>
        <w:rPr>
          <w:lang w:val="lt-LT"/>
        </w:rPr>
      </w:pPr>
    </w:p>
    <w:p w14:paraId="337FC9F9" w14:textId="6049650A" w:rsidR="007552F3" w:rsidRPr="00D4610F" w:rsidRDefault="007552F3" w:rsidP="007552F3">
      <w:pPr>
        <w:pStyle w:val="Antrat"/>
        <w:rPr>
          <w:szCs w:val="20"/>
          <w:lang w:val="lt-LT"/>
        </w:rPr>
      </w:pPr>
      <w:bookmarkStart w:id="430" w:name="_Toc503196649"/>
      <w:bookmarkStart w:id="431" w:name="_Toc507939297"/>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9652A6">
        <w:rPr>
          <w:noProof/>
          <w:lang w:val="lt-LT"/>
        </w:rPr>
        <w:t>38</w:t>
      </w:r>
      <w:r w:rsidRPr="00D4610F">
        <w:rPr>
          <w:lang w:val="lt-LT"/>
        </w:rPr>
        <w:fldChar w:fldCharType="end"/>
      </w:r>
      <w:r w:rsidRPr="00D4610F">
        <w:rPr>
          <w:lang w:val="lt-LT"/>
        </w:rPr>
        <w:t xml:space="preserve">. </w:t>
      </w:r>
      <w:r>
        <w:rPr>
          <w:szCs w:val="20"/>
          <w:lang w:val="lt-LT"/>
        </w:rPr>
        <w:t>Pagrindiniai stebėsenos elementai</w:t>
      </w:r>
      <w:bookmarkEnd w:id="430"/>
      <w:bookmarkEnd w:id="431"/>
    </w:p>
    <w:p w14:paraId="48742302" w14:textId="77777777" w:rsidR="007552F3" w:rsidRPr="003D3348"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Šie sprendimai gali būti susiję su tolimesniu finansinių priemonių vykdymu, jų koregavimu ar netgi ex ante vertinimo peržiūrėjimu.</w:t>
      </w:r>
    </w:p>
    <w:p w14:paraId="2A6FDD7E" w14:textId="77777777" w:rsidR="007552F3" w:rsidRDefault="007552F3" w:rsidP="007552F3">
      <w:pPr>
        <w:jc w:val="both"/>
        <w:rPr>
          <w:rFonts w:ascii="Georgia" w:eastAsia="Times New Roman" w:hAnsi="Georgia" w:cs="Times New Roman"/>
          <w:sz w:val="20"/>
          <w:szCs w:val="20"/>
          <w:lang w:val="lt-LT" w:eastAsia="lt-LT"/>
        </w:rPr>
      </w:pPr>
      <w:r w:rsidRPr="003D3348">
        <w:rPr>
          <w:rFonts w:ascii="Georgia" w:eastAsia="Times New Roman" w:hAnsi="Georgia" w:cs="Times New Roman"/>
          <w:sz w:val="20"/>
          <w:szCs w:val="20"/>
          <w:lang w:val="lt-LT" w:eastAsia="lt-LT"/>
        </w:rPr>
        <w:t>Vadovaujančioji institucija turi užtikrinti, jog finansavimo sutartyje su fondų fondo valdytoju yra aiškiai apibrėžt</w:t>
      </w:r>
      <w:r>
        <w:rPr>
          <w:rFonts w:ascii="Georgia" w:eastAsia="Times New Roman" w:hAnsi="Georgia" w:cs="Times New Roman"/>
          <w:sz w:val="20"/>
          <w:szCs w:val="20"/>
          <w:lang w:val="lt-LT" w:eastAsia="lt-LT"/>
        </w:rPr>
        <w:t>a</w:t>
      </w:r>
      <w:r w:rsidRPr="003D3348">
        <w:rPr>
          <w:rFonts w:ascii="Georgia" w:eastAsia="Times New Roman" w:hAnsi="Georgia" w:cs="Times New Roman"/>
          <w:sz w:val="20"/>
          <w:szCs w:val="20"/>
          <w:lang w:val="lt-LT" w:eastAsia="lt-LT"/>
        </w:rPr>
        <w:t xml:space="preserve"> ataskaitų teikimo</w:t>
      </w:r>
      <w:r>
        <w:rPr>
          <w:rFonts w:ascii="Georgia" w:eastAsia="Times New Roman" w:hAnsi="Georgia" w:cs="Times New Roman"/>
          <w:sz w:val="20"/>
          <w:szCs w:val="20"/>
          <w:lang w:val="lt-LT" w:eastAsia="lt-LT"/>
        </w:rPr>
        <w:t xml:space="preserve"> tvarka.</w:t>
      </w:r>
    </w:p>
    <w:p w14:paraId="2090F57B"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Pagrindiniai ataskaitų teikimo reikalavimai fondų fondo valdytojui bus apibrėžti Europos Komisijos Įgyvendinimo reglamente, kuris šiuo metu yra rengiamas. Tačiau vadovaujančioji institucija gali neapsiriboti Įgyvendinimo reglamento reikalavimais ir siūlomas ataskaitų formas papildyti jai reikalinga informacija, tačiau turi užtikrinti, kad gaunama informacija būtų proporcinga ir neperteklinė. Vadovaujančiosios institucijos ataskaitų teikimo formos tvirtinamos Finansinių priemonių taisyklėse. </w:t>
      </w:r>
    </w:p>
    <w:p w14:paraId="742626D4"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Tuo atveju, kai fondų fondo valdytojas pasitelkia finansinius tarpininkus finansinių priemonių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fondų fondo valdytojo atsakomybė. </w:t>
      </w:r>
    </w:p>
    <w:p w14:paraId="76AC873A"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53CCB1C8" w14:textId="77777777" w:rsidR="007552F3" w:rsidRDefault="007552F3" w:rsidP="007552F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14:paraId="6ECD2D48" w14:textId="77777777" w:rsidR="007552F3" w:rsidRDefault="007552F3" w:rsidP="007552F3">
      <w:pPr>
        <w:pStyle w:val="Sraopastraipa"/>
        <w:numPr>
          <w:ilvl w:val="6"/>
          <w:numId w:val="3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14:paraId="504F0503" w14:textId="77777777" w:rsidR="007552F3" w:rsidRDefault="007552F3" w:rsidP="007552F3">
      <w:pPr>
        <w:pStyle w:val="Sraopastraipa"/>
        <w:numPr>
          <w:ilvl w:val="6"/>
          <w:numId w:val="3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Įgyvendinimo ataskaitų formavimas</w:t>
      </w:r>
    </w:p>
    <w:p w14:paraId="028026A0" w14:textId="77777777" w:rsidR="007552F3" w:rsidRDefault="007552F3" w:rsidP="007552F3">
      <w:pPr>
        <w:pStyle w:val="Sraopastraipa"/>
        <w:numPr>
          <w:ilvl w:val="6"/>
          <w:numId w:val="3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Finansinių ataskaitų formavimas</w:t>
      </w:r>
    </w:p>
    <w:p w14:paraId="09567622" w14:textId="77777777" w:rsidR="007552F3" w:rsidRDefault="007552F3" w:rsidP="007552F3">
      <w:pPr>
        <w:jc w:val="both"/>
        <w:rPr>
          <w:rFonts w:ascii="Georgia" w:eastAsia="Times New Roman" w:hAnsi="Georgia" w:cs="Times New Roman"/>
          <w:sz w:val="20"/>
          <w:szCs w:val="20"/>
          <w:lang w:val="lt-LT" w:eastAsia="lt-LT"/>
        </w:rPr>
      </w:pPr>
      <w:r w:rsidRPr="00EC6257">
        <w:rPr>
          <w:rFonts w:ascii="Georgia" w:eastAsia="Times New Roman" w:hAnsi="Georgia" w:cs="Times New Roman"/>
          <w:sz w:val="20"/>
          <w:szCs w:val="20"/>
          <w:lang w:val="lt-LT" w:eastAsia="lt-LT"/>
        </w:rPr>
        <w:t>Tok</w:t>
      </w:r>
      <w:r>
        <w:rPr>
          <w:rFonts w:ascii="Georgia" w:eastAsia="Times New Roman" w:hAnsi="Georgia" w:cs="Times New Roman"/>
          <w:sz w:val="20"/>
          <w:szCs w:val="20"/>
          <w:lang w:val="lt-LT" w:eastAsia="lt-LT"/>
        </w:rPr>
        <w:t>ia</w:t>
      </w:r>
      <w:r w:rsidRPr="00EC6257">
        <w:rPr>
          <w:rFonts w:ascii="Georgia" w:eastAsia="Times New Roman" w:hAnsi="Georgia" w:cs="Times New Roman"/>
          <w:sz w:val="20"/>
          <w:szCs w:val="20"/>
          <w:lang w:val="lt-LT" w:eastAsia="lt-LT"/>
        </w:rPr>
        <w:t xml:space="preserve"> ataskaitų teikimo </w:t>
      </w:r>
      <w:r>
        <w:rPr>
          <w:rFonts w:ascii="Georgia" w:eastAsia="Times New Roman" w:hAnsi="Georgia" w:cs="Times New Roman"/>
          <w:sz w:val="20"/>
          <w:szCs w:val="20"/>
          <w:lang w:val="lt-LT" w:eastAsia="lt-LT"/>
        </w:rPr>
        <w:t>tvarka</w:t>
      </w:r>
      <w:r w:rsidRPr="00EC6257">
        <w:rPr>
          <w:rFonts w:ascii="Georgia" w:eastAsia="Times New Roman" w:hAnsi="Georgia" w:cs="Times New Roman"/>
          <w:sz w:val="20"/>
          <w:szCs w:val="20"/>
          <w:lang w:val="lt-LT" w:eastAsia="lt-LT"/>
        </w:rPr>
        <w:t xml:space="preserve"> leidžia užtikrinti, kad prieinami duomenys yra tikslūs ir atspindi realią situaciją, </w:t>
      </w:r>
      <w:r>
        <w:rPr>
          <w:rFonts w:ascii="Georgia" w:eastAsia="Times New Roman" w:hAnsi="Georgia" w:cs="Times New Roman"/>
          <w:sz w:val="20"/>
          <w:szCs w:val="20"/>
          <w:lang w:val="lt-LT" w:eastAsia="lt-LT"/>
        </w:rPr>
        <w:t xml:space="preserve">todėl </w:t>
      </w:r>
      <w:r w:rsidRPr="00EC6257">
        <w:rPr>
          <w:rFonts w:ascii="Georgia" w:eastAsia="Times New Roman" w:hAnsi="Georgia" w:cs="Times New Roman"/>
          <w:sz w:val="20"/>
          <w:szCs w:val="20"/>
          <w:lang w:val="lt-LT" w:eastAsia="lt-LT"/>
        </w:rPr>
        <w:t xml:space="preserve">šių duomenų pagrindu </w:t>
      </w:r>
      <w:r>
        <w:rPr>
          <w:rFonts w:ascii="Georgia" w:eastAsia="Times New Roman" w:hAnsi="Georgia" w:cs="Times New Roman"/>
          <w:sz w:val="20"/>
          <w:szCs w:val="20"/>
          <w:lang w:val="lt-LT" w:eastAsia="lt-LT"/>
        </w:rPr>
        <w:t>parengtos</w:t>
      </w:r>
      <w:r w:rsidRPr="00EC6257">
        <w:rPr>
          <w:rFonts w:ascii="Georgia" w:eastAsia="Times New Roman" w:hAnsi="Georgia" w:cs="Times New Roman"/>
          <w:sz w:val="20"/>
          <w:szCs w:val="20"/>
          <w:lang w:val="lt-LT" w:eastAsia="lt-LT"/>
        </w:rPr>
        <w:t xml:space="preserve"> pažangos ataskaitos </w:t>
      </w:r>
      <w:r>
        <w:rPr>
          <w:rFonts w:ascii="Georgia" w:eastAsia="Times New Roman" w:hAnsi="Georgia" w:cs="Times New Roman"/>
          <w:sz w:val="20"/>
          <w:szCs w:val="20"/>
          <w:lang w:val="lt-LT" w:eastAsia="lt-LT"/>
        </w:rPr>
        <w:t>bus</w:t>
      </w:r>
      <w:r w:rsidRPr="00EC6257">
        <w:rPr>
          <w:rFonts w:ascii="Georgia" w:eastAsia="Times New Roman" w:hAnsi="Georgia" w:cs="Times New Roman"/>
          <w:sz w:val="20"/>
          <w:szCs w:val="20"/>
          <w:lang w:val="lt-LT" w:eastAsia="lt-LT"/>
        </w:rPr>
        <w:t xml:space="preserve"> teisingos ir galiausiai lei</w:t>
      </w:r>
      <w:r>
        <w:rPr>
          <w:rFonts w:ascii="Georgia" w:eastAsia="Times New Roman" w:hAnsi="Georgia" w:cs="Times New Roman"/>
          <w:sz w:val="20"/>
          <w:szCs w:val="20"/>
          <w:lang w:val="lt-LT" w:eastAsia="lt-LT"/>
        </w:rPr>
        <w:t>s</w:t>
      </w:r>
      <w:r w:rsidRPr="00EC6257">
        <w:rPr>
          <w:rFonts w:ascii="Georgia" w:eastAsia="Times New Roman" w:hAnsi="Georgia" w:cs="Times New Roman"/>
          <w:sz w:val="20"/>
          <w:szCs w:val="20"/>
          <w:lang w:val="lt-LT" w:eastAsia="lt-LT"/>
        </w:rPr>
        <w:t xml:space="preserve"> užtikrinti finansinį lėšų naudojimo teisingumą. </w:t>
      </w:r>
    </w:p>
    <w:p w14:paraId="4C9DE4F5" w14:textId="6A105022" w:rsidR="00FE6F97" w:rsidRDefault="00FE6F97" w:rsidP="00FE6F97">
      <w:pPr>
        <w:rPr>
          <w:lang w:val="lt-LT"/>
        </w:rPr>
      </w:pPr>
    </w:p>
    <w:p w14:paraId="0EDF16E0" w14:textId="77777777" w:rsidR="00FE6F97" w:rsidRPr="00FE6F97" w:rsidRDefault="00FE6F97" w:rsidP="00FE6F97">
      <w:pPr>
        <w:rPr>
          <w:lang w:val="lt-LT"/>
        </w:rPr>
      </w:pPr>
    </w:p>
    <w:p w14:paraId="475A63B2" w14:textId="6EFE2BCA" w:rsidR="00AE1892" w:rsidRPr="002142B8" w:rsidRDefault="00AE1892" w:rsidP="0063781D">
      <w:pPr>
        <w:pStyle w:val="Antrat2"/>
        <w:numPr>
          <w:ilvl w:val="1"/>
          <w:numId w:val="19"/>
        </w:numPr>
        <w:spacing w:after="240"/>
        <w:ind w:left="1080"/>
        <w:rPr>
          <w:lang w:val="lt-LT"/>
        </w:rPr>
      </w:pPr>
      <w:bookmarkStart w:id="432" w:name="_Toc25589987"/>
      <w:r w:rsidRPr="002142B8">
        <w:rPr>
          <w:lang w:val="lt-LT"/>
        </w:rPr>
        <w:t>Savivaldybių viešųjų pastatų modernizavimo investavimo strategija</w:t>
      </w:r>
      <w:bookmarkEnd w:id="432"/>
    </w:p>
    <w:p w14:paraId="20CB258C"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Aplinkos</w:t>
      </w:r>
      <w:r w:rsidRPr="00760316">
        <w:rPr>
          <w:rFonts w:ascii="Georgia" w:eastAsia="Times New Roman" w:hAnsi="Georgia" w:cs="Times New Roman"/>
          <w:sz w:val="20"/>
          <w:szCs w:val="20"/>
          <w:lang w:val="lt-LT" w:eastAsia="lt-LT"/>
        </w:rPr>
        <w:t xml:space="preserve"> ministerija</w:t>
      </w:r>
      <w:r>
        <w:rPr>
          <w:rFonts w:ascii="Georgia" w:eastAsia="Times New Roman" w:hAnsi="Georgia" w:cs="Times New Roman"/>
          <w:sz w:val="20"/>
          <w:szCs w:val="20"/>
          <w:lang w:val="lt-LT" w:eastAsia="lt-LT"/>
        </w:rPr>
        <w:t>, siekdama skatinti energijos efektyvumo didinimą savivaldybių viešuosiuose pastatuose,</w:t>
      </w:r>
      <w:r w:rsidRPr="00760316">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turi prisidėti prie </w:t>
      </w:r>
      <w:r w:rsidRPr="00231758">
        <w:rPr>
          <w:rFonts w:ascii="Georgia" w:eastAsia="Times New Roman" w:hAnsi="Georgia" w:cs="Times New Roman"/>
          <w:sz w:val="20"/>
          <w:szCs w:val="20"/>
          <w:lang w:val="lt-LT" w:eastAsia="lt-LT"/>
        </w:rPr>
        <w:t>2014-2020 m. veiksmų program</w:t>
      </w:r>
      <w:r>
        <w:rPr>
          <w:rFonts w:ascii="Georgia" w:eastAsia="Times New Roman" w:hAnsi="Georgia" w:cs="Times New Roman"/>
          <w:sz w:val="20"/>
          <w:szCs w:val="20"/>
          <w:lang w:val="lt-LT" w:eastAsia="lt-LT"/>
        </w:rPr>
        <w:t>os 4.3 investicinio prioriteto numatytų veiklų įgyvendinimo bei rodiklių pasiekimo</w:t>
      </w:r>
      <w:r w:rsidRPr="00760316">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Savivaldybių </w:t>
      </w:r>
      <w:r w:rsidRPr="00760316">
        <w:rPr>
          <w:rFonts w:ascii="Georgia" w:eastAsia="Times New Roman" w:hAnsi="Georgia" w:cs="Times New Roman"/>
          <w:sz w:val="20"/>
          <w:szCs w:val="20"/>
          <w:lang w:val="lt-LT" w:eastAsia="lt-LT"/>
        </w:rPr>
        <w:t>viešųjų pastatų modernizavimo</w:t>
      </w:r>
      <w:r>
        <w:rPr>
          <w:rFonts w:ascii="Georgia" w:eastAsia="Times New Roman" w:hAnsi="Georgia" w:cs="Times New Roman"/>
          <w:sz w:val="20"/>
          <w:szCs w:val="20"/>
          <w:lang w:val="lt-LT" w:eastAsia="lt-LT"/>
        </w:rPr>
        <w:t xml:space="preserve"> investavimo</w:t>
      </w:r>
      <w:r w:rsidRPr="00760316">
        <w:rPr>
          <w:rFonts w:ascii="Georgia" w:eastAsia="Times New Roman" w:hAnsi="Georgia" w:cs="Times New Roman"/>
          <w:sz w:val="20"/>
          <w:szCs w:val="20"/>
          <w:lang w:val="lt-LT" w:eastAsia="lt-LT"/>
        </w:rPr>
        <w:t xml:space="preserve"> strategija plėt</w:t>
      </w:r>
      <w:r>
        <w:rPr>
          <w:rFonts w:ascii="Georgia" w:eastAsia="Times New Roman" w:hAnsi="Georgia" w:cs="Times New Roman"/>
          <w:sz w:val="20"/>
          <w:szCs w:val="20"/>
          <w:lang w:val="lt-LT" w:eastAsia="lt-LT"/>
        </w:rPr>
        <w:t>ojam</w:t>
      </w:r>
      <w:r w:rsidRPr="00760316">
        <w:rPr>
          <w:rFonts w:ascii="Georgia" w:eastAsia="Times New Roman" w:hAnsi="Georgia" w:cs="Times New Roman"/>
          <w:sz w:val="20"/>
          <w:szCs w:val="20"/>
          <w:lang w:val="lt-LT" w:eastAsia="lt-LT"/>
        </w:rPr>
        <w:t xml:space="preserve">a taip, kad </w:t>
      </w:r>
      <w:r>
        <w:rPr>
          <w:rFonts w:ascii="Georgia" w:eastAsia="Times New Roman" w:hAnsi="Georgia" w:cs="Times New Roman"/>
          <w:sz w:val="20"/>
          <w:szCs w:val="20"/>
          <w:lang w:val="lt-LT" w:eastAsia="lt-LT"/>
        </w:rPr>
        <w:t xml:space="preserve">optimaliai </w:t>
      </w:r>
      <w:r w:rsidRPr="00760316">
        <w:rPr>
          <w:rFonts w:ascii="Georgia" w:eastAsia="Times New Roman" w:hAnsi="Georgia" w:cs="Times New Roman"/>
          <w:sz w:val="20"/>
          <w:szCs w:val="20"/>
          <w:lang w:val="lt-LT" w:eastAsia="lt-LT"/>
        </w:rPr>
        <w:t>būtų įgyvendinti privalomi pasiekti tikslai</w:t>
      </w:r>
      <w:r>
        <w:rPr>
          <w:rFonts w:ascii="Georgia" w:eastAsia="Times New Roman" w:hAnsi="Georgia" w:cs="Times New Roman"/>
          <w:sz w:val="20"/>
          <w:szCs w:val="20"/>
          <w:lang w:val="lt-LT" w:eastAsia="lt-LT"/>
        </w:rPr>
        <w:t xml:space="preserve"> ir rodikliai atsižvelgiant į šiuo metu esančią pastatų būklę</w:t>
      </w:r>
      <w:r w:rsidRPr="00760316">
        <w:rPr>
          <w:rFonts w:ascii="Georgia" w:eastAsia="Times New Roman" w:hAnsi="Georgia" w:cs="Times New Roman"/>
          <w:sz w:val="20"/>
          <w:szCs w:val="20"/>
          <w:lang w:val="lt-LT" w:eastAsia="lt-LT"/>
        </w:rPr>
        <w:t xml:space="preserve">. </w:t>
      </w:r>
    </w:p>
    <w:p w14:paraId="2C6C3657"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Įgyvendinant finansines priemones savivaldybių viešųjų pastatų modernizavimui t</w:t>
      </w:r>
      <w:r w:rsidRPr="00760316">
        <w:rPr>
          <w:rFonts w:ascii="Georgia" w:eastAsia="Times New Roman" w:hAnsi="Georgia" w:cs="Times New Roman"/>
          <w:sz w:val="20"/>
          <w:szCs w:val="20"/>
          <w:lang w:val="lt-LT" w:eastAsia="lt-LT"/>
        </w:rPr>
        <w:t xml:space="preserve">aip </w:t>
      </w:r>
      <w:r>
        <w:rPr>
          <w:rFonts w:ascii="Georgia" w:eastAsia="Times New Roman" w:hAnsi="Georgia" w:cs="Times New Roman"/>
          <w:sz w:val="20"/>
          <w:szCs w:val="20"/>
          <w:lang w:val="lt-LT" w:eastAsia="lt-LT"/>
        </w:rPr>
        <w:t xml:space="preserve">pat </w:t>
      </w:r>
      <w:r w:rsidRPr="00760316">
        <w:rPr>
          <w:rFonts w:ascii="Georgia" w:eastAsia="Times New Roman" w:hAnsi="Georgia" w:cs="Times New Roman"/>
          <w:sz w:val="20"/>
          <w:szCs w:val="20"/>
          <w:lang w:val="lt-LT" w:eastAsia="lt-LT"/>
        </w:rPr>
        <w:t>siekiama optimizuoti veiklų įgyvendinimą, mažinti administracinę naštą bei dėl masto ekonomijos pasiekti didesnį efektyvumą. Žemiau yra pateikiama siūloma finansinių priemonių investavimo strategija.</w:t>
      </w:r>
    </w:p>
    <w:p w14:paraId="4E6D7036" w14:textId="77777777" w:rsidR="0006117A" w:rsidRPr="00DF3A8E" w:rsidRDefault="0006117A" w:rsidP="0006117A">
      <w:pPr>
        <w:pStyle w:val="Antrat2"/>
        <w:spacing w:after="240"/>
        <w:rPr>
          <w:lang w:val="lt-LT"/>
        </w:rPr>
      </w:pPr>
      <w:bookmarkStart w:id="433" w:name="_Toc417378457"/>
      <w:bookmarkStart w:id="434" w:name="_Toc25589988"/>
      <w:r>
        <w:rPr>
          <w:lang w:val="lt-LT"/>
        </w:rPr>
        <w:t xml:space="preserve">7.3.1. </w:t>
      </w:r>
      <w:r w:rsidRPr="00DF3A8E">
        <w:rPr>
          <w:lang w:val="lt-LT"/>
        </w:rPr>
        <w:t>Finansin</w:t>
      </w:r>
      <w:r>
        <w:rPr>
          <w:lang w:val="lt-LT"/>
        </w:rPr>
        <w:t>ių</w:t>
      </w:r>
      <w:r w:rsidRPr="00DF3A8E">
        <w:rPr>
          <w:lang w:val="lt-LT"/>
        </w:rPr>
        <w:t xml:space="preserve"> priemon</w:t>
      </w:r>
      <w:r>
        <w:rPr>
          <w:lang w:val="lt-LT"/>
        </w:rPr>
        <w:t>ių</w:t>
      </w:r>
      <w:r w:rsidRPr="00DF3A8E">
        <w:rPr>
          <w:lang w:val="lt-LT"/>
        </w:rPr>
        <w:t xml:space="preserve"> apimtis ir tiksliniai galutiniai naudos gavėjai</w:t>
      </w:r>
      <w:bookmarkEnd w:id="433"/>
      <w:bookmarkEnd w:id="434"/>
      <w:r w:rsidRPr="00DF3A8E">
        <w:rPr>
          <w:lang w:val="lt-LT"/>
        </w:rPr>
        <w:t xml:space="preserve"> </w:t>
      </w:r>
    </w:p>
    <w:p w14:paraId="5776A1D4" w14:textId="29588D59" w:rsidR="0006117A" w:rsidRPr="00AE7E91" w:rsidRDefault="0006117A" w:rsidP="0006117A">
      <w:pPr>
        <w:jc w:val="both"/>
        <w:rPr>
          <w:rFonts w:ascii="Georgia" w:hAnsi="Georgia"/>
          <w:sz w:val="20"/>
          <w:szCs w:val="20"/>
          <w:lang w:val="lt-LT"/>
        </w:rPr>
      </w:pPr>
      <w:r w:rsidRPr="00AE7E91">
        <w:rPr>
          <w:rFonts w:ascii="Georgia" w:hAnsi="Georgia"/>
          <w:sz w:val="20"/>
          <w:szCs w:val="20"/>
          <w:lang w:val="lt-LT"/>
        </w:rPr>
        <w:t xml:space="preserve">Kaip buvo nustatyta šioje analizėje, poreikis energijos efektyvumo projektų įgyvendinimui yra </w:t>
      </w:r>
      <w:r>
        <w:rPr>
          <w:rFonts w:ascii="Georgia" w:hAnsi="Georgia"/>
          <w:sz w:val="20"/>
          <w:szCs w:val="20"/>
          <w:lang w:val="lt-LT"/>
        </w:rPr>
        <w:t>daug</w:t>
      </w:r>
      <w:r w:rsidRPr="00AE7E91">
        <w:rPr>
          <w:rFonts w:ascii="Georgia" w:hAnsi="Georgia"/>
          <w:sz w:val="20"/>
          <w:szCs w:val="20"/>
          <w:lang w:val="lt-LT"/>
        </w:rPr>
        <w:t xml:space="preserve"> didesnis nei rinkoje prieinama finansavimo pasiūla. 2.3. </w:t>
      </w:r>
      <w:r>
        <w:rPr>
          <w:rFonts w:ascii="Georgia" w:hAnsi="Georgia"/>
          <w:sz w:val="20"/>
          <w:szCs w:val="20"/>
          <w:lang w:val="lt-LT"/>
        </w:rPr>
        <w:t>skyriuje</w:t>
      </w:r>
      <w:r w:rsidRPr="00AE7E91">
        <w:rPr>
          <w:rFonts w:ascii="Georgia" w:hAnsi="Georgia"/>
          <w:sz w:val="20"/>
          <w:szCs w:val="20"/>
          <w:lang w:val="lt-LT"/>
        </w:rPr>
        <w:t xml:space="preserve"> identifikuotas rinkos finansavimo nepakankamumas, kuris </w:t>
      </w:r>
      <w:r>
        <w:rPr>
          <w:rFonts w:ascii="Georgia" w:hAnsi="Georgia"/>
          <w:sz w:val="20"/>
          <w:szCs w:val="20"/>
          <w:lang w:val="lt-LT"/>
        </w:rPr>
        <w:t xml:space="preserve">savivaldybių </w:t>
      </w:r>
      <w:r w:rsidRPr="00AE7E91">
        <w:rPr>
          <w:rFonts w:ascii="Georgia" w:hAnsi="Georgia"/>
          <w:sz w:val="20"/>
          <w:szCs w:val="20"/>
          <w:lang w:val="lt-LT"/>
        </w:rPr>
        <w:t>viešųjų pastatų modernizavimui siekia</w:t>
      </w:r>
      <w:r>
        <w:rPr>
          <w:rFonts w:ascii="Georgia" w:hAnsi="Georgia"/>
          <w:sz w:val="20"/>
          <w:szCs w:val="20"/>
          <w:lang w:val="lt-LT"/>
        </w:rPr>
        <w:t xml:space="preserve"> </w:t>
      </w:r>
      <w:r w:rsidRPr="002A2E90">
        <w:rPr>
          <w:rFonts w:ascii="Georgia" w:hAnsi="Georgia"/>
          <w:sz w:val="20"/>
          <w:szCs w:val="20"/>
        </w:rPr>
        <w:t>28</w:t>
      </w:r>
      <w:r w:rsidR="00600440">
        <w:rPr>
          <w:rFonts w:ascii="Georgia" w:hAnsi="Georgia"/>
          <w:sz w:val="20"/>
          <w:szCs w:val="20"/>
        </w:rPr>
        <w:t>1</w:t>
      </w:r>
      <w:r w:rsidRPr="00FB19FB">
        <w:rPr>
          <w:rFonts w:ascii="Georgia" w:hAnsi="Georgia"/>
          <w:sz w:val="20"/>
          <w:szCs w:val="20"/>
          <w:lang w:val="lt-LT"/>
        </w:rPr>
        <w:t>,</w:t>
      </w:r>
      <w:r w:rsidR="00600440">
        <w:rPr>
          <w:rFonts w:ascii="Georgia" w:hAnsi="Georgia"/>
          <w:sz w:val="20"/>
          <w:szCs w:val="20"/>
          <w:lang w:val="lt-LT"/>
        </w:rPr>
        <w:t>3</w:t>
      </w:r>
      <w:r w:rsidRPr="00FB19FB">
        <w:rPr>
          <w:rFonts w:ascii="Georgia" w:hAnsi="Georgia"/>
          <w:sz w:val="20"/>
          <w:szCs w:val="20"/>
          <w:lang w:val="lt-LT"/>
        </w:rPr>
        <w:t xml:space="preserve"> </w:t>
      </w:r>
      <w:r w:rsidRPr="0034136D">
        <w:rPr>
          <w:rFonts w:ascii="Georgia" w:hAnsi="Georgia"/>
          <w:sz w:val="20"/>
          <w:szCs w:val="20"/>
          <w:lang w:val="lt-LT"/>
        </w:rPr>
        <w:t>mln. eurų</w:t>
      </w:r>
      <w:r w:rsidRPr="00AE7E91">
        <w:rPr>
          <w:rFonts w:ascii="Georgia" w:hAnsi="Georgia"/>
          <w:sz w:val="20"/>
          <w:szCs w:val="20"/>
          <w:lang w:val="lt-LT"/>
        </w:rPr>
        <w:t xml:space="preserve">. </w:t>
      </w:r>
      <w:r>
        <w:rPr>
          <w:rFonts w:ascii="Georgia" w:hAnsi="Georgia"/>
          <w:sz w:val="20"/>
          <w:szCs w:val="20"/>
          <w:lang w:val="lt-LT"/>
        </w:rPr>
        <w:t>S</w:t>
      </w:r>
      <w:r w:rsidRPr="00AE7E91">
        <w:rPr>
          <w:rFonts w:ascii="Georgia" w:hAnsi="Georgia"/>
          <w:sz w:val="20"/>
          <w:szCs w:val="20"/>
          <w:lang w:val="lt-LT"/>
        </w:rPr>
        <w:t>iekiant patenkinti kuo didesnį poreikį šioms investicijoms bei įgyvendinti daugiau projektų, būtina įgyvendinti ne subsidijų, bet grįžtančių lėšų finansines priemones ir modelius, pritraukiančius daugiau privačių lėšų.</w:t>
      </w:r>
    </w:p>
    <w:p w14:paraId="7D2B3687" w14:textId="5CC197E9" w:rsidR="0006117A" w:rsidRPr="00AE7E91" w:rsidRDefault="0006117A" w:rsidP="0006117A">
      <w:pPr>
        <w:jc w:val="both"/>
        <w:rPr>
          <w:rFonts w:ascii="Georgia" w:hAnsi="Georgia"/>
          <w:sz w:val="20"/>
          <w:szCs w:val="20"/>
          <w:lang w:val="lt-LT"/>
        </w:rPr>
      </w:pPr>
      <w:r w:rsidRPr="00AE7E91">
        <w:rPr>
          <w:rFonts w:ascii="Georgia" w:hAnsi="Georgia"/>
          <w:sz w:val="20"/>
          <w:szCs w:val="20"/>
          <w:lang w:val="lt-LT"/>
        </w:rPr>
        <w:t>4.4.</w:t>
      </w:r>
      <w:r>
        <w:rPr>
          <w:rFonts w:ascii="Georgia" w:hAnsi="Georgia"/>
          <w:sz w:val="20"/>
          <w:szCs w:val="20"/>
          <w:lang w:val="lt-LT"/>
        </w:rPr>
        <w:t>3</w:t>
      </w:r>
      <w:r w:rsidRPr="00AE7E91">
        <w:rPr>
          <w:rFonts w:ascii="Georgia" w:hAnsi="Georgia"/>
          <w:sz w:val="20"/>
          <w:szCs w:val="20"/>
          <w:lang w:val="lt-LT"/>
        </w:rPr>
        <w:t xml:space="preserve"> skyriuje taip pat nustatyta, kad </w:t>
      </w:r>
      <w:r>
        <w:rPr>
          <w:rFonts w:ascii="Georgia" w:hAnsi="Georgia"/>
          <w:sz w:val="20"/>
          <w:szCs w:val="20"/>
          <w:lang w:val="lt-LT"/>
        </w:rPr>
        <w:t xml:space="preserve">savivaldybių </w:t>
      </w:r>
      <w:r w:rsidRPr="00AE7E91">
        <w:rPr>
          <w:rFonts w:ascii="Georgia" w:hAnsi="Georgia"/>
          <w:sz w:val="20"/>
          <w:szCs w:val="20"/>
          <w:lang w:val="lt-LT"/>
        </w:rPr>
        <w:t xml:space="preserve">pastatų modernizavimui </w:t>
      </w:r>
      <w:r>
        <w:rPr>
          <w:rFonts w:ascii="Georgia" w:hAnsi="Georgia"/>
          <w:sz w:val="20"/>
          <w:szCs w:val="20"/>
          <w:lang w:val="lt-LT"/>
        </w:rPr>
        <w:t>optimalus</w:t>
      </w:r>
      <w:r w:rsidRPr="00AE7E91">
        <w:rPr>
          <w:rFonts w:ascii="Georgia" w:hAnsi="Georgia"/>
          <w:sz w:val="20"/>
          <w:szCs w:val="20"/>
          <w:lang w:val="lt-LT"/>
        </w:rPr>
        <w:t xml:space="preserve"> finansinis produktas yra paskolos</w:t>
      </w:r>
      <w:r>
        <w:rPr>
          <w:rFonts w:ascii="Georgia" w:hAnsi="Georgia"/>
          <w:sz w:val="20"/>
          <w:szCs w:val="20"/>
          <w:lang w:val="lt-LT"/>
        </w:rPr>
        <w:t>, teikiamos asimetriniu rizikos pasidalijimo metodu ir/ar parduodant paskolas (ar jų srautus). Taip pat identifikuota, jog paskolos gali būti teikiamos pasitelkiant finansinius tarpininkus</w:t>
      </w:r>
      <w:r w:rsidRPr="00AE7E91">
        <w:rPr>
          <w:rFonts w:ascii="Georgia" w:hAnsi="Georgia"/>
          <w:sz w:val="20"/>
          <w:szCs w:val="20"/>
          <w:lang w:val="lt-LT"/>
        </w:rPr>
        <w:t xml:space="preserve">. </w:t>
      </w:r>
      <w:r w:rsidRPr="00D9133B">
        <w:rPr>
          <w:rFonts w:ascii="Georgia" w:hAnsi="Georgia"/>
          <w:sz w:val="20"/>
          <w:szCs w:val="20"/>
          <w:lang w:val="lt-LT"/>
        </w:rPr>
        <w:t>Atsižvelgiant į tai</w:t>
      </w:r>
      <w:r>
        <w:rPr>
          <w:rFonts w:ascii="Georgia" w:hAnsi="Georgia"/>
          <w:sz w:val="20"/>
          <w:szCs w:val="20"/>
          <w:lang w:val="lt-LT"/>
        </w:rPr>
        <w:t>,</w:t>
      </w:r>
      <w:r w:rsidRPr="00D9133B">
        <w:rPr>
          <w:rFonts w:ascii="Georgia" w:hAnsi="Georgia"/>
          <w:sz w:val="20"/>
          <w:szCs w:val="20"/>
          <w:lang w:val="lt-LT"/>
        </w:rPr>
        <w:t xml:space="preserve"> buvo apskaičiuota, </w:t>
      </w:r>
      <w:r>
        <w:rPr>
          <w:rFonts w:ascii="Georgia" w:hAnsi="Georgia"/>
          <w:sz w:val="20"/>
          <w:szCs w:val="20"/>
          <w:lang w:val="lt-LT"/>
        </w:rPr>
        <w:t xml:space="preserve">kad </w:t>
      </w:r>
      <w:r w:rsidRPr="00600440">
        <w:rPr>
          <w:rFonts w:ascii="Georgia" w:hAnsi="Georgia"/>
          <w:sz w:val="20"/>
          <w:szCs w:val="20"/>
        </w:rPr>
        <w:t>28</w:t>
      </w:r>
      <w:r w:rsidR="00600440" w:rsidRPr="00F462AA">
        <w:rPr>
          <w:rFonts w:ascii="Georgia" w:hAnsi="Georgia"/>
          <w:sz w:val="20"/>
          <w:szCs w:val="20"/>
        </w:rPr>
        <w:t>1,3</w:t>
      </w:r>
      <w:r w:rsidRPr="00600440">
        <w:rPr>
          <w:rFonts w:ascii="Georgia" w:hAnsi="Georgia"/>
          <w:sz w:val="20"/>
          <w:szCs w:val="20"/>
        </w:rPr>
        <w:t xml:space="preserve"> mln.</w:t>
      </w:r>
      <w:r>
        <w:rPr>
          <w:rFonts w:ascii="Georgia" w:hAnsi="Georgia"/>
          <w:sz w:val="20"/>
          <w:szCs w:val="20"/>
        </w:rPr>
        <w:t xml:space="preserve"> eur</w:t>
      </w:r>
      <w:r>
        <w:rPr>
          <w:rFonts w:ascii="Georgia" w:hAnsi="Georgia"/>
          <w:sz w:val="20"/>
          <w:szCs w:val="20"/>
          <w:lang w:val="lt-LT"/>
        </w:rPr>
        <w:t>ų</w:t>
      </w:r>
      <w:r w:rsidRPr="00D9133B">
        <w:rPr>
          <w:rFonts w:ascii="Georgia" w:hAnsi="Georgia"/>
          <w:sz w:val="20"/>
          <w:szCs w:val="20"/>
          <w:lang w:val="lt-LT"/>
        </w:rPr>
        <w:t xml:space="preserve"> ESI fondų ar kitų lėšų </w:t>
      </w:r>
      <w:r>
        <w:rPr>
          <w:rFonts w:ascii="Georgia" w:hAnsi="Georgia"/>
          <w:sz w:val="20"/>
          <w:szCs w:val="20"/>
          <w:lang w:val="lt-LT"/>
        </w:rPr>
        <w:t>skirtų</w:t>
      </w:r>
      <w:r w:rsidRPr="00D9133B">
        <w:rPr>
          <w:rFonts w:ascii="Georgia" w:hAnsi="Georgia"/>
          <w:sz w:val="20"/>
          <w:szCs w:val="20"/>
          <w:lang w:val="lt-LT"/>
        </w:rPr>
        <w:t xml:space="preserve"> finansinėms priemonėms </w:t>
      </w:r>
      <w:r>
        <w:rPr>
          <w:rFonts w:ascii="Georgia" w:hAnsi="Georgia"/>
          <w:sz w:val="20"/>
          <w:szCs w:val="20"/>
          <w:lang w:val="lt-LT"/>
        </w:rPr>
        <w:t xml:space="preserve">užtektų </w:t>
      </w:r>
      <w:r w:rsidRPr="00D9133B">
        <w:rPr>
          <w:rFonts w:ascii="Georgia" w:hAnsi="Georgia"/>
          <w:sz w:val="20"/>
          <w:szCs w:val="20"/>
          <w:lang w:val="lt-LT"/>
        </w:rPr>
        <w:t xml:space="preserve">siekiant padengti visą 2-ame skyriuje identifikuotą rinkos finansavimo trūkumą </w:t>
      </w:r>
      <w:r w:rsidRPr="00760316">
        <w:rPr>
          <w:rFonts w:ascii="Georgia" w:hAnsi="Georgia"/>
          <w:sz w:val="20"/>
          <w:szCs w:val="20"/>
          <w:lang w:val="lt-LT"/>
        </w:rPr>
        <w:t xml:space="preserve">savivaldybių pastatų modernizavimo </w:t>
      </w:r>
      <w:r w:rsidRPr="00D9133B">
        <w:rPr>
          <w:rFonts w:ascii="Georgia" w:hAnsi="Georgia"/>
          <w:sz w:val="20"/>
          <w:szCs w:val="20"/>
          <w:lang w:val="lt-LT"/>
        </w:rPr>
        <w:t>sri</w:t>
      </w:r>
      <w:r w:rsidRPr="00760316">
        <w:rPr>
          <w:rFonts w:ascii="Georgia" w:hAnsi="Georgia"/>
          <w:sz w:val="20"/>
          <w:szCs w:val="20"/>
          <w:lang w:val="lt-LT"/>
        </w:rPr>
        <w:t>čiai</w:t>
      </w:r>
      <w:r w:rsidRPr="00D9133B">
        <w:rPr>
          <w:rFonts w:ascii="Georgia" w:hAnsi="Georgia"/>
          <w:sz w:val="20"/>
          <w:szCs w:val="20"/>
          <w:lang w:val="lt-LT"/>
        </w:rPr>
        <w:t>.</w:t>
      </w:r>
      <w:r w:rsidRPr="00AE7E91">
        <w:rPr>
          <w:rFonts w:ascii="Georgia" w:hAnsi="Georgia"/>
          <w:sz w:val="20"/>
          <w:szCs w:val="20"/>
          <w:lang w:val="lt-LT"/>
        </w:rPr>
        <w:t xml:space="preserve"> </w:t>
      </w:r>
    </w:p>
    <w:p w14:paraId="7DD7C430" w14:textId="77777777" w:rsidR="0006117A" w:rsidRDefault="0006117A" w:rsidP="0006117A">
      <w:pPr>
        <w:pStyle w:val="prastasis1"/>
        <w:spacing w:line="276" w:lineRule="auto"/>
        <w:jc w:val="both"/>
        <w:rPr>
          <w:rFonts w:ascii="Georgia" w:hAnsi="Georgia"/>
          <w:sz w:val="20"/>
          <w:szCs w:val="20"/>
        </w:rPr>
      </w:pPr>
      <w:r>
        <w:rPr>
          <w:rFonts w:ascii="Georgia" w:hAnsi="Georgia"/>
          <w:sz w:val="20"/>
          <w:szCs w:val="20"/>
        </w:rPr>
        <w:t>Vadovaujantis Bendrųjų nuostatų reglamento galutinio naudos gavėjo apibrėžimu</w:t>
      </w:r>
      <w:r>
        <w:rPr>
          <w:rStyle w:val="Puslapioinaosnuoroda"/>
          <w:rFonts w:ascii="Georgia" w:hAnsi="Georgia"/>
          <w:sz w:val="20"/>
          <w:szCs w:val="20"/>
        </w:rPr>
        <w:footnoteReference w:id="200"/>
      </w:r>
      <w:r>
        <w:rPr>
          <w:rFonts w:ascii="Georgia" w:hAnsi="Georgia"/>
          <w:sz w:val="20"/>
          <w:szCs w:val="20"/>
        </w:rPr>
        <w:t xml:space="preserve">, galutiniai naudos gavėjai, finansuojami finansinės priemonės lėšomis, yra subjektai, kurių nuosavybės teise valdomi pastatai yra renovuojami pasinaudojant finansinės priemonės lėšomis. </w:t>
      </w:r>
      <w:r w:rsidRPr="00760316">
        <w:rPr>
          <w:rFonts w:ascii="Georgia" w:hAnsi="Georgia"/>
          <w:sz w:val="20"/>
          <w:szCs w:val="20"/>
        </w:rPr>
        <w:t xml:space="preserve">Atlikus detalią savivaldybių galimybių įgyvendinti energijos efektyvumo projektus analizę, buvo nustatyta, kad galutiniais naudos gavėjais </w:t>
      </w:r>
      <w:r>
        <w:rPr>
          <w:rFonts w:ascii="Georgia" w:hAnsi="Georgia"/>
          <w:sz w:val="20"/>
          <w:szCs w:val="20"/>
        </w:rPr>
        <w:t xml:space="preserve">yra </w:t>
      </w:r>
      <w:r w:rsidRPr="00760316">
        <w:rPr>
          <w:rFonts w:ascii="Georgia" w:hAnsi="Georgia"/>
          <w:sz w:val="20"/>
          <w:szCs w:val="20"/>
        </w:rPr>
        <w:t>savivaldybės (savivaldybių administracijos)</w:t>
      </w:r>
      <w:r>
        <w:rPr>
          <w:rFonts w:ascii="Georgia" w:hAnsi="Georgia"/>
          <w:sz w:val="20"/>
          <w:szCs w:val="20"/>
        </w:rPr>
        <w:t>.</w:t>
      </w:r>
    </w:p>
    <w:p w14:paraId="598E5C0C" w14:textId="77777777" w:rsidR="0006117A" w:rsidRPr="00CA0B2F" w:rsidRDefault="0006117A" w:rsidP="0006117A">
      <w:pPr>
        <w:jc w:val="both"/>
        <w:rPr>
          <w:rFonts w:ascii="Georgia" w:hAnsi="Georgia"/>
          <w:sz w:val="20"/>
          <w:szCs w:val="20"/>
          <w:lang w:val="lt-LT"/>
        </w:rPr>
      </w:pPr>
      <w:r>
        <w:rPr>
          <w:rFonts w:ascii="Georgia" w:hAnsi="Georgia"/>
          <w:sz w:val="20"/>
          <w:szCs w:val="20"/>
          <w:lang w:val="lt-LT"/>
        </w:rPr>
        <w:t xml:space="preserve">Priklausomai nuo to, kas bus savivaldybės viešojo pastato modernizavimo projekto įgyvendintojas, šiek tiek skiriasi projekto įgyvendinimas. </w:t>
      </w:r>
      <w:r w:rsidRPr="00760316">
        <w:rPr>
          <w:rFonts w:ascii="Georgia" w:hAnsi="Georgia"/>
          <w:sz w:val="20"/>
          <w:szCs w:val="20"/>
          <w:lang w:val="lt-LT"/>
        </w:rPr>
        <w:t xml:space="preserve">Identifikuotų </w:t>
      </w:r>
      <w:r w:rsidRPr="00CA0B2F">
        <w:rPr>
          <w:rFonts w:ascii="Georgia" w:hAnsi="Georgia"/>
          <w:sz w:val="20"/>
          <w:szCs w:val="20"/>
          <w:lang w:val="lt-LT"/>
        </w:rPr>
        <w:t>galim</w:t>
      </w:r>
      <w:r w:rsidRPr="00760316">
        <w:rPr>
          <w:rFonts w:ascii="Georgia" w:hAnsi="Georgia"/>
          <w:sz w:val="20"/>
          <w:szCs w:val="20"/>
          <w:lang w:val="lt-LT"/>
        </w:rPr>
        <w:t>ų</w:t>
      </w:r>
      <w:r w:rsidRPr="00CA0B2F">
        <w:rPr>
          <w:rFonts w:ascii="Georgia" w:hAnsi="Georgia"/>
          <w:sz w:val="20"/>
          <w:szCs w:val="20"/>
          <w:lang w:val="lt-LT"/>
        </w:rPr>
        <w:t xml:space="preserve"> </w:t>
      </w:r>
      <w:r>
        <w:rPr>
          <w:rFonts w:ascii="Georgia" w:hAnsi="Georgia"/>
          <w:sz w:val="20"/>
          <w:szCs w:val="20"/>
          <w:lang w:val="lt-LT"/>
        </w:rPr>
        <w:t>projekto įgyvendintojų</w:t>
      </w:r>
      <w:r w:rsidRPr="00760316">
        <w:rPr>
          <w:rFonts w:ascii="Georgia" w:hAnsi="Georgia"/>
          <w:sz w:val="20"/>
          <w:szCs w:val="20"/>
          <w:lang w:val="lt-LT"/>
        </w:rPr>
        <w:t xml:space="preserve"> </w:t>
      </w:r>
      <w:r>
        <w:rPr>
          <w:rFonts w:ascii="Georgia" w:hAnsi="Georgia"/>
          <w:sz w:val="20"/>
          <w:szCs w:val="20"/>
          <w:lang w:val="lt-LT"/>
        </w:rPr>
        <w:t>įgyvendinamų projektų trumpi aprašymai pateikti žemiau</w:t>
      </w:r>
      <w:r w:rsidRPr="00CA0B2F">
        <w:rPr>
          <w:rFonts w:ascii="Georgia" w:hAnsi="Georgia"/>
          <w:sz w:val="20"/>
          <w:szCs w:val="20"/>
          <w:lang w:val="lt-LT"/>
        </w:rPr>
        <w:t xml:space="preserve">: </w:t>
      </w:r>
    </w:p>
    <w:p w14:paraId="456E26E1" w14:textId="77777777" w:rsidR="0006117A" w:rsidRPr="00760316" w:rsidRDefault="0006117A" w:rsidP="0006117A">
      <w:pPr>
        <w:pStyle w:val="Sraopastraipa"/>
        <w:numPr>
          <w:ilvl w:val="0"/>
          <w:numId w:val="109"/>
        </w:numPr>
        <w:ind w:left="851"/>
        <w:jc w:val="both"/>
        <w:rPr>
          <w:rFonts w:ascii="Georgia" w:hAnsi="Georgia"/>
          <w:sz w:val="20"/>
          <w:szCs w:val="20"/>
          <w:lang w:val="lt-LT"/>
        </w:rPr>
      </w:pPr>
      <w:r w:rsidRPr="0010410A">
        <w:rPr>
          <w:rFonts w:ascii="Georgia" w:hAnsi="Georgia"/>
          <w:sz w:val="20"/>
          <w:szCs w:val="20"/>
          <w:lang w:val="lt-LT"/>
        </w:rPr>
        <w:t>Savivaldybių administracij</w:t>
      </w:r>
      <w:r>
        <w:rPr>
          <w:rFonts w:ascii="Georgia" w:hAnsi="Georgia"/>
          <w:sz w:val="20"/>
          <w:szCs w:val="20"/>
          <w:lang w:val="lt-LT"/>
        </w:rPr>
        <w:t>a – savivaldybių administracijos pačios gali inicijuoti ir įgyvendinti pastato modernizavimo projektą.</w:t>
      </w:r>
    </w:p>
    <w:p w14:paraId="2DD65C82" w14:textId="77777777" w:rsidR="0006117A" w:rsidRPr="00760316" w:rsidRDefault="0006117A" w:rsidP="0006117A">
      <w:pPr>
        <w:pStyle w:val="Sraopastraipa"/>
        <w:numPr>
          <w:ilvl w:val="0"/>
          <w:numId w:val="109"/>
        </w:numPr>
        <w:ind w:left="851"/>
        <w:jc w:val="both"/>
        <w:rPr>
          <w:rFonts w:ascii="Georgia" w:hAnsi="Georgia"/>
          <w:sz w:val="20"/>
          <w:szCs w:val="20"/>
          <w:lang w:val="lt-LT"/>
        </w:rPr>
      </w:pPr>
      <w:r w:rsidRPr="00760316">
        <w:rPr>
          <w:rFonts w:ascii="Georgia" w:hAnsi="Georgia"/>
          <w:sz w:val="20"/>
          <w:szCs w:val="20"/>
          <w:lang w:val="lt-LT"/>
        </w:rPr>
        <w:t xml:space="preserve">Administratorius, t.y. įmonė, kuri vykdo savivaldybės paskirtojo administratoriaus funkciją (pvz. kaip šiuo metu tai daro daugiabučių modernizavimą įgyvendinantys administratoriai). </w:t>
      </w:r>
      <w:r w:rsidRPr="00760316">
        <w:rPr>
          <w:rFonts w:ascii="Georgia" w:hAnsi="Georgia"/>
          <w:sz w:val="20"/>
          <w:szCs w:val="20"/>
          <w:lang w:val="lt-LT"/>
        </w:rPr>
        <w:lastRenderedPageBreak/>
        <w:t xml:space="preserve">Administratorius skolintųsi </w:t>
      </w:r>
      <w:r>
        <w:rPr>
          <w:rFonts w:ascii="Georgia" w:hAnsi="Georgia"/>
          <w:sz w:val="20"/>
          <w:szCs w:val="20"/>
          <w:lang w:val="lt-LT"/>
        </w:rPr>
        <w:t>s</w:t>
      </w:r>
      <w:r w:rsidRPr="00760316">
        <w:rPr>
          <w:rFonts w:ascii="Georgia" w:hAnsi="Georgia"/>
          <w:sz w:val="20"/>
          <w:szCs w:val="20"/>
          <w:lang w:val="lt-LT"/>
        </w:rPr>
        <w:t xml:space="preserve">avivaldybės vardu ir jos naudai (t. y. analogiškai kaip </w:t>
      </w:r>
      <w:r>
        <w:rPr>
          <w:rFonts w:ascii="Georgia" w:hAnsi="Georgia"/>
          <w:sz w:val="20"/>
          <w:szCs w:val="20"/>
          <w:lang w:val="lt-LT"/>
        </w:rPr>
        <w:t>a</w:t>
      </w:r>
      <w:r w:rsidRPr="00760316">
        <w:rPr>
          <w:rFonts w:ascii="Georgia" w:hAnsi="Georgia"/>
          <w:sz w:val="20"/>
          <w:szCs w:val="20"/>
          <w:lang w:val="lt-LT"/>
        </w:rPr>
        <w:t xml:space="preserve">dministratorius veikia daugiabučių namų renovacijos programoje veikdamas butų savininkų vardu). Paskola administratoriaus apskaitoje būtų apskaitoma už balanso, o savivaldybė skolą (finansinį įsipareigojimą) </w:t>
      </w:r>
      <w:r>
        <w:rPr>
          <w:rFonts w:ascii="Georgia" w:hAnsi="Georgia"/>
          <w:sz w:val="20"/>
          <w:szCs w:val="20"/>
          <w:lang w:val="lt-LT"/>
        </w:rPr>
        <w:t>apskaitytų</w:t>
      </w:r>
      <w:r w:rsidRPr="00760316">
        <w:rPr>
          <w:rFonts w:ascii="Georgia" w:hAnsi="Georgia"/>
          <w:sz w:val="20"/>
          <w:szCs w:val="20"/>
          <w:lang w:val="lt-LT"/>
        </w:rPr>
        <w:t xml:space="preserve"> savo balanse pagal paskolos sutartį.</w:t>
      </w:r>
    </w:p>
    <w:p w14:paraId="13A7A7BE" w14:textId="4664CE41" w:rsidR="0006117A" w:rsidRPr="00760316" w:rsidRDefault="001D5183" w:rsidP="0006117A">
      <w:pPr>
        <w:pStyle w:val="Sraopastraipa"/>
        <w:numPr>
          <w:ilvl w:val="0"/>
          <w:numId w:val="109"/>
        </w:numPr>
        <w:ind w:left="851"/>
        <w:jc w:val="both"/>
        <w:rPr>
          <w:rFonts w:ascii="Georgia" w:hAnsi="Georgia"/>
          <w:sz w:val="20"/>
          <w:szCs w:val="20"/>
          <w:lang w:val="lt-LT"/>
        </w:rPr>
      </w:pPr>
      <w:r>
        <w:rPr>
          <w:rFonts w:ascii="Georgia" w:hAnsi="Georgia"/>
          <w:sz w:val="20"/>
          <w:szCs w:val="20"/>
          <w:lang w:val="lt-LT"/>
        </w:rPr>
        <w:t>Administratorius, atliekantis ESCO funkciją</w:t>
      </w:r>
      <w:r w:rsidR="0006117A" w:rsidRPr="00760316">
        <w:rPr>
          <w:rFonts w:ascii="Georgia" w:hAnsi="Georgia"/>
          <w:sz w:val="20"/>
          <w:szCs w:val="20"/>
          <w:lang w:val="lt-LT"/>
        </w:rPr>
        <w:t xml:space="preserve">, t.y. paraiškas finansavimui teikia ir projektus įgyvendina savivaldybės paskirtas administratorius (pvz. įmonė ar įstaiga, kuri šiuo metu jau administruoja daugiabučių renovacijos projektus ar kita savivaldybės ar kelių savivaldybių įsteigta įmonė ar viešoji įstaiga, kurios pagrindinė funkcija būtų administruoti tiek savivaldybių pastatų renovacijos tiek kitus energinio efektyvumo projektus, pavyzdžiui, kvartalinę renovaciją). </w:t>
      </w:r>
      <w:r>
        <w:rPr>
          <w:rFonts w:ascii="Georgia" w:hAnsi="Georgia"/>
          <w:sz w:val="20"/>
          <w:szCs w:val="20"/>
          <w:lang w:val="lt-LT"/>
        </w:rPr>
        <w:t>Administratorius šiuo atveju prisiimtų</w:t>
      </w:r>
      <w:r w:rsidR="0006117A" w:rsidRPr="00760316">
        <w:rPr>
          <w:rFonts w:ascii="Georgia" w:hAnsi="Georgia"/>
          <w:sz w:val="20"/>
          <w:szCs w:val="20"/>
          <w:lang w:val="lt-LT"/>
        </w:rPr>
        <w:t xml:space="preserve"> ESCO įmonių prisiimamas rizi</w:t>
      </w:r>
      <w:r>
        <w:rPr>
          <w:rFonts w:ascii="Georgia" w:hAnsi="Georgia"/>
          <w:sz w:val="20"/>
          <w:szCs w:val="20"/>
          <w:lang w:val="lt-LT"/>
        </w:rPr>
        <w:t>kas bei įsipareigojimus, o paskola būtų</w:t>
      </w:r>
      <w:r w:rsidR="0006117A" w:rsidRPr="00760316">
        <w:rPr>
          <w:rFonts w:ascii="Georgia" w:hAnsi="Georgia"/>
          <w:sz w:val="20"/>
          <w:szCs w:val="20"/>
          <w:lang w:val="lt-LT"/>
        </w:rPr>
        <w:t xml:space="preserve"> apskaitoma </w:t>
      </w:r>
      <w:r>
        <w:rPr>
          <w:rFonts w:ascii="Georgia" w:hAnsi="Georgia"/>
          <w:sz w:val="20"/>
          <w:szCs w:val="20"/>
          <w:lang w:val="lt-LT"/>
        </w:rPr>
        <w:t>Administratoriaus finansinėse ataskaitose</w:t>
      </w:r>
      <w:r w:rsidR="0006117A" w:rsidRPr="00760316">
        <w:rPr>
          <w:rFonts w:ascii="Georgia" w:hAnsi="Georgia"/>
          <w:sz w:val="20"/>
          <w:szCs w:val="20"/>
          <w:lang w:val="lt-LT"/>
        </w:rPr>
        <w:t>. Dažnu atveju būtų išnaudojama jau turima sukaupta patirtis ir kompetencijos.</w:t>
      </w:r>
    </w:p>
    <w:p w14:paraId="21DAE690" w14:textId="77777777" w:rsidR="0006117A" w:rsidRPr="00F83C7F" w:rsidRDefault="0006117A" w:rsidP="0006117A">
      <w:pPr>
        <w:pStyle w:val="Sraopastraipa"/>
        <w:numPr>
          <w:ilvl w:val="0"/>
          <w:numId w:val="109"/>
        </w:numPr>
        <w:ind w:left="851"/>
        <w:jc w:val="both"/>
        <w:rPr>
          <w:rFonts w:ascii="Georgia" w:hAnsi="Georgia"/>
          <w:sz w:val="20"/>
          <w:szCs w:val="20"/>
          <w:lang w:val="lt-LT"/>
        </w:rPr>
      </w:pPr>
      <w:r w:rsidRPr="00760316">
        <w:rPr>
          <w:rFonts w:ascii="Georgia" w:hAnsi="Georgia"/>
          <w:sz w:val="20"/>
          <w:szCs w:val="20"/>
          <w:lang w:val="lt-LT"/>
        </w:rPr>
        <w:t xml:space="preserve">ESCO </w:t>
      </w:r>
      <w:r>
        <w:rPr>
          <w:rFonts w:ascii="Georgia" w:hAnsi="Georgia"/>
          <w:sz w:val="20"/>
          <w:szCs w:val="20"/>
          <w:lang w:val="lt-LT"/>
        </w:rPr>
        <w:t>įmonės</w:t>
      </w:r>
      <w:r w:rsidRPr="00760316">
        <w:rPr>
          <w:rFonts w:ascii="Georgia" w:hAnsi="Georgia"/>
          <w:sz w:val="20"/>
          <w:szCs w:val="20"/>
          <w:lang w:val="lt-LT"/>
        </w:rPr>
        <w:t xml:space="preserve">, t.y. paraiškas finansavimui teikia ir projektus įgyvendina viešųjų pirkimų būdu parinktos privačios ESCO įmonės, t. y. jos renovuoja pastatus bei teikia </w:t>
      </w:r>
      <w:r>
        <w:rPr>
          <w:rFonts w:ascii="Georgia" w:hAnsi="Georgia"/>
          <w:sz w:val="20"/>
          <w:szCs w:val="20"/>
          <w:lang w:val="lt-LT"/>
        </w:rPr>
        <w:t>energijos</w:t>
      </w:r>
      <w:r w:rsidRPr="00760316">
        <w:rPr>
          <w:rFonts w:ascii="Georgia" w:hAnsi="Georgia"/>
          <w:sz w:val="20"/>
          <w:szCs w:val="20"/>
          <w:lang w:val="lt-LT"/>
        </w:rPr>
        <w:t xml:space="preserve"> ūkio priežiūros, energijos </w:t>
      </w:r>
      <w:r>
        <w:rPr>
          <w:rFonts w:ascii="Georgia" w:hAnsi="Georgia"/>
          <w:sz w:val="20"/>
          <w:szCs w:val="20"/>
          <w:lang w:val="lt-LT"/>
        </w:rPr>
        <w:t>taupymo</w:t>
      </w:r>
      <w:r w:rsidRPr="00760316">
        <w:rPr>
          <w:rFonts w:ascii="Georgia" w:hAnsi="Georgia"/>
          <w:sz w:val="20"/>
          <w:szCs w:val="20"/>
          <w:lang w:val="lt-LT"/>
        </w:rPr>
        <w:t xml:space="preserve"> paslaugas. ESCO įmonė nėra kontroliuojama savivaldybės ar kaip nors kitaip </w:t>
      </w:r>
      <w:r w:rsidRPr="00F83C7F">
        <w:rPr>
          <w:rFonts w:ascii="Georgia" w:hAnsi="Georgia"/>
          <w:sz w:val="20"/>
          <w:szCs w:val="20"/>
          <w:lang w:val="lt-LT"/>
        </w:rPr>
        <w:t xml:space="preserve">susijusi su savivaldybe. </w:t>
      </w:r>
    </w:p>
    <w:p w14:paraId="65CBE12D" w14:textId="77777777" w:rsidR="0006117A" w:rsidRPr="008C44C8" w:rsidRDefault="0006117A" w:rsidP="0006117A">
      <w:pPr>
        <w:pStyle w:val="Sraopastraipa"/>
        <w:numPr>
          <w:ilvl w:val="0"/>
          <w:numId w:val="109"/>
        </w:numPr>
        <w:ind w:left="851"/>
        <w:jc w:val="both"/>
        <w:rPr>
          <w:rFonts w:ascii="Georgia" w:hAnsi="Georgia"/>
          <w:sz w:val="20"/>
          <w:szCs w:val="20"/>
        </w:rPr>
      </w:pPr>
      <w:r w:rsidRPr="002A2E90">
        <w:rPr>
          <w:rFonts w:ascii="Georgia" w:hAnsi="Georgia"/>
          <w:sz w:val="20"/>
          <w:szCs w:val="20"/>
          <w:lang w:val="lt-LT"/>
        </w:rPr>
        <w:t>Atkreiptinas dėmesys, kad nepriklausomai nuo to, kas bus projekto vykdytojas, galutinė projekto nauda ir rezultatai didžiąja dalimi atitenka savivaldybėms. Įgyvendinus projektus, savivaldybės turės energetiškai efektyvius, komfortiškai modernizuotus pastatus bei daug mažesnes energijos sąnaudas.</w:t>
      </w:r>
    </w:p>
    <w:p w14:paraId="598A6465" w14:textId="77777777" w:rsidR="0006117A" w:rsidRDefault="0006117A" w:rsidP="0006117A">
      <w:pPr>
        <w:pStyle w:val="prastasis1"/>
        <w:spacing w:line="276" w:lineRule="auto"/>
        <w:jc w:val="both"/>
        <w:rPr>
          <w:rFonts w:ascii="Georgia" w:hAnsi="Georgia"/>
          <w:sz w:val="20"/>
          <w:szCs w:val="20"/>
        </w:rPr>
      </w:pPr>
      <w:r w:rsidRPr="00105B94">
        <w:rPr>
          <w:rFonts w:ascii="Georgia" w:hAnsi="Georgia"/>
          <w:sz w:val="20"/>
          <w:szCs w:val="20"/>
        </w:rPr>
        <w:t xml:space="preserve">Pažymėtina, kad siekiant užtikrinti </w:t>
      </w:r>
      <w:r>
        <w:rPr>
          <w:rFonts w:ascii="Georgia" w:hAnsi="Georgia"/>
          <w:sz w:val="20"/>
          <w:szCs w:val="20"/>
        </w:rPr>
        <w:t xml:space="preserve">didžiausių bendrų energijos efektyvumo rodiklių pasiekimą bei </w:t>
      </w:r>
      <w:r w:rsidRPr="00105B94">
        <w:rPr>
          <w:rFonts w:ascii="Georgia" w:hAnsi="Georgia"/>
          <w:sz w:val="20"/>
          <w:szCs w:val="20"/>
        </w:rPr>
        <w:t>finansinės priemonės darną su Veiksmų programos siektinais tikslais, prioritetas turėtų būti</w:t>
      </w:r>
      <w:r>
        <w:rPr>
          <w:rFonts w:ascii="Georgia" w:hAnsi="Georgia"/>
          <w:sz w:val="20"/>
          <w:szCs w:val="20"/>
        </w:rPr>
        <w:t xml:space="preserve"> teikiamas</w:t>
      </w:r>
      <w:r w:rsidRPr="00105B94">
        <w:rPr>
          <w:rFonts w:ascii="Georgia" w:hAnsi="Georgia"/>
          <w:sz w:val="20"/>
          <w:szCs w:val="20"/>
        </w:rPr>
        <w:t xml:space="preserve"> </w:t>
      </w:r>
      <w:r>
        <w:rPr>
          <w:rFonts w:ascii="Georgia" w:hAnsi="Georgia"/>
          <w:sz w:val="20"/>
          <w:szCs w:val="20"/>
        </w:rPr>
        <w:t>mažiausiai efektyviems pastatams modernizuoti.</w:t>
      </w:r>
    </w:p>
    <w:p w14:paraId="2D3A69DC" w14:textId="77777777" w:rsidR="0006117A" w:rsidRPr="00760316" w:rsidRDefault="0006117A" w:rsidP="0006117A">
      <w:pPr>
        <w:jc w:val="both"/>
        <w:rPr>
          <w:rFonts w:ascii="Georgia" w:eastAsia="Times New Roman" w:hAnsi="Georgia" w:cs="Times New Roman"/>
          <w:b/>
          <w:sz w:val="20"/>
          <w:szCs w:val="20"/>
          <w:lang w:val="lt-LT" w:eastAsia="lt-LT"/>
        </w:rPr>
      </w:pPr>
      <w:r w:rsidRPr="00760316">
        <w:rPr>
          <w:rFonts w:ascii="Georgia" w:eastAsia="Times New Roman" w:hAnsi="Georgia" w:cs="Times New Roman"/>
          <w:b/>
          <w:sz w:val="20"/>
          <w:szCs w:val="20"/>
          <w:lang w:val="lt-LT" w:eastAsia="lt-LT"/>
        </w:rPr>
        <w:t>Rekomenduojami teisės aktų pakeitimai</w:t>
      </w:r>
    </w:p>
    <w:p w14:paraId="34FBD75E" w14:textId="77777777" w:rsidR="0006117A" w:rsidRPr="00760316" w:rsidRDefault="0006117A" w:rsidP="0006117A">
      <w:pPr>
        <w:jc w:val="both"/>
        <w:rPr>
          <w:rFonts w:ascii="Georgia" w:hAnsi="Georgia"/>
          <w:sz w:val="20"/>
          <w:lang w:val="lt-LT"/>
        </w:rPr>
      </w:pPr>
      <w:r>
        <w:rPr>
          <w:rFonts w:ascii="Georgia" w:hAnsi="Georgia"/>
          <w:sz w:val="20"/>
          <w:lang w:val="lt-LT"/>
        </w:rPr>
        <w:t>Siekiant tinkamai atlikti savivaldybių viešųjų pastatų modernizavimo analizę, buvo atlikta detali teisinė analizė, apimanti savivaldybių skolinimosi teisės aktų nuostatas, buvo identifikuotos galimybės tobulinti teisinę bazę efektyviam projektų įgyvendinimui. Teisinės analizės metu buvo parengtos rekomendacijos, reikalingos s</w:t>
      </w:r>
      <w:r w:rsidRPr="00760316">
        <w:rPr>
          <w:rFonts w:ascii="Georgia" w:hAnsi="Georgia"/>
          <w:sz w:val="20"/>
          <w:lang w:val="lt-LT"/>
        </w:rPr>
        <w:t>iekiant užtikrinti sklandų savivaldybių pastatų renovacijos procesą</w:t>
      </w:r>
      <w:r>
        <w:rPr>
          <w:rFonts w:ascii="Georgia" w:hAnsi="Georgia"/>
          <w:sz w:val="20"/>
          <w:lang w:val="lt-LT"/>
        </w:rPr>
        <w:t xml:space="preserve">. Rekomenduojamų teisės aktų pakeitimų sąrašas pateikiamas </w:t>
      </w:r>
      <w:r w:rsidRPr="00760316">
        <w:rPr>
          <w:rFonts w:ascii="Georgia" w:hAnsi="Georgia"/>
          <w:sz w:val="20"/>
          <w:lang w:val="lt-LT"/>
        </w:rPr>
        <w:t>žemiau esančioje lentelėje</w:t>
      </w:r>
      <w:r>
        <w:rPr>
          <w:rFonts w:ascii="Georgia" w:hAnsi="Georgia"/>
          <w:sz w:val="20"/>
          <w:lang w:val="lt-LT"/>
        </w:rPr>
        <w:t>.</w:t>
      </w:r>
    </w:p>
    <w:p w14:paraId="3C81FEB3" w14:textId="4FF12FAB" w:rsidR="0006117A" w:rsidRPr="00CB0D45" w:rsidRDefault="0006117A" w:rsidP="0006117A">
      <w:pPr>
        <w:pStyle w:val="Antrat"/>
        <w:rPr>
          <w:b w:val="0"/>
          <w:i/>
          <w:lang w:val="lt-LT"/>
        </w:rPr>
      </w:pPr>
      <w:bookmarkStart w:id="435" w:name="_Toc459646518"/>
      <w:bookmarkStart w:id="436" w:name="_Toc507939230"/>
      <w:r w:rsidRPr="00CB0D45">
        <w:rPr>
          <w:b w:val="0"/>
          <w:i/>
          <w:lang w:val="lt-LT"/>
        </w:rPr>
        <w:t xml:space="preserve">Lentelė </w:t>
      </w:r>
      <w:r w:rsidRPr="00CB0D45">
        <w:rPr>
          <w:b w:val="0"/>
          <w:i/>
          <w:lang w:val="lt-LT"/>
        </w:rPr>
        <w:fldChar w:fldCharType="begin"/>
      </w:r>
      <w:r w:rsidRPr="00CB0D45">
        <w:rPr>
          <w:b w:val="0"/>
          <w:i/>
          <w:lang w:val="lt-LT"/>
        </w:rPr>
        <w:instrText xml:space="preserve"> SEQ Lentelė \* ARABIC </w:instrText>
      </w:r>
      <w:r w:rsidRPr="00CB0D45">
        <w:rPr>
          <w:b w:val="0"/>
          <w:i/>
          <w:lang w:val="lt-LT"/>
        </w:rPr>
        <w:fldChar w:fldCharType="separate"/>
      </w:r>
      <w:r w:rsidR="009652A6">
        <w:rPr>
          <w:b w:val="0"/>
          <w:i/>
          <w:noProof/>
          <w:lang w:val="lt-LT"/>
        </w:rPr>
        <w:t>108</w:t>
      </w:r>
      <w:r w:rsidRPr="00CB0D45">
        <w:rPr>
          <w:b w:val="0"/>
          <w:i/>
          <w:lang w:val="lt-LT"/>
        </w:rPr>
        <w:fldChar w:fldCharType="end"/>
      </w:r>
      <w:r w:rsidRPr="00CB0D45">
        <w:rPr>
          <w:b w:val="0"/>
          <w:i/>
          <w:lang w:val="lt-LT"/>
        </w:rPr>
        <w:t>. Rekomenduojamų teisės aktų pakeitimų sąrašas savivaldybių viešųjų pastatų modernizavimo finansinės priemonės įgyvendinimui.</w:t>
      </w:r>
      <w:bookmarkEnd w:id="435"/>
      <w:bookmarkEnd w:id="436"/>
      <w:r w:rsidRPr="00CB0D45">
        <w:rPr>
          <w:b w:val="0"/>
          <w:i/>
          <w:lang w:val="lt-LT"/>
        </w:rPr>
        <w:t xml:space="preserve"> </w:t>
      </w:r>
    </w:p>
    <w:tbl>
      <w:tblPr>
        <w:tblStyle w:val="LightList-Accent21"/>
        <w:tblW w:w="5003" w:type="pct"/>
        <w:tblLook w:val="04A0" w:firstRow="1" w:lastRow="0" w:firstColumn="1" w:lastColumn="0" w:noHBand="0" w:noVBand="1"/>
      </w:tblPr>
      <w:tblGrid>
        <w:gridCol w:w="550"/>
        <w:gridCol w:w="2889"/>
        <w:gridCol w:w="3987"/>
        <w:gridCol w:w="2462"/>
      </w:tblGrid>
      <w:tr w:rsidR="0006117A" w:rsidRPr="009975AC" w14:paraId="354510A6" w14:textId="77777777" w:rsidTr="00837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6214F2CA" w14:textId="77777777" w:rsidR="0006117A" w:rsidRPr="002A2E90" w:rsidRDefault="0006117A" w:rsidP="007E38FC">
            <w:pPr>
              <w:spacing w:before="60" w:after="60"/>
              <w:jc w:val="center"/>
              <w:rPr>
                <w:rFonts w:ascii="Georgia" w:hAnsi="Georgia"/>
                <w:b w:val="0"/>
                <w:sz w:val="18"/>
              </w:rPr>
            </w:pPr>
            <w:r w:rsidRPr="002A2E90">
              <w:rPr>
                <w:rFonts w:ascii="Georgia" w:hAnsi="Georgia"/>
                <w:sz w:val="18"/>
              </w:rPr>
              <w:t>Nr.</w:t>
            </w:r>
          </w:p>
        </w:tc>
        <w:tc>
          <w:tcPr>
            <w:tcW w:w="1461" w:type="pct"/>
          </w:tcPr>
          <w:p w14:paraId="58B32073" w14:textId="77777777" w:rsidR="0006117A" w:rsidRPr="002A2E90" w:rsidRDefault="0006117A" w:rsidP="007E38FC">
            <w:pPr>
              <w:spacing w:before="60" w:after="60"/>
              <w:jc w:val="center"/>
              <w:cnfStyle w:val="100000000000" w:firstRow="1" w:lastRow="0" w:firstColumn="0" w:lastColumn="0" w:oddVBand="0" w:evenVBand="0" w:oddHBand="0" w:evenHBand="0" w:firstRowFirstColumn="0" w:firstRowLastColumn="0" w:lastRowFirstColumn="0" w:lastRowLastColumn="0"/>
              <w:rPr>
                <w:rFonts w:ascii="Georgia" w:hAnsi="Georgia"/>
                <w:b w:val="0"/>
                <w:sz w:val="18"/>
              </w:rPr>
            </w:pPr>
            <w:r w:rsidRPr="002A2E90">
              <w:rPr>
                <w:rFonts w:ascii="Georgia" w:hAnsi="Georgia"/>
                <w:sz w:val="18"/>
              </w:rPr>
              <w:t>Teisės aktas</w:t>
            </w:r>
          </w:p>
        </w:tc>
        <w:tc>
          <w:tcPr>
            <w:tcW w:w="2016" w:type="pct"/>
          </w:tcPr>
          <w:p w14:paraId="6AF0B949" w14:textId="77777777" w:rsidR="0006117A" w:rsidRPr="002A2E90" w:rsidRDefault="0006117A" w:rsidP="007E38FC">
            <w:pPr>
              <w:spacing w:before="60" w:after="60"/>
              <w:jc w:val="center"/>
              <w:cnfStyle w:val="100000000000" w:firstRow="1" w:lastRow="0" w:firstColumn="0" w:lastColumn="0" w:oddVBand="0" w:evenVBand="0" w:oddHBand="0" w:evenHBand="0" w:firstRowFirstColumn="0" w:firstRowLastColumn="0" w:lastRowFirstColumn="0" w:lastRowLastColumn="0"/>
              <w:rPr>
                <w:rFonts w:ascii="Georgia" w:hAnsi="Georgia"/>
                <w:b w:val="0"/>
                <w:sz w:val="18"/>
              </w:rPr>
            </w:pPr>
            <w:r w:rsidRPr="002A2E90">
              <w:rPr>
                <w:rFonts w:ascii="Georgia" w:hAnsi="Georgia"/>
                <w:sz w:val="18"/>
              </w:rPr>
              <w:t>Siūlomo pakeitimo turinys</w:t>
            </w:r>
          </w:p>
        </w:tc>
        <w:tc>
          <w:tcPr>
            <w:tcW w:w="1245" w:type="pct"/>
          </w:tcPr>
          <w:p w14:paraId="300119BC" w14:textId="77777777" w:rsidR="0006117A" w:rsidRPr="002A2E90" w:rsidRDefault="0006117A" w:rsidP="007E38FC">
            <w:pPr>
              <w:spacing w:before="60" w:after="60"/>
              <w:jc w:val="center"/>
              <w:cnfStyle w:val="100000000000" w:firstRow="1"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Statusas</w:t>
            </w:r>
          </w:p>
        </w:tc>
      </w:tr>
      <w:tr w:rsidR="0006117A" w:rsidRPr="009975AC" w14:paraId="11D73EE6" w14:textId="77777777" w:rsidTr="00837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5" w:type="pct"/>
            <w:gridSpan w:val="3"/>
          </w:tcPr>
          <w:p w14:paraId="359C717E" w14:textId="77777777" w:rsidR="0006117A" w:rsidRPr="002A2E90" w:rsidRDefault="0006117A" w:rsidP="007E38FC">
            <w:pPr>
              <w:spacing w:before="60" w:after="60"/>
              <w:jc w:val="both"/>
              <w:rPr>
                <w:rFonts w:ascii="Georgia" w:hAnsi="Georgia"/>
                <w:b w:val="0"/>
                <w:i/>
                <w:sz w:val="18"/>
              </w:rPr>
            </w:pPr>
            <w:r w:rsidRPr="002A2E90">
              <w:rPr>
                <w:rFonts w:ascii="Georgia" w:hAnsi="Georgia"/>
                <w:i/>
                <w:sz w:val="18"/>
              </w:rPr>
              <w:t>Siūlomi keisti teisės aktai</w:t>
            </w:r>
          </w:p>
        </w:tc>
        <w:tc>
          <w:tcPr>
            <w:tcW w:w="1245" w:type="pct"/>
          </w:tcPr>
          <w:p w14:paraId="4DBAC9A9"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p>
        </w:tc>
      </w:tr>
      <w:tr w:rsidR="0006117A" w:rsidRPr="009975AC" w14:paraId="07B65831" w14:textId="77777777" w:rsidTr="008377C9">
        <w:tc>
          <w:tcPr>
            <w:cnfStyle w:val="001000000000" w:firstRow="0" w:lastRow="0" w:firstColumn="1" w:lastColumn="0" w:oddVBand="0" w:evenVBand="0" w:oddHBand="0" w:evenHBand="0" w:firstRowFirstColumn="0" w:firstRowLastColumn="0" w:lastRowFirstColumn="0" w:lastRowLastColumn="0"/>
            <w:tcW w:w="278" w:type="pct"/>
          </w:tcPr>
          <w:p w14:paraId="0994C39E"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2B213182"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i/>
                <w:sz w:val="18"/>
              </w:rPr>
              <w:t>Biudžeto sandaros įstatymas</w:t>
            </w:r>
            <w:r w:rsidRPr="002A2E90">
              <w:rPr>
                <w:rFonts w:ascii="Georgia" w:hAnsi="Georgia"/>
                <w:sz w:val="18"/>
              </w:rPr>
              <w:t xml:space="preserve"> </w:t>
            </w:r>
          </w:p>
          <w:p w14:paraId="3375090A"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p>
          <w:p w14:paraId="2BE8A30B"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2A2E90">
              <w:rPr>
                <w:rFonts w:ascii="Georgia" w:hAnsi="Georgia"/>
                <w:b/>
                <w:sz w:val="18"/>
                <w:u w:val="single"/>
              </w:rPr>
              <w:t>Pastaba</w:t>
            </w:r>
            <w:r w:rsidRPr="002A2E90">
              <w:rPr>
                <w:rFonts w:ascii="Georgia" w:hAnsi="Georgia"/>
                <w:sz w:val="18"/>
              </w:rPr>
              <w:t xml:space="preserve">: Siūloma keisti Biudžeto sandaros įstatymą, o ne įtvirtinti išimtį Finansinių rodiklių patvirtinimo įstatyme (kaip tai numatyta įgyvendinant projektus su ES struktūrinių fondų pagalba), kuris priimamas kiekvienais metais, tam kad būtų užtikrintas ilgalaikis įsipareigojimas, neįtraukti į skolą energinio efektyvumo didinimui finansuoti imamų paskolų, kurios grąžinamos sutaupymų sąskaita. </w:t>
            </w:r>
          </w:p>
        </w:tc>
        <w:tc>
          <w:tcPr>
            <w:tcW w:w="2016" w:type="pct"/>
          </w:tcPr>
          <w:p w14:paraId="16C3B1BE"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Pakeitimai turi numatyti galimybę įgyvendinus energinio efektyvumo projektus sutaupytų asignavimų negrąžinti į biudžetą bei juos toliau naudoti investicijų į energetinio efektyvumo projektus grąžai. Siūloma:</w:t>
            </w:r>
          </w:p>
          <w:p w14:paraId="6C868A35" w14:textId="77777777" w:rsidR="0006117A" w:rsidRPr="002A2E90" w:rsidRDefault="0006117A" w:rsidP="0006117A">
            <w:pPr>
              <w:pStyle w:val="Sraopastraipa"/>
              <w:numPr>
                <w:ilvl w:val="0"/>
                <w:numId w:val="107"/>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numatyti išimtį, kad skolinimasis energinio efektyvumo didinimui nebūtų įtraukiamas į savivaldybių bendruosius skolinimosi limitus, jeigu paskolos grąžinamos energijos sutaupymų sąskaita.</w:t>
            </w:r>
          </w:p>
          <w:p w14:paraId="0070F856" w14:textId="77777777" w:rsidR="0006117A" w:rsidRPr="002A2E90" w:rsidRDefault="0006117A" w:rsidP="0006117A">
            <w:pPr>
              <w:pStyle w:val="Sraopastraipa"/>
              <w:numPr>
                <w:ilvl w:val="0"/>
                <w:numId w:val="107"/>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į biudžetą negražinamų lėšų sąrašą įtraukti ne tik pajamas bet ir numatomus sutaupymus, t. y. kad programa galėtų būti finansuojama iš sutaupymų – „konkrečios valstybės biudžeto arba savivaldybės biudžeto pajamų ar sutaupymų</w:t>
            </w:r>
            <w:r w:rsidRPr="002A2E90">
              <w:rPr>
                <w:rFonts w:ascii="Georgia" w:hAnsi="Georgia"/>
                <w:b/>
                <w:sz w:val="18"/>
              </w:rPr>
              <w:t xml:space="preserve"> </w:t>
            </w:r>
            <w:r w:rsidRPr="002A2E90">
              <w:rPr>
                <w:rFonts w:ascii="Georgia" w:hAnsi="Georgia"/>
                <w:sz w:val="18"/>
              </w:rPr>
              <w:t xml:space="preserve">dalies, kurios panaudojimo apimtis ir paskirtis </w:t>
            </w:r>
            <w:r w:rsidRPr="002A2E90">
              <w:rPr>
                <w:rFonts w:ascii="Georgia" w:hAnsi="Georgia"/>
                <w:sz w:val="18"/>
              </w:rPr>
              <w:lastRenderedPageBreak/>
              <w:t>nurodyta įstatyme, Vyriausybės nutarime ar savivaldybės tarybos sprendime“ (dėl formuluotės reikia papildomų diskusijų).</w:t>
            </w:r>
          </w:p>
        </w:tc>
        <w:tc>
          <w:tcPr>
            <w:tcW w:w="1245" w:type="pct"/>
          </w:tcPr>
          <w:p w14:paraId="08F3B012"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lastRenderedPageBreak/>
              <w:t>Nepakeistas</w:t>
            </w:r>
          </w:p>
        </w:tc>
      </w:tr>
      <w:tr w:rsidR="0006117A" w:rsidRPr="009975AC" w14:paraId="0EE9B95C" w14:textId="77777777" w:rsidTr="00837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796210DF"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422E44FE"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2A2E90">
              <w:rPr>
                <w:rFonts w:ascii="Georgia" w:hAnsi="Georgia"/>
                <w:i/>
                <w:sz w:val="18"/>
                <w:szCs w:val="18"/>
              </w:rPr>
              <w:t>Energijos efektyvumo įstatymo projektas</w:t>
            </w:r>
            <w:r w:rsidRPr="002A2E90">
              <w:rPr>
                <w:rFonts w:ascii="Georgia" w:hAnsi="Georgia"/>
                <w:sz w:val="18"/>
                <w:szCs w:val="18"/>
              </w:rPr>
              <w:t xml:space="preserve"> Nr. 14-3912</w:t>
            </w:r>
          </w:p>
          <w:p w14:paraId="04199DD1"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p>
        </w:tc>
        <w:tc>
          <w:tcPr>
            <w:tcW w:w="2016" w:type="pct"/>
          </w:tcPr>
          <w:p w14:paraId="65C810B9"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Projektas papildomas įtraukiant savivaldybių viešuosius pastatus, bei numatant jiems energijos efektyvumo didinimo tikslus.</w:t>
            </w:r>
          </w:p>
        </w:tc>
        <w:tc>
          <w:tcPr>
            <w:tcW w:w="1245" w:type="pct"/>
          </w:tcPr>
          <w:p w14:paraId="47367315"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 xml:space="preserve"> Energijos vartojimo efektyvumo didinimo įstatymas neįtvirtina nu</w:t>
            </w:r>
            <w:r>
              <w:rPr>
                <w:rFonts w:ascii="Georgia" w:hAnsi="Georgia"/>
                <w:sz w:val="18"/>
              </w:rPr>
              <w:t>o</w:t>
            </w:r>
            <w:r w:rsidRPr="002A2E90">
              <w:rPr>
                <w:rFonts w:ascii="Georgia" w:hAnsi="Georgia"/>
                <w:sz w:val="18"/>
              </w:rPr>
              <w:t>statų</w:t>
            </w:r>
            <w:r>
              <w:rPr>
                <w:rFonts w:ascii="Georgia" w:hAnsi="Georgia"/>
                <w:sz w:val="18"/>
              </w:rPr>
              <w:t>,</w:t>
            </w:r>
            <w:r w:rsidRPr="002A2E90">
              <w:rPr>
                <w:rFonts w:ascii="Georgia" w:hAnsi="Georgia"/>
                <w:sz w:val="18"/>
              </w:rPr>
              <w:t xml:space="preserve"> susijusių su savivaldybių pastatų modernizavimu (numato tik valstybės pastatų energijos efektyvumo didinimą).</w:t>
            </w:r>
          </w:p>
        </w:tc>
      </w:tr>
      <w:tr w:rsidR="0006117A" w:rsidRPr="009975AC" w14:paraId="39311579" w14:textId="77777777" w:rsidTr="008377C9">
        <w:tc>
          <w:tcPr>
            <w:cnfStyle w:val="001000000000" w:firstRow="0" w:lastRow="0" w:firstColumn="1" w:lastColumn="0" w:oddVBand="0" w:evenVBand="0" w:oddHBand="0" w:evenHBand="0" w:firstRowFirstColumn="0" w:firstRowLastColumn="0" w:lastRowFirstColumn="0" w:lastRowLastColumn="0"/>
            <w:tcW w:w="278" w:type="pct"/>
          </w:tcPr>
          <w:p w14:paraId="3778B1E6"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2C4D963A"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2A2E90">
              <w:rPr>
                <w:rFonts w:ascii="Georgia" w:hAnsi="Georgia"/>
                <w:i/>
                <w:sz w:val="18"/>
              </w:rPr>
              <w:t xml:space="preserve">Valstybės ir savivaldybių turto valdymo, naudojimo ir disponavimo juo įstatymas </w:t>
            </w:r>
          </w:p>
        </w:tc>
        <w:tc>
          <w:tcPr>
            <w:tcW w:w="2016" w:type="pct"/>
          </w:tcPr>
          <w:p w14:paraId="37890876"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Išplėsti efektyvaus bei racionalaus valstybės ir savivaldybių nekilnojamojo turto valdymo apibrėžimą. Numatyti, savivaldybių nekilnojamojo turto atnaujinimo principus bei prievolę atnaujinti valstybei ar savivaldybėms priklausantį nekilnojamąjį turtą, kad būtų įgyvendinti bent minimalūs pastatų energinio naudingumo reikalavimai, nurodyti statybos įstatyme (bei apibrėžiant reikalavimus dėl įsipareigojimų, atnaujinimui finansuoti).</w:t>
            </w:r>
          </w:p>
        </w:tc>
        <w:tc>
          <w:tcPr>
            <w:tcW w:w="1245" w:type="pct"/>
          </w:tcPr>
          <w:p w14:paraId="1F166518"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Nepakeistas</w:t>
            </w:r>
          </w:p>
        </w:tc>
      </w:tr>
      <w:tr w:rsidR="0006117A" w:rsidRPr="009975AC" w14:paraId="3234A57C" w14:textId="77777777" w:rsidTr="00837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2B118EF0"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5BA547B5"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r w:rsidRPr="002A2E90">
              <w:rPr>
                <w:rFonts w:ascii="Georgia" w:hAnsi="Georgia"/>
                <w:i/>
                <w:sz w:val="18"/>
              </w:rPr>
              <w:t xml:space="preserve">Vietos savivaldos įstatymas </w:t>
            </w:r>
          </w:p>
        </w:tc>
        <w:tc>
          <w:tcPr>
            <w:tcW w:w="2016" w:type="pct"/>
          </w:tcPr>
          <w:p w14:paraId="6EBCBF45"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Pakeitimais siekiama sudaryti sąlygas savivaldybėms skolintis programų, generuojančių išlaidų sutaupymus (t. y. energinio efektyvumo programų), įgyvendinimui bei negrąžinti įgyvendinant energinio efektyvumo programas sutaupytų asignavimų į biudžetą. Siūloma:</w:t>
            </w:r>
          </w:p>
          <w:p w14:paraId="5A02B612" w14:textId="77777777" w:rsidR="0006117A" w:rsidRPr="002A2E90" w:rsidRDefault="0006117A" w:rsidP="0006117A">
            <w:pPr>
              <w:pStyle w:val="Sraopastraipa"/>
              <w:numPr>
                <w:ilvl w:val="0"/>
                <w:numId w:val="108"/>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numatyti savivaldybės tarybai teisę priimti sprendimus dėl paskolų ėmimo energijos efektyvumo didinimo projektams įgyvendinti, pagal energinio efektyvumo didinimo programas.</w:t>
            </w:r>
          </w:p>
          <w:p w14:paraId="350FC20E" w14:textId="77777777" w:rsidR="0006117A" w:rsidRPr="002A2E90" w:rsidRDefault="0006117A" w:rsidP="0006117A">
            <w:pPr>
              <w:pStyle w:val="Sraopastraipa"/>
              <w:numPr>
                <w:ilvl w:val="0"/>
                <w:numId w:val="108"/>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Numatyti, kad papildomos ir planą viršijančios biudžeto pajamos, gautos vykdant biudžetą, taip pat sutaupytos lėšos (išlaidos) ir nepanaudotos savivaldybių asignavimų lėšos, skirtos įgyvendinti savivaldybių energinio naudingumo didinimo programas, lieka savivaldybėms, išskyrus kitus įstatymuose nustatytus atvejus“.</w:t>
            </w:r>
          </w:p>
        </w:tc>
        <w:tc>
          <w:tcPr>
            <w:tcW w:w="1245" w:type="pct"/>
          </w:tcPr>
          <w:p w14:paraId="3894740B"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Nepakeistas</w:t>
            </w:r>
          </w:p>
        </w:tc>
      </w:tr>
      <w:tr w:rsidR="0006117A" w:rsidRPr="009975AC" w14:paraId="157DE3D8" w14:textId="77777777" w:rsidTr="008377C9">
        <w:tc>
          <w:tcPr>
            <w:cnfStyle w:val="001000000000" w:firstRow="0" w:lastRow="0" w:firstColumn="1" w:lastColumn="0" w:oddVBand="0" w:evenVBand="0" w:oddHBand="0" w:evenHBand="0" w:firstRowFirstColumn="0" w:firstRowLastColumn="0" w:lastRowFirstColumn="0" w:lastRowLastColumn="0"/>
            <w:tcW w:w="278" w:type="pct"/>
          </w:tcPr>
          <w:p w14:paraId="28BD5792"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02D5477F" w14:textId="7D84B8C6" w:rsidR="0006117A" w:rsidRPr="002A2E90" w:rsidRDefault="0006117A" w:rsidP="004258D3">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2A2E90">
              <w:rPr>
                <w:rFonts w:ascii="Georgia" w:hAnsi="Georgia"/>
                <w:i/>
                <w:sz w:val="18"/>
              </w:rPr>
              <w:t>Viešųjų pastatų energinio efektyvumo didinimo programa</w:t>
            </w:r>
            <w:r w:rsidRPr="002A2E90">
              <w:rPr>
                <w:rFonts w:ascii="Georgia" w:hAnsi="Georgia"/>
                <w:sz w:val="18"/>
              </w:rPr>
              <w:t xml:space="preserve">, patvirtinta 2014 m. lapkričio 26 d. Vyriausybės nutarimu Nr. 1328 </w:t>
            </w:r>
          </w:p>
        </w:tc>
        <w:tc>
          <w:tcPr>
            <w:tcW w:w="2016" w:type="pct"/>
          </w:tcPr>
          <w:p w14:paraId="4B24833E"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 xml:space="preserve">Parinkus galimą savivaldybių viešųjų pastatų atnaujinimo projektų įgyvendinimo alternatyvą, gali būti reikalinga numatyti taikytinų modelių principus, suteikti įgaliojimus ministerijai patvirtinti paramos teikimo taisykles ir pan. </w:t>
            </w:r>
          </w:p>
          <w:p w14:paraId="52CBAC87" w14:textId="67B180E8"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p>
        </w:tc>
        <w:tc>
          <w:tcPr>
            <w:tcW w:w="1245" w:type="pct"/>
          </w:tcPr>
          <w:p w14:paraId="6AA6A110" w14:textId="084C9C46" w:rsidR="0006117A" w:rsidRPr="002A2E90" w:rsidRDefault="0006117A" w:rsidP="00600440">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 xml:space="preserve">Programoje yra numatyti savivaldybių viešųjų pastatų strateginiai tiksliai, tačiau nėra detalizuotos įgyvendinimo alternatyvos. Tai nustatyti pavesta </w:t>
            </w:r>
            <w:r w:rsidR="00600440">
              <w:rPr>
                <w:rFonts w:ascii="Georgia" w:hAnsi="Georgia"/>
                <w:sz w:val="18"/>
              </w:rPr>
              <w:t>A</w:t>
            </w:r>
            <w:r w:rsidRPr="002A2E90">
              <w:rPr>
                <w:rFonts w:ascii="Georgia" w:hAnsi="Georgia"/>
                <w:sz w:val="18"/>
              </w:rPr>
              <w:t>plinkos ministerijai.</w:t>
            </w:r>
          </w:p>
        </w:tc>
      </w:tr>
      <w:tr w:rsidR="0006117A" w:rsidRPr="009975AC" w14:paraId="0B913CEA" w14:textId="77777777" w:rsidTr="00837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5" w:type="pct"/>
            <w:gridSpan w:val="3"/>
          </w:tcPr>
          <w:p w14:paraId="199A80B4" w14:textId="77777777" w:rsidR="0006117A" w:rsidRPr="002A2E90" w:rsidRDefault="0006117A" w:rsidP="007E38FC">
            <w:pPr>
              <w:spacing w:before="60" w:after="60"/>
              <w:jc w:val="both"/>
              <w:rPr>
                <w:rFonts w:ascii="Georgia" w:hAnsi="Georgia"/>
                <w:b w:val="0"/>
                <w:i/>
                <w:sz w:val="18"/>
              </w:rPr>
            </w:pPr>
            <w:r w:rsidRPr="002A2E90">
              <w:rPr>
                <w:rFonts w:ascii="Georgia" w:hAnsi="Georgia"/>
                <w:i/>
                <w:sz w:val="18"/>
              </w:rPr>
              <w:t>Siūlomi priimti nauji teisės aktai</w:t>
            </w:r>
          </w:p>
        </w:tc>
        <w:tc>
          <w:tcPr>
            <w:tcW w:w="1245" w:type="pct"/>
          </w:tcPr>
          <w:p w14:paraId="57484BD0"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p>
        </w:tc>
      </w:tr>
      <w:tr w:rsidR="0006117A" w:rsidRPr="009975AC" w14:paraId="5E0136BA" w14:textId="77777777" w:rsidTr="008377C9">
        <w:tc>
          <w:tcPr>
            <w:cnfStyle w:val="001000000000" w:firstRow="0" w:lastRow="0" w:firstColumn="1" w:lastColumn="0" w:oddVBand="0" w:evenVBand="0" w:oddHBand="0" w:evenHBand="0" w:firstRowFirstColumn="0" w:firstRowLastColumn="0" w:lastRowFirstColumn="0" w:lastRowLastColumn="0"/>
            <w:tcW w:w="278" w:type="pct"/>
          </w:tcPr>
          <w:p w14:paraId="5DDA8205"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22BAEFAE"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i/>
                <w:sz w:val="18"/>
              </w:rPr>
              <w:t>Valstybės paramos savivaldybių viešųjų pastatų atnaujinimo (modernizavimui) teikimo taisyklės</w:t>
            </w:r>
            <w:r w:rsidRPr="002A2E90">
              <w:rPr>
                <w:rFonts w:ascii="Georgia" w:hAnsi="Georgia"/>
                <w:sz w:val="18"/>
              </w:rPr>
              <w:t xml:space="preserve">. </w:t>
            </w:r>
          </w:p>
          <w:p w14:paraId="7889B555"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Siūloma, kad jos būtų tvirtinamos Vyriausybės nutarimu ar ministro įsakymu.</w:t>
            </w:r>
          </w:p>
        </w:tc>
        <w:tc>
          <w:tcPr>
            <w:tcW w:w="2016" w:type="pct"/>
          </w:tcPr>
          <w:p w14:paraId="55FE76E3"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Taisyklėse turėtų būti nustatyta, kokie subjektai ir kokiomis sąlygomis gali gauti lengvatines paskolas bei subsidijas.</w:t>
            </w:r>
          </w:p>
        </w:tc>
        <w:tc>
          <w:tcPr>
            <w:tcW w:w="1245" w:type="pct"/>
          </w:tcPr>
          <w:p w14:paraId="1E23C9CB" w14:textId="77777777" w:rsidR="0006117A" w:rsidRPr="002A2E90" w:rsidRDefault="0006117A" w:rsidP="007E38FC">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2A2E90">
              <w:rPr>
                <w:rFonts w:ascii="Georgia" w:hAnsi="Georgia"/>
                <w:sz w:val="18"/>
              </w:rPr>
              <w:t>2015 m. birželio 11 d. įsigaliojo Savivaldybių viešųjų pastatų energinio efektyvumo didinimo projektų rengimo ir atrankos tvarkos aprašas, patvirtintas Aplinkos ministro įsakymu</w:t>
            </w:r>
          </w:p>
        </w:tc>
      </w:tr>
      <w:tr w:rsidR="0006117A" w:rsidRPr="009975AC" w14:paraId="2D6CE7AB" w14:textId="77777777" w:rsidTr="00837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6F9D706F" w14:textId="77777777" w:rsidR="0006117A" w:rsidRPr="002A2E90" w:rsidRDefault="0006117A" w:rsidP="0006117A">
            <w:pPr>
              <w:pStyle w:val="Sraopastraipa"/>
              <w:numPr>
                <w:ilvl w:val="0"/>
                <w:numId w:val="106"/>
              </w:numPr>
              <w:spacing w:before="60" w:after="60"/>
              <w:ind w:left="284" w:hanging="218"/>
              <w:contextualSpacing w:val="0"/>
              <w:jc w:val="both"/>
              <w:rPr>
                <w:rFonts w:ascii="Georgia" w:hAnsi="Georgia"/>
                <w:sz w:val="18"/>
              </w:rPr>
            </w:pPr>
          </w:p>
        </w:tc>
        <w:tc>
          <w:tcPr>
            <w:tcW w:w="1461" w:type="pct"/>
          </w:tcPr>
          <w:p w14:paraId="05EF3DA0"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t xml:space="preserve">ESCO įmonių veiklos reguliavimui reikalingų teisės aktų (gali būti reikalingi </w:t>
            </w:r>
            <w:r w:rsidRPr="002A2E90">
              <w:rPr>
                <w:rFonts w:ascii="Georgia" w:hAnsi="Georgia"/>
                <w:sz w:val="18"/>
              </w:rPr>
              <w:lastRenderedPageBreak/>
              <w:t>įstatymų, Vyriausybės nutarimų ir ministro įsakymų pakeitimai) pakeitimai.</w:t>
            </w:r>
          </w:p>
        </w:tc>
        <w:tc>
          <w:tcPr>
            <w:tcW w:w="2016" w:type="pct"/>
          </w:tcPr>
          <w:p w14:paraId="461BDACC"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lastRenderedPageBreak/>
              <w:t xml:space="preserve">Bendradarbiaujant su kitomis ministerijomis, Aplinkos ministerija turi teikti pasiūlymus siekdama užtikrinti savivaldybių viešųjų </w:t>
            </w:r>
            <w:r w:rsidRPr="002A2E90">
              <w:rPr>
                <w:rFonts w:ascii="Georgia" w:hAnsi="Georgia"/>
                <w:sz w:val="18"/>
              </w:rPr>
              <w:lastRenderedPageBreak/>
              <w:t xml:space="preserve">pastatų energinio efektyvumo projektų įgyvendinimą. </w:t>
            </w:r>
          </w:p>
        </w:tc>
        <w:tc>
          <w:tcPr>
            <w:tcW w:w="1245" w:type="pct"/>
          </w:tcPr>
          <w:p w14:paraId="35A59C60" w14:textId="77777777" w:rsidR="0006117A" w:rsidRPr="002A2E90" w:rsidRDefault="0006117A" w:rsidP="007E38FC">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2A2E90">
              <w:rPr>
                <w:rFonts w:ascii="Georgia" w:hAnsi="Georgia"/>
                <w:sz w:val="18"/>
              </w:rPr>
              <w:lastRenderedPageBreak/>
              <w:t>-</w:t>
            </w:r>
          </w:p>
        </w:tc>
      </w:tr>
    </w:tbl>
    <w:p w14:paraId="460047F6" w14:textId="77777777" w:rsidR="0006117A" w:rsidRPr="00760316" w:rsidRDefault="0006117A" w:rsidP="0006117A">
      <w:pPr>
        <w:jc w:val="both"/>
        <w:rPr>
          <w:rFonts w:ascii="Georgia" w:hAnsi="Georgia"/>
          <w:sz w:val="20"/>
          <w:lang w:val="lt-LT"/>
        </w:rPr>
      </w:pPr>
    </w:p>
    <w:p w14:paraId="13D59517" w14:textId="77777777" w:rsidR="0006117A" w:rsidRPr="00760316" w:rsidRDefault="0006117A" w:rsidP="0006117A">
      <w:pPr>
        <w:jc w:val="both"/>
        <w:rPr>
          <w:rFonts w:ascii="Georgia" w:hAnsi="Georgia"/>
          <w:sz w:val="20"/>
          <w:lang w:val="lt-LT"/>
        </w:rPr>
      </w:pPr>
      <w:r>
        <w:rPr>
          <w:rFonts w:ascii="Georgia" w:hAnsi="Georgia"/>
          <w:sz w:val="20"/>
          <w:lang w:val="lt-LT"/>
        </w:rPr>
        <w:t xml:space="preserve">Vienas pagrindinių teisės aktų pakeitimų, leisiančių savivaldybėms pasinaudoti savivaldybių pastatų renovacijos finansine priemone yra LR </w:t>
      </w:r>
      <w:r w:rsidRPr="00F058A3">
        <w:rPr>
          <w:rFonts w:ascii="Georgia" w:hAnsi="Georgia"/>
          <w:sz w:val="20"/>
          <w:lang w:val="lt-LT"/>
        </w:rPr>
        <w:t>Biudžeto sandaros įstatymas</w:t>
      </w:r>
      <w:r>
        <w:rPr>
          <w:rFonts w:ascii="Georgia" w:hAnsi="Georgia"/>
          <w:sz w:val="20"/>
          <w:lang w:val="lt-LT"/>
        </w:rPr>
        <w:t>. Šis įstatymas leistų skolintis savivaldybėms, kurių skolinimosi limitas yra išnaudotas.</w:t>
      </w:r>
    </w:p>
    <w:p w14:paraId="03C55C57" w14:textId="77777777" w:rsidR="0006117A" w:rsidRPr="00CA0B2F" w:rsidRDefault="0006117A" w:rsidP="0006117A">
      <w:pPr>
        <w:jc w:val="both"/>
        <w:rPr>
          <w:rFonts w:ascii="Georgia" w:hAnsi="Georgia"/>
          <w:sz w:val="20"/>
          <w:lang w:val="lt-LT"/>
        </w:rPr>
      </w:pPr>
      <w:r w:rsidRPr="00760316">
        <w:rPr>
          <w:rFonts w:ascii="Georgia" w:hAnsi="Georgia"/>
          <w:sz w:val="20"/>
          <w:lang w:val="lt-LT"/>
        </w:rPr>
        <w:t>Siūlomas teisės aktų pakeitimo / priėmimo sąrašas yra rekomendacinis, ir gali būti papildomas pagal poreikį. Ministerijos tur</w:t>
      </w:r>
      <w:r>
        <w:rPr>
          <w:rFonts w:ascii="Georgia" w:hAnsi="Georgia"/>
          <w:sz w:val="20"/>
          <w:lang w:val="lt-LT"/>
        </w:rPr>
        <w:t>ėtų</w:t>
      </w:r>
      <w:r w:rsidRPr="00760316">
        <w:rPr>
          <w:rFonts w:ascii="Georgia" w:hAnsi="Georgia"/>
          <w:sz w:val="20"/>
          <w:lang w:val="lt-LT"/>
        </w:rPr>
        <w:t xml:space="preserve"> atsižvelgti, kad įgyvendinant įstatymo pakeitimus </w:t>
      </w:r>
      <w:r>
        <w:rPr>
          <w:rFonts w:ascii="Georgia" w:hAnsi="Georgia"/>
          <w:sz w:val="20"/>
          <w:lang w:val="lt-LT"/>
        </w:rPr>
        <w:t xml:space="preserve">gali </w:t>
      </w:r>
      <w:r w:rsidRPr="00760316">
        <w:rPr>
          <w:rFonts w:ascii="Georgia" w:hAnsi="Georgia"/>
          <w:sz w:val="20"/>
          <w:lang w:val="lt-LT"/>
        </w:rPr>
        <w:t>atsiras</w:t>
      </w:r>
      <w:r>
        <w:rPr>
          <w:rFonts w:ascii="Georgia" w:hAnsi="Georgia"/>
          <w:sz w:val="20"/>
          <w:lang w:val="lt-LT"/>
        </w:rPr>
        <w:t>ti</w:t>
      </w:r>
      <w:r w:rsidRPr="00760316">
        <w:rPr>
          <w:rFonts w:ascii="Georgia" w:hAnsi="Georgia"/>
          <w:sz w:val="20"/>
          <w:lang w:val="lt-LT"/>
        </w:rPr>
        <w:t xml:space="preserve"> poreikis daryti pakeitimus ir kai kuriuose jų įgyvendinimą reglamentuojančiuose teisės aktuose: Valstybės biudžeto ir savivaldybių biudžetų sudarymo ir vykdymo tvarkoje, Savivaldybių skolinimosi taisyklėse ir pan.</w:t>
      </w:r>
    </w:p>
    <w:p w14:paraId="457425EF" w14:textId="77777777" w:rsidR="0006117A" w:rsidRDefault="0006117A" w:rsidP="0006117A">
      <w:pPr>
        <w:pStyle w:val="prastasis1"/>
        <w:spacing w:line="276" w:lineRule="auto"/>
        <w:jc w:val="both"/>
        <w:rPr>
          <w:rFonts w:ascii="Georgia" w:hAnsi="Georgia"/>
          <w:sz w:val="20"/>
          <w:szCs w:val="20"/>
        </w:rPr>
      </w:pPr>
      <w:r w:rsidRPr="00F058A3">
        <w:rPr>
          <w:rFonts w:ascii="Georgia" w:hAnsi="Georgia"/>
          <w:sz w:val="20"/>
          <w:szCs w:val="20"/>
        </w:rPr>
        <w:t>Nagrinėjant įvairių finansinių priemonių galimybes finansuoti savivaldybių įgyvendinamus projektus vienas iš esminių kylančių klausimų yra savivaldybių finansinė padėtis. Savivaldybių skolinimosi limitai bei faktinė savivaldybių įsiskolinimo padėtis 201</w:t>
      </w:r>
      <w:r>
        <w:rPr>
          <w:rFonts w:ascii="Georgia" w:hAnsi="Georgia"/>
          <w:sz w:val="20"/>
          <w:szCs w:val="20"/>
        </w:rPr>
        <w:t>7</w:t>
      </w:r>
      <w:r w:rsidRPr="00F058A3">
        <w:rPr>
          <w:rFonts w:ascii="Georgia" w:hAnsi="Georgia"/>
          <w:sz w:val="20"/>
          <w:szCs w:val="20"/>
        </w:rPr>
        <w:t xml:space="preserve"> m. yra aptarti 2.2.2.2. skyriuje. 2014 m. lapkričio 6 d. buvo patvirtintas Lietuvos Respublikos fiskalinės sutarties įgyvendinimo Konstitucinis įstatymas (Nr. XII-1289), kurio paskirtis užtikrinti valdžios sektoriaus finansų tvarumą, stabilią ūkio plėtrą ir įgyvendinti 2012 m. kovo 2 d. sutartį dėl stabilumo, koordinavimo ir valdysenos ekonominėje ir pinigų sąjungoje. </w:t>
      </w:r>
      <w:r>
        <w:rPr>
          <w:rFonts w:ascii="Georgia" w:hAnsi="Georgia"/>
          <w:sz w:val="20"/>
          <w:szCs w:val="20"/>
        </w:rPr>
        <w:t>Aukščiau pateikti teisės aktų pakeitimai neprieštarauja minėtam įstatymui, kadangi skolinimasis energetinio efektyvumo projektams neturi padidinti išlaidų (įskaitant paskolos aptarnavimą), o netgi atvirkščiai, išmokėjus paskolą išlaidos sumažėja (tam tikrais atvejais išlaidos sumažėja jau paskolos aptarnavimo laikotarpiu).</w:t>
      </w:r>
    </w:p>
    <w:p w14:paraId="13E021BC" w14:textId="77777777" w:rsidR="0006117A" w:rsidRPr="00DF3A8E" w:rsidRDefault="0006117A" w:rsidP="0006117A">
      <w:pPr>
        <w:pStyle w:val="Antrat2"/>
        <w:spacing w:after="240"/>
        <w:rPr>
          <w:lang w:val="lt-LT"/>
        </w:rPr>
      </w:pPr>
      <w:bookmarkStart w:id="437" w:name="_Toc417378458"/>
      <w:bookmarkStart w:id="438" w:name="_Toc25589989"/>
      <w:r>
        <w:rPr>
          <w:lang w:val="lt-LT"/>
        </w:rPr>
        <w:t xml:space="preserve">7.3.2. </w:t>
      </w:r>
      <w:r w:rsidRPr="00DF3A8E">
        <w:rPr>
          <w:lang w:val="lt-LT"/>
        </w:rPr>
        <w:t>Finansinio produkto parinkimas</w:t>
      </w:r>
      <w:bookmarkEnd w:id="437"/>
      <w:bookmarkEnd w:id="438"/>
    </w:p>
    <w:p w14:paraId="187AEFF5"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4-iame skyriuje buvo analizuojami ir vertinami įvairūs finansiniai produktai, skaičiuojamas jų multiplikatoriaus efektas bei galimybės pritraukti papildomas privačias lėšas. Savivaldybių viešųjų pastatų modernizavimo įgyvendinimui siūlomi finansiniai produktai, parinkti pagal geriausius kiekybinius ir kokybinius rezultatus, detalizuojami žemiau. </w:t>
      </w:r>
    </w:p>
    <w:p w14:paraId="3F54487F" w14:textId="77777777" w:rsidR="0006117A" w:rsidRPr="00AA32EA" w:rsidRDefault="0006117A" w:rsidP="0006117A">
      <w:pPr>
        <w:jc w:val="both"/>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 xml:space="preserve">Savivaldybių viešųjų </w:t>
      </w:r>
      <w:r w:rsidRPr="00AA32EA">
        <w:rPr>
          <w:rFonts w:ascii="Georgia" w:eastAsia="Times New Roman" w:hAnsi="Georgia" w:cs="Times New Roman"/>
          <w:b/>
          <w:sz w:val="20"/>
          <w:szCs w:val="20"/>
          <w:lang w:val="lt-LT" w:eastAsia="lt-LT"/>
        </w:rPr>
        <w:t>pastatų modernizavimas</w:t>
      </w:r>
    </w:p>
    <w:p w14:paraId="1F6DF659" w14:textId="159F389F" w:rsidR="0006117A" w:rsidRPr="00390353" w:rsidRDefault="0006117A" w:rsidP="0006117A">
      <w:pPr>
        <w:pStyle w:val="prastasis1"/>
        <w:spacing w:line="276" w:lineRule="auto"/>
        <w:jc w:val="both"/>
        <w:rPr>
          <w:rFonts w:ascii="Georgia" w:hAnsi="Georgia"/>
          <w:b/>
          <w:i/>
          <w:sz w:val="20"/>
          <w:szCs w:val="20"/>
        </w:rPr>
      </w:pPr>
      <w:r>
        <w:rPr>
          <w:rFonts w:ascii="Georgia" w:hAnsi="Georgia"/>
          <w:sz w:val="20"/>
          <w:szCs w:val="20"/>
        </w:rPr>
        <w:t>Savivaldybių v</w:t>
      </w:r>
      <w:r w:rsidRPr="00AC3318">
        <w:rPr>
          <w:rFonts w:ascii="Georgia" w:hAnsi="Georgia"/>
          <w:sz w:val="20"/>
          <w:szCs w:val="20"/>
        </w:rPr>
        <w:t xml:space="preserve">iešųjų pastatų </w:t>
      </w:r>
      <w:r>
        <w:rPr>
          <w:rFonts w:ascii="Georgia" w:hAnsi="Georgia"/>
          <w:sz w:val="20"/>
          <w:szCs w:val="20"/>
        </w:rPr>
        <w:t>modernizavimui</w:t>
      </w:r>
      <w:r w:rsidRPr="00AC3318">
        <w:rPr>
          <w:rFonts w:ascii="Georgia" w:hAnsi="Georgia"/>
          <w:sz w:val="20"/>
          <w:szCs w:val="20"/>
        </w:rPr>
        <w:t xml:space="preserve"> buvo įvertinti (</w:t>
      </w:r>
      <w:r>
        <w:rPr>
          <w:rFonts w:ascii="Georgia" w:hAnsi="Georgia"/>
          <w:sz w:val="20"/>
          <w:szCs w:val="20"/>
        </w:rPr>
        <w:t>4</w:t>
      </w:r>
      <w:r w:rsidRPr="00AC3318">
        <w:rPr>
          <w:rFonts w:ascii="Georgia" w:hAnsi="Georgia"/>
          <w:sz w:val="20"/>
          <w:szCs w:val="20"/>
        </w:rPr>
        <w:t>.1.</w:t>
      </w:r>
      <w:r w:rsidR="001D5183">
        <w:rPr>
          <w:rFonts w:ascii="Georgia" w:hAnsi="Georgia"/>
          <w:sz w:val="20"/>
          <w:szCs w:val="20"/>
        </w:rPr>
        <w:t>4.3</w:t>
      </w:r>
      <w:r w:rsidRPr="00AC3318">
        <w:rPr>
          <w:rFonts w:ascii="Georgia" w:hAnsi="Georgia"/>
          <w:sz w:val="20"/>
          <w:szCs w:val="20"/>
        </w:rPr>
        <w:t xml:space="preserve"> </w:t>
      </w:r>
      <w:r>
        <w:rPr>
          <w:rFonts w:ascii="Georgia" w:hAnsi="Georgia"/>
          <w:sz w:val="20"/>
          <w:szCs w:val="20"/>
        </w:rPr>
        <w:t>skyriuje</w:t>
      </w:r>
      <w:r w:rsidRPr="00AC3318">
        <w:rPr>
          <w:rFonts w:ascii="Georgia" w:hAnsi="Georgia"/>
          <w:sz w:val="20"/>
          <w:szCs w:val="20"/>
        </w:rPr>
        <w:t xml:space="preserve">) </w:t>
      </w:r>
      <w:r>
        <w:rPr>
          <w:rFonts w:ascii="Georgia" w:hAnsi="Georgia"/>
          <w:sz w:val="20"/>
          <w:szCs w:val="20"/>
        </w:rPr>
        <w:t>keturi</w:t>
      </w:r>
      <w:r w:rsidRPr="00AC3318">
        <w:rPr>
          <w:rFonts w:ascii="Georgia" w:hAnsi="Georgia"/>
          <w:sz w:val="20"/>
          <w:szCs w:val="20"/>
        </w:rPr>
        <w:t xml:space="preserve"> scenarijai su skirtingais </w:t>
      </w:r>
      <w:r>
        <w:rPr>
          <w:rFonts w:ascii="Georgia" w:hAnsi="Georgia"/>
          <w:sz w:val="20"/>
          <w:szCs w:val="20"/>
        </w:rPr>
        <w:t xml:space="preserve">administravimo </w:t>
      </w:r>
      <w:r w:rsidRPr="00AC3318">
        <w:rPr>
          <w:rFonts w:ascii="Georgia" w:hAnsi="Georgia"/>
          <w:sz w:val="20"/>
          <w:szCs w:val="20"/>
        </w:rPr>
        <w:t xml:space="preserve">modeliais ir finansinėmis priemonėmis. Atsižvelgiant į </w:t>
      </w:r>
      <w:r>
        <w:rPr>
          <w:rFonts w:ascii="Georgia" w:hAnsi="Georgia"/>
          <w:sz w:val="20"/>
          <w:szCs w:val="20"/>
        </w:rPr>
        <w:t>4 skyriuje</w:t>
      </w:r>
      <w:r w:rsidRPr="00AC3318">
        <w:rPr>
          <w:rFonts w:ascii="Georgia" w:hAnsi="Georgia"/>
          <w:sz w:val="20"/>
          <w:szCs w:val="20"/>
        </w:rPr>
        <w:t xml:space="preserve"> išdėstytus kiekvienos alternatyvos</w:t>
      </w:r>
      <w:r>
        <w:rPr>
          <w:rFonts w:ascii="Georgia" w:hAnsi="Georgia"/>
          <w:sz w:val="20"/>
          <w:szCs w:val="20"/>
        </w:rPr>
        <w:t xml:space="preserve"> kiekybinius ir kokybinius rezultatus,</w:t>
      </w:r>
      <w:r w:rsidRPr="00AC3318">
        <w:rPr>
          <w:rFonts w:ascii="Georgia" w:hAnsi="Georgia"/>
          <w:sz w:val="20"/>
          <w:szCs w:val="20"/>
        </w:rPr>
        <w:t xml:space="preserve"> privalumus ir trūkumus bei prognozuojamą lėšų poreikį priemonei įgyvendinti ir tikėtiną finansi</w:t>
      </w:r>
      <w:r w:rsidRPr="00541A2C">
        <w:rPr>
          <w:rFonts w:ascii="Georgia" w:hAnsi="Georgia"/>
          <w:sz w:val="20"/>
          <w:szCs w:val="20"/>
        </w:rPr>
        <w:t xml:space="preserve">nio sverto rodiklį, rekomenduojama vadovaujančiai institucijai kartu su Aplinkos  ministerija pasirinkti </w:t>
      </w:r>
      <w:r>
        <w:rPr>
          <w:rFonts w:ascii="Georgia" w:hAnsi="Georgia"/>
          <w:sz w:val="20"/>
          <w:szCs w:val="20"/>
        </w:rPr>
        <w:t>treči</w:t>
      </w:r>
      <w:r w:rsidRPr="00541A2C">
        <w:rPr>
          <w:rFonts w:ascii="Georgia" w:hAnsi="Georgia"/>
          <w:sz w:val="20"/>
          <w:szCs w:val="20"/>
        </w:rPr>
        <w:t>ą</w:t>
      </w:r>
      <w:r>
        <w:rPr>
          <w:rFonts w:ascii="Georgia" w:hAnsi="Georgia"/>
          <w:sz w:val="20"/>
          <w:szCs w:val="20"/>
        </w:rPr>
        <w:t>jį</w:t>
      </w:r>
      <w:r w:rsidRPr="00541A2C">
        <w:rPr>
          <w:rFonts w:ascii="Georgia" w:hAnsi="Georgia"/>
          <w:sz w:val="20"/>
          <w:szCs w:val="20"/>
        </w:rPr>
        <w:t xml:space="preserve"> (kai </w:t>
      </w:r>
      <w:r>
        <w:rPr>
          <w:rFonts w:ascii="Georgia" w:hAnsi="Georgia"/>
          <w:sz w:val="20"/>
          <w:szCs w:val="20"/>
        </w:rPr>
        <w:t>panaudojamas asimetrinės rizikos pasidalijimo modelis</w:t>
      </w:r>
      <w:r w:rsidRPr="00541A2C">
        <w:rPr>
          <w:rFonts w:ascii="Georgia" w:hAnsi="Georgia"/>
          <w:sz w:val="20"/>
          <w:szCs w:val="20"/>
        </w:rPr>
        <w:t xml:space="preserve">) </w:t>
      </w:r>
      <w:r>
        <w:rPr>
          <w:rFonts w:ascii="Georgia" w:hAnsi="Georgia"/>
          <w:sz w:val="20"/>
          <w:szCs w:val="20"/>
        </w:rPr>
        <w:t xml:space="preserve">scenarijų, o susiformavus tinkamoms sąlygoms apsvarstyti </w:t>
      </w:r>
      <w:r w:rsidRPr="00541A2C">
        <w:rPr>
          <w:rFonts w:ascii="Georgia" w:hAnsi="Georgia"/>
          <w:sz w:val="20"/>
          <w:szCs w:val="20"/>
        </w:rPr>
        <w:t>antr</w:t>
      </w:r>
      <w:r>
        <w:rPr>
          <w:rFonts w:ascii="Georgia" w:hAnsi="Georgia"/>
          <w:sz w:val="20"/>
          <w:szCs w:val="20"/>
        </w:rPr>
        <w:t>ojo</w:t>
      </w:r>
      <w:r w:rsidRPr="00541A2C">
        <w:rPr>
          <w:rFonts w:ascii="Georgia" w:hAnsi="Georgia"/>
          <w:sz w:val="20"/>
          <w:szCs w:val="20"/>
        </w:rPr>
        <w:t xml:space="preserve"> (kai </w:t>
      </w:r>
      <w:r>
        <w:rPr>
          <w:rFonts w:ascii="Georgia" w:hAnsi="Georgia"/>
          <w:sz w:val="20"/>
          <w:szCs w:val="20"/>
        </w:rPr>
        <w:t>siekiama</w:t>
      </w:r>
      <w:r w:rsidRPr="00541A2C">
        <w:rPr>
          <w:rFonts w:ascii="Georgia" w:hAnsi="Georgia"/>
          <w:sz w:val="20"/>
          <w:szCs w:val="20"/>
        </w:rPr>
        <w:t xml:space="preserve"> įkurt</w:t>
      </w:r>
      <w:r>
        <w:rPr>
          <w:rFonts w:ascii="Georgia" w:hAnsi="Georgia"/>
          <w:sz w:val="20"/>
          <w:szCs w:val="20"/>
        </w:rPr>
        <w:t>i</w:t>
      </w:r>
      <w:r w:rsidRPr="00541A2C">
        <w:rPr>
          <w:rFonts w:ascii="Georgia" w:hAnsi="Georgia"/>
          <w:sz w:val="20"/>
          <w:szCs w:val="20"/>
        </w:rPr>
        <w:t xml:space="preserve"> priva</w:t>
      </w:r>
      <w:r>
        <w:rPr>
          <w:rFonts w:ascii="Georgia" w:hAnsi="Georgia"/>
          <w:sz w:val="20"/>
          <w:szCs w:val="20"/>
        </w:rPr>
        <w:t>tų</w:t>
      </w:r>
      <w:r w:rsidRPr="00541A2C">
        <w:rPr>
          <w:rFonts w:ascii="Georgia" w:hAnsi="Georgia"/>
          <w:sz w:val="20"/>
          <w:szCs w:val="20"/>
        </w:rPr>
        <w:t xml:space="preserve"> investicin</w:t>
      </w:r>
      <w:r>
        <w:rPr>
          <w:rFonts w:ascii="Georgia" w:hAnsi="Georgia"/>
          <w:sz w:val="20"/>
          <w:szCs w:val="20"/>
        </w:rPr>
        <w:t>į</w:t>
      </w:r>
      <w:r w:rsidRPr="00541A2C">
        <w:rPr>
          <w:rFonts w:ascii="Georgia" w:hAnsi="Georgia"/>
          <w:sz w:val="20"/>
          <w:szCs w:val="20"/>
        </w:rPr>
        <w:t xml:space="preserve"> fond</w:t>
      </w:r>
      <w:r>
        <w:rPr>
          <w:rFonts w:ascii="Georgia" w:hAnsi="Georgia"/>
          <w:sz w:val="20"/>
          <w:szCs w:val="20"/>
        </w:rPr>
        <w:t>ą</w:t>
      </w:r>
      <w:r w:rsidRPr="00541A2C">
        <w:rPr>
          <w:rFonts w:ascii="Georgia" w:hAnsi="Georgia"/>
          <w:sz w:val="20"/>
          <w:szCs w:val="20"/>
        </w:rPr>
        <w:t xml:space="preserve"> arba privatiems investuotojams kitais būdais </w:t>
      </w:r>
      <w:r>
        <w:rPr>
          <w:rFonts w:ascii="Georgia" w:hAnsi="Georgia"/>
          <w:sz w:val="20"/>
          <w:szCs w:val="20"/>
        </w:rPr>
        <w:t xml:space="preserve">leisti </w:t>
      </w:r>
      <w:r w:rsidRPr="00541A2C">
        <w:rPr>
          <w:rFonts w:ascii="Georgia" w:hAnsi="Georgia"/>
          <w:sz w:val="20"/>
          <w:szCs w:val="20"/>
        </w:rPr>
        <w:t>išpirkti ateities pinigų srautus) scenarijų.</w:t>
      </w:r>
      <w:r w:rsidRPr="00541A2C" w:rsidDel="000A5E02">
        <w:rPr>
          <w:rFonts w:ascii="Georgia" w:hAnsi="Georgia"/>
          <w:b/>
          <w:i/>
          <w:sz w:val="20"/>
          <w:szCs w:val="20"/>
        </w:rPr>
        <w:t xml:space="preserve"> </w:t>
      </w:r>
    </w:p>
    <w:p w14:paraId="58906F60" w14:textId="746E43E7" w:rsidR="0006117A" w:rsidRPr="00AC3318" w:rsidRDefault="0006117A" w:rsidP="0006117A">
      <w:pPr>
        <w:pStyle w:val="prastasis1"/>
        <w:spacing w:line="276" w:lineRule="auto"/>
        <w:jc w:val="both"/>
        <w:rPr>
          <w:rFonts w:ascii="Georgia" w:hAnsi="Georgia"/>
          <w:sz w:val="20"/>
          <w:szCs w:val="20"/>
        </w:rPr>
      </w:pPr>
      <w:r w:rsidRPr="00541A2C">
        <w:rPr>
          <w:rFonts w:ascii="Georgia" w:hAnsi="Georgia"/>
          <w:sz w:val="20"/>
          <w:szCs w:val="20"/>
        </w:rPr>
        <w:t xml:space="preserve">Siūloma finansinė priemonė – </w:t>
      </w:r>
      <w:r>
        <w:rPr>
          <w:rFonts w:ascii="Georgia" w:hAnsi="Georgia"/>
          <w:sz w:val="20"/>
          <w:szCs w:val="20"/>
        </w:rPr>
        <w:t>p</w:t>
      </w:r>
      <w:r w:rsidR="00F5674D">
        <w:rPr>
          <w:rFonts w:ascii="Georgia" w:hAnsi="Georgia"/>
          <w:sz w:val="20"/>
          <w:szCs w:val="20"/>
        </w:rPr>
        <w:t xml:space="preserve">askolos </w:t>
      </w:r>
      <w:r>
        <w:rPr>
          <w:rFonts w:ascii="Georgia" w:hAnsi="Georgia"/>
          <w:sz w:val="20"/>
          <w:szCs w:val="20"/>
        </w:rPr>
        <w:t>su privačių lėšų pritraukimo modeliu aprašytu aukščiau esančiame paragrafe</w:t>
      </w:r>
      <w:r w:rsidRPr="00541A2C">
        <w:rPr>
          <w:rFonts w:ascii="Georgia" w:hAnsi="Georgia"/>
          <w:sz w:val="20"/>
          <w:szCs w:val="20"/>
        </w:rPr>
        <w:t xml:space="preserve"> (</w:t>
      </w:r>
      <w:r>
        <w:rPr>
          <w:rFonts w:ascii="Georgia" w:hAnsi="Georgia"/>
          <w:sz w:val="20"/>
          <w:szCs w:val="20"/>
        </w:rPr>
        <w:t xml:space="preserve">esant galimybei neatmetamas </w:t>
      </w:r>
      <w:r w:rsidRPr="00541A2C">
        <w:rPr>
          <w:rFonts w:ascii="Georgia" w:hAnsi="Georgia"/>
          <w:sz w:val="20"/>
          <w:szCs w:val="20"/>
        </w:rPr>
        <w:t>privači</w:t>
      </w:r>
      <w:r>
        <w:rPr>
          <w:rFonts w:ascii="Georgia" w:hAnsi="Georgia"/>
          <w:sz w:val="20"/>
          <w:szCs w:val="20"/>
        </w:rPr>
        <w:t>ų</w:t>
      </w:r>
      <w:r w:rsidRPr="00541A2C">
        <w:rPr>
          <w:rFonts w:ascii="Georgia" w:hAnsi="Georgia"/>
          <w:sz w:val="20"/>
          <w:szCs w:val="20"/>
        </w:rPr>
        <w:t xml:space="preserve"> lėš</w:t>
      </w:r>
      <w:r>
        <w:rPr>
          <w:rFonts w:ascii="Georgia" w:hAnsi="Georgia"/>
          <w:sz w:val="20"/>
          <w:szCs w:val="20"/>
        </w:rPr>
        <w:t>ų</w:t>
      </w:r>
      <w:r w:rsidRPr="00541A2C">
        <w:rPr>
          <w:rFonts w:ascii="Georgia" w:hAnsi="Georgia"/>
          <w:sz w:val="20"/>
          <w:szCs w:val="20"/>
        </w:rPr>
        <w:t xml:space="preserve"> pritrauk</w:t>
      </w:r>
      <w:r>
        <w:rPr>
          <w:rFonts w:ascii="Georgia" w:hAnsi="Georgia"/>
          <w:sz w:val="20"/>
          <w:szCs w:val="20"/>
        </w:rPr>
        <w:t>imas</w:t>
      </w:r>
      <w:r w:rsidRPr="00541A2C">
        <w:rPr>
          <w:rFonts w:ascii="Georgia" w:hAnsi="Georgia"/>
          <w:sz w:val="20"/>
          <w:szCs w:val="20"/>
        </w:rPr>
        <w:t xml:space="preserve"> </w:t>
      </w:r>
      <w:r>
        <w:rPr>
          <w:rFonts w:ascii="Georgia" w:hAnsi="Georgia"/>
          <w:sz w:val="20"/>
          <w:szCs w:val="20"/>
        </w:rPr>
        <w:t xml:space="preserve"> </w:t>
      </w:r>
      <w:r w:rsidRPr="00541A2C">
        <w:rPr>
          <w:rFonts w:ascii="Georgia" w:hAnsi="Georgia"/>
          <w:sz w:val="20"/>
          <w:szCs w:val="20"/>
        </w:rPr>
        <w:t>galutinių naudos gavėjų lygmenyje).</w:t>
      </w:r>
      <w:r w:rsidRPr="00D76309">
        <w:rPr>
          <w:rFonts w:ascii="Georgia" w:hAnsi="Georgia"/>
          <w:sz w:val="20"/>
          <w:szCs w:val="20"/>
        </w:rPr>
        <w:t xml:space="preserve"> </w:t>
      </w:r>
    </w:p>
    <w:p w14:paraId="380D94CF" w14:textId="77777777" w:rsidR="0006117A" w:rsidRPr="00640DEC" w:rsidRDefault="0006117A" w:rsidP="0006117A">
      <w:pPr>
        <w:pStyle w:val="prastasis1"/>
        <w:keepNext/>
        <w:spacing w:line="276" w:lineRule="auto"/>
        <w:jc w:val="both"/>
        <w:rPr>
          <w:rFonts w:ascii="Georgia" w:hAnsi="Georgia"/>
          <w:b/>
          <w:i/>
          <w:sz w:val="20"/>
          <w:szCs w:val="20"/>
        </w:rPr>
      </w:pPr>
      <w:r w:rsidRPr="00640DEC">
        <w:rPr>
          <w:rFonts w:ascii="Georgia" w:hAnsi="Georgia"/>
          <w:b/>
          <w:i/>
          <w:sz w:val="20"/>
          <w:szCs w:val="20"/>
        </w:rPr>
        <w:t>Siūlomo finansinio produkto sąlygos:</w:t>
      </w:r>
    </w:p>
    <w:p w14:paraId="7C12A85B" w14:textId="77777777" w:rsidR="0006117A" w:rsidRPr="00AE7E91" w:rsidRDefault="0006117A" w:rsidP="0006117A">
      <w:pPr>
        <w:pStyle w:val="prastasis1"/>
        <w:keepNext/>
        <w:numPr>
          <w:ilvl w:val="0"/>
          <w:numId w:val="20"/>
        </w:numPr>
        <w:spacing w:line="276" w:lineRule="auto"/>
        <w:jc w:val="both"/>
        <w:rPr>
          <w:rFonts w:ascii="Georgia" w:hAnsi="Georgia"/>
          <w:sz w:val="20"/>
          <w:szCs w:val="20"/>
        </w:rPr>
      </w:pPr>
      <w:r>
        <w:rPr>
          <w:rFonts w:ascii="Georgia" w:hAnsi="Georgia"/>
          <w:sz w:val="20"/>
          <w:szCs w:val="20"/>
        </w:rPr>
        <w:t xml:space="preserve">palūkanų norma iki </w:t>
      </w:r>
      <w:r w:rsidRPr="00206511">
        <w:rPr>
          <w:rFonts w:ascii="Georgia" w:hAnsi="Georgia"/>
          <w:sz w:val="20"/>
          <w:szCs w:val="20"/>
        </w:rPr>
        <w:t>2% + 6 mėn.</w:t>
      </w:r>
      <w:r>
        <w:rPr>
          <w:rFonts w:ascii="Georgia" w:hAnsi="Georgia"/>
          <w:sz w:val="20"/>
          <w:szCs w:val="20"/>
        </w:rPr>
        <w:t xml:space="preserve"> </w:t>
      </w:r>
      <w:r w:rsidRPr="00206511">
        <w:rPr>
          <w:rFonts w:ascii="Georgia" w:hAnsi="Georgia"/>
          <w:sz w:val="20"/>
          <w:szCs w:val="20"/>
        </w:rPr>
        <w:t>EURIBOR (</w:t>
      </w:r>
      <w:r>
        <w:rPr>
          <w:rFonts w:ascii="Georgia" w:hAnsi="Georgia"/>
          <w:sz w:val="20"/>
          <w:szCs w:val="20"/>
        </w:rPr>
        <w:t xml:space="preserve">bet </w:t>
      </w:r>
      <w:r w:rsidRPr="00206511">
        <w:rPr>
          <w:rFonts w:ascii="Georgia" w:hAnsi="Georgia"/>
          <w:sz w:val="20"/>
          <w:szCs w:val="20"/>
        </w:rPr>
        <w:t>ne mažiau kaip 0%)</w:t>
      </w:r>
      <w:r>
        <w:rPr>
          <w:rFonts w:ascii="Georgia" w:hAnsi="Georgia"/>
          <w:sz w:val="20"/>
          <w:szCs w:val="20"/>
        </w:rPr>
        <w:t>. Finansinės priemonės (ar fondų fondo) valdytojas gali pasiūlyti užfiksuoti palūkanų normą (</w:t>
      </w:r>
      <w:r w:rsidRPr="00776D82">
        <w:rPr>
          <w:rFonts w:ascii="Georgia" w:hAnsi="Georgia"/>
          <w:sz w:val="20"/>
          <w:szCs w:val="20"/>
        </w:rPr>
        <w:t xml:space="preserve">įskaitant, bet neapsiribojant </w:t>
      </w:r>
      <w:r>
        <w:rPr>
          <w:rFonts w:ascii="Georgia" w:hAnsi="Georgia"/>
          <w:sz w:val="20"/>
          <w:szCs w:val="20"/>
        </w:rPr>
        <w:t xml:space="preserve">palūkanų fiksavimu, kuris būtų paremtas rinkos sąlygomis prieinamais instrumentais). </w:t>
      </w:r>
      <w:r w:rsidRPr="00776D82">
        <w:rPr>
          <w:rFonts w:ascii="Georgia" w:hAnsi="Georgia"/>
          <w:sz w:val="20"/>
          <w:szCs w:val="20"/>
        </w:rPr>
        <w:t>Atsiradus galimybei pritraukti papildomas privačias lėšas,</w:t>
      </w:r>
      <w:r>
        <w:rPr>
          <w:rFonts w:ascii="Georgia" w:hAnsi="Georgia"/>
          <w:sz w:val="20"/>
          <w:szCs w:val="20"/>
        </w:rPr>
        <w:t xml:space="preserve"> gali būti taikomos papildomos finansavimo išlaidos (susiję su papildomo finansavimo pritraukimu)</w:t>
      </w:r>
      <w:r w:rsidRPr="00AE7E91">
        <w:rPr>
          <w:rFonts w:ascii="Georgia" w:hAnsi="Georgia"/>
          <w:sz w:val="20"/>
          <w:szCs w:val="20"/>
        </w:rPr>
        <w:t>;</w:t>
      </w:r>
    </w:p>
    <w:p w14:paraId="72D19F1F" w14:textId="77777777" w:rsidR="0006117A" w:rsidRPr="00AE7E91" w:rsidRDefault="0006117A" w:rsidP="0006117A">
      <w:pPr>
        <w:pStyle w:val="prastasis1"/>
        <w:numPr>
          <w:ilvl w:val="0"/>
          <w:numId w:val="20"/>
        </w:numPr>
        <w:spacing w:line="276" w:lineRule="auto"/>
        <w:jc w:val="both"/>
        <w:rPr>
          <w:rFonts w:ascii="Georgia" w:hAnsi="Georgia"/>
          <w:sz w:val="20"/>
          <w:szCs w:val="20"/>
        </w:rPr>
      </w:pPr>
      <w:r w:rsidRPr="00AE7E91">
        <w:rPr>
          <w:rFonts w:ascii="Georgia" w:hAnsi="Georgia"/>
          <w:sz w:val="20"/>
          <w:szCs w:val="20"/>
        </w:rPr>
        <w:t>paskolos terminas – iki 2</w:t>
      </w:r>
      <w:r>
        <w:rPr>
          <w:rFonts w:ascii="Georgia" w:hAnsi="Georgia"/>
          <w:sz w:val="20"/>
          <w:szCs w:val="20"/>
        </w:rPr>
        <w:t>0</w:t>
      </w:r>
      <w:r w:rsidRPr="00AE7E91">
        <w:rPr>
          <w:rFonts w:ascii="Georgia" w:hAnsi="Georgia"/>
          <w:sz w:val="20"/>
          <w:szCs w:val="20"/>
        </w:rPr>
        <w:t xml:space="preserve"> metų;</w:t>
      </w:r>
    </w:p>
    <w:p w14:paraId="6ED25009" w14:textId="77777777" w:rsidR="0006117A" w:rsidRDefault="0006117A" w:rsidP="0006117A">
      <w:pPr>
        <w:pStyle w:val="prastasis1"/>
        <w:numPr>
          <w:ilvl w:val="0"/>
          <w:numId w:val="20"/>
        </w:numPr>
        <w:spacing w:line="276" w:lineRule="auto"/>
        <w:jc w:val="both"/>
        <w:rPr>
          <w:rFonts w:ascii="Georgia" w:hAnsi="Georgia"/>
          <w:sz w:val="20"/>
          <w:szCs w:val="20"/>
        </w:rPr>
      </w:pPr>
      <w:r w:rsidRPr="00760316">
        <w:rPr>
          <w:rFonts w:ascii="Georgia" w:hAnsi="Georgia"/>
          <w:sz w:val="20"/>
          <w:szCs w:val="20"/>
        </w:rPr>
        <w:lastRenderedPageBreak/>
        <w:t xml:space="preserve">paskola savivaldybėms arba jų paskirtiems subjektams teikiama iki 100 </w:t>
      </w:r>
      <w:r w:rsidRPr="000700E5">
        <w:rPr>
          <w:rFonts w:ascii="Georgia" w:hAnsi="Georgia"/>
          <w:sz w:val="20"/>
          <w:szCs w:val="20"/>
        </w:rPr>
        <w:t>%</w:t>
      </w:r>
      <w:r>
        <w:rPr>
          <w:rFonts w:ascii="Georgia" w:hAnsi="Georgia"/>
          <w:sz w:val="20"/>
          <w:szCs w:val="20"/>
        </w:rPr>
        <w:t xml:space="preserve"> projekto</w:t>
      </w:r>
      <w:r w:rsidRPr="00760316">
        <w:rPr>
          <w:rFonts w:ascii="Georgia" w:hAnsi="Georgia"/>
          <w:sz w:val="20"/>
          <w:szCs w:val="20"/>
        </w:rPr>
        <w:t xml:space="preserve"> vertės, </w:t>
      </w:r>
      <w:r w:rsidRPr="00681F7B">
        <w:rPr>
          <w:rFonts w:ascii="Georgia" w:hAnsi="Georgia"/>
          <w:sz w:val="20"/>
          <w:szCs w:val="20"/>
        </w:rPr>
        <w:t>paskola</w:t>
      </w:r>
      <w:r w:rsidRPr="00760316">
        <w:rPr>
          <w:rFonts w:ascii="Georgia" w:hAnsi="Georgia"/>
          <w:sz w:val="20"/>
          <w:szCs w:val="20"/>
        </w:rPr>
        <w:t xml:space="preserve"> ESCO įmonėms</w:t>
      </w:r>
      <w:r w:rsidRPr="00681F7B">
        <w:rPr>
          <w:rFonts w:ascii="Georgia" w:hAnsi="Georgia"/>
          <w:sz w:val="20"/>
          <w:szCs w:val="20"/>
        </w:rPr>
        <w:t xml:space="preserve"> teikiama iki 80 % projekto vertės; </w:t>
      </w:r>
    </w:p>
    <w:p w14:paraId="15555924" w14:textId="77777777" w:rsidR="0006117A" w:rsidRDefault="0006117A" w:rsidP="0006117A">
      <w:pPr>
        <w:pStyle w:val="prastasis1"/>
        <w:numPr>
          <w:ilvl w:val="0"/>
          <w:numId w:val="20"/>
        </w:numPr>
        <w:spacing w:line="276" w:lineRule="auto"/>
        <w:jc w:val="both"/>
        <w:rPr>
          <w:rFonts w:ascii="Georgia" w:hAnsi="Georgia"/>
          <w:sz w:val="20"/>
          <w:szCs w:val="20"/>
        </w:rPr>
      </w:pPr>
      <w:r>
        <w:rPr>
          <w:rFonts w:ascii="Georgia" w:hAnsi="Georgia"/>
          <w:sz w:val="20"/>
          <w:szCs w:val="20"/>
        </w:rPr>
        <w:t>iš savivaldybių gali būti prašomos papildomos užtikrinimo priemonės (pvz. sąskaitos įkeitimas);</w:t>
      </w:r>
    </w:p>
    <w:p w14:paraId="064974E7" w14:textId="77777777" w:rsidR="0006117A" w:rsidRPr="001C63DB" w:rsidRDefault="0006117A" w:rsidP="0006117A">
      <w:pPr>
        <w:pStyle w:val="prastasis1"/>
        <w:numPr>
          <w:ilvl w:val="0"/>
          <w:numId w:val="20"/>
        </w:numPr>
        <w:spacing w:line="276" w:lineRule="auto"/>
        <w:jc w:val="both"/>
        <w:rPr>
          <w:rFonts w:ascii="Georgia" w:hAnsi="Georgia"/>
          <w:sz w:val="20"/>
          <w:szCs w:val="20"/>
        </w:rPr>
      </w:pPr>
      <w:r w:rsidRPr="001C63DB">
        <w:rPr>
          <w:rFonts w:ascii="Georgia" w:hAnsi="Georgia"/>
          <w:sz w:val="20"/>
          <w:szCs w:val="20"/>
        </w:rPr>
        <w:t xml:space="preserve">projektams gali būti teikiama </w:t>
      </w:r>
      <w:r w:rsidRPr="00DA65C2">
        <w:rPr>
          <w:rFonts w:ascii="Georgia" w:hAnsi="Georgia"/>
          <w:sz w:val="20"/>
          <w:szCs w:val="20"/>
        </w:rPr>
        <w:t>papildoma</w:t>
      </w:r>
      <w:r w:rsidRPr="001C63DB">
        <w:rPr>
          <w:rFonts w:ascii="Georgia" w:hAnsi="Georgia"/>
          <w:sz w:val="20"/>
          <w:szCs w:val="20"/>
        </w:rPr>
        <w:t xml:space="preserve"> </w:t>
      </w:r>
      <w:r>
        <w:rPr>
          <w:rFonts w:ascii="Georgia" w:hAnsi="Georgia"/>
          <w:sz w:val="20"/>
          <w:szCs w:val="20"/>
        </w:rPr>
        <w:t xml:space="preserve">iki </w:t>
      </w:r>
      <w:r>
        <w:rPr>
          <w:rFonts w:ascii="Georgia" w:hAnsi="Georgia"/>
          <w:sz w:val="20"/>
          <w:szCs w:val="20"/>
          <w:lang w:val="en-US"/>
        </w:rPr>
        <w:t xml:space="preserve">40% </w:t>
      </w:r>
      <w:r w:rsidRPr="001C63DB">
        <w:rPr>
          <w:rFonts w:ascii="Georgia" w:hAnsi="Georgia"/>
          <w:sz w:val="20"/>
          <w:szCs w:val="20"/>
        </w:rPr>
        <w:t>subsidija;</w:t>
      </w:r>
    </w:p>
    <w:p w14:paraId="4B166595" w14:textId="77777777" w:rsidR="0006117A" w:rsidRPr="009A01F7" w:rsidRDefault="0006117A" w:rsidP="0006117A">
      <w:pPr>
        <w:pStyle w:val="prastasis1"/>
        <w:numPr>
          <w:ilvl w:val="0"/>
          <w:numId w:val="20"/>
        </w:numPr>
        <w:spacing w:line="276" w:lineRule="auto"/>
        <w:jc w:val="both"/>
        <w:rPr>
          <w:rFonts w:ascii="Georgia" w:hAnsi="Georgia"/>
          <w:sz w:val="20"/>
          <w:szCs w:val="20"/>
        </w:rPr>
      </w:pPr>
      <w:r w:rsidRPr="009A01F7">
        <w:rPr>
          <w:rFonts w:ascii="Georgia" w:hAnsi="Georgia"/>
          <w:sz w:val="20"/>
          <w:szCs w:val="20"/>
        </w:rPr>
        <w:t>ESCO kompanijos, įgyvendin</w:t>
      </w:r>
      <w:r>
        <w:rPr>
          <w:rFonts w:ascii="Georgia" w:hAnsi="Georgia"/>
          <w:sz w:val="20"/>
          <w:szCs w:val="20"/>
        </w:rPr>
        <w:t>d</w:t>
      </w:r>
      <w:r w:rsidRPr="009A01F7">
        <w:rPr>
          <w:rFonts w:ascii="Georgia" w:hAnsi="Georgia"/>
          <w:sz w:val="20"/>
          <w:szCs w:val="20"/>
        </w:rPr>
        <w:t>amos projektą, privalo prisidėti savomis lėšomis;</w:t>
      </w:r>
    </w:p>
    <w:p w14:paraId="3543F0A7" w14:textId="77777777" w:rsidR="0006117A" w:rsidRDefault="0006117A" w:rsidP="0006117A">
      <w:pPr>
        <w:pStyle w:val="prastasis1"/>
        <w:numPr>
          <w:ilvl w:val="0"/>
          <w:numId w:val="20"/>
        </w:numPr>
        <w:spacing w:line="276" w:lineRule="auto"/>
        <w:jc w:val="both"/>
        <w:rPr>
          <w:rFonts w:ascii="Georgia" w:hAnsi="Georgia"/>
          <w:sz w:val="20"/>
          <w:szCs w:val="20"/>
        </w:rPr>
      </w:pPr>
      <w:r w:rsidRPr="00A02F36">
        <w:rPr>
          <w:rFonts w:ascii="Georgia" w:hAnsi="Georgia"/>
          <w:sz w:val="20"/>
          <w:szCs w:val="20"/>
        </w:rPr>
        <w:t>grįžtančios lėšos iš paskolų reinvestuojamos į naujus projektus</w:t>
      </w:r>
      <w:r>
        <w:rPr>
          <w:rFonts w:ascii="Georgia" w:hAnsi="Georgia"/>
          <w:sz w:val="20"/>
          <w:szCs w:val="20"/>
        </w:rPr>
        <w:t xml:space="preserve"> ir (arba) skiriamos privatiems investuotojams pirmumo tvarka atlyginti (</w:t>
      </w:r>
      <w:r>
        <w:rPr>
          <w:rFonts w:ascii="Georgia" w:hAnsi="Georgia"/>
          <w:sz w:val="20"/>
        </w:rPr>
        <w:t>Bendrųjų nuostatų reglamento 44 str. 1 punktas)</w:t>
      </w:r>
      <w:r>
        <w:rPr>
          <w:rFonts w:ascii="Georgia" w:hAnsi="Georgia"/>
          <w:sz w:val="20"/>
          <w:szCs w:val="20"/>
        </w:rPr>
        <w:t>;</w:t>
      </w:r>
    </w:p>
    <w:p w14:paraId="0A740340" w14:textId="77777777" w:rsidR="0006117A" w:rsidRPr="00A02F36" w:rsidRDefault="0006117A" w:rsidP="0006117A">
      <w:pPr>
        <w:pStyle w:val="prastasis1"/>
        <w:numPr>
          <w:ilvl w:val="0"/>
          <w:numId w:val="20"/>
        </w:numPr>
        <w:spacing w:line="276" w:lineRule="auto"/>
        <w:jc w:val="both"/>
        <w:rPr>
          <w:rFonts w:ascii="Georgia" w:hAnsi="Georgia"/>
          <w:sz w:val="20"/>
          <w:szCs w:val="20"/>
        </w:rPr>
      </w:pPr>
      <w:r>
        <w:rPr>
          <w:rFonts w:ascii="Georgia" w:hAnsi="Georgia"/>
          <w:sz w:val="20"/>
          <w:szCs w:val="20"/>
        </w:rPr>
        <w:t xml:space="preserve">lėšoms pritraukti taikomas asimetrinės rizikos ir (ar) </w:t>
      </w:r>
      <w:r w:rsidRPr="00776D82">
        <w:rPr>
          <w:rFonts w:ascii="Georgia" w:hAnsi="Georgia"/>
          <w:sz w:val="20"/>
          <w:szCs w:val="20"/>
        </w:rPr>
        <w:t>paskolų išpirkimo modelis</w:t>
      </w:r>
    </w:p>
    <w:p w14:paraId="1FAD53CB" w14:textId="77777777" w:rsidR="0006117A" w:rsidRPr="0064135E" w:rsidRDefault="0006117A" w:rsidP="0006117A">
      <w:pPr>
        <w:rPr>
          <w:lang w:val="lt-LT"/>
        </w:rPr>
      </w:pPr>
      <w:r>
        <w:rPr>
          <w:rFonts w:ascii="Georgia" w:hAnsi="Georgia"/>
          <w:noProof/>
          <w:sz w:val="20"/>
          <w:szCs w:val="20"/>
          <w:lang w:val="lt-LT" w:eastAsia="lt-LT"/>
        </w:rPr>
        <w:drawing>
          <wp:inline distT="0" distB="0" distL="0" distR="0" wp14:anchorId="31263482" wp14:editId="21B93B04">
            <wp:extent cx="5731510" cy="141097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vivaldybe Nr. 2.jpg"/>
                    <pic:cNvPicPr/>
                  </pic:nvPicPr>
                  <pic:blipFill>
                    <a:blip r:embed="rId55" cstate="screen">
                      <a:extLst>
                        <a:ext uri="{28A0092B-C50C-407E-A947-70E740481C1C}">
                          <a14:useLocalDpi xmlns:a14="http://schemas.microsoft.com/office/drawing/2010/main"/>
                        </a:ext>
                      </a:extLst>
                    </a:blip>
                    <a:stretch>
                      <a:fillRect/>
                    </a:stretch>
                  </pic:blipFill>
                  <pic:spPr>
                    <a:xfrm>
                      <a:off x="0" y="0"/>
                      <a:ext cx="5731510" cy="1410970"/>
                    </a:xfrm>
                    <a:prstGeom prst="rect">
                      <a:avLst/>
                    </a:prstGeom>
                  </pic:spPr>
                </pic:pic>
              </a:graphicData>
            </a:graphic>
          </wp:inline>
        </w:drawing>
      </w:r>
    </w:p>
    <w:p w14:paraId="5774464C" w14:textId="334D54EC" w:rsidR="0006117A" w:rsidRPr="005B4195" w:rsidRDefault="0006117A" w:rsidP="0006117A">
      <w:pPr>
        <w:pStyle w:val="Antrat"/>
        <w:jc w:val="both"/>
        <w:rPr>
          <w:rFonts w:eastAsia="Times New Roman"/>
          <w:szCs w:val="20"/>
          <w:lang w:val="lt-LT" w:eastAsia="lt-LT"/>
        </w:rPr>
      </w:pPr>
      <w:bookmarkStart w:id="439" w:name="_Toc417378345"/>
      <w:bookmarkStart w:id="440" w:name="_Toc507939298"/>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9652A6">
        <w:rPr>
          <w:noProof/>
          <w:lang w:val="lt-LT"/>
        </w:rPr>
        <w:t>39</w:t>
      </w:r>
      <w:r w:rsidRPr="005B4195">
        <w:rPr>
          <w:lang w:val="lt-LT"/>
        </w:rPr>
        <w:fldChar w:fldCharType="end"/>
      </w:r>
      <w:r w:rsidRPr="005B4195">
        <w:rPr>
          <w:lang w:val="lt-LT"/>
        </w:rPr>
        <w:t xml:space="preserve">. </w:t>
      </w:r>
      <w:r w:rsidRPr="005B4195">
        <w:rPr>
          <w:rFonts w:eastAsia="Times New Roman"/>
          <w:szCs w:val="20"/>
          <w:lang w:val="lt-LT" w:eastAsia="lt-LT"/>
        </w:rPr>
        <w:t xml:space="preserve">Siūloma </w:t>
      </w:r>
      <w:r>
        <w:rPr>
          <w:rFonts w:eastAsia="Times New Roman"/>
          <w:szCs w:val="20"/>
          <w:lang w:val="lt-LT" w:eastAsia="lt-LT"/>
        </w:rPr>
        <w:t xml:space="preserve">savivaldybių viešųjų </w:t>
      </w:r>
      <w:r w:rsidRPr="005B4195">
        <w:rPr>
          <w:rFonts w:eastAsia="Times New Roman"/>
          <w:szCs w:val="20"/>
          <w:lang w:val="lt-LT" w:eastAsia="lt-LT"/>
        </w:rPr>
        <w:t>pastatų renovacijos, naudojant finansines priemones, schema</w:t>
      </w:r>
      <w:bookmarkEnd w:id="439"/>
      <w:bookmarkEnd w:id="440"/>
    </w:p>
    <w:p w14:paraId="22B9AA40" w14:textId="77777777" w:rsidR="0006117A" w:rsidRPr="00AA32EA" w:rsidRDefault="0006117A" w:rsidP="0006117A">
      <w:pPr>
        <w:pStyle w:val="Antrat2"/>
        <w:spacing w:after="240"/>
        <w:rPr>
          <w:lang w:val="lt-LT"/>
        </w:rPr>
      </w:pPr>
      <w:bookmarkStart w:id="441" w:name="_Toc417378459"/>
      <w:bookmarkStart w:id="442" w:name="_Toc25589990"/>
      <w:r>
        <w:rPr>
          <w:lang w:val="lt-LT"/>
        </w:rPr>
        <w:t xml:space="preserve">7.3.3. </w:t>
      </w:r>
      <w:r w:rsidRPr="00AA32EA">
        <w:rPr>
          <w:lang w:val="lt-LT"/>
        </w:rPr>
        <w:t>Finansinės priemonės derinimas su parama</w:t>
      </w:r>
      <w:bookmarkEnd w:id="441"/>
      <w:bookmarkEnd w:id="442"/>
    </w:p>
    <w:p w14:paraId="47C52E85" w14:textId="24480C2F" w:rsidR="0006117A" w:rsidRDefault="0006117A" w:rsidP="0006117A">
      <w:pPr>
        <w:jc w:val="both"/>
        <w:rPr>
          <w:rFonts w:ascii="Georgia" w:eastAsia="Times New Roman" w:hAnsi="Georgia" w:cs="Times New Roman"/>
          <w:sz w:val="20"/>
          <w:szCs w:val="20"/>
          <w:lang w:val="lt-LT" w:eastAsia="lt-LT"/>
        </w:rPr>
      </w:pPr>
      <w:r w:rsidRPr="00AE7E91">
        <w:rPr>
          <w:rFonts w:ascii="Georgia" w:eastAsia="Times New Roman" w:hAnsi="Georgia" w:cs="Times New Roman"/>
          <w:sz w:val="20"/>
          <w:szCs w:val="20"/>
          <w:lang w:val="lt-LT" w:eastAsia="lt-LT"/>
        </w:rPr>
        <w:t xml:space="preserve">4.1 dalyje buvo atlikta viešųjų pastatų energijos efektyvumo projektų jautrumo analizė, kurioje buvo nustatyta, kad </w:t>
      </w:r>
      <w:r>
        <w:rPr>
          <w:rFonts w:ascii="Georgia" w:eastAsia="Times New Roman" w:hAnsi="Georgia" w:cs="Times New Roman"/>
          <w:sz w:val="20"/>
          <w:szCs w:val="20"/>
          <w:lang w:val="lt-LT" w:eastAsia="lt-LT"/>
        </w:rPr>
        <w:t>viešųjų pastatų</w:t>
      </w:r>
      <w:r w:rsidRPr="00AE7E91">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renovacijos </w:t>
      </w:r>
      <w:r w:rsidRPr="00AE7E91">
        <w:rPr>
          <w:rFonts w:ascii="Georgia" w:eastAsia="Times New Roman" w:hAnsi="Georgia" w:cs="Times New Roman"/>
          <w:sz w:val="20"/>
          <w:szCs w:val="20"/>
          <w:lang w:val="lt-LT" w:eastAsia="lt-LT"/>
        </w:rPr>
        <w:t>projekt</w:t>
      </w:r>
      <w:r>
        <w:rPr>
          <w:rFonts w:ascii="Georgia" w:eastAsia="Times New Roman" w:hAnsi="Georgia" w:cs="Times New Roman"/>
          <w:sz w:val="20"/>
          <w:szCs w:val="20"/>
          <w:lang w:val="lt-LT" w:eastAsia="lt-LT"/>
        </w:rPr>
        <w:t>ams reikėtų taikyti apie</w:t>
      </w:r>
      <w:r w:rsidRPr="00AE7E91">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4</w:t>
      </w:r>
      <w:r w:rsidRPr="00AE7E91">
        <w:rPr>
          <w:rFonts w:ascii="Georgia" w:eastAsia="Times New Roman" w:hAnsi="Georgia" w:cs="Times New Roman"/>
          <w:sz w:val="20"/>
          <w:szCs w:val="20"/>
          <w:lang w:val="lt-LT" w:eastAsia="lt-LT"/>
        </w:rPr>
        <w:t xml:space="preserve">0 </w:t>
      </w:r>
      <w:r>
        <w:rPr>
          <w:rFonts w:ascii="Georgia" w:eastAsia="Times New Roman" w:hAnsi="Georgia" w:cs="Times New Roman"/>
          <w:sz w:val="20"/>
          <w:szCs w:val="20"/>
          <w:lang w:val="lt-LT" w:eastAsia="lt-LT"/>
        </w:rPr>
        <w:t>proc.</w:t>
      </w:r>
      <w:r w:rsidRPr="00AE7E91">
        <w:rPr>
          <w:rFonts w:ascii="Georgia" w:eastAsia="Times New Roman" w:hAnsi="Georgia" w:cs="Times New Roman"/>
          <w:sz w:val="20"/>
          <w:szCs w:val="20"/>
          <w:lang w:val="lt-LT" w:eastAsia="lt-LT"/>
        </w:rPr>
        <w:t xml:space="preserve"> subsidij</w:t>
      </w:r>
      <w:r>
        <w:rPr>
          <w:rFonts w:ascii="Georgia" w:eastAsia="Times New Roman" w:hAnsi="Georgia" w:cs="Times New Roman"/>
          <w:sz w:val="20"/>
          <w:szCs w:val="20"/>
          <w:lang w:val="lt-LT" w:eastAsia="lt-LT"/>
        </w:rPr>
        <w:t>ą</w:t>
      </w:r>
      <w:r w:rsidRPr="00AE7E91">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Pažymėtina, kad 40 proc.</w:t>
      </w:r>
      <w:r w:rsidRPr="00AE7E91">
        <w:rPr>
          <w:rFonts w:ascii="Georgia" w:eastAsia="Times New Roman" w:hAnsi="Georgia" w:cs="Times New Roman"/>
          <w:sz w:val="20"/>
          <w:szCs w:val="20"/>
          <w:lang w:val="lt-LT" w:eastAsia="lt-LT"/>
        </w:rPr>
        <w:t xml:space="preserve"> subsidijos poreikis buvo apskaičiuotas vertinant vidutinius </w:t>
      </w:r>
      <w:r>
        <w:rPr>
          <w:rFonts w:ascii="Georgia" w:eastAsia="Times New Roman" w:hAnsi="Georgia" w:cs="Times New Roman"/>
          <w:sz w:val="20"/>
          <w:szCs w:val="20"/>
          <w:lang w:val="lt-LT" w:eastAsia="lt-LT"/>
        </w:rPr>
        <w:t>viešųjų</w:t>
      </w:r>
      <w:r w:rsidRPr="00AE7E91">
        <w:rPr>
          <w:rFonts w:ascii="Georgia" w:eastAsia="Times New Roman" w:hAnsi="Georgia" w:cs="Times New Roman"/>
          <w:sz w:val="20"/>
          <w:szCs w:val="20"/>
          <w:lang w:val="lt-LT" w:eastAsia="lt-LT"/>
        </w:rPr>
        <w:t xml:space="preserve"> pastatų duomenis (t.y. vidutinis plotas, vidutinis sutaupymas ir pan.)</w:t>
      </w:r>
      <w:r>
        <w:rPr>
          <w:rFonts w:ascii="Georgia" w:eastAsia="Times New Roman" w:hAnsi="Georgia" w:cs="Times New Roman"/>
          <w:sz w:val="20"/>
          <w:szCs w:val="20"/>
          <w:lang w:val="lt-LT" w:eastAsia="lt-LT"/>
        </w:rPr>
        <w:t>, t</w:t>
      </w:r>
      <w:r w:rsidRPr="00AE7E91">
        <w:rPr>
          <w:rFonts w:ascii="Georgia" w:eastAsia="Times New Roman" w:hAnsi="Georgia" w:cs="Times New Roman"/>
          <w:sz w:val="20"/>
          <w:szCs w:val="20"/>
          <w:lang w:val="lt-LT" w:eastAsia="lt-LT"/>
        </w:rPr>
        <w:t xml:space="preserve">odėl </w:t>
      </w:r>
      <w:r>
        <w:rPr>
          <w:rFonts w:ascii="Georgia" w:eastAsia="Times New Roman" w:hAnsi="Georgia" w:cs="Times New Roman"/>
          <w:sz w:val="20"/>
          <w:szCs w:val="20"/>
          <w:lang w:val="lt-LT" w:eastAsia="lt-LT"/>
        </w:rPr>
        <w:t xml:space="preserve">skirtingų projektų atvejais subsidijos poreikis gali svyruoti. </w:t>
      </w:r>
      <w:r w:rsidRPr="00634FB1">
        <w:rPr>
          <w:rFonts w:ascii="Georgia" w:eastAsia="Times New Roman" w:hAnsi="Georgia" w:cs="Times New Roman"/>
          <w:sz w:val="20"/>
          <w:szCs w:val="20"/>
          <w:lang w:val="lt-LT" w:eastAsia="lt-LT"/>
        </w:rPr>
        <w:t>Žemiau trumpai aptariami galimi tokios subsidijos atvejai. Pabrėžtina, jog pagal Bendrųjų nuostatų reglamento 37 straipsnio 2 dalį, ex-ante vertinimo objektas yra parama teikiama per FP, o ne subsidiją, todėl čia nustatomos tik siūlomos FP derinimo galimybės su šia parama. Galutinį sprendimą kaip ir kokią paramą subsidijos priemonėmis ketina te</w:t>
      </w:r>
      <w:r>
        <w:rPr>
          <w:rFonts w:ascii="Georgia" w:eastAsia="Times New Roman" w:hAnsi="Georgia" w:cs="Times New Roman"/>
          <w:sz w:val="20"/>
          <w:szCs w:val="20"/>
          <w:lang w:val="lt-LT" w:eastAsia="lt-LT"/>
        </w:rPr>
        <w:t>i</w:t>
      </w:r>
      <w:r w:rsidRPr="00634FB1">
        <w:rPr>
          <w:rFonts w:ascii="Georgia" w:eastAsia="Times New Roman" w:hAnsi="Georgia" w:cs="Times New Roman"/>
          <w:sz w:val="20"/>
          <w:szCs w:val="20"/>
          <w:lang w:val="lt-LT" w:eastAsia="lt-LT"/>
        </w:rPr>
        <w:t>kti nusp</w:t>
      </w:r>
      <w:r>
        <w:rPr>
          <w:rFonts w:ascii="Georgia" w:eastAsia="Times New Roman" w:hAnsi="Georgia" w:cs="Times New Roman"/>
          <w:sz w:val="20"/>
          <w:szCs w:val="20"/>
          <w:lang w:val="lt-LT" w:eastAsia="lt-LT"/>
        </w:rPr>
        <w:t>r</w:t>
      </w:r>
      <w:r w:rsidRPr="00634FB1">
        <w:rPr>
          <w:rFonts w:ascii="Georgia" w:eastAsia="Times New Roman" w:hAnsi="Georgia" w:cs="Times New Roman"/>
          <w:sz w:val="20"/>
          <w:szCs w:val="20"/>
          <w:lang w:val="lt-LT" w:eastAsia="lt-LT"/>
        </w:rPr>
        <w:t xml:space="preserve">ęs pati vadovaujančioji </w:t>
      </w:r>
      <w:r w:rsidR="00F5674D">
        <w:rPr>
          <w:rFonts w:ascii="Georgia" w:eastAsia="Times New Roman" w:hAnsi="Georgia" w:cs="Times New Roman"/>
          <w:sz w:val="20"/>
          <w:szCs w:val="20"/>
          <w:lang w:val="lt-LT" w:eastAsia="lt-LT"/>
        </w:rPr>
        <w:t>institucija</w:t>
      </w:r>
      <w:r w:rsidRPr="00634FB1">
        <w:rPr>
          <w:rFonts w:ascii="Georgia" w:eastAsia="Times New Roman" w:hAnsi="Georgia" w:cs="Times New Roman"/>
          <w:sz w:val="20"/>
          <w:szCs w:val="20"/>
          <w:lang w:val="lt-LT" w:eastAsia="lt-LT"/>
        </w:rPr>
        <w:t>.</w:t>
      </w:r>
    </w:p>
    <w:tbl>
      <w:tblPr>
        <w:tblStyle w:val="Lentelstinklelis"/>
        <w:tblW w:w="9640" w:type="dxa"/>
        <w:tblInd w:w="-34" w:type="dxa"/>
        <w:shd w:val="clear" w:color="auto" w:fill="FDE9D9" w:themeFill="accent6" w:themeFillTint="33"/>
        <w:tblLook w:val="04A0" w:firstRow="1" w:lastRow="0" w:firstColumn="1" w:lastColumn="0" w:noHBand="0" w:noVBand="1"/>
      </w:tblPr>
      <w:tblGrid>
        <w:gridCol w:w="9640"/>
      </w:tblGrid>
      <w:tr w:rsidR="0006117A" w14:paraId="64676CF5" w14:textId="77777777" w:rsidTr="007E38FC">
        <w:trPr>
          <w:trHeight w:val="557"/>
        </w:trPr>
        <w:tc>
          <w:tcPr>
            <w:tcW w:w="9640" w:type="dxa"/>
            <w:shd w:val="clear" w:color="auto" w:fill="FDE9D9" w:themeFill="accent6" w:themeFillTint="33"/>
          </w:tcPr>
          <w:p w14:paraId="729672EA" w14:textId="77777777" w:rsidR="0006117A" w:rsidRPr="006F05A5" w:rsidRDefault="0006117A" w:rsidP="0006117A">
            <w:pPr>
              <w:pStyle w:val="Sraopastraipa"/>
              <w:numPr>
                <w:ilvl w:val="0"/>
                <w:numId w:val="92"/>
              </w:numPr>
              <w:spacing w:after="120"/>
              <w:ind w:left="465" w:hanging="357"/>
              <w:contextualSpacing w:val="0"/>
              <w:jc w:val="both"/>
              <w:rPr>
                <w:rFonts w:ascii="Georgia" w:hAnsi="Georgia" w:cs="Times New Roman"/>
                <w:b/>
                <w:sz w:val="20"/>
                <w:szCs w:val="20"/>
                <w:lang w:val="lt-LT" w:eastAsia="lt-LT"/>
              </w:rPr>
            </w:pPr>
            <w:r w:rsidRPr="006F05A5">
              <w:rPr>
                <w:rFonts w:ascii="Georgia" w:hAnsi="Georgia" w:cs="Times New Roman"/>
                <w:b/>
                <w:sz w:val="20"/>
                <w:szCs w:val="20"/>
                <w:lang w:val="lt-LT" w:eastAsia="lt-LT"/>
              </w:rPr>
              <w:t>Taikoma</w:t>
            </w:r>
            <w:r>
              <w:rPr>
                <w:rFonts w:ascii="Georgia" w:hAnsi="Georgia" w:cs="Times New Roman"/>
                <w:b/>
                <w:sz w:val="20"/>
                <w:szCs w:val="20"/>
                <w:lang w:val="lt-LT" w:eastAsia="lt-LT"/>
              </w:rPr>
              <w:t xml:space="preserve"> iki</w:t>
            </w:r>
            <w:r w:rsidRPr="006F05A5">
              <w:rPr>
                <w:rFonts w:ascii="Georgia" w:hAnsi="Georgia" w:cs="Times New Roman"/>
                <w:b/>
                <w:sz w:val="20"/>
                <w:szCs w:val="20"/>
                <w:lang w:val="lt-LT" w:eastAsia="lt-LT"/>
              </w:rPr>
              <w:t xml:space="preserve"> </w:t>
            </w:r>
            <w:r w:rsidRPr="002A2E90">
              <w:rPr>
                <w:rFonts w:ascii="Georgia" w:hAnsi="Georgia" w:cs="Times New Roman"/>
                <w:b/>
                <w:sz w:val="20"/>
                <w:szCs w:val="20"/>
                <w:lang w:val="lt-LT" w:eastAsia="lt-LT"/>
              </w:rPr>
              <w:t xml:space="preserve">40 proc. subsidija galutinių naudos gavėjų lygmenyje </w:t>
            </w:r>
          </w:p>
          <w:p w14:paraId="10C3699B" w14:textId="77777777" w:rsidR="0006117A" w:rsidRPr="00083AFF" w:rsidRDefault="0006117A" w:rsidP="007E38FC">
            <w:pPr>
              <w:spacing w:after="120"/>
              <w:ind w:left="467"/>
              <w:contextualSpacing/>
              <w:jc w:val="both"/>
              <w:rPr>
                <w:rFonts w:ascii="Georgia" w:hAnsi="Georgia" w:cs="Times New Roman"/>
                <w:sz w:val="20"/>
                <w:szCs w:val="20"/>
                <w:lang w:val="lt-LT" w:eastAsia="lt-LT"/>
              </w:rPr>
            </w:pPr>
            <w:r w:rsidRPr="006F05A5">
              <w:rPr>
                <w:rFonts w:ascii="Georgia" w:hAnsi="Georgia" w:cs="Times New Roman"/>
                <w:sz w:val="20"/>
                <w:szCs w:val="20"/>
                <w:lang w:val="lt-LT" w:eastAsia="lt-LT"/>
              </w:rPr>
              <w:t xml:space="preserve">Šiuo atveju subsidija būtų teikiama kartu su FP (paskolos taikant paskolų išpirkimo modelį) kaip dvi atskiros veiklos, kurių kiekviena turi </w:t>
            </w:r>
            <w:r w:rsidRPr="00083AFF">
              <w:rPr>
                <w:rFonts w:ascii="Georgia" w:hAnsi="Georgia" w:cs="Times New Roman"/>
                <w:sz w:val="20"/>
                <w:szCs w:val="20"/>
                <w:lang w:val="lt-LT" w:eastAsia="lt-LT"/>
              </w:rPr>
              <w:t>savo atskirą leistiną išlaidų elementą. Tokiu atveju siekiant paramos priemonių suderinamumo, turėtų būti tenkinamos šios sąlygos:</w:t>
            </w:r>
          </w:p>
          <w:p w14:paraId="33B716AF" w14:textId="77777777" w:rsidR="0006117A" w:rsidRPr="00083AFF" w:rsidRDefault="0006117A" w:rsidP="0006117A">
            <w:pPr>
              <w:pStyle w:val="Sraopastraipa"/>
              <w:numPr>
                <w:ilvl w:val="0"/>
                <w:numId w:val="93"/>
              </w:numPr>
              <w:spacing w:after="120"/>
              <w:jc w:val="both"/>
              <w:rPr>
                <w:rFonts w:ascii="Georgia" w:hAnsi="Georgia" w:cs="Times New Roman"/>
                <w:sz w:val="20"/>
                <w:szCs w:val="20"/>
                <w:lang w:val="lt-LT" w:eastAsia="lt-LT"/>
              </w:rPr>
            </w:pPr>
            <w:r w:rsidRPr="00083AFF">
              <w:rPr>
                <w:rFonts w:ascii="Georgia" w:hAnsi="Georgia" w:cs="Times New Roman"/>
                <w:sz w:val="20"/>
                <w:szCs w:val="20"/>
                <w:lang w:val="lt-LT" w:eastAsia="lt-LT"/>
              </w:rPr>
              <w:t>Parama teikiama iš ESIF lėšų galutiniams naudos gavėjams per FP yra dalis veiklos, kurios tinkamos išlaidos yra atskirtos nuo paramos tinkamų išlaidų taikant subsidiją;</w:t>
            </w:r>
          </w:p>
          <w:p w14:paraId="11EDF3F8" w14:textId="77777777" w:rsidR="0006117A" w:rsidRPr="00083AFF" w:rsidRDefault="0006117A" w:rsidP="0006117A">
            <w:pPr>
              <w:pStyle w:val="Sraopastraipa"/>
              <w:numPr>
                <w:ilvl w:val="0"/>
                <w:numId w:val="93"/>
              </w:numPr>
              <w:spacing w:after="120"/>
              <w:jc w:val="both"/>
              <w:rPr>
                <w:rFonts w:ascii="Georgia" w:hAnsi="Georgia" w:cs="Times New Roman"/>
                <w:sz w:val="20"/>
                <w:szCs w:val="20"/>
                <w:lang w:val="lt-LT" w:eastAsia="lt-LT"/>
              </w:rPr>
            </w:pPr>
            <w:r w:rsidRPr="00083AFF">
              <w:rPr>
                <w:rFonts w:ascii="Georgia" w:hAnsi="Georgia" w:cs="Times New Roman"/>
                <w:sz w:val="20"/>
                <w:szCs w:val="20"/>
                <w:lang w:val="lt-LT" w:eastAsia="lt-LT"/>
              </w:rPr>
              <w:t>Laikomasi visų valstybės pagalbos taisyklių;</w:t>
            </w:r>
          </w:p>
          <w:p w14:paraId="70B53401" w14:textId="77777777" w:rsidR="0006117A" w:rsidRPr="00083AFF" w:rsidRDefault="0006117A" w:rsidP="0006117A">
            <w:pPr>
              <w:pStyle w:val="Sraopastraipa"/>
              <w:numPr>
                <w:ilvl w:val="0"/>
                <w:numId w:val="93"/>
              </w:numPr>
              <w:spacing w:after="120"/>
              <w:jc w:val="both"/>
              <w:rPr>
                <w:rFonts w:ascii="Georgia" w:hAnsi="Georgia" w:cs="Times New Roman"/>
                <w:sz w:val="20"/>
                <w:szCs w:val="20"/>
                <w:lang w:val="lt-LT" w:eastAsia="lt-LT"/>
              </w:rPr>
            </w:pPr>
            <w:r w:rsidRPr="00083AFF">
              <w:rPr>
                <w:rFonts w:ascii="Georgia" w:hAnsi="Georgia" w:cs="Times New Roman"/>
                <w:sz w:val="20"/>
                <w:szCs w:val="20"/>
                <w:lang w:val="lt-LT" w:eastAsia="lt-LT"/>
              </w:rPr>
              <w:t>FP ir subsidijos įrašai vedami atskirai kiekvienai paramos priemonei.</w:t>
            </w:r>
          </w:p>
          <w:p w14:paraId="7298EC11" w14:textId="77777777" w:rsidR="0006117A" w:rsidRPr="002A2E90" w:rsidRDefault="0006117A" w:rsidP="007E38FC">
            <w:pPr>
              <w:spacing w:after="120"/>
              <w:ind w:left="467"/>
              <w:contextualSpacing/>
              <w:jc w:val="both"/>
              <w:rPr>
                <w:rFonts w:ascii="Georgia" w:hAnsi="Georgia" w:cs="Times New Roman"/>
                <w:sz w:val="20"/>
                <w:szCs w:val="20"/>
                <w:lang w:val="lt-LT" w:eastAsia="lt-LT"/>
              </w:rPr>
            </w:pPr>
            <w:r w:rsidRPr="00083AFF">
              <w:rPr>
                <w:rFonts w:ascii="Georgia" w:hAnsi="Georgia" w:cs="Times New Roman"/>
                <w:sz w:val="20"/>
                <w:szCs w:val="20"/>
                <w:lang w:val="lt-LT" w:eastAsia="lt-LT"/>
              </w:rPr>
              <w:t>Atsižvelgus į šias sąlygas ir užtikrinus, jog laikomasi Bendrųjų nuostatų reglamento</w:t>
            </w:r>
            <w:r w:rsidRPr="00083AFF" w:rsidDel="006A7380">
              <w:rPr>
                <w:rFonts w:ascii="Georgia" w:hAnsi="Georgia" w:cs="Times New Roman"/>
                <w:sz w:val="20"/>
                <w:szCs w:val="20"/>
                <w:lang w:val="lt-LT" w:eastAsia="lt-LT"/>
              </w:rPr>
              <w:t xml:space="preserve"> </w:t>
            </w:r>
            <w:r w:rsidRPr="002A2E90">
              <w:rPr>
                <w:rFonts w:ascii="Georgia" w:hAnsi="Georgia" w:cs="Times New Roman"/>
                <w:sz w:val="20"/>
                <w:szCs w:val="20"/>
                <w:lang w:val="lt-LT" w:eastAsia="lt-LT"/>
              </w:rPr>
              <w:t xml:space="preserve">37 straipsnio 8 ir 9 dalies nuostatų (t.y. derinamų finansavimo formų parama </w:t>
            </w:r>
            <w:r w:rsidRPr="006F05A5">
              <w:rPr>
                <w:rFonts w:ascii="Georgia" w:hAnsi="Georgia" w:cs="Times New Roman"/>
                <w:sz w:val="20"/>
                <w:szCs w:val="20"/>
                <w:lang w:val="lt-LT" w:eastAsia="lt-LT"/>
              </w:rPr>
              <w:t>neviršija</w:t>
            </w:r>
            <w:r w:rsidRPr="002A2E90">
              <w:rPr>
                <w:rFonts w:ascii="Georgia" w:hAnsi="Georgia" w:cs="Times New Roman"/>
                <w:sz w:val="20"/>
                <w:szCs w:val="20"/>
                <w:lang w:val="lt-LT" w:eastAsia="lt-LT"/>
              </w:rPr>
              <w:t xml:space="preserve"> visos atitinkamo išlaidų elemento sumos, subsidijos nenaudojamos finansavimui, gautam pagal FP, apmokėti ir FP nenaudojamos iš anksto, kol negautas subsidijų finansavimas), galėtų būti dvi galimybės priklausomai nuo FP ir subsidijos finansavimo šaltinio:</w:t>
            </w:r>
          </w:p>
          <w:p w14:paraId="7A8276DC" w14:textId="07DD8696" w:rsidR="00F5674D" w:rsidRDefault="00F5674D" w:rsidP="0006117A">
            <w:pPr>
              <w:pStyle w:val="Sraopastraipa"/>
              <w:numPr>
                <w:ilvl w:val="0"/>
                <w:numId w:val="94"/>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FP ir subsidija finansuojama per skirtingas ESIF priemones.</w:t>
            </w:r>
          </w:p>
          <w:p w14:paraId="1C709E8B" w14:textId="6A688759" w:rsidR="00F5674D" w:rsidRDefault="00F5674D" w:rsidP="0006117A">
            <w:pPr>
              <w:pStyle w:val="Sraopastraipa"/>
              <w:numPr>
                <w:ilvl w:val="0"/>
                <w:numId w:val="94"/>
              </w:numPr>
              <w:spacing w:after="120"/>
              <w:jc w:val="both"/>
              <w:rPr>
                <w:rFonts w:ascii="Georgia" w:hAnsi="Georgia" w:cs="Times New Roman"/>
                <w:sz w:val="20"/>
                <w:szCs w:val="20"/>
                <w:lang w:val="lt-LT" w:eastAsia="lt-LT"/>
              </w:rPr>
            </w:pPr>
            <w:r>
              <w:rPr>
                <w:rFonts w:ascii="Georgia" w:hAnsi="Georgia" w:cs="Times New Roman"/>
                <w:sz w:val="20"/>
                <w:szCs w:val="20"/>
                <w:lang w:val="lt-LT" w:eastAsia="lt-LT"/>
              </w:rPr>
              <w:t>FP finansuojama per ESIF priemone, o subsidija nacionalinio biudžeto lėšomis</w:t>
            </w:r>
          </w:p>
          <w:p w14:paraId="669E15DA" w14:textId="726AAEF4" w:rsidR="0006117A" w:rsidRPr="00950129" w:rsidRDefault="0006117A" w:rsidP="007E38FC">
            <w:pPr>
              <w:spacing w:after="240"/>
              <w:ind w:left="465"/>
              <w:jc w:val="both"/>
              <w:rPr>
                <w:rFonts w:ascii="Georgia" w:hAnsi="Georgia" w:cs="Times New Roman"/>
                <w:sz w:val="20"/>
                <w:szCs w:val="20"/>
                <w:lang w:val="lt-LT" w:eastAsia="lt-LT"/>
              </w:rPr>
            </w:pPr>
            <w:r>
              <w:rPr>
                <w:rFonts w:ascii="Georgia" w:hAnsi="Georgia" w:cs="Times New Roman"/>
                <w:sz w:val="20"/>
                <w:szCs w:val="20"/>
                <w:lang w:val="lt-LT" w:eastAsia="lt-LT"/>
              </w:rPr>
              <w:t>Pirmuoju atveju nėra skirtumo ar subsidija būtų dotacija ar grąžina</w:t>
            </w:r>
            <w:r w:rsidR="00F5674D">
              <w:rPr>
                <w:rFonts w:ascii="Georgia" w:hAnsi="Georgia" w:cs="Times New Roman"/>
                <w:sz w:val="20"/>
                <w:szCs w:val="20"/>
                <w:lang w:val="lt-LT" w:eastAsia="lt-LT"/>
              </w:rPr>
              <w:t>moji</w:t>
            </w:r>
            <w:r>
              <w:rPr>
                <w:rFonts w:ascii="Georgia" w:hAnsi="Georgia" w:cs="Times New Roman"/>
                <w:sz w:val="20"/>
                <w:szCs w:val="20"/>
                <w:lang w:val="lt-LT" w:eastAsia="lt-LT"/>
              </w:rPr>
              <w:t xml:space="preserve"> subsidija. Galima paminėti, jog </w:t>
            </w:r>
            <w:r w:rsidR="00F5674D">
              <w:rPr>
                <w:rFonts w:ascii="Georgia" w:hAnsi="Georgia" w:cs="Times New Roman"/>
                <w:sz w:val="20"/>
                <w:szCs w:val="20"/>
                <w:lang w:val="lt-LT" w:eastAsia="lt-LT"/>
              </w:rPr>
              <w:t>pagrindinis grąžinamosios</w:t>
            </w:r>
            <w:r>
              <w:rPr>
                <w:rFonts w:ascii="Georgia" w:hAnsi="Georgia" w:cs="Times New Roman"/>
                <w:sz w:val="20"/>
                <w:szCs w:val="20"/>
                <w:lang w:val="lt-LT" w:eastAsia="lt-LT"/>
              </w:rPr>
              <w:t xml:space="preserve"> </w:t>
            </w:r>
            <w:r w:rsidR="00F5674D">
              <w:rPr>
                <w:rFonts w:ascii="Georgia" w:hAnsi="Georgia" w:cs="Times New Roman"/>
                <w:sz w:val="20"/>
                <w:szCs w:val="20"/>
                <w:lang w:val="lt-LT" w:eastAsia="lt-LT"/>
              </w:rPr>
              <w:t>subsidijo</w:t>
            </w:r>
            <w:r w:rsidR="00EC60CE">
              <w:rPr>
                <w:rFonts w:ascii="Georgia" w:hAnsi="Georgia" w:cs="Times New Roman"/>
                <w:sz w:val="20"/>
                <w:szCs w:val="20"/>
                <w:lang w:val="lt-LT" w:eastAsia="lt-LT"/>
              </w:rPr>
              <w:t>s</w:t>
            </w:r>
            <w:r>
              <w:rPr>
                <w:rFonts w:ascii="Georgia" w:hAnsi="Georgia" w:cs="Times New Roman"/>
                <w:sz w:val="20"/>
                <w:szCs w:val="20"/>
                <w:lang w:val="lt-LT" w:eastAsia="lt-LT"/>
              </w:rPr>
              <w:t xml:space="preserve"> privalumas lyginant su dotacija yra tas, jog </w:t>
            </w:r>
            <w:r w:rsidR="001F2227">
              <w:rPr>
                <w:rFonts w:ascii="Georgia" w:hAnsi="Georgia" w:cs="Times New Roman"/>
                <w:sz w:val="20"/>
                <w:szCs w:val="20"/>
                <w:lang w:val="lt-LT" w:eastAsia="lt-LT"/>
              </w:rPr>
              <w:t xml:space="preserve">grąžinamoji </w:t>
            </w:r>
            <w:r w:rsidR="00F5674D">
              <w:rPr>
                <w:rFonts w:ascii="Georgia" w:hAnsi="Georgia" w:cs="Times New Roman"/>
                <w:sz w:val="20"/>
                <w:szCs w:val="20"/>
                <w:lang w:val="lt-LT" w:eastAsia="lt-LT"/>
              </w:rPr>
              <w:t>subsidija</w:t>
            </w:r>
            <w:r>
              <w:rPr>
                <w:rFonts w:ascii="Georgia" w:hAnsi="Georgia" w:cs="Times New Roman"/>
                <w:sz w:val="20"/>
                <w:szCs w:val="20"/>
                <w:lang w:val="lt-LT" w:eastAsia="lt-LT"/>
              </w:rPr>
              <w:t xml:space="preserve"> skatina perėjimą nuo subsidijų prie FP kultūros, atsakingesnį skolinimąsi ir didesnę motyvaciją siekiant geresnių rezultatų (jei nustatomi atitinkami kriterijai, pagal kuriuos paramos grąžinti nereikėtų). Dar vienas privalumas tas, jog FP administruojanti institucija gali veikti vieno </w:t>
            </w:r>
            <w:r>
              <w:rPr>
                <w:rFonts w:ascii="Georgia" w:hAnsi="Georgia" w:cs="Times New Roman"/>
                <w:sz w:val="20"/>
                <w:szCs w:val="20"/>
                <w:lang w:val="lt-LT" w:eastAsia="lt-LT"/>
              </w:rPr>
              <w:lastRenderedPageBreak/>
              <w:t xml:space="preserve">langelio principu, nes </w:t>
            </w:r>
            <w:r w:rsidR="00F5674D">
              <w:rPr>
                <w:rFonts w:ascii="Georgia" w:hAnsi="Georgia" w:cs="Times New Roman"/>
                <w:sz w:val="20"/>
                <w:szCs w:val="20"/>
                <w:lang w:val="lt-LT" w:eastAsia="lt-LT"/>
              </w:rPr>
              <w:t xml:space="preserve">jai suteikti </w:t>
            </w:r>
            <w:r w:rsidR="001F2227">
              <w:rPr>
                <w:rFonts w:ascii="Georgia" w:hAnsi="Georgia" w:cs="Times New Roman"/>
                <w:sz w:val="20"/>
                <w:szCs w:val="20"/>
                <w:lang w:val="lt-LT" w:eastAsia="lt-LT"/>
              </w:rPr>
              <w:t xml:space="preserve">grąžinamosios </w:t>
            </w:r>
            <w:r w:rsidR="00F5674D">
              <w:rPr>
                <w:rFonts w:ascii="Georgia" w:hAnsi="Georgia" w:cs="Times New Roman"/>
                <w:sz w:val="20"/>
                <w:szCs w:val="20"/>
                <w:lang w:val="lt-LT" w:eastAsia="lt-LT"/>
              </w:rPr>
              <w:t>subsidijos</w:t>
            </w:r>
            <w:r>
              <w:rPr>
                <w:rFonts w:ascii="Georgia" w:hAnsi="Georgia" w:cs="Times New Roman"/>
                <w:sz w:val="20"/>
                <w:szCs w:val="20"/>
                <w:lang w:val="lt-LT" w:eastAsia="lt-LT"/>
              </w:rPr>
              <w:t xml:space="preserve"> administravimo įgaliojimai, minimizuojant administracinius kaštus. Taikant </w:t>
            </w:r>
            <w:r w:rsidR="00F5674D">
              <w:rPr>
                <w:rFonts w:ascii="Georgia" w:hAnsi="Georgia" w:cs="Times New Roman"/>
                <w:sz w:val="20"/>
                <w:szCs w:val="20"/>
                <w:lang w:val="lt-LT" w:eastAsia="lt-LT"/>
              </w:rPr>
              <w:t>dotaciją</w:t>
            </w:r>
            <w:r>
              <w:rPr>
                <w:rFonts w:ascii="Georgia" w:hAnsi="Georgia" w:cs="Times New Roman"/>
                <w:sz w:val="20"/>
                <w:szCs w:val="20"/>
                <w:lang w:val="lt-LT" w:eastAsia="lt-LT"/>
              </w:rPr>
              <w:t>, tikėtina padidėtų administravimo kaštai, tačiau galimai pagreitėtų lėšų įsisavinimas. Atsižvelgus į sprendimą priimant galiojančią rinkos situaciją ir esamus prioritetus, sp</w:t>
            </w:r>
            <w:r w:rsidR="00F5674D">
              <w:rPr>
                <w:rFonts w:ascii="Georgia" w:hAnsi="Georgia" w:cs="Times New Roman"/>
                <w:sz w:val="20"/>
                <w:szCs w:val="20"/>
                <w:lang w:val="lt-LT" w:eastAsia="lt-LT"/>
              </w:rPr>
              <w:t>rendimą turi priimti vadovaujanti</w:t>
            </w:r>
            <w:r>
              <w:rPr>
                <w:rFonts w:ascii="Georgia" w:hAnsi="Georgia" w:cs="Times New Roman"/>
                <w:sz w:val="20"/>
                <w:szCs w:val="20"/>
                <w:lang w:val="lt-LT" w:eastAsia="lt-LT"/>
              </w:rPr>
              <w:t xml:space="preserve"> institucija.</w:t>
            </w:r>
          </w:p>
          <w:p w14:paraId="59B928A8" w14:textId="77777777" w:rsidR="0006117A" w:rsidRPr="006F05A5" w:rsidRDefault="0006117A" w:rsidP="0006117A">
            <w:pPr>
              <w:pStyle w:val="Sraopastraipa"/>
              <w:numPr>
                <w:ilvl w:val="0"/>
                <w:numId w:val="92"/>
              </w:numPr>
              <w:spacing w:after="120"/>
              <w:ind w:left="465" w:hanging="357"/>
              <w:contextualSpacing w:val="0"/>
              <w:jc w:val="both"/>
              <w:rPr>
                <w:rFonts w:ascii="Georgia" w:hAnsi="Georgia" w:cs="Times New Roman"/>
                <w:b/>
                <w:sz w:val="20"/>
                <w:szCs w:val="20"/>
                <w:lang w:val="lt-LT" w:eastAsia="lt-LT"/>
              </w:rPr>
            </w:pPr>
            <w:r w:rsidRPr="002A2E90">
              <w:rPr>
                <w:rFonts w:ascii="Georgia" w:hAnsi="Georgia" w:cs="Times New Roman"/>
                <w:b/>
                <w:sz w:val="20"/>
                <w:szCs w:val="20"/>
                <w:lang w:val="lt-LT" w:eastAsia="lt-LT"/>
              </w:rPr>
              <w:t xml:space="preserve">Taikoma </w:t>
            </w:r>
            <w:r>
              <w:rPr>
                <w:rFonts w:ascii="Georgia" w:hAnsi="Georgia" w:cs="Times New Roman"/>
                <w:b/>
                <w:sz w:val="20"/>
                <w:szCs w:val="20"/>
                <w:lang w:val="lt-LT" w:eastAsia="lt-LT"/>
              </w:rPr>
              <w:t xml:space="preserve">iki </w:t>
            </w:r>
            <w:r w:rsidRPr="002A2E90">
              <w:rPr>
                <w:rFonts w:ascii="Georgia" w:hAnsi="Georgia" w:cs="Times New Roman"/>
                <w:b/>
                <w:sz w:val="20"/>
                <w:szCs w:val="20"/>
                <w:lang w:val="lt-LT" w:eastAsia="lt-LT"/>
              </w:rPr>
              <w:t xml:space="preserve">30 proc. subsidija galutinių naudotojų lygmenyje ir </w:t>
            </w:r>
            <w:r>
              <w:rPr>
                <w:rFonts w:ascii="Georgia" w:hAnsi="Georgia" w:cs="Times New Roman"/>
                <w:b/>
                <w:sz w:val="20"/>
                <w:szCs w:val="20"/>
                <w:lang w:val="lt-LT" w:eastAsia="lt-LT"/>
              </w:rPr>
              <w:t xml:space="preserve">iki </w:t>
            </w:r>
            <w:r w:rsidRPr="002A2E90">
              <w:rPr>
                <w:rFonts w:ascii="Georgia" w:hAnsi="Georgia" w:cs="Times New Roman"/>
                <w:b/>
                <w:sz w:val="20"/>
                <w:szCs w:val="20"/>
                <w:lang w:val="lt-LT" w:eastAsia="lt-LT"/>
              </w:rPr>
              <w:t>10 proc. subsidija techninei paramai FP lygmenyje</w:t>
            </w:r>
          </w:p>
          <w:p w14:paraId="2F59946B" w14:textId="7A7D7312" w:rsidR="0006117A" w:rsidRPr="00083AFF" w:rsidRDefault="0006117A" w:rsidP="007E38FC">
            <w:pPr>
              <w:ind w:left="467"/>
              <w:jc w:val="both"/>
              <w:rPr>
                <w:rFonts w:ascii="Georgia" w:hAnsi="Georgia" w:cs="Times New Roman"/>
                <w:sz w:val="20"/>
                <w:szCs w:val="20"/>
                <w:lang w:val="lt-LT" w:eastAsia="lt-LT"/>
              </w:rPr>
            </w:pPr>
            <w:r w:rsidRPr="006F05A5">
              <w:rPr>
                <w:rFonts w:ascii="Georgia" w:hAnsi="Georgia" w:cs="Times New Roman"/>
                <w:sz w:val="20"/>
                <w:szCs w:val="20"/>
                <w:lang w:val="lt-LT" w:eastAsia="lt-LT"/>
              </w:rPr>
              <w:t xml:space="preserve">Šiuo atveju </w:t>
            </w:r>
            <w:r>
              <w:rPr>
                <w:rFonts w:ascii="Georgia" w:hAnsi="Georgia" w:cs="Times New Roman"/>
                <w:sz w:val="20"/>
                <w:szCs w:val="20"/>
                <w:lang w:val="lt-LT" w:eastAsia="lt-LT"/>
              </w:rPr>
              <w:t xml:space="preserve">iki </w:t>
            </w:r>
            <w:r w:rsidRPr="002A2E90">
              <w:rPr>
                <w:rFonts w:ascii="Georgia" w:hAnsi="Georgia" w:cs="Times New Roman"/>
                <w:sz w:val="20"/>
                <w:szCs w:val="20"/>
                <w:lang w:val="lt-LT" w:eastAsia="lt-LT"/>
              </w:rPr>
              <w:t xml:space="preserve">30 proc. subsidija būtų derinama su FP kaip ir </w:t>
            </w:r>
            <w:r w:rsidR="00EC60CE">
              <w:rPr>
                <w:rFonts w:ascii="Georgia" w:hAnsi="Georgia" w:cs="Times New Roman"/>
                <w:sz w:val="20"/>
                <w:szCs w:val="20"/>
                <w:lang w:val="lt-LT" w:eastAsia="lt-LT"/>
              </w:rPr>
              <w:t>aptarta anksčiau</w:t>
            </w:r>
            <w:r w:rsidRPr="002A2E90">
              <w:rPr>
                <w:rFonts w:ascii="Georgia" w:hAnsi="Georgia" w:cs="Times New Roman"/>
                <w:sz w:val="20"/>
                <w:szCs w:val="20"/>
                <w:lang w:val="lt-LT" w:eastAsia="lt-LT"/>
              </w:rPr>
              <w:t xml:space="preserve">. Tuo tarpu </w:t>
            </w:r>
            <w:r>
              <w:rPr>
                <w:rFonts w:ascii="Georgia" w:hAnsi="Georgia" w:cs="Times New Roman"/>
                <w:sz w:val="20"/>
                <w:szCs w:val="20"/>
                <w:lang w:val="lt-LT" w:eastAsia="lt-LT"/>
              </w:rPr>
              <w:t xml:space="preserve">iki </w:t>
            </w:r>
            <w:r w:rsidRPr="002A2E90">
              <w:rPr>
                <w:rFonts w:ascii="Georgia" w:hAnsi="Georgia" w:cs="Times New Roman"/>
                <w:sz w:val="20"/>
                <w:szCs w:val="20"/>
                <w:lang w:val="lt-LT" w:eastAsia="lt-LT"/>
              </w:rPr>
              <w:t>10 proc. subsidija techninei paramai b</w:t>
            </w:r>
            <w:r w:rsidRPr="006F05A5">
              <w:rPr>
                <w:rFonts w:ascii="Georgia" w:hAnsi="Georgia" w:cs="Times New Roman"/>
                <w:sz w:val="20"/>
                <w:szCs w:val="20"/>
                <w:lang w:val="lt-LT" w:eastAsia="lt-LT"/>
              </w:rPr>
              <w:t xml:space="preserve">ūtų teikiama jau FP lygmenyje, nes </w:t>
            </w:r>
            <w:r w:rsidRPr="002A2E90">
              <w:rPr>
                <w:rFonts w:ascii="Georgia" w:hAnsi="Georgia" w:cs="Times New Roman"/>
                <w:sz w:val="20"/>
                <w:szCs w:val="20"/>
                <w:lang w:val="lt-LT" w:eastAsia="lt-LT"/>
              </w:rPr>
              <w:t>remiantis Bendrųjų nuostatų reglamento 37 straipsnio 7 dalies nuostatomis</w:t>
            </w:r>
            <w:r w:rsidRPr="006F05A5">
              <w:rPr>
                <w:rFonts w:ascii="Georgia" w:hAnsi="Georgia" w:cs="Times New Roman"/>
                <w:sz w:val="20"/>
                <w:szCs w:val="20"/>
                <w:lang w:val="lt-LT" w:eastAsia="lt-LT"/>
              </w:rPr>
              <w:t>, kai „ESI fondų parama teikiama pasitelkiant FP ir kai ji, vykdant vieną veiksmą derinama su kitų formų parama tiesiogiai susieta su FP, skirtoms tiem</w:t>
            </w:r>
            <w:r w:rsidRPr="00083AFF">
              <w:rPr>
                <w:rFonts w:ascii="Georgia" w:hAnsi="Georgia" w:cs="Times New Roman"/>
                <w:sz w:val="20"/>
                <w:szCs w:val="20"/>
                <w:lang w:val="lt-LT" w:eastAsia="lt-LT"/>
              </w:rPr>
              <w:t xml:space="preserve">s patiems galutiniams naudos gavėjams įskaitant techninę pagalbą, FP taikytinos nuostatos taikomos visų formų paramai, teikiamai tam veiksmui“. </w:t>
            </w:r>
          </w:p>
          <w:p w14:paraId="1A9F891E" w14:textId="77777777" w:rsidR="0006117A" w:rsidRDefault="0006117A" w:rsidP="007E38FC">
            <w:pPr>
              <w:ind w:left="467"/>
              <w:jc w:val="both"/>
              <w:rPr>
                <w:rFonts w:ascii="Georgia" w:hAnsi="Georgia" w:cs="Times New Roman"/>
                <w:sz w:val="20"/>
                <w:szCs w:val="20"/>
                <w:lang w:val="lt-LT" w:eastAsia="lt-LT"/>
              </w:rPr>
            </w:pPr>
            <w:r>
              <w:rPr>
                <w:rFonts w:ascii="Georgia" w:hAnsi="Georgia" w:cs="Times New Roman"/>
                <w:sz w:val="20"/>
                <w:szCs w:val="20"/>
                <w:lang w:val="lt-LT" w:eastAsia="lt-LT"/>
              </w:rPr>
              <w:t xml:space="preserve">Nustatytas techninės paramos dydis buvo pasirinktas remiantis daugiabučių namų renovacijos projektų statistika, kuri indikuoja, jog techninė parama rengiant renovacijos projektus šiame sektoriuje siekia apie </w:t>
            </w:r>
            <w:r>
              <w:rPr>
                <w:rFonts w:ascii="Georgia" w:hAnsi="Georgia" w:cs="Times New Roman"/>
                <w:sz w:val="20"/>
                <w:szCs w:val="20"/>
                <w:lang w:eastAsia="lt-LT"/>
              </w:rPr>
              <w:t xml:space="preserve">8 proc. </w:t>
            </w:r>
            <w:r w:rsidRPr="002A2E90">
              <w:rPr>
                <w:rFonts w:ascii="Georgia" w:hAnsi="Georgia" w:cs="Times New Roman"/>
                <w:sz w:val="20"/>
                <w:szCs w:val="20"/>
                <w:lang w:val="lt-LT" w:eastAsia="lt-LT"/>
              </w:rPr>
              <w:t>Kadangi vie</w:t>
            </w:r>
            <w:r w:rsidRPr="006F05A5">
              <w:rPr>
                <w:rFonts w:ascii="Georgia" w:hAnsi="Georgia" w:cs="Times New Roman"/>
                <w:sz w:val="20"/>
                <w:szCs w:val="20"/>
                <w:lang w:val="lt-LT" w:eastAsia="lt-LT"/>
              </w:rPr>
              <w:t xml:space="preserve">šųjų pastatų renovacijos projektai tikėtina bus kompleksiškesni ir pareikalaus daugiau resursų, siūloma apsvarstyti </w:t>
            </w:r>
            <w:r>
              <w:rPr>
                <w:rFonts w:ascii="Georgia" w:hAnsi="Georgia" w:cs="Times New Roman"/>
                <w:sz w:val="20"/>
                <w:szCs w:val="20"/>
                <w:lang w:val="lt-LT" w:eastAsia="lt-LT"/>
              </w:rPr>
              <w:t xml:space="preserve">iki </w:t>
            </w:r>
            <w:r w:rsidRPr="002A2E90">
              <w:rPr>
                <w:rFonts w:ascii="Georgia" w:hAnsi="Georgia" w:cs="Times New Roman"/>
                <w:sz w:val="20"/>
                <w:szCs w:val="20"/>
                <w:lang w:val="lt-LT" w:eastAsia="lt-LT"/>
              </w:rPr>
              <w:t>10 proc. paramą.</w:t>
            </w:r>
            <w:r>
              <w:rPr>
                <w:rFonts w:ascii="Georgia" w:hAnsi="Georgia" w:cs="Times New Roman"/>
                <w:sz w:val="20"/>
                <w:szCs w:val="20"/>
                <w:lang w:val="lt-LT" w:eastAsia="lt-LT"/>
              </w:rPr>
              <w:t xml:space="preserve"> </w:t>
            </w:r>
          </w:p>
          <w:p w14:paraId="755BF8DF" w14:textId="4D4DC892" w:rsidR="0006117A" w:rsidRPr="00950129" w:rsidRDefault="0006117A" w:rsidP="007E38FC">
            <w:pPr>
              <w:ind w:left="467"/>
              <w:jc w:val="both"/>
              <w:rPr>
                <w:rFonts w:ascii="Georgia" w:hAnsi="Georgia" w:cs="Times New Roman"/>
                <w:sz w:val="20"/>
                <w:szCs w:val="20"/>
                <w:lang w:val="lt-LT" w:eastAsia="lt-LT"/>
              </w:rPr>
            </w:pPr>
            <w:r>
              <w:rPr>
                <w:rFonts w:ascii="Georgia" w:hAnsi="Georgia" w:cs="Times New Roman"/>
                <w:sz w:val="20"/>
                <w:szCs w:val="20"/>
                <w:lang w:val="lt-LT" w:eastAsia="lt-LT"/>
              </w:rPr>
              <w:t xml:space="preserve">Techninė parama ypatingai patraukli ne tik dėl to, jog ji gali būti administruojama kaip ir FP ir taip sutaupomi papildomi kaštai, tačiau ir dėl to, kad techninių projektų parengimas ir pasiruošimas įgyvendinant renovacijos projektus yra imlus pastatų valdytojų laikui ir žmogiškiesiems resursams, todėl tikėtina atgraso juos nuo tokių projektų inicijavimo. Tai buvo ne kartą paminėta atliekant </w:t>
            </w:r>
            <w:r w:rsidR="00EC60CE">
              <w:rPr>
                <w:rFonts w:ascii="Georgia" w:hAnsi="Georgia" w:cs="Times New Roman"/>
                <w:sz w:val="20"/>
                <w:szCs w:val="20"/>
                <w:lang w:val="lt-LT" w:eastAsia="lt-LT"/>
              </w:rPr>
              <w:t>galutinių naudos gavėjų</w:t>
            </w:r>
            <w:r>
              <w:rPr>
                <w:rFonts w:ascii="Georgia" w:hAnsi="Georgia" w:cs="Times New Roman"/>
                <w:sz w:val="20"/>
                <w:szCs w:val="20"/>
                <w:lang w:val="lt-LT" w:eastAsia="lt-LT"/>
              </w:rPr>
              <w:t xml:space="preserve"> apklausą. Tikėtina, jog pradėjus teikti tokio tipo paramą įsibėgės ir viešųjų pastatų renovacijos projektų srautas. Papildomai teikiant subsidiją techninei paramai, jos kokybę vertina ir subsidijos valdytojas, taip užtikrinant papildomą kontrolės lygį.</w:t>
            </w:r>
          </w:p>
        </w:tc>
      </w:tr>
    </w:tbl>
    <w:p w14:paraId="6ECBED36"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 xml:space="preserve">Vadovaujantis šiuo metu patvirtinta 2014-2020 m. ESI fondų lėšų administravimo teisine baze, siekiant vienam projektui skirti iki </w:t>
      </w:r>
      <w:r>
        <w:rPr>
          <w:rFonts w:ascii="Georgia" w:eastAsia="Times New Roman" w:hAnsi="Georgia" w:cs="Times New Roman"/>
          <w:sz w:val="20"/>
          <w:szCs w:val="20"/>
          <w:lang w:eastAsia="lt-LT"/>
        </w:rPr>
        <w:t>40</w:t>
      </w:r>
      <w:r>
        <w:rPr>
          <w:rFonts w:ascii="Georgia" w:eastAsia="Times New Roman" w:hAnsi="Georgia" w:cs="Times New Roman"/>
          <w:sz w:val="20"/>
          <w:szCs w:val="20"/>
          <w:lang w:val="lt-LT" w:eastAsia="lt-LT"/>
        </w:rPr>
        <w:t xml:space="preserve"> proc. subsidiją ir nuo 60 proc. finansavimą per FP, sukuriama didžiulė našta administruoti šias dvi atskiras paramos formas, tuo atveju kai šias finansavimo formas administruojančios institucijos bus skirtingos. </w:t>
      </w:r>
    </w:p>
    <w:p w14:paraId="20581446"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jog efektyvesnis šių </w:t>
      </w:r>
      <w:r>
        <w:rPr>
          <w:rFonts w:ascii="Georgia" w:eastAsia="Times New Roman" w:hAnsi="Georgia" w:cs="Times New Roman"/>
          <w:b/>
          <w:sz w:val="20"/>
          <w:szCs w:val="20"/>
          <w:lang w:val="lt-LT" w:eastAsia="lt-LT"/>
        </w:rPr>
        <w:t>dviejų finansavimo formų suderinimas būtų įgyvendinamas per vieną instituciją,</w:t>
      </w:r>
      <w:r>
        <w:rPr>
          <w:rFonts w:ascii="Georgia" w:eastAsia="Times New Roman" w:hAnsi="Georgia" w:cs="Times New Roman"/>
          <w:sz w:val="20"/>
          <w:szCs w:val="20"/>
          <w:lang w:val="lt-LT" w:eastAsia="lt-LT"/>
        </w:rPr>
        <w:t xml:space="preserve"> kuri tuo pačiu atliktų įgyvendinančiosios institucijos funkcijas</w:t>
      </w:r>
      <w:r>
        <w:rPr>
          <w:rStyle w:val="Puslapioinaosnuoroda"/>
          <w:rFonts w:ascii="Georgia" w:eastAsia="Times New Roman" w:hAnsi="Georgia" w:cs="Times New Roman"/>
          <w:sz w:val="20"/>
          <w:szCs w:val="20"/>
          <w:lang w:val="lt-LT" w:eastAsia="lt-LT"/>
        </w:rPr>
        <w:footnoteReference w:id="201"/>
      </w:r>
      <w:r>
        <w:rPr>
          <w:rFonts w:ascii="Georgia" w:eastAsia="Times New Roman" w:hAnsi="Georgia" w:cs="Times New Roman"/>
          <w:sz w:val="20"/>
          <w:szCs w:val="20"/>
          <w:lang w:val="lt-LT" w:eastAsia="lt-LT"/>
        </w:rPr>
        <w:t xml:space="preserve"> ir finansinės priemonės valdytojo funkcijas. Tokiu būdu vieno projektų administravimas būtų valdomas vieno langelio principu ir taip sumažinama nereikalinga administracinė našta tiek pareiškėjui, tiek kitoms institucijoms. Atsižvelgiant į tai, rekomenduojama įvertinti, ar nacionalinė institucija, galinti veikti kaip finansinės priemonės valdytojas, galėtų ir būti paskiriama viena iš įgyvendinančių institucijų. </w:t>
      </w:r>
    </w:p>
    <w:p w14:paraId="6E0E8B62"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Atsiradus galimybei skirti papildomą subsidiją iš kitų šaltinių (pvz. Klimato kaitos programos lėšų), siūloma išnaudoti tokią galimybę siekiant sutrumpinti projektų atsipirkimo laikotarpį ir motyvuoti savivaldybes aktyviau atnaujinti viešuosius pastatus, tokiu būdu prisidedant prie energijos taupymo strateginių tikslų.</w:t>
      </w:r>
    </w:p>
    <w:p w14:paraId="3F061328" w14:textId="77777777" w:rsidR="0006117A" w:rsidRDefault="0006117A" w:rsidP="0006117A">
      <w:pPr>
        <w:jc w:val="both"/>
        <w:rPr>
          <w:rFonts w:ascii="Georgia" w:eastAsia="Times New Roman" w:hAnsi="Georgia" w:cs="Times New Roman"/>
          <w:sz w:val="20"/>
          <w:szCs w:val="20"/>
          <w:lang w:val="lt-LT" w:eastAsia="lt-LT"/>
        </w:rPr>
      </w:pPr>
    </w:p>
    <w:p w14:paraId="6719B660" w14:textId="77777777" w:rsidR="0006117A" w:rsidRPr="00DF3A8E" w:rsidRDefault="0006117A" w:rsidP="0006117A">
      <w:pPr>
        <w:pStyle w:val="Antrat2"/>
        <w:spacing w:after="240"/>
        <w:rPr>
          <w:lang w:val="lt-LT"/>
        </w:rPr>
      </w:pPr>
      <w:bookmarkStart w:id="443" w:name="_Toc417378460"/>
      <w:bookmarkStart w:id="444" w:name="_Hlk502238334"/>
      <w:bookmarkStart w:id="445" w:name="_Toc25589991"/>
      <w:r>
        <w:rPr>
          <w:lang w:val="lt-LT"/>
        </w:rPr>
        <w:t xml:space="preserve">7.3.4. </w:t>
      </w:r>
      <w:r w:rsidRPr="00DF3A8E">
        <w:rPr>
          <w:lang w:val="lt-LT"/>
        </w:rPr>
        <w:t>Finansinės priemonės įgyvendinimo struktūra</w:t>
      </w:r>
      <w:bookmarkEnd w:id="443"/>
      <w:bookmarkEnd w:id="445"/>
    </w:p>
    <w:bookmarkEnd w:id="444"/>
    <w:p w14:paraId="607680B3"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w:t>
      </w:r>
      <w:r w:rsidRPr="00AC3318">
        <w:rPr>
          <w:rFonts w:ascii="Georgia" w:eastAsia="Times New Roman" w:hAnsi="Georgia" w:cs="Times New Roman"/>
          <w:sz w:val="20"/>
          <w:szCs w:val="20"/>
          <w:lang w:val="lt-LT" w:eastAsia="lt-LT"/>
        </w:rPr>
        <w:t xml:space="preserve">inansinių priemonių įgyvendinimo struktūros, reglamentuojamos Bendrųjų nuostatų reglamente, yra aptartos 1.3. skyriuje. </w:t>
      </w:r>
    </w:p>
    <w:p w14:paraId="3D344E96" w14:textId="77777777" w:rsidR="0006117A" w:rsidRPr="00DA65C2" w:rsidRDefault="0006117A" w:rsidP="0006117A">
      <w:pPr>
        <w:jc w:val="both"/>
        <w:rPr>
          <w:rFonts w:ascii="Georgia" w:hAnsi="Georgia"/>
          <w:sz w:val="20"/>
          <w:szCs w:val="20"/>
          <w:lang w:val="lt-LT"/>
        </w:rPr>
      </w:pPr>
      <w:r>
        <w:rPr>
          <w:rFonts w:ascii="Georgia" w:eastAsia="Times New Roman" w:hAnsi="Georgia" w:cs="Times New Roman"/>
          <w:sz w:val="20"/>
          <w:szCs w:val="20"/>
          <w:lang w:val="lt-LT" w:eastAsia="lt-LT"/>
        </w:rPr>
        <w:t xml:space="preserve">Analizuojant finansinių produktų kiekybinę pridėtinę vertę, buvo identifikuota, kad pritraukiant privačius investuotojus didžiausią pridėtinę vertę kuria finansavimo modeliai kai paskolų finansinės priemonės ateities piniginius srautus išperka privatūs investuotojai arba yra įkuriamas rizikos pasidalijimo fondas, kadangi tokioje struktūroje didele apimtimi dalyvauja privatūs investuotojai. Taip pat buvo </w:t>
      </w:r>
      <w:r w:rsidRPr="00B07DD8">
        <w:rPr>
          <w:rFonts w:ascii="Georgia" w:eastAsia="Times New Roman" w:hAnsi="Georgia" w:cs="Times New Roman"/>
          <w:sz w:val="20"/>
          <w:szCs w:val="20"/>
          <w:lang w:val="lt-LT" w:eastAsia="lt-LT"/>
        </w:rPr>
        <w:t>identifikuota</w:t>
      </w:r>
      <w:r w:rsidRPr="00DA65C2">
        <w:rPr>
          <w:rFonts w:ascii="Georgia" w:hAnsi="Georgia"/>
          <w:sz w:val="20"/>
          <w:szCs w:val="20"/>
          <w:lang w:val="lt-LT"/>
        </w:rPr>
        <w:t>, kad siekiant sėkming</w:t>
      </w:r>
      <w:r>
        <w:rPr>
          <w:rFonts w:ascii="Georgia" w:hAnsi="Georgia"/>
          <w:sz w:val="20"/>
          <w:szCs w:val="20"/>
          <w:lang w:val="lt-LT"/>
        </w:rPr>
        <w:t>ai</w:t>
      </w:r>
      <w:r w:rsidRPr="00DA65C2">
        <w:rPr>
          <w:rFonts w:ascii="Georgia" w:hAnsi="Georgia"/>
          <w:sz w:val="20"/>
          <w:szCs w:val="20"/>
          <w:lang w:val="lt-LT"/>
        </w:rPr>
        <w:t xml:space="preserve"> </w:t>
      </w:r>
      <w:r>
        <w:rPr>
          <w:rFonts w:ascii="Georgia" w:hAnsi="Georgia"/>
          <w:sz w:val="20"/>
          <w:szCs w:val="20"/>
          <w:lang w:val="lt-LT"/>
        </w:rPr>
        <w:t>pritraukti investuotojus</w:t>
      </w:r>
      <w:r w:rsidRPr="00DA65C2">
        <w:rPr>
          <w:rFonts w:ascii="Georgia" w:hAnsi="Georgia"/>
          <w:sz w:val="20"/>
          <w:szCs w:val="20"/>
          <w:lang w:val="lt-LT"/>
        </w:rPr>
        <w:t xml:space="preserve">, bet kuriuo atveju yra reikalinga savivaldybių viešųjų pastatų </w:t>
      </w:r>
      <w:r w:rsidRPr="00DA65C2">
        <w:rPr>
          <w:rFonts w:ascii="Georgia" w:hAnsi="Georgia"/>
          <w:sz w:val="20"/>
          <w:szCs w:val="20"/>
          <w:lang w:val="lt-LT"/>
        </w:rPr>
        <w:lastRenderedPageBreak/>
        <w:t xml:space="preserve">modernizavimo paskolų kreditingumo istorija, projektų įgyvendinimo praktika. Dėl to yra rekomenduojama lengvatines paskolas savivaldybių viešųjų pastatų modernizavimo projektams siekti pradėti teikti kuo greičiau. Tą galima įgyvendinti </w:t>
      </w:r>
      <w:r w:rsidRPr="00DA65C2">
        <w:rPr>
          <w:rFonts w:ascii="Georgia" w:hAnsi="Georgia"/>
          <w:b/>
          <w:i/>
          <w:sz w:val="20"/>
          <w:szCs w:val="20"/>
          <w:lang w:val="lt-LT"/>
        </w:rPr>
        <w:t>steigiant finansinę priemonę</w:t>
      </w:r>
      <w:r>
        <w:rPr>
          <w:rFonts w:ascii="Georgia" w:hAnsi="Georgia"/>
          <w:b/>
          <w:i/>
          <w:sz w:val="20"/>
          <w:szCs w:val="20"/>
          <w:lang w:val="lt-LT"/>
        </w:rPr>
        <w:t xml:space="preserve"> lėšas pritraukiant asimetrinės rizikos pasidalijimo būdu</w:t>
      </w:r>
      <w:r w:rsidRPr="00DA65C2">
        <w:rPr>
          <w:rFonts w:ascii="Georgia" w:hAnsi="Georgia"/>
          <w:b/>
          <w:i/>
          <w:sz w:val="20"/>
          <w:szCs w:val="20"/>
          <w:lang w:val="lt-LT"/>
        </w:rPr>
        <w:t xml:space="preserve">, </w:t>
      </w:r>
      <w:r>
        <w:rPr>
          <w:rFonts w:ascii="Georgia" w:hAnsi="Georgia"/>
          <w:b/>
          <w:i/>
          <w:sz w:val="20"/>
          <w:szCs w:val="20"/>
          <w:lang w:val="lt-LT"/>
        </w:rPr>
        <w:t xml:space="preserve">o </w:t>
      </w:r>
      <w:r w:rsidRPr="00DA65C2">
        <w:rPr>
          <w:rFonts w:ascii="Georgia" w:hAnsi="Georgia"/>
          <w:b/>
          <w:i/>
          <w:sz w:val="20"/>
          <w:szCs w:val="20"/>
          <w:lang w:val="lt-LT"/>
        </w:rPr>
        <w:t>ilguoju laikotarpiu</w:t>
      </w:r>
      <w:r>
        <w:rPr>
          <w:rFonts w:ascii="Georgia" w:hAnsi="Georgia"/>
          <w:b/>
          <w:i/>
          <w:sz w:val="20"/>
          <w:szCs w:val="20"/>
          <w:lang w:val="lt-LT"/>
        </w:rPr>
        <w:t xml:space="preserve"> apsvarstant galimybę sukurti investicinį fondą išperkantį ateities pinigų srautus (ar sudarant sąlygas investuotojams kitais būdais išpirkti paskolas)</w:t>
      </w:r>
      <w:r w:rsidRPr="00DA65C2">
        <w:rPr>
          <w:rFonts w:ascii="Georgia" w:hAnsi="Georgia"/>
          <w:b/>
          <w:i/>
          <w:sz w:val="20"/>
          <w:szCs w:val="20"/>
          <w:lang w:val="lt-LT"/>
        </w:rPr>
        <w:t xml:space="preserve">. </w:t>
      </w:r>
    </w:p>
    <w:p w14:paraId="1AB79820" w14:textId="77777777" w:rsidR="0006117A" w:rsidRDefault="0006117A" w:rsidP="0006117A">
      <w:pPr>
        <w:jc w:val="both"/>
        <w:rPr>
          <w:rFonts w:ascii="Georgia" w:hAnsi="Georgia"/>
          <w:sz w:val="20"/>
          <w:highlight w:val="yellow"/>
          <w:lang w:val="lt-LT"/>
        </w:rPr>
      </w:pPr>
      <w:r w:rsidRPr="005C1F29">
        <w:rPr>
          <w:rFonts w:ascii="Georgia" w:eastAsia="Times New Roman" w:hAnsi="Georgia" w:cs="Times New Roman"/>
          <w:sz w:val="20"/>
          <w:szCs w:val="20"/>
          <w:lang w:val="lt-LT" w:eastAsia="lt-LT"/>
        </w:rPr>
        <w:t>Bendrųjų nuostatų reglamento 38.5 punkt</w:t>
      </w:r>
      <w:r>
        <w:rPr>
          <w:rFonts w:ascii="Georgia" w:eastAsia="Times New Roman" w:hAnsi="Georgia" w:cs="Times New Roman"/>
          <w:sz w:val="20"/>
          <w:szCs w:val="20"/>
          <w:lang w:val="lt-LT" w:eastAsia="lt-LT"/>
        </w:rPr>
        <w:t>as apibrėžia fondų fondo valdytojo funkcijų perleidimą. Šios nuostatos būtų aktualios tuo atveju, jeigu būtų nuspręsta steigti ne finansinę priemonę o fondų fondą.</w:t>
      </w:r>
      <w:r w:rsidRPr="005C1F29">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Vadovaujantis minėtu Bendrųjų nuostatų reglamento straipsniu, </w:t>
      </w:r>
      <w:r w:rsidRPr="005C1F29">
        <w:rPr>
          <w:rFonts w:ascii="Georgia" w:hAnsi="Georgia"/>
          <w:sz w:val="20"/>
          <w:lang w:val="lt-LT"/>
        </w:rPr>
        <w:t xml:space="preserve">subjektai, kuriems patikėta įgyvendinti fondų fondą, užduotis gali įgyvendinti patys arba jas patikėti vykdyti finansiniams tarpininkams. Iš to seka išvada, kad fondų fondo valdytojas galėtų tiesiogiai atrinkinėti finansuojamus projektus, atitinkančius fondų fondo veiklos tikslus ir investavimo strategiją. Nors Bendrųjų nuostatų reglamentas toliau nedetalizuoja, kaip ir kokius projektus fondų fondo valdytojas galėtų finansuoti, tačiau ESI fondų valdymo reguliavime yra akcentuojamas skaidrumas, proporcingumas, nediskriminavimas bei interesų konflikto vengimas. Be to, kyla rizika, jog finansiniai tarpininkai aktyviai nedalyvautų fondų fondo savivaldybių pastatų renovacijos paskolų finansinės priemonės įgyvendinime, todėl numatoma, jog fondų fondo valdytojas </w:t>
      </w:r>
      <w:r w:rsidRPr="00DA65C2">
        <w:rPr>
          <w:rFonts w:ascii="Georgia" w:hAnsi="Georgia"/>
          <w:sz w:val="20"/>
          <w:lang w:val="lt-LT"/>
        </w:rPr>
        <w:t>galėtų</w:t>
      </w:r>
      <w:r w:rsidRPr="005C1F29">
        <w:rPr>
          <w:rFonts w:ascii="Georgia" w:hAnsi="Georgia"/>
          <w:sz w:val="20"/>
          <w:lang w:val="lt-LT"/>
        </w:rPr>
        <w:t xml:space="preserve"> pats įgyvendinti finansines priemones. </w:t>
      </w:r>
      <w:r w:rsidRPr="00DA65C2">
        <w:rPr>
          <w:rFonts w:ascii="Georgia" w:hAnsi="Georgia"/>
          <w:sz w:val="20"/>
          <w:lang w:val="lt-LT"/>
        </w:rPr>
        <w:t>P</w:t>
      </w:r>
      <w:r w:rsidRPr="005C1F29">
        <w:rPr>
          <w:rFonts w:ascii="Georgia" w:hAnsi="Georgia"/>
          <w:sz w:val="20"/>
          <w:lang w:val="lt-LT"/>
        </w:rPr>
        <w:t xml:space="preserve">askolų finansinių priemonių įgyvendinimą </w:t>
      </w:r>
      <w:r w:rsidRPr="00DA65C2">
        <w:rPr>
          <w:rFonts w:ascii="Georgia" w:hAnsi="Georgia"/>
          <w:sz w:val="20"/>
          <w:lang w:val="lt-LT"/>
        </w:rPr>
        <w:t xml:space="preserve">galima būtų </w:t>
      </w:r>
      <w:r w:rsidRPr="005C1F29">
        <w:rPr>
          <w:rFonts w:ascii="Georgia" w:hAnsi="Georgia"/>
          <w:sz w:val="20"/>
          <w:lang w:val="lt-LT"/>
        </w:rPr>
        <w:t xml:space="preserve">patikėti fondų fondo valdytojui arba finansų įstaigoms (jei pastarosios išreikštų susidomėjimą), kurios paprastai veikia kaip finansiniai tarpininkai tarp fondų fondo ir galutinių naudos gavėjų arba kaip finansinės priemonės valdytojai, sudarant galimybę dalyvauti finansinėse priemonėse savo lėšomis, prisiimant dalį rizikų ir dalyvaujant priimtina apimtimi. </w:t>
      </w:r>
    </w:p>
    <w:p w14:paraId="1053CFFB" w14:textId="77777777" w:rsidR="0006117A" w:rsidRDefault="0006117A" w:rsidP="0006117A">
      <w:pPr>
        <w:jc w:val="both"/>
        <w:rPr>
          <w:rFonts w:ascii="Georgia" w:hAnsi="Georgia"/>
          <w:sz w:val="20"/>
          <w:lang w:val="lt-LT"/>
        </w:rPr>
      </w:pPr>
      <w:r w:rsidRPr="00DA65C2">
        <w:rPr>
          <w:rFonts w:ascii="Georgia" w:hAnsi="Georgia"/>
          <w:sz w:val="20"/>
          <w:lang w:val="lt-LT"/>
        </w:rPr>
        <w:t>Finansinės priemonės arba</w:t>
      </w:r>
      <w:r w:rsidRPr="005C1F29">
        <w:rPr>
          <w:rFonts w:ascii="Georgia" w:hAnsi="Georgia"/>
          <w:sz w:val="20"/>
          <w:lang w:val="lt-LT"/>
        </w:rPr>
        <w:t xml:space="preserve"> fondų fondo valdymo ir įgyvendinimo alternatyv</w:t>
      </w:r>
      <w:r w:rsidRPr="00DA65C2">
        <w:rPr>
          <w:rFonts w:ascii="Georgia" w:hAnsi="Georgia"/>
          <w:sz w:val="20"/>
          <w:lang w:val="lt-LT"/>
        </w:rPr>
        <w:t>os</w:t>
      </w:r>
      <w:r w:rsidRPr="005C1F29">
        <w:rPr>
          <w:rFonts w:ascii="Georgia" w:hAnsi="Georgia"/>
          <w:sz w:val="20"/>
          <w:lang w:val="lt-LT"/>
        </w:rPr>
        <w:t xml:space="preserve"> yra </w:t>
      </w:r>
      <w:r>
        <w:rPr>
          <w:rFonts w:ascii="Georgia" w:hAnsi="Georgia"/>
          <w:sz w:val="20"/>
          <w:lang w:val="lt-LT"/>
        </w:rPr>
        <w:t xml:space="preserve">detaliau </w:t>
      </w:r>
      <w:r w:rsidRPr="00DA65C2">
        <w:rPr>
          <w:rFonts w:ascii="Georgia" w:hAnsi="Georgia"/>
          <w:sz w:val="20"/>
          <w:lang w:val="lt-LT"/>
        </w:rPr>
        <w:t>aprašytos</w:t>
      </w:r>
      <w:r w:rsidRPr="005C1F29">
        <w:rPr>
          <w:rFonts w:ascii="Georgia" w:hAnsi="Georgia"/>
          <w:sz w:val="20"/>
          <w:lang w:val="lt-LT"/>
        </w:rPr>
        <w:t xml:space="preserve"> 1.3 skyriuje </w:t>
      </w:r>
      <w:r w:rsidRPr="00DA65C2">
        <w:rPr>
          <w:rFonts w:ascii="Georgia" w:hAnsi="Georgia"/>
          <w:sz w:val="20"/>
          <w:lang w:val="lt-LT"/>
        </w:rPr>
        <w:t>bei pavaizduotos</w:t>
      </w:r>
      <w:r w:rsidRPr="005C1F29">
        <w:rPr>
          <w:rFonts w:ascii="Georgia" w:hAnsi="Georgia"/>
          <w:sz w:val="20"/>
          <w:lang w:val="lt-LT"/>
        </w:rPr>
        <w:t xml:space="preserve"> paveiksle</w:t>
      </w:r>
      <w:r>
        <w:rPr>
          <w:rFonts w:ascii="Georgia" w:hAnsi="Georgia"/>
          <w:sz w:val="20"/>
          <w:lang w:val="lt-LT"/>
        </w:rPr>
        <w:t xml:space="preserve"> </w:t>
      </w:r>
      <w:r w:rsidRPr="005C1F29">
        <w:rPr>
          <w:rFonts w:ascii="Georgia" w:hAnsi="Georgia"/>
          <w:sz w:val="20"/>
          <w:lang w:val="lt-LT"/>
        </w:rPr>
        <w:t>žemiau.</w:t>
      </w:r>
      <w:r>
        <w:rPr>
          <w:rFonts w:ascii="Georgia" w:hAnsi="Georgia"/>
          <w:sz w:val="20"/>
          <w:lang w:val="lt-LT"/>
        </w:rPr>
        <w:t xml:space="preserve"> </w:t>
      </w:r>
    </w:p>
    <w:p w14:paraId="7A5E872D" w14:textId="77777777" w:rsidR="0006117A" w:rsidRDefault="0006117A" w:rsidP="0006117A">
      <w:pPr>
        <w:jc w:val="both"/>
        <w:rPr>
          <w:rFonts w:ascii="Georgia" w:hAnsi="Georgia"/>
          <w:sz w:val="20"/>
          <w:lang w:val="lt-LT"/>
        </w:rPr>
      </w:pPr>
    </w:p>
    <w:p w14:paraId="1774D5FE" w14:textId="77777777" w:rsidR="0006117A" w:rsidRDefault="0006117A" w:rsidP="0006117A">
      <w:pPr>
        <w:jc w:val="both"/>
        <w:rPr>
          <w:rFonts w:ascii="Georgia" w:eastAsia="Times New Roman" w:hAnsi="Georgia" w:cs="Times New Roman"/>
          <w:sz w:val="20"/>
          <w:szCs w:val="20"/>
          <w:lang w:val="lt-LT" w:eastAsia="lt-LT"/>
        </w:rPr>
      </w:pPr>
      <w:r>
        <w:rPr>
          <w:noProof/>
          <w:lang w:val="lt-LT" w:eastAsia="lt-LT"/>
        </w:rPr>
        <mc:AlternateContent>
          <mc:Choice Requires="wpc">
            <w:drawing>
              <wp:inline distT="0" distB="0" distL="0" distR="0" wp14:anchorId="5A19CF7C" wp14:editId="2B39A961">
                <wp:extent cx="5734050" cy="3225397"/>
                <wp:effectExtent l="0" t="0" r="0" b="13335"/>
                <wp:docPr id="250"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189" name="Rectangle 8"/>
                        <wps:cNvSpPr>
                          <a:spLocks noChangeArrowheads="1"/>
                        </wps:cNvSpPr>
                        <wps:spPr bwMode="auto">
                          <a:xfrm>
                            <a:off x="922307" y="320272"/>
                            <a:ext cx="1802711" cy="2902675"/>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50190" name="AutoShape 11"/>
                        <wps:cNvSpPr>
                          <a:spLocks noChangeArrowheads="1"/>
                        </wps:cNvSpPr>
                        <wps:spPr bwMode="auto">
                          <a:xfrm>
                            <a:off x="1164409" y="398748"/>
                            <a:ext cx="1423709" cy="241200"/>
                          </a:xfrm>
                          <a:prstGeom prst="roundRect">
                            <a:avLst>
                              <a:gd name="adj" fmla="val 16667"/>
                            </a:avLst>
                          </a:prstGeom>
                          <a:solidFill>
                            <a:srgbClr val="E36C0A"/>
                          </a:solidFill>
                          <a:ln w="9525">
                            <a:solidFill>
                              <a:srgbClr val="974706"/>
                            </a:solidFill>
                            <a:round/>
                            <a:headEnd/>
                            <a:tailEnd/>
                          </a:ln>
                        </wps:spPr>
                        <wps:txbx>
                          <w:txbxContent>
                            <w:p w14:paraId="48E188E2" w14:textId="77777777" w:rsidR="00133798" w:rsidRDefault="00133798" w:rsidP="0006117A">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50191" name="AutoShape 14"/>
                        <wps:cNvSpPr>
                          <a:spLocks noChangeArrowheads="1"/>
                        </wps:cNvSpPr>
                        <wps:spPr bwMode="auto">
                          <a:xfrm>
                            <a:off x="1139104" y="2641948"/>
                            <a:ext cx="1469109" cy="465500"/>
                          </a:xfrm>
                          <a:prstGeom prst="roundRect">
                            <a:avLst>
                              <a:gd name="adj" fmla="val 16667"/>
                            </a:avLst>
                          </a:prstGeom>
                          <a:solidFill>
                            <a:srgbClr val="E36C0A"/>
                          </a:solidFill>
                          <a:ln w="9525">
                            <a:solidFill>
                              <a:srgbClr val="974706"/>
                            </a:solidFill>
                            <a:round/>
                            <a:headEnd/>
                            <a:tailEnd/>
                          </a:ln>
                        </wps:spPr>
                        <wps:txbx>
                          <w:txbxContent>
                            <w:p w14:paraId="1E44E16A" w14:textId="400EBD4E" w:rsidR="00133798" w:rsidRDefault="00133798" w:rsidP="0006117A">
                              <w:pPr>
                                <w:spacing w:after="0" w:line="240" w:lineRule="auto"/>
                                <w:jc w:val="center"/>
                                <w:rPr>
                                  <w:b/>
                                  <w:color w:val="FFFFFF"/>
                                  <w:sz w:val="16"/>
                                  <w:szCs w:val="16"/>
                                </w:rPr>
                              </w:pPr>
                              <w:r>
                                <w:rPr>
                                  <w:b/>
                                  <w:color w:val="FFFFFF"/>
                                  <w:sz w:val="16"/>
                                  <w:szCs w:val="16"/>
                                </w:rPr>
                                <w:t>Galutiniai naudos</w:t>
                              </w:r>
                            </w:p>
                            <w:p w14:paraId="538853E2" w14:textId="77777777" w:rsidR="00133798" w:rsidRDefault="00133798" w:rsidP="0006117A">
                              <w:pPr>
                                <w:spacing w:after="0" w:line="240" w:lineRule="auto"/>
                                <w:jc w:val="center"/>
                                <w:rPr>
                                  <w:b/>
                                  <w:color w:val="FFFFFF"/>
                                  <w:sz w:val="16"/>
                                  <w:szCs w:val="16"/>
                                </w:rPr>
                              </w:pPr>
                              <w:r>
                                <w:rPr>
                                  <w:b/>
                                  <w:color w:val="FFFFFF"/>
                                  <w:sz w:val="16"/>
                                  <w:szCs w:val="16"/>
                                </w:rPr>
                                <w:t xml:space="preserve"> gavėjai</w:t>
                              </w:r>
                            </w:p>
                            <w:p w14:paraId="3006DDAB" w14:textId="77777777" w:rsidR="00133798" w:rsidRDefault="00133798" w:rsidP="0006117A">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50196" name="AutoShape 16"/>
                        <wps:cNvSpPr>
                          <a:spLocks noChangeArrowheads="1"/>
                        </wps:cNvSpPr>
                        <wps:spPr bwMode="auto">
                          <a:xfrm>
                            <a:off x="1164409" y="1722852"/>
                            <a:ext cx="1423709" cy="421500"/>
                          </a:xfrm>
                          <a:prstGeom prst="roundRect">
                            <a:avLst>
                              <a:gd name="adj" fmla="val 16667"/>
                            </a:avLst>
                          </a:prstGeom>
                          <a:solidFill>
                            <a:srgbClr val="E36C0A"/>
                          </a:solidFill>
                          <a:ln w="9525">
                            <a:solidFill>
                              <a:srgbClr val="974706"/>
                            </a:solidFill>
                            <a:round/>
                            <a:headEnd/>
                            <a:tailEnd/>
                          </a:ln>
                        </wps:spPr>
                        <wps:txbx>
                          <w:txbxContent>
                            <w:p w14:paraId="55F37CF4" w14:textId="77777777" w:rsidR="00133798" w:rsidRDefault="00133798" w:rsidP="0006117A">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50197" name="Oval 50197"/>
                        <wps:cNvSpPr>
                          <a:spLocks noChangeArrowheads="1"/>
                        </wps:cNvSpPr>
                        <wps:spPr bwMode="auto">
                          <a:xfrm>
                            <a:off x="1305757" y="866926"/>
                            <a:ext cx="1140207" cy="644400"/>
                          </a:xfrm>
                          <a:prstGeom prst="ellipse">
                            <a:avLst/>
                          </a:prstGeom>
                          <a:solidFill>
                            <a:srgbClr val="FFC000"/>
                          </a:solidFill>
                          <a:ln w="9525">
                            <a:solidFill>
                              <a:srgbClr val="974706"/>
                            </a:solidFill>
                            <a:round/>
                            <a:headEnd/>
                            <a:tailEnd/>
                          </a:ln>
                        </wps:spPr>
                        <wps:txbx>
                          <w:txbxContent>
                            <w:p w14:paraId="1794FB2E" w14:textId="77777777" w:rsidR="00133798" w:rsidRPr="00873719" w:rsidRDefault="00133798" w:rsidP="0006117A">
                              <w:pPr>
                                <w:jc w:val="center"/>
                                <w:rPr>
                                  <w:b/>
                                  <w:color w:val="FFFFFF"/>
                                  <w:lang w:val="lt-LT"/>
                                </w:rPr>
                              </w:pPr>
                              <w:r>
                                <w:rPr>
                                  <w:b/>
                                  <w:color w:val="FFFFFF"/>
                                  <w:sz w:val="18"/>
                                  <w:lang w:val="lt-LT"/>
                                </w:rPr>
                                <w:t>Finansinė priemonė</w:t>
                              </w:r>
                            </w:p>
                            <w:p w14:paraId="4974E4DC" w14:textId="77777777" w:rsidR="00133798" w:rsidRPr="00873719" w:rsidRDefault="00133798" w:rsidP="0006117A">
                              <w:pPr>
                                <w:jc w:val="center"/>
                                <w:rPr>
                                  <w:b/>
                                  <w:color w:val="FFFFFF"/>
                                  <w:lang w:val="lt-LT"/>
                                </w:rPr>
                              </w:pPr>
                            </w:p>
                          </w:txbxContent>
                        </wps:txbx>
                        <wps:bodyPr rot="0" vert="horz" wrap="square" lIns="91440" tIns="45720" rIns="91440" bIns="45720" anchor="t" anchorCtr="0" upright="1">
                          <a:noAutofit/>
                        </wps:bodyPr>
                      </wps:wsp>
                      <wps:wsp>
                        <wps:cNvPr id="50198" name="AutoShape 24"/>
                        <wps:cNvCnPr>
                          <a:cxnSpLocks noChangeShapeType="1"/>
                        </wps:cNvCnPr>
                        <wps:spPr bwMode="auto">
                          <a:xfrm>
                            <a:off x="1875861" y="1511326"/>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99" name="AutoShape 25"/>
                        <wps:cNvCnPr>
                          <a:cxnSpLocks noChangeShapeType="1"/>
                        </wps:cNvCnPr>
                        <wps:spPr bwMode="auto">
                          <a:xfrm flipH="1">
                            <a:off x="1873659" y="2144352"/>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00" name="AutoShape 26"/>
                        <wps:cNvCnPr>
                          <a:cxnSpLocks noChangeShapeType="1"/>
                        </wps:cNvCnPr>
                        <wps:spPr bwMode="auto">
                          <a:xfrm flipH="1">
                            <a:off x="1875861" y="639948"/>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01" name="AutoShape 10"/>
                        <wps:cNvSpPr>
                          <a:spLocks noChangeArrowheads="1"/>
                        </wps:cNvSpPr>
                        <wps:spPr bwMode="auto">
                          <a:xfrm>
                            <a:off x="1118808" y="33548"/>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5B4F2E43" w14:textId="77777777" w:rsidR="00133798" w:rsidRDefault="00133798" w:rsidP="0006117A">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50203" name="AutoShape 10"/>
                        <wps:cNvSpPr>
                          <a:spLocks noChangeArrowheads="1"/>
                        </wps:cNvSpPr>
                        <wps:spPr bwMode="auto">
                          <a:xfrm>
                            <a:off x="3181420" y="33548"/>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539C6302" w14:textId="77777777" w:rsidR="00133798" w:rsidRDefault="00133798" w:rsidP="0006117A">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50204" name="Rectangle 9"/>
                        <wps:cNvSpPr>
                          <a:spLocks noChangeArrowheads="1"/>
                        </wps:cNvSpPr>
                        <wps:spPr bwMode="auto">
                          <a:xfrm>
                            <a:off x="3018450" y="320272"/>
                            <a:ext cx="1802130" cy="2901789"/>
                          </a:xfrm>
                          <a:prstGeom prst="rect">
                            <a:avLst/>
                          </a:prstGeom>
                          <a:solidFill>
                            <a:srgbClr val="FFFFFF"/>
                          </a:solidFill>
                          <a:ln w="19050">
                            <a:solidFill>
                              <a:srgbClr val="E36C0A"/>
                            </a:solidFill>
                            <a:miter lim="800000"/>
                            <a:headEnd/>
                            <a:tailEnd/>
                          </a:ln>
                        </wps:spPr>
                        <wps:txbx>
                          <w:txbxContent>
                            <w:p w14:paraId="5A1AB919" w14:textId="77777777" w:rsidR="00133798" w:rsidRDefault="00133798" w:rsidP="0006117A">
                              <w:pPr>
                                <w:rPr>
                                  <w:rFonts w:eastAsia="Times New Roman"/>
                                </w:rPr>
                              </w:pPr>
                            </w:p>
                          </w:txbxContent>
                        </wps:txbx>
                        <wps:bodyPr rot="0" vert="horz" wrap="square" lIns="91440" tIns="45720" rIns="91440" bIns="45720" anchor="t" anchorCtr="0" upright="1">
                          <a:noAutofit/>
                        </wps:bodyPr>
                      </wps:wsp>
                      <wps:wsp>
                        <wps:cNvPr id="50205" name="AutoShape 12"/>
                        <wps:cNvSpPr>
                          <a:spLocks noChangeArrowheads="1"/>
                        </wps:cNvSpPr>
                        <wps:spPr bwMode="auto">
                          <a:xfrm>
                            <a:off x="3197520" y="397583"/>
                            <a:ext cx="1423670" cy="240665"/>
                          </a:xfrm>
                          <a:prstGeom prst="roundRect">
                            <a:avLst>
                              <a:gd name="adj" fmla="val 16667"/>
                            </a:avLst>
                          </a:prstGeom>
                          <a:solidFill>
                            <a:srgbClr val="E36C0A"/>
                          </a:solidFill>
                          <a:ln w="9525">
                            <a:solidFill>
                              <a:srgbClr val="974706"/>
                            </a:solidFill>
                            <a:round/>
                            <a:headEnd/>
                            <a:tailEnd/>
                          </a:ln>
                        </wps:spPr>
                        <wps:txbx>
                          <w:txbxContent>
                            <w:p w14:paraId="67F0018D"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50206" name="AutoShape 15"/>
                        <wps:cNvSpPr>
                          <a:spLocks noChangeArrowheads="1"/>
                        </wps:cNvSpPr>
                        <wps:spPr bwMode="auto">
                          <a:xfrm>
                            <a:off x="3197520" y="2641038"/>
                            <a:ext cx="1423670" cy="466090"/>
                          </a:xfrm>
                          <a:prstGeom prst="roundRect">
                            <a:avLst>
                              <a:gd name="adj" fmla="val 16667"/>
                            </a:avLst>
                          </a:prstGeom>
                          <a:solidFill>
                            <a:srgbClr val="E36C0A"/>
                          </a:solidFill>
                          <a:ln w="9525">
                            <a:solidFill>
                              <a:srgbClr val="974706"/>
                            </a:solidFill>
                            <a:round/>
                            <a:headEnd/>
                            <a:tailEnd/>
                          </a:ln>
                        </wps:spPr>
                        <wps:txbx>
                          <w:txbxContent>
                            <w:p w14:paraId="0E893BF6" w14:textId="1081348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41CDF700"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1589A267"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50207" name="AutoShape 17"/>
                        <wps:cNvSpPr>
                          <a:spLocks noChangeArrowheads="1"/>
                        </wps:cNvSpPr>
                        <wps:spPr bwMode="auto">
                          <a:xfrm>
                            <a:off x="3193710" y="2159708"/>
                            <a:ext cx="1424305" cy="241935"/>
                          </a:xfrm>
                          <a:prstGeom prst="roundRect">
                            <a:avLst>
                              <a:gd name="adj" fmla="val 16667"/>
                            </a:avLst>
                          </a:prstGeom>
                          <a:solidFill>
                            <a:srgbClr val="E36C0A"/>
                          </a:solidFill>
                          <a:ln w="9525">
                            <a:solidFill>
                              <a:srgbClr val="974706"/>
                            </a:solidFill>
                            <a:prstDash val="dash"/>
                            <a:round/>
                            <a:headEnd/>
                            <a:tailEnd/>
                          </a:ln>
                        </wps:spPr>
                        <wps:txbx>
                          <w:txbxContent>
                            <w:p w14:paraId="08EF02E5"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38" name="AutoShape 18"/>
                        <wps:cNvSpPr>
                          <a:spLocks noChangeArrowheads="1"/>
                        </wps:cNvSpPr>
                        <wps:spPr bwMode="auto">
                          <a:xfrm>
                            <a:off x="3198790" y="928443"/>
                            <a:ext cx="1423670" cy="241935"/>
                          </a:xfrm>
                          <a:prstGeom prst="roundRect">
                            <a:avLst>
                              <a:gd name="adj" fmla="val 16667"/>
                            </a:avLst>
                          </a:prstGeom>
                          <a:solidFill>
                            <a:srgbClr val="E36C0A"/>
                          </a:solidFill>
                          <a:ln w="9525">
                            <a:solidFill>
                              <a:srgbClr val="974706"/>
                            </a:solidFill>
                            <a:round/>
                            <a:headEnd/>
                            <a:tailEnd/>
                          </a:ln>
                        </wps:spPr>
                        <wps:txbx>
                          <w:txbxContent>
                            <w:p w14:paraId="6EA19903"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39" name="AutoShape 27"/>
                        <wps:cNvCnPr>
                          <a:cxnSpLocks noChangeShapeType="1"/>
                        </wps:cNvCnPr>
                        <wps:spPr bwMode="auto">
                          <a:xfrm flipH="1">
                            <a:off x="3907450" y="1170378"/>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8"/>
                        <wps:cNvCnPr>
                          <a:cxnSpLocks noChangeShapeType="1"/>
                        </wps:cNvCnPr>
                        <wps:spPr bwMode="auto">
                          <a:xfrm flipH="1">
                            <a:off x="3905545" y="1948888"/>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29"/>
                        <wps:cNvCnPr>
                          <a:cxnSpLocks noChangeShapeType="1"/>
                        </wps:cNvCnPr>
                        <wps:spPr bwMode="auto">
                          <a:xfrm flipH="1">
                            <a:off x="3904275" y="2402278"/>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30"/>
                        <wps:cNvCnPr>
                          <a:cxnSpLocks noChangeShapeType="1"/>
                        </wps:cNvCnPr>
                        <wps:spPr bwMode="auto">
                          <a:xfrm>
                            <a:off x="3905545" y="2402278"/>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26"/>
                        <wps:cNvCnPr>
                          <a:cxnSpLocks noChangeShapeType="1"/>
                        </wps:cNvCnPr>
                        <wps:spPr bwMode="auto">
                          <a:xfrm>
                            <a:off x="3909355" y="638883"/>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Oval 166"/>
                        <wps:cNvSpPr>
                          <a:spLocks noChangeArrowheads="1"/>
                        </wps:cNvSpPr>
                        <wps:spPr bwMode="auto">
                          <a:xfrm>
                            <a:off x="3337855" y="1304998"/>
                            <a:ext cx="1139825" cy="643890"/>
                          </a:xfrm>
                          <a:prstGeom prst="ellipse">
                            <a:avLst/>
                          </a:prstGeom>
                          <a:solidFill>
                            <a:srgbClr val="FFC000"/>
                          </a:solidFill>
                          <a:ln w="9525">
                            <a:solidFill>
                              <a:srgbClr val="974706"/>
                            </a:solidFill>
                            <a:round/>
                            <a:headEnd/>
                            <a:tailEnd/>
                          </a:ln>
                        </wps:spPr>
                        <wps:txbx>
                          <w:txbxContent>
                            <w:p w14:paraId="3C901D46" w14:textId="77777777" w:rsidR="00133798" w:rsidRDefault="00133798" w:rsidP="0006117A">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7FBFDEFE" w14:textId="77777777" w:rsidR="00133798" w:rsidRDefault="00133798" w:rsidP="0006117A">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82" editas="canvas" style="width:451.5pt;height:253.95pt;mso-position-horizontal-relative:char;mso-position-vertical-relative:line" coordsize="57340,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">
                <v:shape id="_x0000_s1183" type="#_x0000_t75" style="position:absolute;width:57340;height:32251;visibility:visible;mso-wrap-style:square">
                  <v:fill o:detectmouseclick="t"/>
                  <v:path o:connecttype="none"/>
                </v:shape>
                <v:rect id="Rectangle 8" o:spid="_x0000_s1184" style="position:absolute;left:9223;top:3202;width:18027;height:29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eMQA&#10;AADeAAAADwAAAGRycy9kb3ducmV2LnhtbESPT4vCMBTE7wt+h/AEb2uqoGjXKCIIohf/gXh727xt&#10;yzYvJYm2fnsjCB6HmfkNM1u0phJ3cr60rGDQT0AQZ1aXnCs4n9bfExA+IGusLJOCB3lYzDtfM0y1&#10;bfhA92PIRYSwT1FBEUKdSumzggz6vq2Jo/dnncEQpculdthEuKnkMEnG0mDJcaHAmlYFZf/Hm1FQ&#10;X7ekm6DlpT25343bLfe7fK9Ur9suf0AEasMn/G5vtIJRMphM4XUnX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Q3jEAAAA3gAAAA8AAAAAAAAAAAAAAAAAmAIAAGRycy9k&#10;b3ducmV2LnhtbFBLBQYAAAAABAAEAPUAAACJAwAAAAA=&#10;" strokecolor="#e36c0a" strokeweight="1.5pt"/>
                <v:roundrect id="_x0000_s1185" style="position:absolute;left:11644;top:398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H38MA&#10;AADeAAAADwAAAGRycy9kb3ducmV2LnhtbESPzWoCMRSF9wXfIdxCdzVRVHRqFJEK3dVRcX2Z3CZD&#10;JzfDJHWmffpmIbg8nD++9XbwjbhRF+vAGiZjBYK4CqZmq+FyPrwuQcSEbLAJTBp+KcJ2M3paY2FC&#10;zyXdTsmKPMKxQA0upbaQMlaOPMZxaImz9xU6jynLzkrTYZ/HfSOnSi2kx5rzg8OW9o6q79OP12CN&#10;25XHT1u+KzuLl7SY4l9/1frledi9gUg0pEf43v4wGuZqssoAGSe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H38MAAADeAAAADwAAAAAAAAAAAAAAAACYAgAAZHJzL2Rv&#10;d25yZXYueG1sUEsFBgAAAAAEAAQA9QAAAIgDAAAAAA==&#10;" fillcolor="#e36c0a" strokecolor="#974706">
                  <v:textbox>
                    <w:txbxContent>
                      <w:p w14:paraId="48E188E2" w14:textId="77777777" w:rsidR="00133798" w:rsidRDefault="00133798" w:rsidP="0006117A">
                        <w:pPr>
                          <w:spacing w:after="0" w:line="240" w:lineRule="auto"/>
                          <w:jc w:val="center"/>
                          <w:rPr>
                            <w:b/>
                            <w:color w:val="FFFFFF"/>
                            <w:sz w:val="16"/>
                            <w:szCs w:val="16"/>
                          </w:rPr>
                        </w:pPr>
                        <w:r>
                          <w:rPr>
                            <w:b/>
                            <w:color w:val="FFFFFF"/>
                            <w:sz w:val="16"/>
                            <w:szCs w:val="16"/>
                          </w:rPr>
                          <w:t>Vadovaujančioji institucija</w:t>
                        </w:r>
                      </w:p>
                    </w:txbxContent>
                  </v:textbox>
                </v:roundrect>
                <v:roundrect id="_x0000_s1186" style="position:absolute;left:11391;top:2641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iRMUA&#10;AADeAAAADwAAAGRycy9kb3ducmV2LnhtbESPQWsCMRSE7wX/Q3hCbzVZacVujSLSgrd2VTw/Nq/J&#10;0s3Lsonu2l/fFAo9DjPzDbPajL4VV+pjE1hDMVMgiOtgGrYaTse3hyWImJANtoFJw40ibNaTuxWW&#10;Jgxc0fWQrMgQjiVqcCl1pZSxduQxzkJHnL3P0HtMWfZWmh6HDPetnCu1kB4bzgsOO9o5qr8OF6/B&#10;GretPt5t9arsYzylxRy/h7PW99Nx+wIi0Zj+w3/tvdHwpIrnAn7v5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JExQAAAN4AAAAPAAAAAAAAAAAAAAAAAJgCAABkcnMv&#10;ZG93bnJldi54bWxQSwUGAAAAAAQABAD1AAAAigMAAAAA&#10;" fillcolor="#e36c0a" strokecolor="#974706">
                  <v:textbox>
                    <w:txbxContent>
                      <w:p w14:paraId="1E44E16A" w14:textId="400EBD4E" w:rsidR="00133798" w:rsidRDefault="00133798" w:rsidP="0006117A">
                        <w:pPr>
                          <w:spacing w:after="0" w:line="240" w:lineRule="auto"/>
                          <w:jc w:val="center"/>
                          <w:rPr>
                            <w:b/>
                            <w:color w:val="FFFFFF"/>
                            <w:sz w:val="16"/>
                            <w:szCs w:val="16"/>
                          </w:rPr>
                        </w:pPr>
                        <w:r>
                          <w:rPr>
                            <w:b/>
                            <w:color w:val="FFFFFF"/>
                            <w:sz w:val="16"/>
                            <w:szCs w:val="16"/>
                          </w:rPr>
                          <w:t>Galutiniai naudos</w:t>
                        </w:r>
                      </w:p>
                      <w:p w14:paraId="538853E2" w14:textId="77777777" w:rsidR="00133798" w:rsidRDefault="00133798" w:rsidP="0006117A">
                        <w:pPr>
                          <w:spacing w:after="0" w:line="240" w:lineRule="auto"/>
                          <w:jc w:val="center"/>
                          <w:rPr>
                            <w:b/>
                            <w:color w:val="FFFFFF"/>
                            <w:sz w:val="16"/>
                            <w:szCs w:val="16"/>
                          </w:rPr>
                        </w:pPr>
                        <w:r>
                          <w:rPr>
                            <w:b/>
                            <w:color w:val="FFFFFF"/>
                            <w:sz w:val="16"/>
                            <w:szCs w:val="16"/>
                          </w:rPr>
                          <w:t xml:space="preserve"> gavėjai</w:t>
                        </w:r>
                      </w:p>
                      <w:p w14:paraId="3006DDAB" w14:textId="77777777" w:rsidR="00133798" w:rsidRDefault="00133798" w:rsidP="0006117A">
                        <w:pPr>
                          <w:spacing w:after="0" w:line="240" w:lineRule="auto"/>
                          <w:jc w:val="center"/>
                          <w:rPr>
                            <w:b/>
                            <w:color w:val="FFFFFF"/>
                            <w:sz w:val="16"/>
                            <w:szCs w:val="16"/>
                          </w:rPr>
                        </w:pPr>
                      </w:p>
                    </w:txbxContent>
                  </v:textbox>
                </v:roundrect>
                <v:roundrect id="_x0000_s1187" style="position:absolute;left:11644;top:1722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6MMUA&#10;AADeAAAADwAAAGRycy9kb3ducmV2LnhtbESPQWsCMRSE70L/Q3gFb5oodmm3RpGi0Fu7Kj0/Nq/J&#10;0s3LskndbX99UxA8DjPzDbPejr4VF+pjE1jDYq5AENfBNGw1nE+H2SOImJANtoFJww9F2G7uJmss&#10;TRi4ossxWZEhHEvU4FLqSilj7chjnIeOOHufofeYsuytND0OGe5buVSqkB4bzgsOO3pxVH8dv70G&#10;a9yuen+z1V7ZVTynYom/w4fW0/tx9wwi0Zhu4Wv71Wh4UIunAv7v5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owxQAAAN4AAAAPAAAAAAAAAAAAAAAAAJgCAABkcnMv&#10;ZG93bnJldi54bWxQSwUGAAAAAAQABAD1AAAAigMAAAAA&#10;" fillcolor="#e36c0a" strokecolor="#974706">
                  <v:textbox>
                    <w:txbxContent>
                      <w:p w14:paraId="55F37CF4" w14:textId="77777777" w:rsidR="00133798" w:rsidRDefault="00133798" w:rsidP="0006117A">
                        <w:pPr>
                          <w:spacing w:after="0" w:line="240" w:lineRule="auto"/>
                          <w:jc w:val="center"/>
                          <w:rPr>
                            <w:b/>
                            <w:color w:val="FFFFFF"/>
                            <w:sz w:val="16"/>
                            <w:szCs w:val="16"/>
                          </w:rPr>
                        </w:pPr>
                        <w:r>
                          <w:rPr>
                            <w:b/>
                            <w:color w:val="FFFFFF"/>
                            <w:sz w:val="16"/>
                            <w:szCs w:val="16"/>
                          </w:rPr>
                          <w:t>Finansinės priemonės valdytojas</w:t>
                        </w:r>
                      </w:p>
                    </w:txbxContent>
                  </v:textbox>
                </v:roundrect>
                <v:oval id="Oval 50197" o:spid="_x0000_s1188" style="position:absolute;left:13057;top:8669;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hs8gA&#10;AADeAAAADwAAAGRycy9kb3ducmV2LnhtbESPQWvCQBSE7wX/w/KE3nQ3Ylsbs4pIi4qHUtuD3p7Z&#10;ZxLMvg3Zrab/visIPQ4z8w2TzTtbiwu1vnKsIRkqEMS5MxUXGr6/3gcTED4gG6wdk4Zf8jCf9R4y&#10;TI278idddqEQEcI+RQ1lCE0qpc9LsuiHriGO3sm1FkOUbSFNi9cIt7UcKfUsLVYcF0psaFlSft79&#10;WA2jw8dx22zGq30Y+3q13SicrN+0fux3iymIQF34D9/ba6PhSSWvL3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UmGzyAAAAN4AAAAPAAAAAAAAAAAAAAAAAJgCAABk&#10;cnMvZG93bnJldi54bWxQSwUGAAAAAAQABAD1AAAAjQMAAAAA&#10;" fillcolor="#ffc000" strokecolor="#974706">
                  <v:textbox>
                    <w:txbxContent>
                      <w:p w14:paraId="1794FB2E" w14:textId="77777777" w:rsidR="00133798" w:rsidRPr="00873719" w:rsidRDefault="00133798" w:rsidP="0006117A">
                        <w:pPr>
                          <w:jc w:val="center"/>
                          <w:rPr>
                            <w:b/>
                            <w:color w:val="FFFFFF"/>
                            <w:lang w:val="lt-LT"/>
                          </w:rPr>
                        </w:pPr>
                        <w:r>
                          <w:rPr>
                            <w:b/>
                            <w:color w:val="FFFFFF"/>
                            <w:sz w:val="18"/>
                            <w:lang w:val="lt-LT"/>
                          </w:rPr>
                          <w:t>Finansinė priemonė</w:t>
                        </w:r>
                      </w:p>
                      <w:p w14:paraId="4974E4DC" w14:textId="77777777" w:rsidR="00133798" w:rsidRPr="00873719" w:rsidRDefault="00133798" w:rsidP="0006117A">
                        <w:pPr>
                          <w:jc w:val="center"/>
                          <w:rPr>
                            <w:b/>
                            <w:color w:val="FFFFFF"/>
                            <w:lang w:val="lt-LT"/>
                          </w:rPr>
                        </w:pPr>
                      </w:p>
                    </w:txbxContent>
                  </v:textbox>
                </v:oval>
                <v:shape id="AutoShape 24" o:spid="_x0000_s1189" type="#_x0000_t32" style="position:absolute;left:18758;top:15113;width:4;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VGMUAAADeAAAADwAAAGRycy9kb3ducmV2LnhtbERPz2vCMBS+D/wfwhvsNtMKk7WaliEo&#10;ouwwHWXeHs1bW9a8lCRq3V+/HAYeP77fy3I0vbiQ851lBek0AUFcW91xo+DzuH5+BeEDssbeMim4&#10;kYeymDwsMdf2yh90OYRGxBD2OSpoQxhyKX3dkkE/tQNx5L6tMxgidI3UDq8x3PRyliRzabDj2NDi&#10;QKuW6p/D2Sj42mfn6la9065Ks90JnfG/x41ST4/j2wJEoDHcxf/urVbwkqRZ3BvvxCs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1VGMUAAADeAAAADwAAAAAAAAAA&#10;AAAAAAChAgAAZHJzL2Rvd25yZXYueG1sUEsFBgAAAAAEAAQA+QAAAJMDAAAAAA==&#10;">
                  <v:stroke endarrow="block"/>
                </v:shape>
                <v:shape id="AutoShape 25" o:spid="_x0000_s1190" type="#_x0000_t32" style="position:absolute;left:18736;top:2144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ZusUAAADeAAAADwAAAGRycy9kb3ducmV2LnhtbESPQWvCQBSE74L/YXlCb7pRsGjqJlSh&#10;IL1IbUGPj+xrsjT7NmS32fjv3ULB4zAz3zC7crStGKj3xrGC5SIDQVw5bbhW8PX5Nt+A8AFZY+uY&#10;FNzIQ1lMJzvMtYv8QcM51CJB2OeooAmhy6X0VUMW/cJ1xMn7dr3FkGRfS91jTHDbylWWPUuLhtNC&#10;gx0dGqp+zr9WgYknM3THQ9y/X65eRzK3tTNKPc3G1xcQgcbwCP+3j1rBOltut/B3J10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GZusUAAADeAAAADwAAAAAAAAAA&#10;AAAAAAChAgAAZHJzL2Rvd25yZXYueG1sUEsFBgAAAAAEAAQA+QAAAJMDAAAAAA==&#10;">
                  <v:stroke endarrow="block"/>
                </v:shape>
                <v:shape id="AutoShape 26" o:spid="_x0000_s1191" type="#_x0000_t32" style="position:absolute;left:18758;top:6399;width:4;height:2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TE3MMAAADeAAAADwAAAGRycy9kb3ducmV2LnhtbESPT4vCMBTE78J+h/AWvGnqgiLVKCos&#10;iJfFP7B7fDTPNti8lCY29dubBcHjMDO/YZbr3taio9Ybxwom4wwEceG04VLB5fw9moPwAVlj7ZgU&#10;PMjDevUxWGKuXeQjdadQigRhn6OCKoQml9IXFVn0Y9cQJ+/qWoshybaUusWY4LaWX1k2kxYNp4UK&#10;G9pVVNxOd6vAxB/TNftd3B5+/7yOZB5TZ5QafvabBYhAfXiHX+29VjDNEhP+76Qr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ExNzDAAAA3gAAAA8AAAAAAAAAAAAA&#10;AAAAoQIAAGRycy9kb3ducmV2LnhtbFBLBQYAAAAABAAEAPkAAACRAwAAAAA=&#10;">
                  <v:stroke endarrow="block"/>
                </v:shape>
                <v:roundrect id="_x0000_s1192" style="position:absolute;left:11188;top:335;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5lsQA&#10;AADeAAAADwAAAGRycy9kb3ducmV2LnhtbESPQWsCMRSE7wX/Q3iCt5oouJTVKCoK3tquXrw9Ns/d&#10;xc3LmkRd/31TKPQ4zMw3zGLV21Y8yIfGsYbJWIEgLp1puNJwOu7fP0CEiGywdUwaXhRgtRy8LTA3&#10;7snf9ChiJRKEQ44a6hi7XMpQ1mQxjF1HnLyL8xZjkr6SxuMzwW0rp0pl0mLDaaHGjrY1ldfibjXc&#10;Gr/Zb53/KrOs2B3D57nF7qz1aNiv5yAi9fE//Nc+GA0zNVUT+L2Tr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ZbEAAAA3gAAAA8AAAAAAAAAAAAAAAAAmAIAAGRycy9k&#10;b3ducmV2LnhtbFBLBQYAAAAABAAEAPUAAACJAwAAAAA=&#10;" fillcolor="white [3201]" strokecolor="#f79646 [3209]" strokeweight="2pt">
                  <v:textbox>
                    <w:txbxContent>
                      <w:p w14:paraId="5B4F2E43" w14:textId="77777777" w:rsidR="00133798" w:rsidRDefault="00133798" w:rsidP="0006117A">
                        <w:pPr>
                          <w:pStyle w:val="prastasistinklapis"/>
                          <w:jc w:val="center"/>
                        </w:pPr>
                        <w:r>
                          <w:rPr>
                            <w:rFonts w:ascii="Calibri" w:eastAsia="Calibri" w:hAnsi="Calibri"/>
                            <w:b/>
                            <w:bCs/>
                            <w:sz w:val="16"/>
                            <w:szCs w:val="16"/>
                          </w:rPr>
                          <w:t>II STRUKTŪRA</w:t>
                        </w:r>
                      </w:p>
                    </w:txbxContent>
                  </v:textbox>
                </v:roundrect>
                <v:roundrect id="_x0000_s1193" style="position:absolute;left:31814;top:335;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CesUA&#10;AADeAAAADwAAAGRycy9kb3ducmV2LnhtbESPQWsCMRSE7wX/Q3iCt5qodJHVKCoVvLVdvXh7bJ67&#10;i5uXNUl1/fdNodDjMDPfMMt1b1txJx8axxomYwWCuHSm4UrD6bh/nYMIEdlg65g0PCnAejV4WWJu&#10;3IO/6F7ESiQIhxw11DF2uZShrMliGLuOOHkX5y3GJH0ljcdHgttWTpXKpMWG00KNHe1qKq/Ft9Vw&#10;a/x2v3P+s8yy4v0YPs4tdmetR8N+swARqY//4b/2wWh4U1M1g9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J6xQAAAN4AAAAPAAAAAAAAAAAAAAAAAJgCAABkcnMv&#10;ZG93bnJldi54bWxQSwUGAAAAAAQABAD1AAAAigMAAAAA&#10;" fillcolor="white [3201]" strokecolor="#f79646 [3209]" strokeweight="2pt">
                  <v:textbox>
                    <w:txbxContent>
                      <w:p w14:paraId="539C6302" w14:textId="77777777" w:rsidR="00133798" w:rsidRDefault="00133798" w:rsidP="0006117A">
                        <w:pPr>
                          <w:pStyle w:val="prastasistinklapis"/>
                          <w:jc w:val="center"/>
                        </w:pPr>
                        <w:r>
                          <w:rPr>
                            <w:rFonts w:ascii="Calibri" w:eastAsia="Calibri" w:hAnsi="Calibri"/>
                            <w:b/>
                            <w:bCs/>
                            <w:sz w:val="16"/>
                            <w:szCs w:val="16"/>
                          </w:rPr>
                          <w:t>III STRUKTŪRA</w:t>
                        </w:r>
                      </w:p>
                    </w:txbxContent>
                  </v:textbox>
                </v:roundrect>
                <v:rect id="_x0000_s1194" style="position:absolute;left:30184;top:3202;width:18021;height:29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wMUA&#10;AADeAAAADwAAAGRycy9kb3ducmV2LnhtbESPT2sCMRTE7wW/Q3iCt5ootsjWKCIIohf/gfT2unnd&#10;Xdy8LEl0129vCkKPw8z8hpktOluLO/lQOdYwGioQxLkzFRcazqf1+xREiMgGa8ek4UEBFvPe2wwz&#10;41o+0P0YC5EgHDLUUMbYZFKGvCSLYega4uT9Om8xJukLaTy2CW5rOVbqU1qsOC2U2NCqpPx6vFkN&#10;zfeWTBuNvHQn/7Pxu+V+V+y1HvS75ReISF38D7/aG6PhQ43VBP7up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Y7AxQAAAN4AAAAPAAAAAAAAAAAAAAAAAJgCAABkcnMv&#10;ZG93bnJldi54bWxQSwUGAAAAAAQABAD1AAAAigMAAAAA&#10;" strokecolor="#e36c0a" strokeweight="1.5pt">
                  <v:textbox>
                    <w:txbxContent>
                      <w:p w14:paraId="5A1AB919" w14:textId="77777777" w:rsidR="00133798" w:rsidRDefault="00133798" w:rsidP="0006117A">
                        <w:pPr>
                          <w:rPr>
                            <w:rFonts w:eastAsia="Times New Roman"/>
                          </w:rPr>
                        </w:pPr>
                      </w:p>
                    </w:txbxContent>
                  </v:textbox>
                </v:rect>
                <v:roundrect id="_x0000_s1195" style="position:absolute;left:31975;top:397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QvMQA&#10;AADeAAAADwAAAGRycy9kb3ducmV2LnhtbESPQWsCMRSE70L/Q3iF3jTpUkW2RpFioTe7Kj0/Nq/J&#10;0s3Lsonu6q83hUKPw8x8w6w2o2/FhfrYBNbwPFMgiOtgGrYaTsf36RJETMgG28Ck4UoRNuuHyQpL&#10;Ewau6HJIVmQIxxI1uJS6UspYO/IYZ6Ejzt536D2mLHsrTY9DhvtWFkotpMeG84LDjt4c1T+Hs9dg&#10;jdtWn3tb7ZR9iae0KPA2fGn99DhuX0EkGtN/+K/9YTTMVaHm8HsnX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0LzEAAAA3gAAAA8AAAAAAAAAAAAAAAAAmAIAAGRycy9k&#10;b3ducmV2LnhtbFBLBQYAAAAABAAEAPUAAACJAwAAAAA=&#10;" fillcolor="#e36c0a" strokecolor="#974706">
                  <v:textbox>
                    <w:txbxContent>
                      <w:p w14:paraId="67F0018D"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_x0000_s1196" style="position:absolute;left:31975;top:26410;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Oy8QA&#10;AADeAAAADwAAAGRycy9kb3ducmV2LnhtbESPwWrDMBBE74X+g9hCb41U05jiRgmhNNBb4yT0vFhb&#10;ydRaGUuJ3X59FAjkOMzMG2axmnwnTjTENrCG55kCQdwE07LVcNhvnl5BxIRssAtMGv4owmp5f7fA&#10;yoSRazrtkhUZwrFCDS6lvpIyNo48xlnoibP3EwaPKcvBSjPgmOG+k4VSpfTYcl5w2NO7o+Z3d/Qa&#10;rHHrevtl6w9lX+IhlQX+j99aPz5M6zcQiaZ0C1/bn0bDXBWqhMudfAX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svEAAAA3gAAAA8AAAAAAAAAAAAAAAAAmAIAAGRycy9k&#10;b3ducmV2LnhtbFBLBQYAAAAABAAEAPUAAACJAwAAAAA=&#10;" fillcolor="#e36c0a" strokecolor="#974706">
                  <v:textbox>
                    <w:txbxContent>
                      <w:p w14:paraId="0E893BF6" w14:textId="1081348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naudos</w:t>
                        </w:r>
                      </w:p>
                      <w:p w14:paraId="41CDF700"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1589A267"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_x0000_s1197" style="position:absolute;left:31937;top:21597;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3TscA&#10;AADeAAAADwAAAGRycy9kb3ducmV2LnhtbESP0WrCQBRE3wv9h+UW+iK6q6CV6CqiTfHBFhr9gEv2&#10;mgSzd2N2G+PfdwtCH4eZOcMs172tRUetrxxrGI8UCOLcmYoLDadjOpyD8AHZYO2YNNzJw3r1/LTE&#10;xLgbf1OXhUJECPsENZQhNImUPi/Joh+5hjh6Z9daDFG2hTQt3iLc1nKi1ExarDgulNjQtqT8kv1Y&#10;Dd1017zfN3uJ6enDXw/pwH5mX1q/vvSbBYhAffgPP9p7o2GqJuoN/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d07HAAAA3gAAAA8AAAAAAAAAAAAAAAAAmAIAAGRy&#10;cy9kb3ducmV2LnhtbFBLBQYAAAAABAAEAPUAAACMAwAAAAA=&#10;" fillcolor="#e36c0a" strokecolor="#974706">
                  <v:stroke dashstyle="dash"/>
                  <v:textbox>
                    <w:txbxContent>
                      <w:p w14:paraId="08EF02E5"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_x0000_s1198" style="position:absolute;left:31987;top:9284;width:14237;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jgcAA&#10;AADcAAAADwAAAGRycy9kb3ducmV2LnhtbERPz2vCMBS+D/Y/hDfwNtPVIdKZFhkOdnPVsvOjeUvK&#10;mpfSRNvtrzcHwePH93tbza4XFxpD51nByzIDQdx63bFR0Jw+njcgQkTW2HsmBX8UoCofH7ZYaD9x&#10;TZdjNCKFcChQgY1xKKQMrSWHYekH4sT9+NFhTHA0Uo84pXDXyzzL1tJhx6nB4kDvltrf49kpMNru&#10;6q+DqfeZeQ1NXOf4P30rtXiad28gIs3xLr65P7WCfJXWpjPpCMj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ijgcAAAADcAAAADwAAAAAAAAAAAAAAAACYAgAAZHJzL2Rvd25y&#10;ZXYueG1sUEsFBgAAAAAEAAQA9QAAAIUDAAAAAA==&#10;" fillcolor="#e36c0a" strokecolor="#974706">
                  <v:textbox>
                    <w:txbxContent>
                      <w:p w14:paraId="6EA19903" w14:textId="77777777" w:rsidR="00133798" w:rsidRDefault="00133798" w:rsidP="0006117A">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199" type="#_x0000_t32" style="position:absolute;left:39074;top:1170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28" o:spid="_x0000_s1200" type="#_x0000_t32" style="position:absolute;left:39055;top:19488;width:13;height:2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 id="AutoShape 29" o:spid="_x0000_s1201" type="#_x0000_t32" style="position:absolute;left:39042;top:24022;width:13;height:2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shape id="AutoShape 30" o:spid="_x0000_s1202" type="#_x0000_t32" style="position:absolute;left:39055;top:24022;width:32;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shape id="AutoShape 26" o:spid="_x0000_s1203" type="#_x0000_t32" style="position:absolute;left:39093;top:6388;width:6;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oval id="_x0000_s1204" style="position:absolute;left:33378;top:1304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UvcYA&#10;AADcAAAADwAAAGRycy9kb3ducmV2LnhtbESPzWrDMBCE74W+g9hAb42cYIpxo4RSGmLjQ8nPoblt&#10;rK1taq2Mpdju21eFQI7DzDfDrDaTacVAvWssK1jMIxDEpdUNVwpOx+1zAsJ5ZI2tZVLwSw4268eH&#10;Fabajryn4eArEUrYpaig9r5LpXRlTQbd3HbEwfu2vUEfZF9J3eMYyk0rl1H0Ig02HBZq7Oi9pvLn&#10;cDUKlufPS9Hl8e7Lx67dFXmESfah1NNsensF4Wny9/CNznTg4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LUvcYAAADcAAAADwAAAAAAAAAAAAAAAACYAgAAZHJz&#10;L2Rvd25yZXYueG1sUEsFBgAAAAAEAAQA9QAAAIsDAAAAAA==&#10;" fillcolor="#ffc000" strokecolor="#974706">
                  <v:textbox>
                    <w:txbxContent>
                      <w:p w14:paraId="3C901D46" w14:textId="77777777" w:rsidR="00133798" w:rsidRDefault="00133798" w:rsidP="0006117A">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7FBFDEFE" w14:textId="77777777" w:rsidR="00133798" w:rsidRDefault="00133798" w:rsidP="0006117A">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78422280" w14:textId="42A4065B" w:rsidR="0006117A" w:rsidRPr="00F435CE" w:rsidRDefault="0006117A" w:rsidP="0006117A">
      <w:pPr>
        <w:pStyle w:val="Antrat"/>
        <w:keepNext w:val="0"/>
        <w:rPr>
          <w:lang w:val="lt-LT"/>
        </w:rPr>
      </w:pPr>
      <w:bookmarkStart w:id="446" w:name="_Toc417378346"/>
      <w:bookmarkStart w:id="447" w:name="_Toc507939299"/>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9652A6">
        <w:rPr>
          <w:noProof/>
          <w:lang w:val="lt-LT"/>
        </w:rPr>
        <w:t>40</w:t>
      </w:r>
      <w:r w:rsidRPr="00F435CE">
        <w:rPr>
          <w:lang w:val="lt-LT"/>
        </w:rPr>
        <w:fldChar w:fldCharType="end"/>
      </w:r>
      <w:r w:rsidRPr="00F435CE">
        <w:rPr>
          <w:lang w:val="lt-LT"/>
        </w:rPr>
        <w:t xml:space="preserve">. </w:t>
      </w:r>
      <w:r>
        <w:rPr>
          <w:lang w:val="lt-LT"/>
        </w:rPr>
        <w:t>Finansinės priemonės arba fondų fondo</w:t>
      </w:r>
      <w:r w:rsidRPr="00F435CE">
        <w:rPr>
          <w:lang w:val="lt-LT"/>
        </w:rPr>
        <w:t xml:space="preserve"> valdymo struktūros</w:t>
      </w:r>
      <w:bookmarkEnd w:id="446"/>
      <w:bookmarkEnd w:id="447"/>
    </w:p>
    <w:p w14:paraId="1C326F4E" w14:textId="77777777" w:rsidR="0006117A" w:rsidRPr="00F435CE" w:rsidRDefault="0006117A" w:rsidP="0006117A">
      <w:pPr>
        <w:jc w:val="both"/>
        <w:rPr>
          <w:rFonts w:ascii="Georgia" w:hAnsi="Georgia"/>
          <w:sz w:val="20"/>
          <w:szCs w:val="20"/>
          <w:lang w:val="lt-LT"/>
        </w:rPr>
      </w:pPr>
      <w:r w:rsidRPr="00F435CE">
        <w:rPr>
          <w:rFonts w:ascii="Georgia" w:hAnsi="Georgia"/>
          <w:sz w:val="20"/>
          <w:szCs w:val="20"/>
          <w:lang w:val="lt-LT"/>
        </w:rPr>
        <w:t xml:space="preserve">Ankstesnėse analizės dalyse jau buvo konstatuota, kad 2014-2020 m. periodu yra labai svarbu pritraukti papildomų privačių lėšų siekiant didinti investicijas į energijos efektyvumo projektus. Trys principiniai modeliai tiek fondų fondo kūrimui, tiek ir privačių lėšų pritraukimo mechanizmo kūrimui buvo aprašyti 3 </w:t>
      </w:r>
      <w:r w:rsidRPr="00F435CE">
        <w:rPr>
          <w:rFonts w:ascii="Georgia" w:hAnsi="Georgia"/>
          <w:sz w:val="20"/>
          <w:szCs w:val="20"/>
          <w:lang w:val="lt-LT"/>
        </w:rPr>
        <w:lastRenderedPageBreak/>
        <w:t xml:space="preserve">skyriuje. Žemiau yra aprašoma, kaip veiktų kiekviena iš šių principinių schemų </w:t>
      </w:r>
      <w:r>
        <w:rPr>
          <w:rFonts w:ascii="Georgia" w:hAnsi="Georgia"/>
          <w:sz w:val="20"/>
          <w:szCs w:val="20"/>
          <w:lang w:val="lt-LT"/>
        </w:rPr>
        <w:t>savivaldybių viešųjų</w:t>
      </w:r>
      <w:r w:rsidRPr="00F435CE">
        <w:rPr>
          <w:rFonts w:ascii="Georgia" w:hAnsi="Georgia"/>
          <w:sz w:val="20"/>
          <w:szCs w:val="20"/>
          <w:lang w:val="lt-LT"/>
        </w:rPr>
        <w:t xml:space="preserve"> pastatų modernizavimo projektų atveju. Įvertinus kiekvieną iš principinių modelių yra pasirenkama rekomenduotina optimali alternatyva. Analizuojamos šios fondo veiklos alternatyvos</w:t>
      </w:r>
      <w:r w:rsidRPr="00F435CE">
        <w:rPr>
          <w:rFonts w:ascii="Georgia" w:eastAsia="Times New Roman" w:hAnsi="Georgia" w:cs="Times New Roman"/>
          <w:sz w:val="20"/>
          <w:szCs w:val="20"/>
          <w:lang w:val="lt-LT" w:eastAsia="lt-LT"/>
        </w:rPr>
        <w:t>:</w:t>
      </w:r>
    </w:p>
    <w:p w14:paraId="55E4BEE7" w14:textId="77777777" w:rsidR="0006117A" w:rsidRPr="00760316" w:rsidRDefault="0006117A" w:rsidP="0006117A">
      <w:pPr>
        <w:pStyle w:val="Sraopastraipa"/>
        <w:numPr>
          <w:ilvl w:val="6"/>
          <w:numId w:val="104"/>
        </w:numPr>
        <w:ind w:left="426" w:hanging="426"/>
        <w:jc w:val="both"/>
        <w:rPr>
          <w:rFonts w:ascii="Georgia" w:eastAsia="Times New Roman" w:hAnsi="Georgia" w:cs="Times New Roman"/>
          <w:sz w:val="20"/>
          <w:szCs w:val="20"/>
          <w:lang w:val="lt-LT" w:eastAsia="lt-LT"/>
        </w:rPr>
      </w:pPr>
      <w:r w:rsidRPr="00DB79A6">
        <w:rPr>
          <w:rFonts w:ascii="Georgia" w:eastAsia="Times New Roman" w:hAnsi="Georgia" w:cs="Times New Roman"/>
          <w:sz w:val="20"/>
          <w:szCs w:val="20"/>
          <w:lang w:val="lt-LT" w:eastAsia="lt-LT"/>
        </w:rPr>
        <w:t>Finansinės priemonės</w:t>
      </w:r>
      <w:r w:rsidRPr="00760316">
        <w:rPr>
          <w:rFonts w:ascii="Georgia" w:eastAsia="Times New Roman" w:hAnsi="Georgia" w:cs="Times New Roman"/>
          <w:sz w:val="20"/>
          <w:szCs w:val="20"/>
          <w:lang w:val="lt-LT" w:eastAsia="lt-LT"/>
        </w:rPr>
        <w:t xml:space="preserve"> arba fondų fondo</w:t>
      </w:r>
      <w:r w:rsidRPr="00DB79A6">
        <w:rPr>
          <w:rFonts w:ascii="Georgia" w:eastAsia="Times New Roman" w:hAnsi="Georgia" w:cs="Times New Roman"/>
          <w:sz w:val="20"/>
          <w:szCs w:val="20"/>
          <w:lang w:val="lt-LT" w:eastAsia="lt-LT"/>
        </w:rPr>
        <w:t xml:space="preserve"> sukūrimas; </w:t>
      </w:r>
    </w:p>
    <w:p w14:paraId="437C8D44" w14:textId="77777777" w:rsidR="0006117A" w:rsidRPr="002A2E90" w:rsidRDefault="0006117A" w:rsidP="0006117A">
      <w:pPr>
        <w:pStyle w:val="Sraopastraipa"/>
        <w:numPr>
          <w:ilvl w:val="6"/>
          <w:numId w:val="104"/>
        </w:numPr>
        <w:ind w:left="426" w:hanging="426"/>
        <w:jc w:val="both"/>
        <w:rPr>
          <w:rFonts w:ascii="Georgia" w:eastAsia="Times New Roman" w:hAnsi="Georgia" w:cs="Times New Roman"/>
          <w:sz w:val="20"/>
          <w:szCs w:val="20"/>
          <w:lang w:val="lt-LT" w:eastAsia="lt-LT"/>
        </w:rPr>
      </w:pPr>
      <w:r w:rsidRPr="001B1505">
        <w:rPr>
          <w:rFonts w:ascii="Georgia" w:eastAsia="Times New Roman" w:hAnsi="Georgia" w:cs="Times New Roman"/>
          <w:sz w:val="20"/>
          <w:szCs w:val="20"/>
          <w:lang w:val="lt-LT" w:eastAsia="lt-LT"/>
        </w:rPr>
        <w:t>Finansinės priemonės sukūrimas ir asimetrinio rizikos modelio taikymas pritraukians privačias lėšas</w:t>
      </w:r>
      <w:r>
        <w:rPr>
          <w:rStyle w:val="Puslapioinaosnuoroda"/>
          <w:rFonts w:ascii="Georgia" w:eastAsia="Times New Roman" w:hAnsi="Georgia" w:cs="Times New Roman"/>
          <w:sz w:val="20"/>
          <w:szCs w:val="20"/>
          <w:lang w:val="lt-LT" w:eastAsia="lt-LT"/>
        </w:rPr>
        <w:footnoteReference w:id="202"/>
      </w:r>
      <w:r w:rsidRPr="001B1505" w:rsidDel="001B1505">
        <w:rPr>
          <w:rFonts w:ascii="Georgia" w:eastAsia="Times New Roman" w:hAnsi="Georgia" w:cs="Times New Roman"/>
          <w:sz w:val="20"/>
          <w:szCs w:val="20"/>
          <w:lang w:val="lt-LT" w:eastAsia="lt-LT"/>
        </w:rPr>
        <w:t xml:space="preserve"> </w:t>
      </w:r>
      <w:r w:rsidRPr="00DB79A6">
        <w:rPr>
          <w:rFonts w:ascii="Georgia" w:eastAsia="Times New Roman" w:hAnsi="Georgia" w:cs="Times New Roman"/>
          <w:sz w:val="20"/>
          <w:szCs w:val="20"/>
          <w:lang w:val="lt-LT" w:eastAsia="lt-LT"/>
        </w:rPr>
        <w:t>;</w:t>
      </w:r>
    </w:p>
    <w:p w14:paraId="1C445261" w14:textId="77777777" w:rsidR="0006117A" w:rsidRPr="00DB79A6" w:rsidRDefault="0006117A" w:rsidP="0006117A">
      <w:pPr>
        <w:pStyle w:val="Sraopastraipa"/>
        <w:numPr>
          <w:ilvl w:val="6"/>
          <w:numId w:val="104"/>
        </w:numPr>
        <w:ind w:left="426" w:hanging="426"/>
        <w:jc w:val="both"/>
        <w:rPr>
          <w:rFonts w:ascii="Georgia" w:hAnsi="Georgia"/>
          <w:sz w:val="20"/>
          <w:szCs w:val="20"/>
          <w:lang w:val="lt-LT"/>
        </w:rPr>
      </w:pPr>
      <w:r w:rsidRPr="00DB79A6">
        <w:rPr>
          <w:rFonts w:ascii="Georgia" w:eastAsia="Times New Roman" w:hAnsi="Georgia" w:cs="Times New Roman"/>
          <w:sz w:val="20"/>
          <w:szCs w:val="20"/>
          <w:lang w:val="lt-LT" w:eastAsia="lt-LT"/>
        </w:rPr>
        <w:t>Finansinės priemonės</w:t>
      </w:r>
      <w:r>
        <w:rPr>
          <w:rFonts w:ascii="Georgia" w:eastAsia="Times New Roman" w:hAnsi="Georgia" w:cs="Times New Roman"/>
          <w:sz w:val="20"/>
          <w:szCs w:val="20"/>
          <w:lang w:val="lt-LT" w:eastAsia="lt-LT"/>
        </w:rPr>
        <w:t xml:space="preserve"> (ar fondų fondo steigimas )</w:t>
      </w:r>
      <w:r w:rsidRPr="00DB79A6">
        <w:rPr>
          <w:rFonts w:ascii="Georgia" w:eastAsia="Times New Roman" w:hAnsi="Georgia" w:cs="Times New Roman"/>
          <w:sz w:val="20"/>
          <w:szCs w:val="20"/>
          <w:lang w:val="lt-LT" w:eastAsia="lt-LT"/>
        </w:rPr>
        <w:t xml:space="preserve"> ir</w:t>
      </w:r>
      <w:r w:rsidRPr="00776D82">
        <w:rPr>
          <w:rFonts w:ascii="Georgia" w:eastAsia="Times New Roman" w:hAnsi="Georgia" w:cs="Times New Roman"/>
          <w:sz w:val="20"/>
          <w:szCs w:val="20"/>
          <w:lang w:val="lt-LT" w:eastAsia="lt-LT"/>
        </w:rPr>
        <w:t xml:space="preserve"> lėšas išperkančio </w:t>
      </w:r>
      <w:r>
        <w:rPr>
          <w:rFonts w:ascii="Georgia" w:eastAsia="Times New Roman" w:hAnsi="Georgia" w:cs="Times New Roman"/>
          <w:sz w:val="20"/>
          <w:szCs w:val="20"/>
          <w:lang w:val="lt-LT" w:eastAsia="lt-LT"/>
        </w:rPr>
        <w:t>modelio taikymas</w:t>
      </w:r>
      <w:r w:rsidRPr="00DB79A6">
        <w:rPr>
          <w:rFonts w:ascii="Georgia" w:eastAsia="Times New Roman" w:hAnsi="Georgia" w:cs="Times New Roman"/>
          <w:sz w:val="20"/>
          <w:szCs w:val="20"/>
          <w:lang w:val="lt-LT" w:eastAsia="lt-LT"/>
        </w:rPr>
        <w:t>.</w:t>
      </w:r>
    </w:p>
    <w:p w14:paraId="04192391" w14:textId="77777777" w:rsidR="0006117A" w:rsidRDefault="0006117A" w:rsidP="0006117A">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Žemiau pateikiamas kiekvienos iš šių alternatyvų aprašymas, identifikuojami privalumai ir trūkumai bei siūloma geriausioji iš šių alternatyvų. </w:t>
      </w:r>
    </w:p>
    <w:p w14:paraId="53761A5C" w14:textId="77777777" w:rsidR="0006117A" w:rsidRDefault="0006117A" w:rsidP="0006117A">
      <w:pPr>
        <w:jc w:val="both"/>
        <w:rPr>
          <w:rFonts w:ascii="Georgia" w:eastAsia="Times New Roman" w:hAnsi="Georgia" w:cs="Times New Roman"/>
          <w:sz w:val="20"/>
          <w:szCs w:val="20"/>
          <w:lang w:val="lt-LT" w:eastAsia="lt-LT"/>
        </w:rPr>
      </w:pPr>
    </w:p>
    <w:p w14:paraId="74DE2D76" w14:textId="77777777" w:rsidR="0006117A" w:rsidRDefault="0006117A" w:rsidP="0006117A">
      <w:pPr>
        <w:pStyle w:val="Antrat2"/>
        <w:spacing w:after="240"/>
        <w:ind w:left="142"/>
        <w:rPr>
          <w:lang w:val="lt-LT"/>
        </w:rPr>
      </w:pPr>
      <w:bookmarkStart w:id="448" w:name="_Toc417378461"/>
      <w:bookmarkStart w:id="449" w:name="_Toc25589992"/>
      <w:r>
        <w:rPr>
          <w:lang w:val="lt-LT"/>
        </w:rPr>
        <w:t>7.3.4.1 Finansinės priemonės arba fondų fondo sukūrimas</w:t>
      </w:r>
      <w:bookmarkEnd w:id="448"/>
      <w:bookmarkEnd w:id="449"/>
    </w:p>
    <w:p w14:paraId="0A82F33E" w14:textId="77777777" w:rsidR="0006117A" w:rsidRPr="00760316" w:rsidRDefault="0006117A" w:rsidP="0006117A">
      <w:pPr>
        <w:jc w:val="both"/>
        <w:rPr>
          <w:rFonts w:ascii="Georgia" w:hAnsi="Georgia"/>
          <w:sz w:val="20"/>
          <w:szCs w:val="20"/>
          <w:lang w:val="lt-LT"/>
        </w:rPr>
      </w:pPr>
      <w:r w:rsidRPr="00760316">
        <w:rPr>
          <w:rFonts w:ascii="Georgia" w:hAnsi="Georgia"/>
          <w:sz w:val="20"/>
          <w:szCs w:val="20"/>
          <w:lang w:val="lt-LT"/>
        </w:rPr>
        <w:t>Šioje</w:t>
      </w:r>
      <w:r>
        <w:rPr>
          <w:rFonts w:ascii="Georgia" w:hAnsi="Georgia"/>
          <w:sz w:val="20"/>
          <w:szCs w:val="20"/>
          <w:lang w:val="lt-LT"/>
        </w:rPr>
        <w:t xml:space="preserve"> alternatyvoje aprašytas finansinės priemonės arba fondų fondo sukūrimas, kuomet ESI fondų lėšos patikėjimo teise pavedamos finansinės priemonės arba fondo valdytojui. Finansinės priemonės valdytojas finansinę priemonę įgyvendina tiesiogiai, be finansinių tarpininkų, tuo tarpu fondų fondo valdytojas galėtų arba atrinkti finansinius tarpininkus, arba finansavimą teikti pats (jeigu fondų fondo valdytojui taikytini teisės aktai tai leidžia). Atsižvelgiant į tai, kad savivaldybių viešųjų pastatų modernizavimui skiriama ESI fondų lėšų suma yra sąlyginai nedidelė, tikėtina, kad fondų fondo struktūra masto ekonomijos ir efektyvumo administruojant fondų fondą pasiekti nepadės.</w:t>
      </w:r>
    </w:p>
    <w:p w14:paraId="5CBA503D" w14:textId="77777777" w:rsidR="0006117A" w:rsidRDefault="0006117A" w:rsidP="0006117A">
      <w:pPr>
        <w:keepNext/>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object w:dxaOrig="12420" w:dyaOrig="10425" w14:anchorId="52A1DBE3">
          <v:shape id="_x0000_i1029" type="#_x0000_t75" style="width:439.05pt;height:366.45pt" o:ole="">
            <v:imagedata r:id="rId78" o:title=""/>
          </v:shape>
          <o:OLEObject Type="Embed" ProgID="Visio.Drawing.15" ShapeID="_x0000_i1029" DrawAspect="Content" ObjectID="_1636202883" r:id="rId79"/>
        </w:object>
      </w:r>
    </w:p>
    <w:p w14:paraId="72A50F45" w14:textId="1411EC3C" w:rsidR="0006117A" w:rsidRPr="00F435CE" w:rsidRDefault="0006117A" w:rsidP="0006117A">
      <w:pPr>
        <w:pStyle w:val="Antrat"/>
        <w:rPr>
          <w:szCs w:val="20"/>
          <w:lang w:val="lt-LT"/>
        </w:rPr>
      </w:pPr>
      <w:bookmarkStart w:id="450" w:name="_Toc417378347"/>
      <w:bookmarkStart w:id="451" w:name="_Toc507939300"/>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9652A6">
        <w:rPr>
          <w:noProof/>
          <w:lang w:val="lt-LT"/>
        </w:rPr>
        <w:t>41</w:t>
      </w:r>
      <w:r w:rsidRPr="00F435CE">
        <w:rPr>
          <w:lang w:val="lt-LT"/>
        </w:rPr>
        <w:fldChar w:fldCharType="end"/>
      </w:r>
      <w:r w:rsidRPr="00F435CE">
        <w:rPr>
          <w:lang w:val="lt-LT"/>
        </w:rPr>
        <w:t xml:space="preserve">. </w:t>
      </w:r>
      <w:r>
        <w:rPr>
          <w:lang w:val="lt-LT"/>
        </w:rPr>
        <w:t>Finansinės priemonės arba f</w:t>
      </w:r>
      <w:r w:rsidRPr="00F435CE">
        <w:rPr>
          <w:lang w:val="lt-LT"/>
        </w:rPr>
        <w:t xml:space="preserve">ondų </w:t>
      </w:r>
      <w:r w:rsidRPr="00F435CE">
        <w:rPr>
          <w:rFonts w:eastAsia="Times New Roman"/>
          <w:szCs w:val="20"/>
          <w:lang w:val="lt-LT" w:eastAsia="lt-LT"/>
        </w:rPr>
        <w:t>fondo sukūrimas</w:t>
      </w:r>
      <w:bookmarkEnd w:id="450"/>
      <w:bookmarkEnd w:id="451"/>
      <w:r w:rsidRPr="00F435CE">
        <w:rPr>
          <w:rFonts w:eastAsia="Times New Roman"/>
          <w:szCs w:val="20"/>
          <w:lang w:val="lt-LT" w:eastAsia="lt-LT"/>
        </w:rPr>
        <w:t xml:space="preserve"> </w:t>
      </w:r>
    </w:p>
    <w:p w14:paraId="4147C579" w14:textId="77777777" w:rsidR="0006117A" w:rsidRPr="00DB79A6" w:rsidRDefault="0006117A" w:rsidP="0006117A">
      <w:pPr>
        <w:jc w:val="both"/>
        <w:rPr>
          <w:rFonts w:ascii="Georgia" w:hAnsi="Georgia"/>
          <w:sz w:val="20"/>
          <w:szCs w:val="20"/>
        </w:rPr>
      </w:pPr>
      <w:r w:rsidRPr="00DB79A6">
        <w:rPr>
          <w:rFonts w:ascii="Georgia" w:eastAsia="Times New Roman" w:hAnsi="Georgia" w:cs="Times New Roman"/>
          <w:sz w:val="20"/>
          <w:szCs w:val="20"/>
          <w:lang w:val="lt-LT" w:eastAsia="lt-LT"/>
        </w:rPr>
        <w:t>Aukščiau esančiame paveiksle pavaizduotas principinis</w:t>
      </w:r>
      <w:r w:rsidRPr="00760316">
        <w:rPr>
          <w:rFonts w:ascii="Georgia" w:eastAsia="Times New Roman" w:hAnsi="Georgia" w:cs="Times New Roman"/>
          <w:sz w:val="20"/>
          <w:szCs w:val="20"/>
          <w:lang w:val="lt-LT" w:eastAsia="lt-LT"/>
        </w:rPr>
        <w:t xml:space="preserve"> finansinės priemonės arba</w:t>
      </w:r>
      <w:r w:rsidRPr="00DB79A6">
        <w:rPr>
          <w:rFonts w:ascii="Georgia" w:eastAsia="Times New Roman" w:hAnsi="Georgia" w:cs="Times New Roman"/>
          <w:sz w:val="20"/>
          <w:szCs w:val="20"/>
          <w:lang w:val="lt-LT" w:eastAsia="lt-LT"/>
        </w:rPr>
        <w:t xml:space="preserve"> fondų fondo kūrimas, kuris, vadovaujantis Bendrųjų nuostatų reglamento nuostatomis, galėtų būti kuriamas kaip atskiras finansinis padalinys finansų įstaigoje.  </w:t>
      </w:r>
    </w:p>
    <w:p w14:paraId="796F9316" w14:textId="77777777" w:rsidR="0006117A" w:rsidRDefault="0006117A" w:rsidP="0006117A">
      <w:pPr>
        <w:jc w:val="both"/>
        <w:rPr>
          <w:rFonts w:ascii="Georgia" w:eastAsia="Times New Roman" w:hAnsi="Georgia" w:cs="Times New Roman"/>
          <w:sz w:val="20"/>
          <w:szCs w:val="20"/>
          <w:lang w:val="lt-LT" w:eastAsia="lt-LT"/>
        </w:rPr>
      </w:pPr>
      <w:r w:rsidRPr="00DB79A6">
        <w:rPr>
          <w:rFonts w:ascii="Georgia" w:eastAsia="Times New Roman" w:hAnsi="Georgia" w:cs="Times New Roman"/>
          <w:sz w:val="20"/>
          <w:szCs w:val="20"/>
          <w:lang w:val="lt-LT" w:eastAsia="lt-LT"/>
        </w:rPr>
        <w:t>Savivaldybių viešųjų</w:t>
      </w:r>
      <w:r>
        <w:rPr>
          <w:rFonts w:ascii="Georgia" w:eastAsia="Times New Roman" w:hAnsi="Georgia" w:cs="Times New Roman"/>
          <w:sz w:val="20"/>
          <w:szCs w:val="20"/>
          <w:lang w:val="lt-LT" w:eastAsia="lt-LT"/>
        </w:rPr>
        <w:t xml:space="preserve"> pastatų modernizacijos finansinės priemonės įgyvendinimui skirtas</w:t>
      </w:r>
      <w:r w:rsidRPr="00AC3318">
        <w:rPr>
          <w:rFonts w:ascii="Georgia" w:eastAsia="Times New Roman" w:hAnsi="Georgia" w:cs="Times New Roman"/>
          <w:sz w:val="20"/>
          <w:szCs w:val="20"/>
          <w:lang w:val="lt-LT" w:eastAsia="lt-LT"/>
        </w:rPr>
        <w:t xml:space="preserve"> fondas</w:t>
      </w:r>
      <w:r>
        <w:rPr>
          <w:rFonts w:ascii="Georgia" w:eastAsia="Times New Roman" w:hAnsi="Georgia" w:cs="Times New Roman"/>
          <w:sz w:val="20"/>
          <w:szCs w:val="20"/>
          <w:lang w:val="lt-LT" w:eastAsia="lt-LT"/>
        </w:rPr>
        <w:t xml:space="preserve"> ar finansinė priemonė</w:t>
      </w:r>
      <w:r w:rsidRPr="00AC3318">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kuriama</w:t>
      </w:r>
      <w:r w:rsidRPr="00AC3318">
        <w:rPr>
          <w:rFonts w:ascii="Georgia" w:eastAsia="Times New Roman" w:hAnsi="Georgia" w:cs="Times New Roman"/>
          <w:sz w:val="20"/>
          <w:szCs w:val="20"/>
          <w:lang w:val="lt-LT" w:eastAsia="lt-LT"/>
        </w:rPr>
        <w:t xml:space="preserve"> vadovaujantis ESI fondų lėšų panaudojimo reglamentavimo nuostatomis.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ir Finansų ministerijos vykdo valdytojo atranką, su kuriuo pasirašoma trišalė</w:t>
      </w:r>
      <w:r>
        <w:rPr>
          <w:rFonts w:ascii="Georgia" w:eastAsia="Times New Roman" w:hAnsi="Georgia" w:cs="Times New Roman"/>
          <w:sz w:val="20"/>
          <w:szCs w:val="20"/>
          <w:lang w:val="lt-LT" w:eastAsia="lt-LT"/>
        </w:rPr>
        <w:t xml:space="preserve"> (jei fondas kuriamas kito fondo apimtyje - daugiašalė)</w:t>
      </w:r>
      <w:r w:rsidRPr="00AC3318">
        <w:rPr>
          <w:rFonts w:ascii="Georgia" w:eastAsia="Times New Roman" w:hAnsi="Georgia" w:cs="Times New Roman"/>
          <w:sz w:val="20"/>
          <w:szCs w:val="20"/>
          <w:lang w:val="lt-LT" w:eastAsia="lt-LT"/>
        </w:rPr>
        <w:t xml:space="preserve"> finansavimo sutartis. </w:t>
      </w:r>
      <w:r>
        <w:rPr>
          <w:rFonts w:ascii="Georgia" w:eastAsia="Times New Roman" w:hAnsi="Georgia" w:cs="Times New Roman"/>
          <w:sz w:val="20"/>
          <w:szCs w:val="20"/>
          <w:lang w:val="lt-LT" w:eastAsia="lt-LT"/>
        </w:rPr>
        <w:t>Finansinės priemonės ar f</w:t>
      </w:r>
      <w:r w:rsidRPr="00AC3318">
        <w:rPr>
          <w:rFonts w:ascii="Georgia" w:eastAsia="Times New Roman" w:hAnsi="Georgia" w:cs="Times New Roman"/>
          <w:sz w:val="20"/>
          <w:szCs w:val="20"/>
          <w:lang w:val="lt-LT" w:eastAsia="lt-LT"/>
        </w:rPr>
        <w:t xml:space="preserve">ondų fondo apimtis –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ministerijos </w:t>
      </w:r>
      <w:r>
        <w:rPr>
          <w:rFonts w:ascii="Georgia" w:eastAsia="Times New Roman" w:hAnsi="Georgia" w:cs="Times New Roman"/>
          <w:sz w:val="20"/>
          <w:szCs w:val="20"/>
          <w:lang w:val="lt-LT" w:eastAsia="lt-LT"/>
        </w:rPr>
        <w:t xml:space="preserve">ir kitų ministerijų dalyvaujančių fondo veiklos apimtyje </w:t>
      </w:r>
      <w:r w:rsidRPr="00AC3318">
        <w:rPr>
          <w:rFonts w:ascii="Georgia" w:eastAsia="Times New Roman" w:hAnsi="Georgia" w:cs="Times New Roman"/>
          <w:sz w:val="20"/>
          <w:szCs w:val="20"/>
          <w:lang w:val="lt-LT" w:eastAsia="lt-LT"/>
        </w:rPr>
        <w:t xml:space="preserve">asignavimai.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ir Finansų ministerijos </w:t>
      </w:r>
      <w:r>
        <w:rPr>
          <w:rFonts w:ascii="Georgia" w:eastAsia="Times New Roman" w:hAnsi="Georgia" w:cs="Times New Roman"/>
          <w:sz w:val="20"/>
          <w:szCs w:val="20"/>
          <w:lang w:val="lt-LT" w:eastAsia="lt-LT"/>
        </w:rPr>
        <w:t xml:space="preserve">finansinės priemonės </w:t>
      </w:r>
      <w:r w:rsidRPr="00AC3318">
        <w:rPr>
          <w:rFonts w:ascii="Georgia" w:eastAsia="Times New Roman" w:hAnsi="Georgia" w:cs="Times New Roman"/>
          <w:sz w:val="20"/>
          <w:szCs w:val="20"/>
          <w:lang w:val="lt-LT" w:eastAsia="lt-LT"/>
        </w:rPr>
        <w:t xml:space="preserve">valdymui sukuria </w:t>
      </w:r>
      <w:r>
        <w:rPr>
          <w:rFonts w:ascii="Georgia" w:eastAsia="Times New Roman" w:hAnsi="Georgia" w:cs="Times New Roman"/>
          <w:sz w:val="20"/>
          <w:szCs w:val="20"/>
          <w:lang w:val="lt-LT" w:eastAsia="lt-LT"/>
        </w:rPr>
        <w:t>Priežiūros</w:t>
      </w:r>
      <w:r w:rsidRPr="00AC3318">
        <w:rPr>
          <w:rFonts w:ascii="Georgia" w:eastAsia="Times New Roman" w:hAnsi="Georgia" w:cs="Times New Roman"/>
          <w:sz w:val="20"/>
          <w:szCs w:val="20"/>
          <w:lang w:val="lt-LT" w:eastAsia="lt-LT"/>
        </w:rPr>
        <w:t xml:space="preserve"> komitetą. </w:t>
      </w:r>
    </w:p>
    <w:p w14:paraId="486AB4EB" w14:textId="63A352B2" w:rsidR="0047468E"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Jeigu steigiamas fondų fondas, f</w:t>
      </w:r>
      <w:r w:rsidRPr="00AC3318">
        <w:rPr>
          <w:rFonts w:ascii="Georgia" w:eastAsia="Times New Roman" w:hAnsi="Georgia" w:cs="Times New Roman"/>
          <w:sz w:val="20"/>
          <w:szCs w:val="20"/>
          <w:lang w:val="lt-LT" w:eastAsia="lt-LT"/>
        </w:rPr>
        <w:t>ondų fondo valdytojas, siekdamas užtikrinti fondo įgyvendinimą, organizuoja finansinių tarpininkų atranką arba fondo veikl</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vykdo pats</w:t>
      </w:r>
      <w:r>
        <w:rPr>
          <w:rFonts w:ascii="Georgia" w:eastAsia="Times New Roman" w:hAnsi="Georgia" w:cs="Times New Roman"/>
          <w:sz w:val="20"/>
          <w:szCs w:val="20"/>
          <w:lang w:val="lt-LT" w:eastAsia="lt-LT"/>
        </w:rPr>
        <w:t>, kaip tai buvo aprašyta aukščiau remiantis Bendrųjų nuostatų reglamento 38.5 punktu.</w:t>
      </w:r>
    </w:p>
    <w:p w14:paraId="0BA86F14" w14:textId="77777777" w:rsidR="0047468E" w:rsidRDefault="0047468E">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br w:type="page"/>
      </w:r>
    </w:p>
    <w:p w14:paraId="785B5A47" w14:textId="77777777" w:rsidR="0006117A" w:rsidRPr="00AC3318" w:rsidRDefault="0006117A" w:rsidP="0006117A">
      <w:pPr>
        <w:jc w:val="both"/>
        <w:rPr>
          <w:rFonts w:ascii="Georgia" w:hAnsi="Georgia"/>
          <w:sz w:val="20"/>
          <w:szCs w:val="20"/>
        </w:rPr>
      </w:pPr>
    </w:p>
    <w:p w14:paraId="40AB7403" w14:textId="15EEF26E" w:rsidR="0006117A" w:rsidRPr="008377C9" w:rsidRDefault="0006117A" w:rsidP="0006117A">
      <w:pPr>
        <w:pStyle w:val="Antrat"/>
        <w:rPr>
          <w:b w:val="0"/>
          <w:i/>
          <w:lang w:val="lt-LT"/>
        </w:rPr>
      </w:pPr>
      <w:bookmarkStart w:id="452" w:name="_Toc459646519"/>
      <w:bookmarkStart w:id="453" w:name="_Toc507939231"/>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109</w:t>
      </w:r>
      <w:r w:rsidRPr="008377C9">
        <w:rPr>
          <w:b w:val="0"/>
          <w:i/>
          <w:lang w:val="lt-LT"/>
        </w:rPr>
        <w:fldChar w:fldCharType="end"/>
      </w:r>
      <w:r w:rsidRPr="008377C9">
        <w:rPr>
          <w:b w:val="0"/>
          <w:i/>
          <w:lang w:val="lt-LT"/>
        </w:rPr>
        <w:t>. Pirmosios finansinės priemonės kūrimo ir valdymo alternatyvos viešiesiems pastatams privalumų ir trūkumų palyginimas.</w:t>
      </w:r>
      <w:bookmarkEnd w:id="452"/>
      <w:bookmarkEnd w:id="453"/>
      <w:r w:rsidRPr="008377C9">
        <w:rPr>
          <w:b w:val="0"/>
          <w:i/>
          <w:lang w:val="lt-LT"/>
        </w:rPr>
        <w:t xml:space="preserve"> </w:t>
      </w:r>
    </w:p>
    <w:tbl>
      <w:tblPr>
        <w:tblStyle w:val="Spalvotassraas2parykinimas"/>
        <w:tblW w:w="0" w:type="auto"/>
        <w:tblLook w:val="04A0" w:firstRow="1" w:lastRow="0" w:firstColumn="1" w:lastColumn="0" w:noHBand="0" w:noVBand="1"/>
      </w:tblPr>
      <w:tblGrid>
        <w:gridCol w:w="4689"/>
        <w:gridCol w:w="4671"/>
      </w:tblGrid>
      <w:tr w:rsidR="0006117A" w:rsidRPr="00E649A6" w14:paraId="7BD5B268"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hideMark/>
          </w:tcPr>
          <w:p w14:paraId="0C8E6C5D" w14:textId="77777777" w:rsidR="0006117A" w:rsidRPr="00AC3318" w:rsidRDefault="0006117A" w:rsidP="007E38FC">
            <w:pPr>
              <w:jc w:val="center"/>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Privalumai</w:t>
            </w:r>
          </w:p>
        </w:tc>
        <w:tc>
          <w:tcPr>
            <w:tcW w:w="4671" w:type="dxa"/>
            <w:hideMark/>
          </w:tcPr>
          <w:p w14:paraId="4EDFD405" w14:textId="77777777" w:rsidR="0006117A" w:rsidRPr="00AC3318" w:rsidRDefault="0006117A" w:rsidP="007E38FC">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Trūkumai</w:t>
            </w:r>
          </w:p>
        </w:tc>
      </w:tr>
      <w:tr w:rsidR="0006117A" w:rsidRPr="00E649A6" w14:paraId="079237EC"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Pr>
          <w:p w14:paraId="502A43E1" w14:textId="77777777" w:rsidR="0006117A" w:rsidRPr="00AC3318" w:rsidRDefault="0006117A" w:rsidP="007E38FC">
            <w:pPr>
              <w:rPr>
                <w:rFonts w:ascii="Georgia" w:eastAsia="Times New Roman" w:hAnsi="Georgia" w:cs="Times New Roman"/>
                <w:sz w:val="20"/>
                <w:szCs w:val="20"/>
                <w:lang w:val="lt-LT" w:eastAsia="lt-LT"/>
              </w:rPr>
            </w:pPr>
            <w:r w:rsidRPr="00E044B9">
              <w:rPr>
                <w:rFonts w:ascii="Georgia" w:eastAsia="Times New Roman" w:hAnsi="Georgia" w:cs="Times New Roman"/>
                <w:b w:val="0"/>
                <w:sz w:val="20"/>
                <w:szCs w:val="20"/>
                <w:lang w:val="lt-LT" w:eastAsia="lt-LT"/>
              </w:rPr>
              <w:t>Modelio paprastumas</w:t>
            </w:r>
            <w:r>
              <w:rPr>
                <w:rFonts w:ascii="Georgia" w:eastAsia="Times New Roman" w:hAnsi="Georgia" w:cs="Times New Roman"/>
                <w:b w:val="0"/>
                <w:sz w:val="20"/>
                <w:szCs w:val="20"/>
                <w:lang w:val="lt-LT" w:eastAsia="lt-LT"/>
              </w:rPr>
              <w:t xml:space="preserve"> ir žinomumas</w:t>
            </w:r>
          </w:p>
        </w:tc>
        <w:tc>
          <w:tcPr>
            <w:tcW w:w="4671" w:type="dxa"/>
          </w:tcPr>
          <w:p w14:paraId="007AF193" w14:textId="77777777" w:rsidR="0006117A" w:rsidRPr="00AC3318" w:rsidRDefault="0006117A" w:rsidP="007E38FC">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264580">
              <w:rPr>
                <w:rFonts w:ascii="Georgia" w:eastAsia="Times New Roman" w:hAnsi="Georgia" w:cs="Times New Roman"/>
                <w:sz w:val="20"/>
                <w:szCs w:val="20"/>
                <w:lang w:val="lt-LT" w:eastAsia="lt-LT"/>
              </w:rPr>
              <w:t>Atskiro juridinio asmens statuso trūkumas mažintų papildomų privačių lėšų pritraukim</w:t>
            </w:r>
            <w:r>
              <w:rPr>
                <w:rFonts w:ascii="Georgia" w:eastAsia="Times New Roman" w:hAnsi="Georgia" w:cs="Times New Roman"/>
                <w:sz w:val="20"/>
                <w:szCs w:val="20"/>
                <w:lang w:val="lt-LT" w:eastAsia="lt-LT"/>
              </w:rPr>
              <w:t>o galimybes</w:t>
            </w:r>
            <w:r w:rsidRPr="00264580">
              <w:rPr>
                <w:rFonts w:ascii="Georgia" w:eastAsia="Times New Roman" w:hAnsi="Georgia" w:cs="Times New Roman"/>
                <w:sz w:val="20"/>
                <w:szCs w:val="20"/>
                <w:lang w:val="lt-LT" w:eastAsia="lt-LT"/>
              </w:rPr>
              <w:t>, ir potencialiai galėtų prisiimti rizikų dėl paimtų paskolų kitų fondų naudai</w:t>
            </w:r>
          </w:p>
        </w:tc>
      </w:tr>
      <w:tr w:rsidR="0006117A" w:rsidRPr="00E649A6" w14:paraId="51DDEBF4" w14:textId="77777777" w:rsidTr="007E38FC">
        <w:tc>
          <w:tcPr>
            <w:cnfStyle w:val="001000000000" w:firstRow="0" w:lastRow="0" w:firstColumn="1" w:lastColumn="0" w:oddVBand="0" w:evenVBand="0" w:oddHBand="0" w:evenHBand="0" w:firstRowFirstColumn="0" w:firstRowLastColumn="0" w:lastRowFirstColumn="0" w:lastRowLastColumn="0"/>
            <w:tcW w:w="4689" w:type="dxa"/>
          </w:tcPr>
          <w:p w14:paraId="0F780FF6" w14:textId="77777777" w:rsidR="0006117A" w:rsidRPr="00E044B9" w:rsidRDefault="0006117A" w:rsidP="007E38FC">
            <w:pPr>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Sukauptos JESSICA Kontroliuojančiojo fondo 2007-2013 patirties panaudojimas</w:t>
            </w:r>
          </w:p>
        </w:tc>
        <w:tc>
          <w:tcPr>
            <w:tcW w:w="4671" w:type="dxa"/>
          </w:tcPr>
          <w:p w14:paraId="0C090A54" w14:textId="77777777" w:rsidR="0006117A" w:rsidRPr="00AC3318" w:rsidRDefault="0006117A" w:rsidP="007E38FC">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Sudėtingas arba negalimas papildomų privačių lėšų pritraukimas siekiant investuoti į fondą</w:t>
            </w:r>
          </w:p>
        </w:tc>
      </w:tr>
      <w:tr w:rsidR="0006117A" w:rsidRPr="00E649A6" w14:paraId="7893AF85"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Pr>
          <w:p w14:paraId="49B1D102" w14:textId="77777777" w:rsidR="0006117A" w:rsidRPr="00E044B9" w:rsidRDefault="0006117A" w:rsidP="007E38FC">
            <w:pPr>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 xml:space="preserve">Galimybė greitai išspręsti visus teisinius ir techninius klausimus susijusius su fondo įkūrimu ir veiklos vystymu </w:t>
            </w:r>
          </w:p>
        </w:tc>
        <w:tc>
          <w:tcPr>
            <w:tcW w:w="4671" w:type="dxa"/>
          </w:tcPr>
          <w:p w14:paraId="45AC2852" w14:textId="77777777" w:rsidR="0006117A" w:rsidRPr="00AC3318" w:rsidRDefault="0006117A" w:rsidP="007E38FC">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Ilgas lėšų grąžinimo laikotarpis</w:t>
            </w:r>
            <w:r>
              <w:rPr>
                <w:rFonts w:ascii="Georgia" w:eastAsia="Times New Roman" w:hAnsi="Georgia" w:cs="Times New Roman"/>
                <w:sz w:val="20"/>
                <w:szCs w:val="20"/>
                <w:lang w:val="lt-LT" w:eastAsia="lt-LT"/>
              </w:rPr>
              <w:t xml:space="preserve"> dėl santykinai lėto įgyvendinamo projektų skaičiaus</w:t>
            </w:r>
            <w:r w:rsidRPr="00AC3318">
              <w:rPr>
                <w:rFonts w:ascii="Georgia" w:eastAsia="Times New Roman" w:hAnsi="Georgia" w:cs="Times New Roman"/>
                <w:sz w:val="20"/>
                <w:szCs w:val="20"/>
                <w:lang w:val="lt-LT" w:eastAsia="lt-LT"/>
              </w:rPr>
              <w:t xml:space="preserve"> </w:t>
            </w:r>
          </w:p>
        </w:tc>
      </w:tr>
    </w:tbl>
    <w:p w14:paraId="54C18A6F" w14:textId="77777777" w:rsidR="0006117A" w:rsidRPr="00AC3318" w:rsidRDefault="0006117A" w:rsidP="0006117A">
      <w:pPr>
        <w:jc w:val="both"/>
        <w:rPr>
          <w:rFonts w:ascii="Georgia" w:eastAsia="Times New Roman" w:hAnsi="Georgia" w:cs="Times New Roman"/>
          <w:sz w:val="20"/>
          <w:szCs w:val="20"/>
          <w:lang w:val="lt-LT" w:eastAsia="lt-LT"/>
        </w:rPr>
      </w:pPr>
    </w:p>
    <w:p w14:paraId="1FE8ADC0" w14:textId="77777777" w:rsidR="0006117A" w:rsidRPr="003351A4" w:rsidRDefault="0006117A" w:rsidP="0006117A">
      <w:pPr>
        <w:pStyle w:val="Antrat2"/>
        <w:spacing w:after="240"/>
        <w:rPr>
          <w:lang w:val="lt-LT"/>
        </w:rPr>
      </w:pPr>
      <w:bookmarkStart w:id="454" w:name="_Toc417378462"/>
      <w:bookmarkStart w:id="455" w:name="_Toc25589993"/>
      <w:r>
        <w:rPr>
          <w:lang w:val="lt-LT"/>
        </w:rPr>
        <w:t>7.3.4.2. Finansinės priemonės sukūrimas ir asimetrinio rizikos</w:t>
      </w:r>
      <w:r w:rsidRPr="003351A4">
        <w:rPr>
          <w:lang w:val="lt-LT"/>
        </w:rPr>
        <w:t xml:space="preserve"> </w:t>
      </w:r>
      <w:r>
        <w:rPr>
          <w:lang w:val="lt-LT"/>
        </w:rPr>
        <w:t>modelio taikymas pritraukiant privačias lėšas</w:t>
      </w:r>
      <w:bookmarkEnd w:id="454"/>
      <w:bookmarkEnd w:id="455"/>
    </w:p>
    <w:p w14:paraId="3C5E6808" w14:textId="77777777" w:rsidR="0006117A" w:rsidRDefault="0006117A" w:rsidP="0006117A">
      <w:pPr>
        <w:jc w:val="both"/>
        <w:rPr>
          <w:rFonts w:ascii="Georgia" w:eastAsia="Times New Roman" w:hAnsi="Georgia" w:cs="Times New Roman"/>
          <w:sz w:val="20"/>
          <w:szCs w:val="20"/>
          <w:lang w:val="lt-LT" w:eastAsia="lt-LT"/>
        </w:rPr>
      </w:pPr>
      <w:r w:rsidRPr="00776D82">
        <w:rPr>
          <w:rFonts w:ascii="Georgia" w:eastAsia="Times New Roman" w:hAnsi="Georgia" w:cs="Times New Roman"/>
          <w:sz w:val="20"/>
          <w:szCs w:val="20"/>
          <w:lang w:val="lt-LT" w:eastAsia="lt-LT"/>
        </w:rPr>
        <w:t>Antroji vertinama fondų fondo steigimo alternatyva pavaizduota paveiksle žemiau, kuriame matyti, jog projektų finansavimui bei papildomų lėšų pritraukimui fondas yra steigiamas kaip atskiras subjektas, pavyzdžiui turintis komanditinės ūkinės bendrijos formą</w:t>
      </w:r>
      <w:r w:rsidRPr="00B23A70">
        <w:rPr>
          <w:rStyle w:val="Puslapioinaosnuoroda"/>
          <w:rFonts w:ascii="Georgia" w:eastAsia="Times New Roman" w:hAnsi="Georgia" w:cs="Times New Roman"/>
          <w:sz w:val="20"/>
          <w:szCs w:val="20"/>
          <w:lang w:val="lt-LT" w:eastAsia="lt-LT"/>
        </w:rPr>
        <w:footnoteReference w:id="203"/>
      </w:r>
      <w:r w:rsidRPr="00B23A70">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Rizikos pasidalijimo fondo steigimo schema </w:t>
      </w:r>
      <w:r w:rsidRPr="00313A41">
        <w:rPr>
          <w:rFonts w:ascii="Georgia" w:eastAsia="Times New Roman" w:hAnsi="Georgia" w:cs="Times New Roman"/>
          <w:sz w:val="20"/>
          <w:szCs w:val="20"/>
          <w:lang w:val="lt-LT" w:eastAsia="lt-LT"/>
        </w:rPr>
        <w:t>pavaizduota paveiksle</w:t>
      </w:r>
      <w:r w:rsidRPr="00EC5CFD">
        <w:rPr>
          <w:rFonts w:ascii="Georgia" w:eastAsia="Times New Roman" w:hAnsi="Georgia" w:cs="Times New Roman"/>
          <w:sz w:val="20"/>
          <w:szCs w:val="20"/>
          <w:lang w:val="lt-LT" w:eastAsia="lt-LT"/>
        </w:rPr>
        <w:t xml:space="preserve"> žemiau, </w:t>
      </w:r>
      <w:r w:rsidRPr="00EE477F">
        <w:rPr>
          <w:rFonts w:ascii="Georgia" w:eastAsia="Times New Roman" w:hAnsi="Georgia" w:cs="Times New Roman"/>
          <w:sz w:val="20"/>
          <w:szCs w:val="20"/>
          <w:lang w:val="lt-LT" w:eastAsia="lt-LT"/>
        </w:rPr>
        <w:t xml:space="preserve">kuriame matyti, jog projektų finansavimui bei papildomų lėšų pritraukimui </w:t>
      </w:r>
      <w:r>
        <w:rPr>
          <w:rFonts w:ascii="Georgia" w:eastAsia="Times New Roman" w:hAnsi="Georgia" w:cs="Times New Roman"/>
          <w:sz w:val="20"/>
          <w:szCs w:val="20"/>
          <w:lang w:val="lt-LT" w:eastAsia="lt-LT"/>
        </w:rPr>
        <w:t xml:space="preserve">steigiamas </w:t>
      </w:r>
      <w:r w:rsidRPr="00EE477F">
        <w:rPr>
          <w:rFonts w:ascii="Georgia" w:eastAsia="Times New Roman" w:hAnsi="Georgia" w:cs="Times New Roman"/>
          <w:sz w:val="20"/>
          <w:szCs w:val="20"/>
          <w:lang w:val="lt-LT" w:eastAsia="lt-LT"/>
        </w:rPr>
        <w:t xml:space="preserve">fondas </w:t>
      </w:r>
      <w:r>
        <w:rPr>
          <w:rFonts w:ascii="Georgia" w:eastAsia="Times New Roman" w:hAnsi="Georgia" w:cs="Times New Roman"/>
          <w:sz w:val="20"/>
          <w:szCs w:val="20"/>
          <w:lang w:val="lt-LT" w:eastAsia="lt-LT"/>
        </w:rPr>
        <w:t>gali turėti</w:t>
      </w:r>
      <w:r w:rsidRPr="00EE477F">
        <w:rPr>
          <w:rFonts w:ascii="Georgia" w:eastAsia="Times New Roman" w:hAnsi="Georgia" w:cs="Times New Roman"/>
          <w:sz w:val="20"/>
          <w:szCs w:val="20"/>
          <w:lang w:val="lt-LT" w:eastAsia="lt-LT"/>
        </w:rPr>
        <w:t xml:space="preserve"> atskir</w:t>
      </w:r>
      <w:r>
        <w:rPr>
          <w:rFonts w:ascii="Georgia" w:eastAsia="Times New Roman" w:hAnsi="Georgia" w:cs="Times New Roman"/>
          <w:sz w:val="20"/>
          <w:szCs w:val="20"/>
          <w:lang w:val="lt-LT" w:eastAsia="lt-LT"/>
        </w:rPr>
        <w:t>ą</w:t>
      </w:r>
      <w:r w:rsidRPr="00EE477F">
        <w:rPr>
          <w:rFonts w:ascii="Georgia" w:eastAsia="Times New Roman" w:hAnsi="Georgia" w:cs="Times New Roman"/>
          <w:sz w:val="20"/>
          <w:szCs w:val="20"/>
          <w:lang w:val="lt-LT" w:eastAsia="lt-LT"/>
        </w:rPr>
        <w:t xml:space="preserve"> juridin</w:t>
      </w:r>
      <w:r>
        <w:rPr>
          <w:rFonts w:ascii="Georgia" w:eastAsia="Times New Roman" w:hAnsi="Georgia" w:cs="Times New Roman"/>
          <w:sz w:val="20"/>
          <w:szCs w:val="20"/>
          <w:lang w:val="lt-LT" w:eastAsia="lt-LT"/>
        </w:rPr>
        <w:t>į</w:t>
      </w:r>
      <w:r w:rsidRPr="00EE477F">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statusą (pvz. </w:t>
      </w:r>
      <w:r w:rsidRPr="00EE477F">
        <w:rPr>
          <w:rFonts w:ascii="Georgia" w:eastAsia="Times New Roman" w:hAnsi="Georgia" w:cs="Times New Roman"/>
          <w:sz w:val="20"/>
          <w:szCs w:val="20"/>
          <w:lang w:val="lt-LT" w:eastAsia="lt-LT"/>
        </w:rPr>
        <w:t xml:space="preserve"> </w:t>
      </w:r>
      <w:r w:rsidRPr="00765F40">
        <w:rPr>
          <w:rFonts w:ascii="Georgia" w:eastAsia="Times New Roman" w:hAnsi="Georgia" w:cs="Times New Roman"/>
          <w:sz w:val="20"/>
          <w:szCs w:val="20"/>
          <w:lang w:val="lt-LT" w:eastAsia="lt-LT"/>
        </w:rPr>
        <w:t>komanditinės ūkinės bendrijos form</w:t>
      </w:r>
      <w:r>
        <w:rPr>
          <w:rFonts w:ascii="Georgia" w:eastAsia="Times New Roman" w:hAnsi="Georgia" w:cs="Times New Roman"/>
          <w:sz w:val="20"/>
          <w:szCs w:val="20"/>
          <w:lang w:val="lt-LT" w:eastAsia="lt-LT"/>
        </w:rPr>
        <w:t>a) arba ne</w:t>
      </w:r>
      <w:r w:rsidRPr="00765F40">
        <w:rPr>
          <w:rFonts w:ascii="Georgia" w:eastAsia="Times New Roman" w:hAnsi="Georgia" w:cs="Times New Roman"/>
          <w:sz w:val="20"/>
          <w:szCs w:val="20"/>
          <w:lang w:val="lt-LT" w:eastAsia="lt-LT"/>
        </w:rPr>
        <w:t xml:space="preserve">. </w:t>
      </w:r>
    </w:p>
    <w:p w14:paraId="0CC9C71D" w14:textId="77777777" w:rsidR="0006117A" w:rsidRPr="00DC0038" w:rsidRDefault="0006117A" w:rsidP="0006117A">
      <w:pPr>
        <w:jc w:val="both"/>
        <w:rPr>
          <w:rFonts w:ascii="Georgia" w:eastAsia="Times New Roman" w:hAnsi="Georgia" w:cs="Times New Roman"/>
          <w:sz w:val="20"/>
          <w:szCs w:val="20"/>
          <w:lang w:val="lt-LT" w:eastAsia="lt-LT"/>
        </w:rPr>
      </w:pPr>
      <w:r w:rsidRPr="00DC0038">
        <w:rPr>
          <w:rFonts w:ascii="Georgia" w:eastAsia="Times New Roman" w:hAnsi="Georgia" w:cs="Times New Roman"/>
          <w:sz w:val="20"/>
          <w:szCs w:val="20"/>
          <w:lang w:val="lt-LT" w:eastAsia="lt-LT"/>
        </w:rPr>
        <w:object w:dxaOrig="23340" w:dyaOrig="8910" w14:anchorId="267D7194">
          <v:shape id="_x0000_i1030" type="#_x0000_t75" style="width:446.95pt;height:172.85pt" o:ole="">
            <v:imagedata r:id="rId80" o:title=""/>
          </v:shape>
          <o:OLEObject Type="Embed" ProgID="Visio.Drawing.15" ShapeID="_x0000_i1030" DrawAspect="Content" ObjectID="_1636202884" r:id="rId81"/>
        </w:object>
      </w:r>
    </w:p>
    <w:p w14:paraId="33E84C99" w14:textId="5B2A9A88" w:rsidR="0006117A" w:rsidRPr="001251A5" w:rsidRDefault="0006117A" w:rsidP="0006117A">
      <w:pPr>
        <w:pStyle w:val="Antrat"/>
        <w:rPr>
          <w:rFonts w:eastAsia="Times New Roman"/>
          <w:szCs w:val="20"/>
          <w:lang w:val="lt-LT" w:eastAsia="lt-LT"/>
        </w:rPr>
      </w:pPr>
      <w:bookmarkStart w:id="456" w:name="_Toc417378348"/>
      <w:bookmarkStart w:id="457" w:name="_Toc507939301"/>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9652A6">
        <w:rPr>
          <w:noProof/>
          <w:lang w:val="lt-LT"/>
        </w:rPr>
        <w:t>42</w:t>
      </w:r>
      <w:r w:rsidRPr="001251A5">
        <w:rPr>
          <w:lang w:val="lt-LT"/>
        </w:rPr>
        <w:fldChar w:fldCharType="end"/>
      </w:r>
      <w:r w:rsidRPr="001251A5">
        <w:rPr>
          <w:lang w:val="lt-LT"/>
        </w:rPr>
        <w:t>.</w:t>
      </w:r>
      <w:r w:rsidRPr="001251A5">
        <w:rPr>
          <w:rFonts w:eastAsia="Times New Roman"/>
          <w:szCs w:val="20"/>
          <w:lang w:val="lt-LT" w:eastAsia="lt-LT"/>
        </w:rPr>
        <w:t xml:space="preserve"> Juridinio asmens statusą turinčio fondo steigimas Lietuvoje</w:t>
      </w:r>
      <w:bookmarkEnd w:id="456"/>
      <w:bookmarkEnd w:id="457"/>
    </w:p>
    <w:p w14:paraId="71CF51BC" w14:textId="331FDEA2" w:rsidR="0006117A" w:rsidRPr="00313A41"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Aplinkos</w:t>
      </w:r>
      <w:r w:rsidRPr="00765F40">
        <w:rPr>
          <w:rFonts w:ascii="Georgia" w:eastAsia="Times New Roman" w:hAnsi="Georgia" w:cs="Times New Roman"/>
          <w:sz w:val="20"/>
          <w:szCs w:val="20"/>
          <w:lang w:val="lt-LT" w:eastAsia="lt-LT"/>
        </w:rPr>
        <w:t xml:space="preserve"> ir Finansų ministerijos vykdo fondo valdytojo atranką, su kuriuo yra pasirašoma trišalė finansavimo sutartis</w:t>
      </w:r>
      <w:r w:rsidR="004A37BC">
        <w:rPr>
          <w:rFonts w:ascii="Georgia" w:eastAsia="Times New Roman" w:hAnsi="Georgia" w:cs="Times New Roman"/>
          <w:sz w:val="20"/>
          <w:szCs w:val="20"/>
          <w:lang w:val="lt-LT" w:eastAsia="lt-LT"/>
        </w:rPr>
        <w:t>.</w:t>
      </w:r>
      <w:r w:rsidR="004A37BC" w:rsidRPr="005D745D">
        <w:rPr>
          <w:rFonts w:ascii="Georgia" w:eastAsia="Times New Roman" w:hAnsi="Georgia" w:cs="Times New Roman"/>
          <w:sz w:val="20"/>
          <w:szCs w:val="20"/>
          <w:lang w:val="lt-LT" w:eastAsia="lt-LT"/>
        </w:rPr>
        <w:t xml:space="preserve"> Fondas yra valdomas fondo valdytojo</w:t>
      </w:r>
      <w:r w:rsidR="00704C3B" w:rsidRPr="005D745D">
        <w:rPr>
          <w:rFonts w:ascii="Georgia" w:eastAsia="Times New Roman" w:hAnsi="Georgia" w:cs="Times New Roman"/>
          <w:sz w:val="20"/>
          <w:szCs w:val="20"/>
          <w:lang w:val="lt-LT" w:eastAsia="lt-LT"/>
        </w:rPr>
        <w:t>, o fondo įgyvendinimą prižiūri</w:t>
      </w:r>
      <w:r w:rsidR="005D745D">
        <w:rPr>
          <w:rFonts w:ascii="Georgia" w:eastAsia="Times New Roman" w:hAnsi="Georgia" w:cs="Times New Roman"/>
          <w:sz w:val="20"/>
          <w:szCs w:val="20"/>
          <w:lang w:val="lt-LT" w:eastAsia="lt-LT"/>
        </w:rPr>
        <w:t xml:space="preserve"> </w:t>
      </w:r>
      <w:r w:rsidR="004A37BC" w:rsidRPr="00DC1B54">
        <w:rPr>
          <w:rFonts w:ascii="Georgia" w:eastAsia="Times New Roman" w:hAnsi="Georgia" w:cs="Times New Roman"/>
          <w:sz w:val="20"/>
          <w:szCs w:val="20"/>
          <w:lang w:val="lt-LT" w:eastAsia="lt-LT"/>
        </w:rPr>
        <w:t>priežiūros komitetas</w:t>
      </w:r>
      <w:r w:rsidRPr="00765F40">
        <w:rPr>
          <w:rFonts w:ascii="Georgia" w:eastAsia="Times New Roman" w:hAnsi="Georgia" w:cs="Times New Roman"/>
          <w:sz w:val="20"/>
          <w:szCs w:val="20"/>
          <w:lang w:val="lt-LT" w:eastAsia="lt-LT"/>
        </w:rPr>
        <w:t xml:space="preserve">. </w:t>
      </w:r>
      <w:r w:rsidRPr="001251A5">
        <w:rPr>
          <w:rFonts w:ascii="Georgia" w:hAnsi="Georgia"/>
          <w:sz w:val="20"/>
          <w:szCs w:val="20"/>
          <w:lang w:val="lt-LT"/>
        </w:rPr>
        <w:t>Fondų fondas įsteigiamas kaip juridinio asmens statusą turintis subjektas</w:t>
      </w:r>
      <w:r>
        <w:rPr>
          <w:rFonts w:ascii="Georgia" w:hAnsi="Georgia"/>
          <w:sz w:val="20"/>
          <w:szCs w:val="20"/>
          <w:lang w:val="lt-LT"/>
        </w:rPr>
        <w:t xml:space="preserve"> arba kaip atskiras apskaitos vienetas finansų įstaigoje</w:t>
      </w:r>
      <w:r w:rsidRPr="001251A5">
        <w:rPr>
          <w:rFonts w:ascii="Georgia" w:hAnsi="Georgia"/>
          <w:sz w:val="20"/>
          <w:szCs w:val="20"/>
          <w:lang w:val="lt-LT"/>
        </w:rPr>
        <w:t xml:space="preserve">. </w:t>
      </w:r>
      <w:r w:rsidRPr="00776D82">
        <w:rPr>
          <w:rFonts w:ascii="Georgia" w:hAnsi="Georgia"/>
          <w:sz w:val="20"/>
          <w:szCs w:val="20"/>
          <w:lang w:val="lt-LT"/>
        </w:rPr>
        <w:t>Fondų fondas įsteigiamas siekiant asimetrinio rizikos pasidalijimo modelio pagrindu pritraukti privačias lėšas. Pažymėtina, jog toks modelis gali būti taikomas ne tik fondo sukūrimo pradžioje, bet ir tada kai jau susiformuoja tam tikras projektų srautas.</w:t>
      </w:r>
      <w:r>
        <w:rPr>
          <w:rFonts w:ascii="Georgia" w:hAnsi="Georgia"/>
          <w:sz w:val="20"/>
          <w:szCs w:val="20"/>
          <w:lang w:val="lt-LT"/>
        </w:rPr>
        <w:t xml:space="preserve"> Fondo veiklas</w:t>
      </w:r>
      <w:r w:rsidRPr="001251A5">
        <w:rPr>
          <w:rFonts w:ascii="Georgia" w:hAnsi="Georgia"/>
          <w:sz w:val="20"/>
          <w:szCs w:val="20"/>
          <w:lang w:val="lt-LT"/>
        </w:rPr>
        <w:t xml:space="preserve"> jis gali įgyvendinti tiesiogiai arba per finansinius tarpininkus. Vadovaujančioji institucija gali investuoti į tokį juridinį asmenį arba užduotis pavesti vykdyti kitoms institucijoms, kaip apibrėžta Bendrųjų nuostatų reglamento 38.4 punkte. </w:t>
      </w:r>
    </w:p>
    <w:p w14:paraId="397F966E"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Pagrindinis šio modelio trūkumas lyginant su šio modelio taikymu daugiabučių namų finansavimo atveju, kad nėra energetinio efektyvumo savivaldybių valdomų pastatų projektų įgyvendinimo patirties, o privatūs investuotojai nėra linkę pasitikėti savivaldybėmis. Sukūrus pirmojo praradimo kapitalo fondą, didelė rizika, kad kol neatsiras sėkmingai įgyvendintų projektų pavyzdžių komerciniai bankai ir kiti potencialūs investuotojai neinvestuotų į tokį fondą. Lyginant su daugiabučių namų renovacijos modeliu, komerciniai bankai jau dalyvauja kaip finansiniai tarpininkai, kiti bankai analizuoja ir stebi šios rinkos pokyčius, todėl turi būti identifikuojamos aiškios galimybės investuotojų pritraukimui.</w:t>
      </w:r>
    </w:p>
    <w:p w14:paraId="6EBABA9F" w14:textId="5E49C4D1" w:rsidR="0006117A" w:rsidRPr="008377C9" w:rsidRDefault="0006117A" w:rsidP="0006117A">
      <w:pPr>
        <w:pStyle w:val="Antrat"/>
        <w:rPr>
          <w:rFonts w:eastAsia="Times New Roman"/>
          <w:b w:val="0"/>
          <w:i/>
          <w:szCs w:val="20"/>
          <w:lang w:val="lt-LT" w:eastAsia="lt-LT"/>
        </w:rPr>
      </w:pPr>
      <w:bookmarkStart w:id="458" w:name="_Toc459646520"/>
      <w:bookmarkStart w:id="459" w:name="_Toc507939232"/>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110</w:t>
      </w:r>
      <w:r w:rsidRPr="008377C9">
        <w:rPr>
          <w:b w:val="0"/>
          <w:i/>
          <w:lang w:val="lt-LT"/>
        </w:rPr>
        <w:fldChar w:fldCharType="end"/>
      </w:r>
      <w:r w:rsidRPr="008377C9">
        <w:rPr>
          <w:b w:val="0"/>
          <w:i/>
          <w:lang w:val="lt-LT"/>
        </w:rPr>
        <w:t>. Antrosios fondo kūrimo alternatyvos savivaldybių viešiesiems pastatams modernizuoti privalumų ir trūkumų palyginimas</w:t>
      </w:r>
      <w:bookmarkEnd w:id="458"/>
      <w:bookmarkEnd w:id="459"/>
    </w:p>
    <w:tbl>
      <w:tblPr>
        <w:tblStyle w:val="Spalvotassraas2parykinimas"/>
        <w:tblW w:w="0" w:type="auto"/>
        <w:tblLook w:val="04A0" w:firstRow="1" w:lastRow="0" w:firstColumn="1" w:lastColumn="0" w:noHBand="0" w:noVBand="1"/>
      </w:tblPr>
      <w:tblGrid>
        <w:gridCol w:w="4615"/>
        <w:gridCol w:w="4628"/>
      </w:tblGrid>
      <w:tr w:rsidR="0006117A" w:rsidRPr="002878F6" w14:paraId="4F1F0237"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Borders>
              <w:top w:val="nil"/>
              <w:left w:val="nil"/>
              <w:right w:val="nil"/>
            </w:tcBorders>
            <w:hideMark/>
          </w:tcPr>
          <w:p w14:paraId="0C965C9A" w14:textId="77777777" w:rsidR="0006117A" w:rsidRPr="002878F6" w:rsidRDefault="0006117A" w:rsidP="007E38FC">
            <w:pPr>
              <w:jc w:val="center"/>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Privalumai</w:t>
            </w:r>
          </w:p>
        </w:tc>
        <w:tc>
          <w:tcPr>
            <w:tcW w:w="4628" w:type="dxa"/>
            <w:tcBorders>
              <w:top w:val="nil"/>
              <w:left w:val="nil"/>
              <w:right w:val="nil"/>
            </w:tcBorders>
            <w:hideMark/>
          </w:tcPr>
          <w:p w14:paraId="7F6B36B7" w14:textId="77777777" w:rsidR="0006117A" w:rsidRPr="002878F6" w:rsidRDefault="0006117A" w:rsidP="007E38FC">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Trūkumai</w:t>
            </w:r>
          </w:p>
        </w:tc>
      </w:tr>
      <w:tr w:rsidR="0006117A" w:rsidRPr="002878F6" w14:paraId="64F7C004"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hideMark/>
          </w:tcPr>
          <w:p w14:paraId="73A4DC02" w14:textId="77777777" w:rsidR="0006117A" w:rsidRDefault="0006117A" w:rsidP="007E38FC">
            <w:pPr>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 xml:space="preserve">1. </w:t>
            </w:r>
            <w:r w:rsidRPr="002878F6">
              <w:rPr>
                <w:rFonts w:ascii="Georgia" w:eastAsia="Times New Roman" w:hAnsi="Georgia" w:cs="Times New Roman"/>
                <w:b w:val="0"/>
                <w:sz w:val="20"/>
                <w:szCs w:val="20"/>
                <w:lang w:val="lt-LT" w:eastAsia="lt-LT"/>
              </w:rPr>
              <w:t>Sudaromos galimybės pritraukti papildomas investuotojų lėšas</w:t>
            </w:r>
          </w:p>
          <w:p w14:paraId="16992560" w14:textId="77777777" w:rsidR="0006117A" w:rsidRPr="002878F6" w:rsidRDefault="0006117A" w:rsidP="007E38FC">
            <w:pPr>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2. Pasiekiamas vienas didžiausių projektų įgyvendinimo multiplikatorių.</w:t>
            </w:r>
          </w:p>
        </w:tc>
        <w:tc>
          <w:tcPr>
            <w:tcW w:w="4628" w:type="dxa"/>
          </w:tcPr>
          <w:p w14:paraId="0C3B960A" w14:textId="77777777" w:rsidR="0006117A" w:rsidRPr="002878F6" w:rsidRDefault="0006117A" w:rsidP="007E38FC">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1. Finansinių tarpininkų atrinkimui galio</w:t>
            </w:r>
            <w:r>
              <w:rPr>
                <w:rFonts w:ascii="Georgia" w:hAnsi="Georgia"/>
                <w:sz w:val="20"/>
                <w:szCs w:val="20"/>
                <w:lang w:val="lt-LT"/>
              </w:rPr>
              <w:t>ja</w:t>
            </w:r>
            <w:r w:rsidRPr="001251A5">
              <w:rPr>
                <w:rFonts w:ascii="Georgia" w:hAnsi="Georgia"/>
                <w:sz w:val="20"/>
                <w:szCs w:val="20"/>
                <w:lang w:val="lt-LT"/>
              </w:rPr>
              <w:t xml:space="preserve"> Viešųjų pirkimų įstatymo nuostatos, todėl tai apsunkin</w:t>
            </w:r>
            <w:r>
              <w:rPr>
                <w:rFonts w:ascii="Georgia" w:hAnsi="Georgia"/>
                <w:sz w:val="20"/>
                <w:szCs w:val="20"/>
                <w:lang w:val="lt-LT"/>
              </w:rPr>
              <w:t>a</w:t>
            </w:r>
            <w:r w:rsidRPr="001251A5">
              <w:rPr>
                <w:rFonts w:ascii="Georgia" w:hAnsi="Georgia"/>
                <w:sz w:val="20"/>
                <w:szCs w:val="20"/>
                <w:lang w:val="lt-LT"/>
              </w:rPr>
              <w:t xml:space="preserve"> ir gali užtęsti jų atranką.</w:t>
            </w:r>
          </w:p>
        </w:tc>
      </w:tr>
      <w:tr w:rsidR="0006117A" w:rsidRPr="002878F6" w14:paraId="2BC7E980" w14:textId="77777777" w:rsidTr="007E38FC">
        <w:tc>
          <w:tcPr>
            <w:cnfStyle w:val="001000000000" w:firstRow="0" w:lastRow="0" w:firstColumn="1" w:lastColumn="0" w:oddVBand="0" w:evenVBand="0" w:oddHBand="0" w:evenHBand="0" w:firstRowFirstColumn="0" w:firstRowLastColumn="0" w:lastRowFirstColumn="0" w:lastRowLastColumn="0"/>
            <w:tcW w:w="4615" w:type="dxa"/>
          </w:tcPr>
          <w:p w14:paraId="0F8E571C" w14:textId="77777777" w:rsidR="0006117A" w:rsidRPr="002878F6" w:rsidRDefault="0006117A" w:rsidP="007E38FC">
            <w:pPr>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3. Finansinės priemonės sukūrimas paspartina patirties, kredito istorijos atsiradimą</w:t>
            </w:r>
          </w:p>
        </w:tc>
        <w:tc>
          <w:tcPr>
            <w:tcW w:w="4628" w:type="dxa"/>
          </w:tcPr>
          <w:p w14:paraId="62B09819" w14:textId="68ACB66E" w:rsidR="0006117A" w:rsidRPr="00F83C7F" w:rsidRDefault="0006117A" w:rsidP="004A37BC">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F83C7F">
              <w:rPr>
                <w:rFonts w:ascii="Georgia" w:hAnsi="Georgia"/>
                <w:sz w:val="20"/>
                <w:szCs w:val="20"/>
                <w:lang w:val="lt-LT"/>
              </w:rPr>
              <w:t xml:space="preserve">2. Patirties įgyvendinant tokius projektus stoka ir </w:t>
            </w:r>
            <w:r w:rsidR="004A37BC">
              <w:rPr>
                <w:rFonts w:ascii="Georgia" w:hAnsi="Georgia"/>
                <w:sz w:val="20"/>
                <w:szCs w:val="20"/>
                <w:lang w:val="lt-LT"/>
              </w:rPr>
              <w:t xml:space="preserve">nepankankamas </w:t>
            </w:r>
            <w:r w:rsidRPr="00F83C7F">
              <w:rPr>
                <w:rFonts w:ascii="Georgia" w:hAnsi="Georgia"/>
                <w:sz w:val="20"/>
                <w:szCs w:val="20"/>
                <w:lang w:val="lt-LT"/>
              </w:rPr>
              <w:t>pasitikėjimas savivaldybėmis</w:t>
            </w:r>
            <w:r w:rsidR="004A37BC">
              <w:rPr>
                <w:rFonts w:ascii="Georgia" w:hAnsi="Georgia"/>
                <w:sz w:val="20"/>
                <w:szCs w:val="20"/>
                <w:lang w:val="lt-LT"/>
              </w:rPr>
              <w:t>, kurių finansinė padėtis prastesnė,</w:t>
            </w:r>
            <w:r w:rsidRPr="00F83C7F">
              <w:rPr>
                <w:rFonts w:ascii="Georgia" w:hAnsi="Georgia"/>
                <w:sz w:val="20"/>
                <w:szCs w:val="20"/>
                <w:lang w:val="lt-LT"/>
              </w:rPr>
              <w:t xml:space="preserve"> mažina privačių investuotojų norą prisidėti savo lėšomis </w:t>
            </w:r>
          </w:p>
        </w:tc>
      </w:tr>
      <w:tr w:rsidR="0006117A" w:rsidRPr="002878F6" w14:paraId="489772B7"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2F5594FD" w14:textId="77777777" w:rsidR="0006117A" w:rsidRPr="002878F6" w:rsidRDefault="0006117A" w:rsidP="007E38FC">
            <w:pPr>
              <w:jc w:val="both"/>
              <w:rPr>
                <w:rFonts w:ascii="Georgia" w:eastAsia="Times New Roman" w:hAnsi="Georgia" w:cs="Times New Roman"/>
                <w:b w:val="0"/>
                <w:sz w:val="20"/>
                <w:szCs w:val="20"/>
                <w:lang w:val="lt-LT" w:eastAsia="lt-LT"/>
              </w:rPr>
            </w:pPr>
          </w:p>
        </w:tc>
        <w:tc>
          <w:tcPr>
            <w:tcW w:w="4628" w:type="dxa"/>
          </w:tcPr>
          <w:p w14:paraId="01417E50" w14:textId="77777777" w:rsidR="0006117A" w:rsidRPr="00F83C7F" w:rsidRDefault="0006117A" w:rsidP="00F91954">
            <w:pPr>
              <w:pStyle w:val="Sraopastraipa"/>
              <w:ind w:left="0" w:firstLine="63"/>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2A2E90">
              <w:rPr>
                <w:rFonts w:ascii="Georgia" w:hAnsi="Georgia"/>
                <w:sz w:val="20"/>
                <w:szCs w:val="20"/>
                <w:lang w:val="lt-LT"/>
              </w:rPr>
              <w:t>3. Rizika, jog pritraukus papildom</w:t>
            </w:r>
            <w:r w:rsidRPr="00F83C7F">
              <w:rPr>
                <w:rFonts w:ascii="Georgia" w:hAnsi="Georgia"/>
                <w:sz w:val="20"/>
                <w:szCs w:val="20"/>
                <w:lang w:val="lt-LT"/>
              </w:rPr>
              <w:t>ų privačių investuotojų pastarieji gali siekti dalyvauti fondo valdyme ir priiminėti sprendimus, kurie prieštarauja vadovaujančiosios institucijos ir Aplinkos ministerijos tikslams.</w:t>
            </w:r>
          </w:p>
        </w:tc>
      </w:tr>
    </w:tbl>
    <w:p w14:paraId="7518C466" w14:textId="77777777" w:rsidR="0006117A" w:rsidRDefault="0006117A" w:rsidP="0006117A">
      <w:pPr>
        <w:jc w:val="both"/>
        <w:rPr>
          <w:rFonts w:ascii="Georgia" w:eastAsia="Times New Roman" w:hAnsi="Georgia" w:cs="Times New Roman"/>
          <w:sz w:val="20"/>
          <w:szCs w:val="20"/>
          <w:lang w:val="lt-LT" w:eastAsia="lt-LT"/>
        </w:rPr>
      </w:pPr>
    </w:p>
    <w:p w14:paraId="52337444" w14:textId="77777777" w:rsidR="0006117A" w:rsidRDefault="0006117A" w:rsidP="0006117A">
      <w:pPr>
        <w:jc w:val="both"/>
        <w:rPr>
          <w:rFonts w:ascii="Georgia" w:eastAsia="Times New Roman" w:hAnsi="Georgia" w:cs="Times New Roman"/>
          <w:sz w:val="20"/>
          <w:szCs w:val="20"/>
          <w:lang w:val="lt-LT" w:eastAsia="lt-LT"/>
        </w:rPr>
      </w:pPr>
    </w:p>
    <w:p w14:paraId="1B002E3F" w14:textId="77777777" w:rsidR="0006117A" w:rsidRPr="003351A4" w:rsidRDefault="0006117A" w:rsidP="0006117A">
      <w:pPr>
        <w:pStyle w:val="Antrat2"/>
        <w:spacing w:after="240"/>
        <w:rPr>
          <w:lang w:val="lt-LT"/>
        </w:rPr>
      </w:pPr>
      <w:bookmarkStart w:id="460" w:name="_Toc417378463"/>
      <w:bookmarkStart w:id="461" w:name="_Toc25589994"/>
      <w:r>
        <w:rPr>
          <w:lang w:val="lt-LT"/>
        </w:rPr>
        <w:t>7.3.4.3. Finansinės priemonės</w:t>
      </w:r>
      <w:r w:rsidRPr="006B0B34">
        <w:rPr>
          <w:lang w:val="lt-LT"/>
        </w:rPr>
        <w:t xml:space="preserve"> ir investicinio fondo steigimas</w:t>
      </w:r>
      <w:bookmarkEnd w:id="460"/>
      <w:bookmarkEnd w:id="461"/>
    </w:p>
    <w:p w14:paraId="70FADCAF" w14:textId="77777777" w:rsidR="0006117A" w:rsidRDefault="0006117A" w:rsidP="0006117A">
      <w:pPr>
        <w:jc w:val="both"/>
        <w:rPr>
          <w:rFonts w:ascii="Georgia" w:eastAsia="Times New Roman" w:hAnsi="Georgia" w:cs="Times New Roman"/>
          <w:sz w:val="20"/>
          <w:szCs w:val="20"/>
          <w:lang w:val="lt-LT" w:eastAsia="lt-LT"/>
        </w:rPr>
      </w:pPr>
      <w:r w:rsidRPr="00760316">
        <w:rPr>
          <w:rFonts w:ascii="Georgia" w:hAnsi="Georgia"/>
          <w:sz w:val="20"/>
          <w:szCs w:val="20"/>
          <w:lang w:val="lt-LT"/>
        </w:rPr>
        <w:t xml:space="preserve">Šioje </w:t>
      </w:r>
      <w:r>
        <w:rPr>
          <w:rFonts w:ascii="Georgia" w:hAnsi="Georgia"/>
          <w:sz w:val="20"/>
          <w:szCs w:val="20"/>
          <w:lang w:val="lt-LT"/>
        </w:rPr>
        <w:t xml:space="preserve"> alternatyvoje aprašytas finansinės priemonės (arba fondų fondo) sukūrimas. Finansinės priemonės sukūrimas gali būti traktuojamas ir kaip finansinės priemonės įgyvendinimas kito (jau sukurto) fondų fondo apimtyje.</w:t>
      </w:r>
    </w:p>
    <w:p w14:paraId="62F10F72" w14:textId="44DF8209" w:rsidR="0006117A" w:rsidRPr="00501DF9" w:rsidRDefault="0006117A" w:rsidP="0006117A">
      <w:pPr>
        <w:jc w:val="both"/>
        <w:rPr>
          <w:rFonts w:ascii="Georgia" w:eastAsia="Times New Roman" w:hAnsi="Georgia" w:cs="Times New Roman"/>
          <w:sz w:val="20"/>
          <w:szCs w:val="20"/>
          <w:lang w:val="lt-LT" w:eastAsia="lt-LT"/>
        </w:rPr>
      </w:pPr>
      <w:r w:rsidRPr="00501DF9">
        <w:rPr>
          <w:rFonts w:ascii="Georgia" w:eastAsia="Times New Roman" w:hAnsi="Georgia" w:cs="Times New Roman"/>
          <w:sz w:val="20"/>
          <w:szCs w:val="20"/>
          <w:lang w:val="lt-LT" w:eastAsia="lt-LT"/>
        </w:rPr>
        <w:t xml:space="preserve">Šios alternatyvos įgyvendinimo atveju Finansų ministerija kaip vadovaujančioji institucija kartu su </w:t>
      </w:r>
      <w:r>
        <w:rPr>
          <w:rFonts w:ascii="Georgia" w:eastAsia="Times New Roman" w:hAnsi="Georgia" w:cs="Times New Roman"/>
          <w:sz w:val="20"/>
          <w:szCs w:val="20"/>
          <w:lang w:val="lt-LT" w:eastAsia="lt-LT"/>
        </w:rPr>
        <w:t>Aplinkos</w:t>
      </w:r>
      <w:r w:rsidRPr="00501DF9">
        <w:rPr>
          <w:rFonts w:ascii="Georgia" w:eastAsia="Times New Roman" w:hAnsi="Georgia" w:cs="Times New Roman"/>
          <w:sz w:val="20"/>
          <w:szCs w:val="20"/>
          <w:lang w:val="lt-LT" w:eastAsia="lt-LT"/>
        </w:rPr>
        <w:t xml:space="preserve"> ministerija priimtų sprendimą </w:t>
      </w:r>
      <w:r>
        <w:rPr>
          <w:rFonts w:ascii="Georgia" w:eastAsia="Times New Roman" w:hAnsi="Georgia" w:cs="Times New Roman"/>
          <w:sz w:val="20"/>
          <w:szCs w:val="20"/>
          <w:lang w:val="lt-LT" w:eastAsia="lt-LT"/>
        </w:rPr>
        <w:t xml:space="preserve">steigti finansinę priemonę arba </w:t>
      </w:r>
      <w:r w:rsidRPr="00501DF9">
        <w:rPr>
          <w:rFonts w:ascii="Georgia" w:eastAsia="Times New Roman" w:hAnsi="Georgia" w:cs="Times New Roman"/>
          <w:sz w:val="20"/>
          <w:szCs w:val="20"/>
          <w:lang w:val="lt-LT" w:eastAsia="lt-LT"/>
        </w:rPr>
        <w:t>fondų fondą</w:t>
      </w:r>
      <w:r>
        <w:rPr>
          <w:rFonts w:ascii="Georgia" w:eastAsia="Times New Roman" w:hAnsi="Georgia" w:cs="Times New Roman"/>
          <w:sz w:val="20"/>
          <w:szCs w:val="20"/>
          <w:lang w:val="lt-LT" w:eastAsia="lt-LT"/>
        </w:rPr>
        <w:t xml:space="preserve"> (arba įgyvendinti finansinę priemonę kito fondų fondo apimtyje)</w:t>
      </w:r>
      <w:r w:rsidRPr="00501DF9">
        <w:rPr>
          <w:rFonts w:ascii="Georgia" w:eastAsia="Times New Roman" w:hAnsi="Georgia" w:cs="Times New Roman"/>
          <w:sz w:val="20"/>
          <w:szCs w:val="20"/>
          <w:lang w:val="lt-LT" w:eastAsia="lt-LT"/>
        </w:rPr>
        <w:t>, kuris vykdytų numatytą veiklą 201</w:t>
      </w:r>
      <w:r>
        <w:rPr>
          <w:rFonts w:ascii="Georgia" w:eastAsia="Times New Roman" w:hAnsi="Georgia" w:cs="Times New Roman"/>
          <w:sz w:val="20"/>
          <w:szCs w:val="20"/>
          <w:lang w:val="lt-LT" w:eastAsia="lt-LT"/>
        </w:rPr>
        <w:t>7</w:t>
      </w:r>
      <w:r w:rsidRPr="00501DF9">
        <w:rPr>
          <w:rFonts w:ascii="Georgia" w:eastAsia="Times New Roman" w:hAnsi="Georgia" w:cs="Times New Roman"/>
          <w:sz w:val="20"/>
          <w:szCs w:val="20"/>
          <w:lang w:val="lt-LT" w:eastAsia="lt-LT"/>
        </w:rPr>
        <w:t xml:space="preserve"> - 20</w:t>
      </w:r>
      <w:r>
        <w:rPr>
          <w:rFonts w:ascii="Georgia" w:eastAsia="Times New Roman" w:hAnsi="Georgia" w:cs="Times New Roman"/>
          <w:sz w:val="20"/>
          <w:szCs w:val="20"/>
          <w:lang w:val="lt-LT" w:eastAsia="lt-LT"/>
        </w:rPr>
        <w:t>23</w:t>
      </w:r>
      <w:r w:rsidRPr="00501DF9">
        <w:rPr>
          <w:rFonts w:ascii="Georgia" w:eastAsia="Times New Roman" w:hAnsi="Georgia" w:cs="Times New Roman"/>
          <w:sz w:val="20"/>
          <w:szCs w:val="20"/>
          <w:lang w:val="lt-LT" w:eastAsia="lt-LT"/>
        </w:rPr>
        <w:t xml:space="preserve"> m. </w:t>
      </w:r>
      <w:r>
        <w:rPr>
          <w:rFonts w:ascii="Georgia" w:eastAsia="Times New Roman" w:hAnsi="Georgia" w:cs="Times New Roman"/>
          <w:sz w:val="20"/>
          <w:szCs w:val="20"/>
          <w:lang w:val="lt-LT" w:eastAsia="lt-LT"/>
        </w:rPr>
        <w:t>periodu</w:t>
      </w:r>
      <w:r w:rsidRPr="00501DF9">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Finansinė priemonė</w:t>
      </w:r>
      <w:r w:rsidRPr="00501DF9">
        <w:rPr>
          <w:rFonts w:ascii="Georgia" w:eastAsia="Times New Roman" w:hAnsi="Georgia" w:cs="Times New Roman"/>
          <w:sz w:val="20"/>
          <w:szCs w:val="20"/>
          <w:lang w:val="lt-LT" w:eastAsia="lt-LT"/>
        </w:rPr>
        <w:t xml:space="preserve"> veiktų </w:t>
      </w:r>
      <w:r w:rsidR="004A37BC">
        <w:rPr>
          <w:rFonts w:ascii="Georgia" w:eastAsia="Times New Roman" w:hAnsi="Georgia" w:cs="Times New Roman"/>
          <w:sz w:val="20"/>
          <w:szCs w:val="20"/>
          <w:lang w:val="lt-LT" w:eastAsia="lt-LT"/>
        </w:rPr>
        <w:t xml:space="preserve"> kaip atskiras apskaitos vienetas finansų įstaigoje</w:t>
      </w:r>
      <w:r>
        <w:rPr>
          <w:rFonts w:ascii="Georgia" w:eastAsia="Times New Roman" w:hAnsi="Georgia" w:cs="Times New Roman"/>
          <w:sz w:val="20"/>
          <w:szCs w:val="20"/>
          <w:lang w:val="lt-LT" w:eastAsia="lt-LT"/>
        </w:rPr>
        <w:t xml:space="preserve">, o jo valdytojas būtų paskiriamas arba atrenkamas kaip tai numatyta Bendrųjų nuostatų reglamento 38.4 punkte. </w:t>
      </w:r>
    </w:p>
    <w:p w14:paraId="54EA7B94" w14:textId="58075878"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Fondų fondo atveju, fondo valdytojas galėtų atrinkti finansinius tarpininkus, kurie teiktų finansavimą savivaldybių viešųjų pastatų modernizavimo projektams, o finansinės priemonės atveju valdytojas finansavimą galėtų teikti pats. Su atrinktais finansiniais tarpininkais fondo valdytojas pasirašytų sąlygines paskolos sutartis. Finansiniai tarpininkai taip pat gautų nustatytą atlygį už teikiamas finansinio tarpininko paslaugas. Bet kokiu atveju neatrinkus finansinių tarpininkų fondo fondų valdytojui turi būti suteikta galimybė finansinę priemonę įgyvendinti tiesiogiai</w:t>
      </w:r>
      <w:r w:rsidR="0085103A">
        <w:rPr>
          <w:rFonts w:ascii="Georgia" w:eastAsia="Times New Roman" w:hAnsi="Georgia" w:cs="Times New Roman"/>
          <w:sz w:val="20"/>
          <w:szCs w:val="20"/>
          <w:lang w:val="lt-LT" w:eastAsia="lt-LT"/>
        </w:rPr>
        <w:t>.</w:t>
      </w:r>
    </w:p>
    <w:p w14:paraId="4293BD93" w14:textId="4D8C7892"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Investicinis fondas, turintis arba neturintis juridinio asmens statusą, būtų steigiamas Lietuvoje (arba kitoje ES valstybėje).</w:t>
      </w:r>
      <w:r w:rsidR="00591E4C">
        <w:rPr>
          <w:rFonts w:ascii="Georgia" w:eastAsia="Times New Roman" w:hAnsi="Georgia" w:cs="Times New Roman"/>
          <w:sz w:val="20"/>
          <w:szCs w:val="20"/>
          <w:lang w:val="lt-LT" w:eastAsia="lt-LT"/>
        </w:rPr>
        <w:t xml:space="preserve"> Taip pat gali būti svarstoma alternatyva pritraukti jau veikiantį investicinį fondą. Tokio fondo</w:t>
      </w:r>
      <w:r>
        <w:rPr>
          <w:rFonts w:ascii="Georgia" w:eastAsia="Times New Roman" w:hAnsi="Georgia" w:cs="Times New Roman"/>
          <w:sz w:val="20"/>
          <w:szCs w:val="20"/>
          <w:lang w:val="lt-LT" w:eastAsia="lt-LT"/>
        </w:rPr>
        <w:t xml:space="preserve"> veikloje dalyvautų investuotojai ir finansuotojai norintys išpirkti paskolas ir/ar pinigų srautus</w:t>
      </w:r>
      <w:r w:rsidR="0085103A">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xml:space="preserve">  Gautos lėšos galėtų būti panaudojamos grąžinti paskolas anksčiau, todėl finansinės priemonės/fondo valdytojas šias lėšas galėtų panaudoti naujų projektų finansavimui, kas padidintų multiplikatoriaus efektą. Tokio modelio veikimo principas pavaizduotas paveiksle žemiau. </w:t>
      </w:r>
    </w:p>
    <w:p w14:paraId="38DC7DF4" w14:textId="77777777" w:rsidR="0006117A" w:rsidRDefault="0006117A" w:rsidP="0006117A">
      <w:pPr>
        <w:rPr>
          <w:rFonts w:ascii="Georgia" w:eastAsia="Times New Roman" w:hAnsi="Georgia" w:cs="Times New Roman"/>
          <w:sz w:val="20"/>
          <w:szCs w:val="20"/>
          <w:lang w:val="lt-LT" w:eastAsia="lt-LT"/>
        </w:rPr>
      </w:pPr>
    </w:p>
    <w:p w14:paraId="7DD8D367" w14:textId="77777777" w:rsidR="0006117A" w:rsidRDefault="0006117A" w:rsidP="0006117A">
      <w:pPr>
        <w:pStyle w:val="Antrat"/>
        <w:spacing w:line="276" w:lineRule="auto"/>
        <w:rPr>
          <w:rFonts w:eastAsia="Times New Roman"/>
          <w:szCs w:val="20"/>
          <w:lang w:val="lt-LT" w:eastAsia="lt-LT"/>
        </w:rPr>
      </w:pPr>
      <w:r w:rsidRPr="001251A5">
        <w:rPr>
          <w:rFonts w:eastAsia="Times New Roman"/>
          <w:szCs w:val="20"/>
          <w:lang w:val="lt-LT" w:eastAsia="lt-LT"/>
        </w:rPr>
        <w:object w:dxaOrig="15480" w:dyaOrig="11805" w14:anchorId="357AF3A3">
          <v:shape id="_x0000_i1031" type="#_x0000_t75" style="width:453.55pt;height:345.9pt" o:ole="">
            <v:imagedata r:id="rId82" o:title=""/>
          </v:shape>
          <o:OLEObject Type="Embed" ProgID="Visio.Drawing.15" ShapeID="_x0000_i1031" DrawAspect="Content" ObjectID="_1636202885" r:id="rId83"/>
        </w:object>
      </w:r>
    </w:p>
    <w:p w14:paraId="0233077D" w14:textId="692B4429" w:rsidR="0006117A" w:rsidRPr="001251A5" w:rsidRDefault="0006117A" w:rsidP="0006117A">
      <w:pPr>
        <w:pStyle w:val="Antrat"/>
        <w:spacing w:line="276" w:lineRule="auto"/>
        <w:rPr>
          <w:rFonts w:eastAsia="Times New Roman"/>
          <w:szCs w:val="20"/>
          <w:lang w:val="lt-LT" w:eastAsia="lt-LT"/>
        </w:rPr>
      </w:pPr>
      <w:bookmarkStart w:id="462" w:name="_Toc417378349"/>
      <w:bookmarkStart w:id="463" w:name="_Toc507939302"/>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9652A6">
        <w:rPr>
          <w:noProof/>
          <w:lang w:val="lt-LT"/>
        </w:rPr>
        <w:t>43</w:t>
      </w:r>
      <w:r w:rsidRPr="001251A5">
        <w:rPr>
          <w:lang w:val="lt-LT"/>
        </w:rPr>
        <w:fldChar w:fldCharType="end"/>
      </w:r>
      <w:r w:rsidRPr="001251A5">
        <w:rPr>
          <w:lang w:val="lt-LT"/>
        </w:rPr>
        <w:t xml:space="preserve">. </w:t>
      </w:r>
      <w:r w:rsidRPr="001251A5">
        <w:rPr>
          <w:rFonts w:eastAsia="Times New Roman"/>
          <w:szCs w:val="20"/>
          <w:lang w:val="lt-LT" w:eastAsia="lt-LT"/>
        </w:rPr>
        <w:t xml:space="preserve">2014-2020 lėšų investavimas </w:t>
      </w:r>
      <w:r>
        <w:rPr>
          <w:rFonts w:eastAsia="Times New Roman"/>
          <w:szCs w:val="20"/>
          <w:lang w:val="lt-LT" w:eastAsia="lt-LT"/>
        </w:rPr>
        <w:t>į finansinę priemonę</w:t>
      </w:r>
      <w:r w:rsidRPr="001251A5">
        <w:rPr>
          <w:rFonts w:eastAsia="Times New Roman"/>
          <w:szCs w:val="20"/>
          <w:lang w:val="lt-LT" w:eastAsia="lt-LT"/>
        </w:rPr>
        <w:t xml:space="preserve"> (sąskaitų rinkinį finansų įstaigoje) ir investicinio fondo steigimas</w:t>
      </w:r>
      <w:bookmarkEnd w:id="462"/>
      <w:bookmarkEnd w:id="463"/>
    </w:p>
    <w:p w14:paraId="7AB2FDA1"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Pagrindinis alternatyvos  privalumas yra tai, kad finansinė priemonė/fondų fondas gali būti sąlyginai greitai įsteigiamas, todėl gali greitai pradėti veikti, o lygiagrečiai būtų kuriamas investicinis fondas. Investicinis fondas būtų sukurtas poros metų bėgyje, tinkamai suderinant ir įvertinant potencialių investuotojų poreikius ir investavimo galimybes.</w:t>
      </w:r>
    </w:p>
    <w:p w14:paraId="3FB904AC" w14:textId="4FCA31A8" w:rsidR="0047468E"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Pagrindinis šios alternatyvos trūkumas yra tai, kad investuotojai nėra linkę investuoti į savivaldybių projektus, todėl būtų sudėtinga juos pritraukti be energetinio efektyvumo projektų įgyvendinimo patirties Lietuvoje. Be to, savivaldybių viešieji pastatai turi sąlyginai ilgesnį projektų atsipirkimo laikotarpį, todėl yra mažiau patrauklūs investuotojams. </w:t>
      </w:r>
    </w:p>
    <w:p w14:paraId="1ADFE15C" w14:textId="77777777" w:rsidR="0047468E" w:rsidRDefault="0047468E">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br w:type="page"/>
      </w:r>
    </w:p>
    <w:p w14:paraId="120E75CF" w14:textId="77777777" w:rsidR="0006117A" w:rsidRDefault="0006117A" w:rsidP="0006117A">
      <w:pPr>
        <w:jc w:val="both"/>
        <w:rPr>
          <w:rFonts w:ascii="Georgia" w:eastAsia="Times New Roman" w:hAnsi="Georgia" w:cs="Times New Roman"/>
          <w:sz w:val="20"/>
          <w:szCs w:val="20"/>
          <w:lang w:val="lt-LT" w:eastAsia="lt-LT"/>
        </w:rPr>
      </w:pPr>
    </w:p>
    <w:p w14:paraId="37F51CB7" w14:textId="3CC5F0CB" w:rsidR="0006117A" w:rsidRPr="008377C9" w:rsidRDefault="0006117A" w:rsidP="0006117A">
      <w:pPr>
        <w:pStyle w:val="Antrat"/>
        <w:rPr>
          <w:rFonts w:eastAsia="Times New Roman"/>
          <w:b w:val="0"/>
          <w:i/>
          <w:szCs w:val="20"/>
          <w:lang w:val="lt-LT" w:eastAsia="lt-LT"/>
        </w:rPr>
      </w:pPr>
      <w:bookmarkStart w:id="464" w:name="_Toc459646521"/>
      <w:bookmarkStart w:id="465" w:name="_Toc507939233"/>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111</w:t>
      </w:r>
      <w:r w:rsidRPr="008377C9">
        <w:rPr>
          <w:b w:val="0"/>
          <w:i/>
          <w:lang w:val="lt-LT"/>
        </w:rPr>
        <w:fldChar w:fldCharType="end"/>
      </w:r>
      <w:r w:rsidRPr="008377C9">
        <w:rPr>
          <w:b w:val="0"/>
          <w:i/>
          <w:lang w:val="lt-LT"/>
        </w:rPr>
        <w:t>. Trečiosios fondo kūrimo alternatyvos savivaldybių viešiesiems pastatams modernizuoti privalumų ir trūkumų palyginimas</w:t>
      </w:r>
      <w:bookmarkEnd w:id="464"/>
      <w:bookmarkEnd w:id="465"/>
    </w:p>
    <w:tbl>
      <w:tblPr>
        <w:tblStyle w:val="Spalvotassraas2parykinimas"/>
        <w:tblW w:w="0" w:type="auto"/>
        <w:tblLook w:val="04A0" w:firstRow="1" w:lastRow="0" w:firstColumn="1" w:lastColumn="0" w:noHBand="0" w:noVBand="1"/>
      </w:tblPr>
      <w:tblGrid>
        <w:gridCol w:w="4630"/>
        <w:gridCol w:w="4613"/>
      </w:tblGrid>
      <w:tr w:rsidR="0006117A" w14:paraId="7BA38FEE" w14:textId="77777777" w:rsidTr="007E38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30" w:type="dxa"/>
            <w:tcBorders>
              <w:top w:val="nil"/>
              <w:left w:val="nil"/>
              <w:right w:val="nil"/>
            </w:tcBorders>
            <w:hideMark/>
          </w:tcPr>
          <w:p w14:paraId="515B7757" w14:textId="77777777" w:rsidR="0006117A" w:rsidRDefault="0006117A" w:rsidP="007E38FC">
            <w:pPr>
              <w:jc w:val="both"/>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Privalumai</w:t>
            </w:r>
          </w:p>
        </w:tc>
        <w:tc>
          <w:tcPr>
            <w:tcW w:w="4613" w:type="dxa"/>
            <w:tcBorders>
              <w:top w:val="nil"/>
              <w:left w:val="nil"/>
              <w:right w:val="nil"/>
            </w:tcBorders>
            <w:hideMark/>
          </w:tcPr>
          <w:p w14:paraId="3CFE1CCC" w14:textId="77777777" w:rsidR="0006117A" w:rsidRDefault="0006117A" w:rsidP="007E38FC">
            <w:pPr>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Trūkumai</w:t>
            </w:r>
          </w:p>
        </w:tc>
      </w:tr>
      <w:tr w:rsidR="0006117A" w14:paraId="4F7B6585" w14:textId="77777777" w:rsidTr="007E38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4CD584C9" w14:textId="77777777" w:rsidR="0006117A" w:rsidRPr="008945A5" w:rsidRDefault="0006117A" w:rsidP="007E38FC">
            <w:pPr>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1. Paprastas modelis ir pakankamai lanksti valdymo struktūra</w:t>
            </w:r>
            <w:r>
              <w:rPr>
                <w:rFonts w:ascii="Georgia" w:eastAsia="Times New Roman" w:hAnsi="Georgia" w:cs="Times New Roman"/>
                <w:b w:val="0"/>
                <w:sz w:val="20"/>
                <w:szCs w:val="20"/>
                <w:lang w:val="lt-LT" w:eastAsia="lt-LT"/>
              </w:rPr>
              <w:t>.</w:t>
            </w:r>
          </w:p>
        </w:tc>
        <w:tc>
          <w:tcPr>
            <w:tcW w:w="4613" w:type="dxa"/>
            <w:hideMark/>
          </w:tcPr>
          <w:p w14:paraId="3653FF71" w14:textId="77777777" w:rsidR="0006117A" w:rsidRDefault="0006117A" w:rsidP="007E38FC">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1. Finansinių tarpininkų atrinkimui galioja Viešųjų pirkimų įstatymo nuostatos, todėl tai labai apsunkins ir gali užtęsti jų atranką.</w:t>
            </w:r>
          </w:p>
        </w:tc>
      </w:tr>
      <w:tr w:rsidR="0006117A" w14:paraId="5475D5D1" w14:textId="77777777" w:rsidTr="007E38FC">
        <w:trPr>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4BF2867E" w14:textId="77777777" w:rsidR="0006117A" w:rsidRPr="008945A5" w:rsidRDefault="0006117A" w:rsidP="007E38FC">
            <w:pPr>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 xml:space="preserve">2. </w:t>
            </w:r>
            <w:r>
              <w:rPr>
                <w:rFonts w:ascii="Georgia" w:eastAsia="Times New Roman" w:hAnsi="Georgia" w:cs="Times New Roman"/>
                <w:b w:val="0"/>
                <w:sz w:val="20"/>
                <w:szCs w:val="20"/>
                <w:lang w:val="lt-LT" w:eastAsia="lt-LT"/>
              </w:rPr>
              <w:t>Greitas steigimas ir patirties kaupimas steigiant finansinę priemonę.</w:t>
            </w:r>
          </w:p>
        </w:tc>
        <w:tc>
          <w:tcPr>
            <w:tcW w:w="4613" w:type="dxa"/>
            <w:hideMark/>
          </w:tcPr>
          <w:p w14:paraId="321E6E2F" w14:textId="77777777" w:rsidR="0006117A" w:rsidRDefault="0006117A" w:rsidP="007E38FC">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2. Patirties energijos efektyvumo projektų savivaldybių pastatų renovacijos sektoriuje Lietuvoje stoka. </w:t>
            </w:r>
          </w:p>
        </w:tc>
      </w:tr>
      <w:tr w:rsidR="0006117A" w14:paraId="161A0463" w14:textId="77777777" w:rsidTr="007E38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47989D79" w14:textId="77777777" w:rsidR="0006117A" w:rsidRPr="008945A5" w:rsidRDefault="0006117A" w:rsidP="007E38FC">
            <w:pPr>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3.</w:t>
            </w:r>
            <w:r>
              <w:rPr>
                <w:rFonts w:ascii="Georgia" w:eastAsia="Times New Roman" w:hAnsi="Georgia" w:cs="Times New Roman"/>
                <w:b w:val="0"/>
                <w:sz w:val="20"/>
                <w:szCs w:val="20"/>
                <w:lang w:val="lt-LT" w:eastAsia="lt-LT"/>
              </w:rPr>
              <w:t xml:space="preserve"> </w:t>
            </w:r>
            <w:r w:rsidRPr="003351A4">
              <w:rPr>
                <w:rFonts w:ascii="Georgia" w:eastAsia="Times New Roman" w:hAnsi="Georgia" w:cs="Times New Roman"/>
                <w:b w:val="0"/>
                <w:sz w:val="20"/>
                <w:szCs w:val="20"/>
                <w:lang w:val="lt-LT" w:eastAsia="lt-LT"/>
              </w:rPr>
              <w:t>Suteikia galimybę pritraukti privataus sektoriaus lėšas.</w:t>
            </w:r>
          </w:p>
        </w:tc>
        <w:tc>
          <w:tcPr>
            <w:tcW w:w="4613" w:type="dxa"/>
          </w:tcPr>
          <w:p w14:paraId="44DE1009" w14:textId="77777777" w:rsidR="0006117A" w:rsidRDefault="0006117A" w:rsidP="007E38FC">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3. Savivaldybių viešųjų pastatų sąlyginai ilgas projektų atsipirkimo laikotarpis mažina tokių projektų patrauklumą investuotojams.</w:t>
            </w:r>
          </w:p>
        </w:tc>
      </w:tr>
      <w:tr w:rsidR="0006117A" w14:paraId="2F427EBF" w14:textId="77777777" w:rsidTr="007E38FC">
        <w:trPr>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7F26F8A4" w14:textId="77777777" w:rsidR="0006117A" w:rsidRPr="008945A5" w:rsidRDefault="0006117A" w:rsidP="007E38FC">
            <w:pPr>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4. Greitai grįžtančios lėšos į fondą po ateities pinigų srautų išpirkimo</w:t>
            </w:r>
            <w:r>
              <w:rPr>
                <w:rFonts w:ascii="Georgia" w:eastAsia="Times New Roman" w:hAnsi="Georgia" w:cs="Times New Roman"/>
                <w:b w:val="0"/>
                <w:sz w:val="20"/>
                <w:szCs w:val="20"/>
                <w:lang w:val="lt-LT" w:eastAsia="lt-LT"/>
              </w:rPr>
              <w:t>.</w:t>
            </w:r>
            <w:r w:rsidRPr="003351A4" w:rsidDel="00A64039">
              <w:rPr>
                <w:rFonts w:ascii="Georgia" w:eastAsia="Times New Roman" w:hAnsi="Georgia" w:cs="Times New Roman"/>
                <w:b w:val="0"/>
                <w:sz w:val="20"/>
                <w:szCs w:val="20"/>
                <w:lang w:val="lt-LT" w:eastAsia="lt-LT"/>
              </w:rPr>
              <w:t xml:space="preserve"> </w:t>
            </w:r>
          </w:p>
        </w:tc>
        <w:tc>
          <w:tcPr>
            <w:tcW w:w="4613" w:type="dxa"/>
          </w:tcPr>
          <w:p w14:paraId="151DB201" w14:textId="77777777" w:rsidR="0006117A" w:rsidRDefault="0006117A" w:rsidP="007E38FC">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4. Nepasitikėjimas savivaldybių vykdomais projektais, stabdo investuotojų pritraukimą, o kartu ir sumažina galimybes pasiekti geresnius multiplikatoriaus ir sverto rodiklius.</w:t>
            </w:r>
          </w:p>
        </w:tc>
      </w:tr>
    </w:tbl>
    <w:p w14:paraId="25052993" w14:textId="77777777" w:rsidR="0006117A" w:rsidRDefault="0006117A" w:rsidP="0006117A">
      <w:pPr>
        <w:jc w:val="both"/>
        <w:rPr>
          <w:rFonts w:ascii="Georgia" w:eastAsia="Times New Roman" w:hAnsi="Georgia" w:cs="Times New Roman"/>
          <w:sz w:val="20"/>
          <w:szCs w:val="20"/>
          <w:lang w:val="lt-LT" w:eastAsia="lt-LT"/>
        </w:rPr>
      </w:pPr>
    </w:p>
    <w:p w14:paraId="5218AB1E" w14:textId="77777777" w:rsidR="0006117A" w:rsidRPr="003351A4" w:rsidRDefault="0006117A" w:rsidP="0006117A">
      <w:pPr>
        <w:pStyle w:val="Antrat2"/>
        <w:spacing w:after="240"/>
        <w:rPr>
          <w:lang w:val="lt-LT"/>
        </w:rPr>
      </w:pPr>
      <w:bookmarkStart w:id="466" w:name="_Toc417378464"/>
      <w:bookmarkStart w:id="467" w:name="_Toc25589995"/>
      <w:r>
        <w:rPr>
          <w:lang w:val="lt-LT"/>
        </w:rPr>
        <w:t xml:space="preserve">7.3.4.4. </w:t>
      </w:r>
      <w:r w:rsidRPr="003351A4">
        <w:rPr>
          <w:lang w:val="lt-LT"/>
        </w:rPr>
        <w:t>Siūloma įgyvendinti alternatyva</w:t>
      </w:r>
      <w:bookmarkEnd w:id="466"/>
      <w:bookmarkEnd w:id="467"/>
    </w:p>
    <w:p w14:paraId="17697904" w14:textId="7D1BE15A" w:rsidR="0006117A" w:rsidRPr="00100B18" w:rsidRDefault="0006117A" w:rsidP="0006117A">
      <w:pPr>
        <w:jc w:val="both"/>
        <w:rPr>
          <w:lang w:val="lt-LT"/>
        </w:rPr>
      </w:pPr>
      <w:r>
        <w:rPr>
          <w:rFonts w:ascii="Georgia" w:eastAsia="Times New Roman" w:hAnsi="Georgia" w:cs="Times New Roman"/>
          <w:sz w:val="20"/>
          <w:szCs w:val="20"/>
          <w:lang w:val="lt-LT" w:eastAsia="lt-LT"/>
        </w:rPr>
        <w:t>Siūloma įgyvendinti alternatyva savivaldybių viešųjų pastatų modernizavimui remiasi kiekvieno iš aukščiau paminėtų modelių privalumais ir trūkumais, sverto skaičiavimais bei kitomis prielaidomis. Atsižvelgiant į visus šiuos faktorius, o taip pat atsižvelgiant į kiekybinės analizės rezultatus (4.4.</w:t>
      </w:r>
      <w:r w:rsidR="00EC60CE">
        <w:rPr>
          <w:rFonts w:ascii="Georgia" w:eastAsia="Times New Roman" w:hAnsi="Georgia" w:cs="Times New Roman"/>
          <w:sz w:val="20"/>
          <w:szCs w:val="20"/>
          <w:lang w:val="lt-LT" w:eastAsia="lt-LT"/>
        </w:rPr>
        <w:t>3</w:t>
      </w:r>
      <w:r>
        <w:rPr>
          <w:rFonts w:ascii="Georgia" w:eastAsia="Times New Roman" w:hAnsi="Georgia" w:cs="Times New Roman"/>
          <w:sz w:val="20"/>
          <w:szCs w:val="20"/>
          <w:lang w:val="lt-LT" w:eastAsia="lt-LT"/>
        </w:rPr>
        <w:t xml:space="preserve">. skyrius), </w:t>
      </w:r>
      <w:bookmarkStart w:id="468" w:name="_Hlk502238480"/>
      <w:r>
        <w:rPr>
          <w:rFonts w:ascii="Georgia" w:eastAsia="Times New Roman" w:hAnsi="Georgia" w:cs="Times New Roman"/>
          <w:sz w:val="20"/>
          <w:szCs w:val="20"/>
          <w:lang w:val="lt-LT" w:eastAsia="lt-LT"/>
        </w:rPr>
        <w:t xml:space="preserve">rekomenduojama Aplinkos ministerijai ir Finansų ministerijai įgyvendinti finansinę priemonę </w:t>
      </w:r>
      <w:r w:rsidRPr="002A2E90">
        <w:rPr>
          <w:rFonts w:ascii="Georgia" w:hAnsi="Georgia"/>
          <w:b/>
          <w:i/>
          <w:sz w:val="20"/>
          <w:szCs w:val="20"/>
          <w:lang w:val="lt-LT"/>
        </w:rPr>
        <w:t>paskolos</w:t>
      </w:r>
      <w:r>
        <w:rPr>
          <w:rFonts w:ascii="Georgia" w:eastAsia="Times New Roman" w:hAnsi="Georgia" w:cs="Times New Roman"/>
          <w:sz w:val="20"/>
          <w:szCs w:val="20"/>
          <w:lang w:val="lt-LT" w:eastAsia="lt-LT"/>
        </w:rPr>
        <w:t xml:space="preserve"> </w:t>
      </w:r>
      <w:r w:rsidRPr="00DA65C2">
        <w:rPr>
          <w:rFonts w:ascii="Georgia" w:hAnsi="Georgia"/>
          <w:b/>
          <w:i/>
          <w:sz w:val="20"/>
          <w:szCs w:val="20"/>
          <w:lang w:val="lt-LT"/>
        </w:rPr>
        <w:t>finansinę priemonę</w:t>
      </w:r>
      <w:r w:rsidR="00EC60CE">
        <w:rPr>
          <w:rFonts w:ascii="Georgia" w:hAnsi="Georgia"/>
          <w:b/>
          <w:i/>
          <w:sz w:val="20"/>
          <w:szCs w:val="20"/>
          <w:lang w:val="lt-LT"/>
        </w:rPr>
        <w:t xml:space="preserve">, pritraukiančią privačias lėšas panaudojant </w:t>
      </w:r>
      <w:r>
        <w:rPr>
          <w:rFonts w:ascii="Georgia" w:hAnsi="Georgia"/>
          <w:b/>
          <w:i/>
          <w:sz w:val="20"/>
          <w:szCs w:val="20"/>
          <w:lang w:val="lt-LT"/>
        </w:rPr>
        <w:t>asime</w:t>
      </w:r>
      <w:r w:rsidR="00B73C20">
        <w:rPr>
          <w:rFonts w:ascii="Georgia" w:hAnsi="Georgia"/>
          <w:b/>
          <w:i/>
          <w:sz w:val="20"/>
          <w:szCs w:val="20"/>
          <w:lang w:val="lt-LT"/>
        </w:rPr>
        <w:t>trinės rizikos pasidalijimo būdą. I</w:t>
      </w:r>
      <w:r w:rsidRPr="00DA65C2">
        <w:rPr>
          <w:rFonts w:ascii="Georgia" w:hAnsi="Georgia"/>
          <w:b/>
          <w:i/>
          <w:sz w:val="20"/>
          <w:szCs w:val="20"/>
          <w:lang w:val="lt-LT"/>
        </w:rPr>
        <w:t>lguoju laikotarpiu</w:t>
      </w:r>
      <w:r>
        <w:rPr>
          <w:rFonts w:ascii="Georgia" w:hAnsi="Georgia"/>
          <w:b/>
          <w:i/>
          <w:sz w:val="20"/>
          <w:szCs w:val="20"/>
          <w:lang w:val="lt-LT"/>
        </w:rPr>
        <w:t xml:space="preserve"> </w:t>
      </w:r>
      <w:r w:rsidR="00B73C20">
        <w:rPr>
          <w:rFonts w:ascii="Georgia" w:hAnsi="Georgia"/>
          <w:b/>
          <w:i/>
          <w:sz w:val="20"/>
          <w:szCs w:val="20"/>
          <w:lang w:val="lt-LT"/>
        </w:rPr>
        <w:t xml:space="preserve">rekomenduojama svarstyti </w:t>
      </w:r>
      <w:r>
        <w:rPr>
          <w:rFonts w:ascii="Georgia" w:hAnsi="Georgia"/>
          <w:b/>
          <w:i/>
          <w:sz w:val="20"/>
          <w:szCs w:val="20"/>
          <w:lang w:val="lt-LT"/>
        </w:rPr>
        <w:t>galimybę sukurti investicinį fondą išperkantį ateities pinigų srautus ar sudarant sąlygas investuotojams kitais būdais išpirkti paskolas</w:t>
      </w:r>
      <w:r>
        <w:rPr>
          <w:rFonts w:ascii="Georgia" w:eastAsia="Times New Roman" w:hAnsi="Georgia" w:cs="Times New Roman"/>
          <w:sz w:val="20"/>
          <w:szCs w:val="20"/>
          <w:lang w:val="lt-LT" w:eastAsia="lt-LT"/>
        </w:rPr>
        <w:t>.</w:t>
      </w:r>
      <w:bookmarkEnd w:id="468"/>
      <w:r>
        <w:rPr>
          <w:rFonts w:ascii="Georgia" w:eastAsia="Times New Roman" w:hAnsi="Georgia" w:cs="Times New Roman"/>
          <w:sz w:val="20"/>
          <w:szCs w:val="20"/>
          <w:lang w:val="lt-LT" w:eastAsia="lt-LT"/>
        </w:rPr>
        <w:t xml:space="preserve"> </w:t>
      </w:r>
    </w:p>
    <w:p w14:paraId="44543D22" w14:textId="77777777" w:rsidR="0006117A" w:rsidRPr="00176533" w:rsidRDefault="0006117A" w:rsidP="0006117A">
      <w:pPr>
        <w:jc w:val="both"/>
        <w:rPr>
          <w:rFonts w:ascii="Georgia" w:hAnsi="Georgia" w:cs="Arial"/>
          <w:b/>
          <w:color w:val="000000"/>
          <w:sz w:val="20"/>
          <w:szCs w:val="20"/>
          <w:lang w:val="lt-LT"/>
        </w:rPr>
      </w:pPr>
      <w:r>
        <w:rPr>
          <w:rFonts w:ascii="Georgia" w:hAnsi="Georgia" w:cs="Arial"/>
          <w:b/>
          <w:color w:val="000000"/>
          <w:sz w:val="20"/>
          <w:szCs w:val="20"/>
          <w:lang w:val="lt-LT"/>
        </w:rPr>
        <w:t xml:space="preserve">Finansinės priemonės </w:t>
      </w:r>
      <w:r w:rsidRPr="00176533">
        <w:rPr>
          <w:rFonts w:ascii="Georgia" w:hAnsi="Georgia" w:cs="Arial"/>
          <w:b/>
          <w:color w:val="000000"/>
          <w:sz w:val="20"/>
          <w:szCs w:val="20"/>
          <w:lang w:val="lt-LT"/>
        </w:rPr>
        <w:t>valdytojo paskyrimo alternatyvos</w:t>
      </w:r>
    </w:p>
    <w:p w14:paraId="6EBA2168" w14:textId="77777777" w:rsidR="0006117A" w:rsidRDefault="0006117A" w:rsidP="0006117A">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Savivaldybių viešųjų pastatų renovacijos finansinės priemonės valdymo užduotys pagal rekomenduojamą alternatyvą gali būti pavestos įgyvendinti Bendrųjų nuostatų reglamento 38(4) punkte nurodytoms institucijoms.</w:t>
      </w:r>
    </w:p>
    <w:p w14:paraId="75A08DBC" w14:textId="77777777" w:rsidR="0006117A" w:rsidRPr="00AA32EA" w:rsidRDefault="0006117A" w:rsidP="0006117A">
      <w:pPr>
        <w:pStyle w:val="prastasis1"/>
        <w:jc w:val="both"/>
        <w:rPr>
          <w:rFonts w:ascii="Georgia" w:hAnsi="Georgia"/>
          <w:b/>
          <w:sz w:val="20"/>
          <w:szCs w:val="20"/>
        </w:rPr>
      </w:pPr>
      <w:r w:rsidRPr="00AA32EA">
        <w:rPr>
          <w:rFonts w:ascii="Georgia" w:hAnsi="Georgia"/>
          <w:b/>
          <w:sz w:val="20"/>
          <w:szCs w:val="20"/>
        </w:rPr>
        <w:t>Finansinių tarpininkų parinkimas</w:t>
      </w:r>
    </w:p>
    <w:p w14:paraId="2B6A6859" w14:textId="77777777" w:rsidR="0006117A" w:rsidRPr="00A07762" w:rsidRDefault="0006117A" w:rsidP="0006117A">
      <w:pPr>
        <w:jc w:val="both"/>
        <w:rPr>
          <w:rFonts w:ascii="Georgia" w:hAnsi="Georgia"/>
          <w:sz w:val="20"/>
          <w:lang w:val="lt-LT"/>
        </w:rPr>
      </w:pPr>
      <w:r>
        <w:rPr>
          <w:rFonts w:ascii="Georgia" w:hAnsi="Georgia"/>
          <w:sz w:val="20"/>
          <w:lang w:val="lt-LT"/>
        </w:rPr>
        <w:t>Ši dalis taikytina, jeigu bus priimtas sprendimas steigti ne finansinę priemonę, o fondų fondą. Bendrųjų nuostatų reglamento</w:t>
      </w:r>
      <w:r w:rsidRPr="00A07762">
        <w:rPr>
          <w:rFonts w:ascii="Georgia" w:hAnsi="Georgia"/>
          <w:sz w:val="20"/>
          <w:lang w:val="lt-LT"/>
        </w:rPr>
        <w:t xml:space="preserve"> 38 str. 5 dalis numato, kad subjektai, kuriems patikėta įgyvendinti fondų fondą, užduotis gali įgyvendinti patys arba jas patikėti vykdyti finansiniams tarpininkams. Iš to seka išvada, kad Fondo valdytojas (priėmus atitinkamų Fondo organų sprendimus, kaip tai aptarta 4 memorandumo dalyje) galėtų tiesiogiai atrinkinėti finansuojamus projektus, atitinkančius Fondo 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kaip ir kokius projektus Fondo valdytojas galėtų finansuoti, tačiau ES struktūrinių fondų valdymo reguliavime yra akcentuojamas skaidrumas, proporcingumas, nediskriminavimas bei interesų konflikto vengimas. Atsižvelgiant į šiuos principus, galima būtų daryti išvadą, kad tiesiogiai atrenkami projektai neturėtų tiesiogiai konkuruoti su projektais, kurių įgyvendinimui yra atrenkami finansiniai tarpininkai. Fondo valdytojas, kuris nustato projektų finansavimo sąlygas ir kontroliuoja atrinktus finansinius tarpininkus, neturėtų konkuruoti su tokiais finansiniais tarpininkais dėl tų pačių projektų. Jei tiesioginis finansavimas būtų taikomas kitoms finansavimo kryptims ar kitoms užduotims nei užduotys, kurių įgyvendinimui yra atrinkti finansiniai tarpininkai, interesų konfliktas nekiltų. </w:t>
      </w:r>
    </w:p>
    <w:p w14:paraId="2C31EC55" w14:textId="77777777" w:rsidR="0006117A" w:rsidRDefault="0006117A" w:rsidP="0006117A">
      <w:pPr>
        <w:jc w:val="both"/>
        <w:rPr>
          <w:rFonts w:ascii="Georgia" w:hAnsi="Georgia"/>
          <w:sz w:val="20"/>
          <w:lang w:val="lt-LT"/>
        </w:rPr>
      </w:pPr>
      <w:r w:rsidRPr="00A07762">
        <w:rPr>
          <w:rFonts w:ascii="Georgia" w:hAnsi="Georgia"/>
          <w:sz w:val="20"/>
          <w:lang w:val="lt-LT"/>
        </w:rPr>
        <w:lastRenderedPageBreak/>
        <w:t xml:space="preserve">Atsižvelgiant į tai, jog ankstesniame programavimo laikotarpyje ne visi finansiniai tarpininkai aktyviai dalyvavo vykdant prisiimtus įsipareigojimus numatoma, jog esant nepakankamam finansinių tarpininkų aktyvumui, fondo valdytojas gali pats dalyvauti finansinių </w:t>
      </w:r>
      <w:r>
        <w:rPr>
          <w:rFonts w:ascii="Georgia" w:hAnsi="Georgia"/>
          <w:sz w:val="20"/>
          <w:lang w:val="lt-LT"/>
        </w:rPr>
        <w:t>priemonių</w:t>
      </w:r>
      <w:r w:rsidRPr="00A07762">
        <w:rPr>
          <w:rFonts w:ascii="Georgia" w:hAnsi="Georgia"/>
          <w:sz w:val="20"/>
          <w:lang w:val="lt-LT"/>
        </w:rPr>
        <w:t xml:space="preserve"> įgyvendinime tomis pačiomis sąlygomis, kuriomis dalyvauja atrinkti finansiniai tarpininkai.</w:t>
      </w:r>
    </w:p>
    <w:p w14:paraId="12445618" w14:textId="77777777" w:rsidR="0006117A" w:rsidRDefault="0006117A" w:rsidP="0006117A">
      <w:pPr>
        <w:jc w:val="both"/>
        <w:rPr>
          <w:rFonts w:ascii="Georgia" w:eastAsia="Times New Roman" w:hAnsi="Georgia" w:cs="Times New Roman"/>
          <w:i/>
          <w:sz w:val="20"/>
          <w:szCs w:val="20"/>
          <w:lang w:val="lt-LT" w:eastAsia="lt-LT"/>
        </w:rPr>
      </w:pPr>
      <w:r>
        <w:rPr>
          <w:rFonts w:ascii="Georgia" w:eastAsia="Times New Roman" w:hAnsi="Georgia" w:cs="Times New Roman"/>
          <w:sz w:val="20"/>
          <w:szCs w:val="20"/>
          <w:lang w:val="lt-LT" w:eastAsia="lt-LT"/>
        </w:rPr>
        <w:t>Bet kokiu atveju fondų fondo valdytojas turi siekti atrinkti finansinius tarpininkus, kurie rekomenduotina turėtų prisidėti savo lėšomis. Nepavykus atrinkti finansinių tarpininkų fondų fondo valdytojas galėtų priemonę įgyvendinti tiesiogiai.</w:t>
      </w:r>
    </w:p>
    <w:p w14:paraId="62A788B2" w14:textId="77777777" w:rsidR="0006117A" w:rsidRDefault="0006117A" w:rsidP="0006117A">
      <w:pPr>
        <w:pStyle w:val="prastasis1"/>
        <w:spacing w:line="276" w:lineRule="auto"/>
        <w:jc w:val="both"/>
        <w:rPr>
          <w:rFonts w:ascii="Georgia" w:hAnsi="Georgia"/>
          <w:sz w:val="20"/>
          <w:szCs w:val="20"/>
        </w:rPr>
      </w:pPr>
      <w:r>
        <w:rPr>
          <w:rFonts w:ascii="Georgia" w:hAnsi="Georgia"/>
          <w:sz w:val="20"/>
          <w:szCs w:val="20"/>
        </w:rPr>
        <w:t>Žemiau yra detaliau aprašytos Aplinkos ir Finansų ministerijai rekomenduotinos dvi įgyvendinimo alternatyvos, kurias rekomenduotina pasirinkti priklausomai nuo to kuris fondas – investicinis (kaip tai aprašyta 7.3.4.3. punkte) ar  asimetrinio rizikos pasidalijimo (kaip tai aprašyta 7.3.4.2. punkte) - bus įkurtas pirmas.</w:t>
      </w:r>
    </w:p>
    <w:p w14:paraId="5033F46C" w14:textId="77777777" w:rsidR="0006117A" w:rsidRDefault="0006117A" w:rsidP="0006117A">
      <w:pPr>
        <w:rPr>
          <w:rFonts w:ascii="Georgia" w:eastAsia="Times New Roman" w:hAnsi="Georgia" w:cs="Times New Roman"/>
          <w:b/>
          <w:sz w:val="20"/>
          <w:szCs w:val="20"/>
          <w:lang w:val="lt-LT" w:eastAsia="lt-LT"/>
        </w:rPr>
      </w:pPr>
    </w:p>
    <w:p w14:paraId="7434B251" w14:textId="77777777" w:rsidR="0006117A" w:rsidRPr="003351A4" w:rsidRDefault="0006117A" w:rsidP="0006117A">
      <w:pPr>
        <w:pStyle w:val="Antrat2"/>
        <w:spacing w:after="240"/>
        <w:rPr>
          <w:lang w:val="lt-LT"/>
        </w:rPr>
      </w:pPr>
      <w:bookmarkStart w:id="469" w:name="_Toc417378467"/>
      <w:bookmarkStart w:id="470" w:name="_Toc25589996"/>
      <w:r>
        <w:rPr>
          <w:lang w:val="lt-LT"/>
        </w:rPr>
        <w:t xml:space="preserve">7.3.5. </w:t>
      </w:r>
      <w:r w:rsidRPr="003351A4">
        <w:rPr>
          <w:lang w:val="lt-LT"/>
        </w:rPr>
        <w:t>Tikėtinų rezultatų nustatymas ir skaičiavimas</w:t>
      </w:r>
      <w:bookmarkEnd w:id="469"/>
      <w:bookmarkEnd w:id="470"/>
    </w:p>
    <w:p w14:paraId="24A9BA86" w14:textId="77777777" w:rsidR="0006117A" w:rsidRDefault="0006117A" w:rsidP="0006117A">
      <w:pPr>
        <w:keepNext/>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1E656C24" w14:textId="35CB35E9" w:rsidR="0006117A" w:rsidRPr="008377C9" w:rsidRDefault="0006117A" w:rsidP="0006117A">
      <w:pPr>
        <w:pStyle w:val="Antrat"/>
        <w:jc w:val="both"/>
        <w:rPr>
          <w:rFonts w:eastAsia="Times New Roman"/>
          <w:b w:val="0"/>
          <w:i/>
          <w:szCs w:val="20"/>
          <w:lang w:val="lt-LT" w:eastAsia="lt-LT"/>
        </w:rPr>
      </w:pPr>
      <w:bookmarkStart w:id="471" w:name="_Toc459646522"/>
      <w:bookmarkStart w:id="472" w:name="_Toc507939234"/>
      <w:r w:rsidRPr="008377C9">
        <w:rPr>
          <w:b w:val="0"/>
          <w:i/>
          <w:lang w:val="lt-LT"/>
        </w:rPr>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112</w:t>
      </w:r>
      <w:r w:rsidRPr="008377C9">
        <w:rPr>
          <w:b w:val="0"/>
          <w:i/>
          <w:lang w:val="lt-LT"/>
        </w:rPr>
        <w:fldChar w:fldCharType="end"/>
      </w:r>
      <w:r w:rsidRPr="008377C9">
        <w:rPr>
          <w:b w:val="0"/>
          <w:i/>
          <w:lang w:val="lt-LT"/>
        </w:rPr>
        <w:t>. Tikėtini finansinės priemonės rezultatai savivaldybių viešųjų pastatų modernizavimui</w:t>
      </w:r>
      <w:bookmarkEnd w:id="471"/>
      <w:bookmarkEnd w:id="472"/>
    </w:p>
    <w:tbl>
      <w:tblPr>
        <w:tblStyle w:val="LightList-Accent21"/>
        <w:tblW w:w="5000" w:type="pct"/>
        <w:tblLook w:val="04A0" w:firstRow="1" w:lastRow="0" w:firstColumn="1" w:lastColumn="0" w:noHBand="0" w:noVBand="1"/>
      </w:tblPr>
      <w:tblGrid>
        <w:gridCol w:w="3002"/>
        <w:gridCol w:w="2866"/>
        <w:gridCol w:w="2500"/>
        <w:gridCol w:w="1514"/>
      </w:tblGrid>
      <w:tr w:rsidR="0006117A" w14:paraId="0822E9EB" w14:textId="77777777" w:rsidTr="007E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3F2632A" w14:textId="77777777" w:rsidR="0006117A" w:rsidRPr="008377C9" w:rsidRDefault="0006117A" w:rsidP="007E38FC">
            <w:pPr>
              <w:keepNext/>
              <w:jc w:val="center"/>
              <w:rPr>
                <w:rFonts w:ascii="Georgia" w:hAnsi="Georgia"/>
                <w:color w:val="auto"/>
                <w:sz w:val="20"/>
                <w:szCs w:val="20"/>
              </w:rPr>
            </w:pPr>
            <w:r w:rsidRPr="008377C9">
              <w:rPr>
                <w:rFonts w:ascii="Georgia" w:hAnsi="Georgia"/>
                <w:sz w:val="20"/>
                <w:szCs w:val="20"/>
              </w:rPr>
              <w:t>Rodiklis</w:t>
            </w:r>
          </w:p>
        </w:tc>
        <w:tc>
          <w:tcPr>
            <w:tcW w:w="2474" w:type="pct"/>
            <w:gridSpan w:val="2"/>
          </w:tcPr>
          <w:p w14:paraId="74D32409" w14:textId="77777777" w:rsidR="0006117A" w:rsidRPr="008377C9" w:rsidRDefault="0006117A" w:rsidP="007E38FC">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8377C9">
              <w:rPr>
                <w:rFonts w:ascii="Georgia" w:hAnsi="Georgia"/>
                <w:sz w:val="20"/>
                <w:szCs w:val="20"/>
              </w:rPr>
              <w:t>Apskaičiuoti rezultatai</w:t>
            </w:r>
          </w:p>
        </w:tc>
        <w:tc>
          <w:tcPr>
            <w:tcW w:w="0" w:type="pct"/>
          </w:tcPr>
          <w:p w14:paraId="631A6F0B" w14:textId="77777777" w:rsidR="0006117A" w:rsidRPr="008377C9" w:rsidRDefault="0006117A" w:rsidP="007E38FC">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8377C9">
              <w:rPr>
                <w:rFonts w:ascii="Georgia" w:hAnsi="Georgia"/>
                <w:sz w:val="20"/>
                <w:szCs w:val="20"/>
              </w:rPr>
              <w:t>Palyginimas su paklausos duomenimis</w:t>
            </w:r>
          </w:p>
        </w:tc>
      </w:tr>
      <w:tr w:rsidR="0006117A" w14:paraId="36EACC62"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hideMark/>
          </w:tcPr>
          <w:p w14:paraId="3E748595" w14:textId="77777777" w:rsidR="0006117A" w:rsidRDefault="0006117A" w:rsidP="007E38FC">
            <w:pPr>
              <w:keepNext/>
              <w:rPr>
                <w:rFonts w:ascii="Georgia" w:hAnsi="Georgia"/>
                <w:b w:val="0"/>
                <w:sz w:val="20"/>
                <w:szCs w:val="20"/>
              </w:rPr>
            </w:pPr>
            <w:r>
              <w:rPr>
                <w:rFonts w:ascii="Georgia" w:hAnsi="Georgia"/>
                <w:sz w:val="20"/>
                <w:szCs w:val="20"/>
              </w:rPr>
              <w:t>Finansinė priemonė</w:t>
            </w:r>
          </w:p>
        </w:tc>
        <w:tc>
          <w:tcPr>
            <w:tcW w:w="1308" w:type="pct"/>
            <w:hideMark/>
          </w:tcPr>
          <w:p w14:paraId="17357B39" w14:textId="77777777" w:rsidR="0006117A" w:rsidRDefault="0006117A" w:rsidP="007E38FC">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s</w:t>
            </w:r>
            <w:r w:rsidRPr="00C066BB">
              <w:rPr>
                <w:rFonts w:ascii="Georgia" w:eastAsia="Times New Roman" w:hAnsi="Georgia" w:cs="Times New Roman"/>
                <w:sz w:val="20"/>
                <w:szCs w:val="20"/>
                <w:lang w:eastAsia="lt-LT"/>
              </w:rPr>
              <w:t>avivaldybių viešųjų pastatų modernizacija</w:t>
            </w:r>
            <w:r>
              <w:rPr>
                <w:rFonts w:ascii="Georgia" w:eastAsia="Times New Roman" w:hAnsi="Georgia" w:cs="Times New Roman"/>
                <w:sz w:val="20"/>
                <w:szCs w:val="20"/>
                <w:lang w:eastAsia="lt-LT"/>
              </w:rPr>
              <w:t>i. Išperkami pinigų srautai</w:t>
            </w:r>
          </w:p>
        </w:tc>
        <w:tc>
          <w:tcPr>
            <w:tcW w:w="0" w:type="pct"/>
          </w:tcPr>
          <w:p w14:paraId="79C5083B" w14:textId="77777777" w:rsidR="0006117A" w:rsidRPr="00BF68CC" w:rsidRDefault="0006117A" w:rsidP="007E38FC">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s</w:t>
            </w:r>
            <w:r w:rsidRPr="00C066BB">
              <w:rPr>
                <w:rFonts w:ascii="Georgia" w:eastAsia="Times New Roman" w:hAnsi="Georgia" w:cs="Times New Roman"/>
                <w:sz w:val="20"/>
                <w:szCs w:val="20"/>
                <w:lang w:eastAsia="lt-LT"/>
              </w:rPr>
              <w:t>avivaldybių viešųjų pastatų modernizacija</w:t>
            </w:r>
            <w:r>
              <w:rPr>
                <w:rFonts w:ascii="Georgia" w:eastAsia="Times New Roman" w:hAnsi="Georgia" w:cs="Times New Roman"/>
                <w:sz w:val="20"/>
                <w:szCs w:val="20"/>
                <w:lang w:eastAsia="lt-LT"/>
              </w:rPr>
              <w:t>i išduodamos rizikos pasidalijimo fondo apimtyje</w:t>
            </w:r>
          </w:p>
        </w:tc>
        <w:tc>
          <w:tcPr>
            <w:tcW w:w="0" w:type="pct"/>
          </w:tcPr>
          <w:p w14:paraId="16D9A710" w14:textId="77777777" w:rsidR="0006117A" w:rsidRPr="00BF68CC" w:rsidRDefault="0006117A" w:rsidP="007E38FC">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06117A" w14:paraId="5C4A3F7B" w14:textId="77777777" w:rsidTr="007E38FC">
        <w:tc>
          <w:tcPr>
            <w:cnfStyle w:val="001000000000" w:firstRow="0" w:lastRow="0" w:firstColumn="1" w:lastColumn="0" w:oddVBand="0" w:evenVBand="0" w:oddHBand="0" w:evenHBand="0" w:firstRowFirstColumn="0" w:firstRowLastColumn="0" w:lastRowFirstColumn="0" w:lastRowLastColumn="0"/>
            <w:tcW w:w="1361" w:type="pct"/>
            <w:hideMark/>
          </w:tcPr>
          <w:p w14:paraId="68AF8E96" w14:textId="77777777" w:rsidR="0006117A" w:rsidRDefault="0006117A" w:rsidP="007E38FC">
            <w:pPr>
              <w:rPr>
                <w:rFonts w:ascii="Georgia" w:hAnsi="Georgia"/>
                <w:b w:val="0"/>
                <w:sz w:val="20"/>
                <w:szCs w:val="20"/>
              </w:rPr>
            </w:pPr>
            <w:r>
              <w:rPr>
                <w:rFonts w:ascii="Georgia" w:hAnsi="Georgia"/>
                <w:sz w:val="20"/>
                <w:szCs w:val="20"/>
              </w:rPr>
              <w:t>Finansuojanti institucija</w:t>
            </w:r>
          </w:p>
        </w:tc>
        <w:tc>
          <w:tcPr>
            <w:tcW w:w="1308" w:type="pct"/>
            <w:hideMark/>
          </w:tcPr>
          <w:p w14:paraId="31FDF92B" w14:textId="77777777" w:rsidR="0006117A"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Aplinkos ministerija</w:t>
            </w:r>
            <w:r>
              <w:rPr>
                <w:rFonts w:ascii="Georgia" w:hAnsi="Georgia"/>
                <w:sz w:val="20"/>
                <w:szCs w:val="20"/>
              </w:rPr>
              <w:t xml:space="preserve"> </w:t>
            </w:r>
          </w:p>
        </w:tc>
        <w:tc>
          <w:tcPr>
            <w:tcW w:w="0" w:type="pct"/>
          </w:tcPr>
          <w:p w14:paraId="774CB6F1" w14:textId="77777777" w:rsidR="0006117A" w:rsidRPr="00BF68CC"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Aplinkos ministerija</w:t>
            </w:r>
          </w:p>
        </w:tc>
        <w:tc>
          <w:tcPr>
            <w:tcW w:w="0" w:type="pct"/>
          </w:tcPr>
          <w:p w14:paraId="551330F6" w14:textId="77777777" w:rsidR="0006117A" w:rsidRPr="00BF68CC"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06117A" w14:paraId="7F3FDAC1"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hideMark/>
          </w:tcPr>
          <w:p w14:paraId="27724407" w14:textId="77777777" w:rsidR="0006117A" w:rsidRDefault="0006117A" w:rsidP="007E38FC">
            <w:pPr>
              <w:rPr>
                <w:rFonts w:ascii="Georgia" w:hAnsi="Georgia"/>
                <w:b w:val="0"/>
                <w:sz w:val="20"/>
                <w:szCs w:val="20"/>
              </w:rPr>
            </w:pPr>
            <w:r>
              <w:rPr>
                <w:rFonts w:ascii="Georgia" w:hAnsi="Georgia"/>
                <w:sz w:val="20"/>
                <w:szCs w:val="20"/>
              </w:rPr>
              <w:t>Galutinius naudos gavėjus pasiekusios lėšos</w:t>
            </w:r>
          </w:p>
        </w:tc>
        <w:tc>
          <w:tcPr>
            <w:tcW w:w="1308" w:type="pct"/>
            <w:hideMark/>
          </w:tcPr>
          <w:p w14:paraId="65A87B0F" w14:textId="253EFF12" w:rsidR="0006117A" w:rsidRPr="00227896"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84,4</w:t>
            </w:r>
            <w:r w:rsidRPr="00CA0B2F">
              <w:rPr>
                <w:rFonts w:ascii="Georgia" w:hAnsi="Georgia"/>
                <w:bCs/>
                <w:color w:val="000000"/>
                <w:sz w:val="20"/>
                <w:szCs w:val="20"/>
              </w:rPr>
              <w:t xml:space="preserve"> </w:t>
            </w:r>
            <w:r w:rsidR="0006117A" w:rsidRPr="00CA0B2F">
              <w:rPr>
                <w:rFonts w:ascii="Georgia" w:eastAsia="Times New Roman" w:hAnsi="Georgia" w:cs="Times New Roman"/>
                <w:sz w:val="20"/>
                <w:szCs w:val="20"/>
                <w:lang w:eastAsia="lt-LT"/>
              </w:rPr>
              <w:t>mln. eurų</w:t>
            </w:r>
            <w:r w:rsidR="0006117A" w:rsidRPr="00227896">
              <w:rPr>
                <w:rFonts w:ascii="Georgia" w:hAnsi="Georgia"/>
                <w:sz w:val="20"/>
                <w:szCs w:val="20"/>
              </w:rPr>
              <w:t xml:space="preserve"> </w:t>
            </w:r>
          </w:p>
        </w:tc>
        <w:tc>
          <w:tcPr>
            <w:tcW w:w="0" w:type="pct"/>
          </w:tcPr>
          <w:p w14:paraId="0B85E956" w14:textId="3CFB13AC" w:rsidR="0006117A" w:rsidRPr="00227896"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bCs/>
                <w:color w:val="000000"/>
                <w:sz w:val="20"/>
                <w:szCs w:val="20"/>
              </w:rPr>
              <w:t>71,5</w:t>
            </w:r>
            <w:r w:rsidR="0006117A" w:rsidRPr="00CA0B2F">
              <w:rPr>
                <w:rFonts w:ascii="Georgia" w:eastAsia="Times New Roman" w:hAnsi="Georgia" w:cs="Times New Roman"/>
                <w:sz w:val="20"/>
                <w:szCs w:val="20"/>
                <w:lang w:eastAsia="lt-LT"/>
              </w:rPr>
              <w:t>mln. eurų</w:t>
            </w:r>
          </w:p>
        </w:tc>
        <w:tc>
          <w:tcPr>
            <w:tcW w:w="0" w:type="pct"/>
          </w:tcPr>
          <w:p w14:paraId="2B553786" w14:textId="77777777" w:rsidR="0006117A" w:rsidRPr="00227896"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27896">
              <w:rPr>
                <w:rFonts w:ascii="Georgia" w:hAnsi="Georgia" w:cs="Georgia"/>
                <w:sz w:val="20"/>
                <w:szCs w:val="20"/>
              </w:rPr>
              <w:t>2</w:t>
            </w:r>
            <w:r>
              <w:rPr>
                <w:rFonts w:ascii="Georgia" w:hAnsi="Georgia" w:cs="Georgia"/>
                <w:sz w:val="20"/>
                <w:szCs w:val="20"/>
              </w:rPr>
              <w:t>99</w:t>
            </w:r>
            <w:r w:rsidRPr="00227896">
              <w:rPr>
                <w:rFonts w:ascii="Georgia" w:hAnsi="Georgia" w:cs="Georgia"/>
                <w:sz w:val="20"/>
                <w:szCs w:val="20"/>
              </w:rPr>
              <w:t xml:space="preserve"> </w:t>
            </w:r>
            <w:r w:rsidRPr="00227896">
              <w:rPr>
                <w:rFonts w:ascii="Georgia" w:hAnsi="Georgia"/>
                <w:sz w:val="20"/>
                <w:szCs w:val="20"/>
              </w:rPr>
              <w:t>mln. eurų</w:t>
            </w:r>
          </w:p>
        </w:tc>
      </w:tr>
      <w:tr w:rsidR="0006117A" w14:paraId="6505A4D7" w14:textId="77777777" w:rsidTr="00F91954">
        <w:tc>
          <w:tcPr>
            <w:cnfStyle w:val="001000000000" w:firstRow="0" w:lastRow="0" w:firstColumn="1" w:lastColumn="0" w:oddVBand="0" w:evenVBand="0" w:oddHBand="0" w:evenHBand="0" w:firstRowFirstColumn="0" w:firstRowLastColumn="0" w:lastRowFirstColumn="0" w:lastRowLastColumn="0"/>
            <w:tcW w:w="1361" w:type="pct"/>
          </w:tcPr>
          <w:p w14:paraId="4FB81E77" w14:textId="072E951D" w:rsidR="0006117A" w:rsidRDefault="0006117A" w:rsidP="007E38FC">
            <w:pPr>
              <w:rPr>
                <w:rFonts w:ascii="Georgia" w:hAnsi="Georgia"/>
                <w:b w:val="0"/>
                <w:sz w:val="20"/>
                <w:szCs w:val="20"/>
              </w:rPr>
            </w:pPr>
          </w:p>
        </w:tc>
        <w:tc>
          <w:tcPr>
            <w:tcW w:w="1308" w:type="pct"/>
          </w:tcPr>
          <w:p w14:paraId="65759AE9" w14:textId="20115D88" w:rsidR="0006117A" w:rsidRPr="00CA0B2F"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0" w:type="pct"/>
          </w:tcPr>
          <w:p w14:paraId="6BC4DB1F" w14:textId="45BA47A1" w:rsidR="0006117A" w:rsidRPr="00227896"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0" w:type="pct"/>
          </w:tcPr>
          <w:p w14:paraId="7A17257A" w14:textId="165ACBC6" w:rsidR="0006117A" w:rsidRPr="00227896"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06117A" w14:paraId="2F5BD341"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hideMark/>
          </w:tcPr>
          <w:p w14:paraId="2491BF1F" w14:textId="77777777" w:rsidR="0006117A" w:rsidRDefault="0006117A" w:rsidP="007E38FC">
            <w:pPr>
              <w:rPr>
                <w:rFonts w:ascii="Georgia" w:hAnsi="Georgia"/>
                <w:b w:val="0"/>
                <w:sz w:val="20"/>
                <w:szCs w:val="20"/>
              </w:rPr>
            </w:pPr>
            <w:r>
              <w:rPr>
                <w:rFonts w:ascii="Georgia" w:hAnsi="Georgia"/>
                <w:sz w:val="20"/>
                <w:szCs w:val="20"/>
              </w:rPr>
              <w:t>Sverto efektas</w:t>
            </w:r>
          </w:p>
        </w:tc>
        <w:tc>
          <w:tcPr>
            <w:tcW w:w="1308" w:type="pct"/>
            <w:hideMark/>
          </w:tcPr>
          <w:p w14:paraId="065DDB23" w14:textId="34482E11" w:rsidR="0006117A" w:rsidRPr="00CA0B2F"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 xml:space="preserve"> 2,04</w:t>
            </w:r>
          </w:p>
        </w:tc>
        <w:tc>
          <w:tcPr>
            <w:tcW w:w="0" w:type="pct"/>
          </w:tcPr>
          <w:p w14:paraId="59AC7D25" w14:textId="501C126C" w:rsidR="0006117A" w:rsidRPr="00227896"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bCs/>
                <w:sz w:val="20"/>
                <w:szCs w:val="20"/>
              </w:rPr>
              <w:t>1,60</w:t>
            </w:r>
          </w:p>
        </w:tc>
        <w:tc>
          <w:tcPr>
            <w:tcW w:w="0" w:type="pct"/>
          </w:tcPr>
          <w:p w14:paraId="4949CD75" w14:textId="77777777" w:rsidR="0006117A" w:rsidRPr="00227896"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227896">
              <w:rPr>
                <w:rFonts w:ascii="Georgia" w:hAnsi="Georgia"/>
                <w:bCs/>
                <w:sz w:val="20"/>
                <w:szCs w:val="20"/>
              </w:rPr>
              <w:t>-</w:t>
            </w:r>
          </w:p>
        </w:tc>
      </w:tr>
      <w:tr w:rsidR="0006117A" w14:paraId="7B6CD577" w14:textId="77777777" w:rsidTr="007E38FC">
        <w:tc>
          <w:tcPr>
            <w:cnfStyle w:val="001000000000" w:firstRow="0" w:lastRow="0" w:firstColumn="1" w:lastColumn="0" w:oddVBand="0" w:evenVBand="0" w:oddHBand="0" w:evenHBand="0" w:firstRowFirstColumn="0" w:firstRowLastColumn="0" w:lastRowFirstColumn="0" w:lastRowLastColumn="0"/>
            <w:tcW w:w="1361" w:type="pct"/>
            <w:hideMark/>
          </w:tcPr>
          <w:p w14:paraId="70C41E9B" w14:textId="77777777" w:rsidR="0006117A" w:rsidRDefault="0006117A" w:rsidP="007E38FC">
            <w:pPr>
              <w:rPr>
                <w:rFonts w:ascii="Georgia" w:hAnsi="Georgia"/>
                <w:b w:val="0"/>
                <w:sz w:val="20"/>
                <w:szCs w:val="20"/>
              </w:rPr>
            </w:pPr>
            <w:r>
              <w:rPr>
                <w:rFonts w:ascii="Georgia" w:hAnsi="Georgia"/>
                <w:sz w:val="20"/>
                <w:szCs w:val="20"/>
              </w:rPr>
              <w:t>Renovuotų pastatų skaičius iki 2023 metų</w:t>
            </w:r>
          </w:p>
        </w:tc>
        <w:tc>
          <w:tcPr>
            <w:tcW w:w="1308" w:type="pct"/>
            <w:hideMark/>
          </w:tcPr>
          <w:p w14:paraId="2ED710C7" w14:textId="5FFBA7AD" w:rsidR="0006117A" w:rsidRPr="00CA0B2F"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w:t>
            </w:r>
            <w:r w:rsidR="00A26BF6">
              <w:rPr>
                <w:rFonts w:ascii="Georgia" w:hAnsi="Georgia"/>
                <w:sz w:val="20"/>
                <w:szCs w:val="20"/>
              </w:rPr>
              <w:t>74</w:t>
            </w:r>
          </w:p>
        </w:tc>
        <w:tc>
          <w:tcPr>
            <w:tcW w:w="0" w:type="pct"/>
          </w:tcPr>
          <w:p w14:paraId="0BAB6E80" w14:textId="545C8E02" w:rsidR="0006117A" w:rsidRPr="00760316" w:rsidRDefault="00A26BF6"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257</w:t>
            </w:r>
          </w:p>
        </w:tc>
        <w:tc>
          <w:tcPr>
            <w:tcW w:w="0" w:type="pct"/>
          </w:tcPr>
          <w:p w14:paraId="4ABACD8F" w14:textId="77777777" w:rsidR="0006117A" w:rsidRPr="00CA0B2F"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973</w:t>
            </w:r>
          </w:p>
        </w:tc>
      </w:tr>
      <w:tr w:rsidR="0006117A" w14:paraId="66C38A98" w14:textId="77777777" w:rsidTr="007E38F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361" w:type="pct"/>
            <w:hideMark/>
          </w:tcPr>
          <w:p w14:paraId="1946335D" w14:textId="77777777" w:rsidR="0006117A" w:rsidRDefault="0006117A" w:rsidP="007E38FC">
            <w:pPr>
              <w:rPr>
                <w:rFonts w:ascii="Georgia" w:hAnsi="Georgia"/>
                <w:sz w:val="20"/>
                <w:szCs w:val="20"/>
              </w:rPr>
            </w:pPr>
            <w:r>
              <w:rPr>
                <w:rFonts w:ascii="Georgia" w:hAnsi="Georgia"/>
                <w:sz w:val="20"/>
                <w:szCs w:val="20"/>
              </w:rPr>
              <w:t>Renovuotų pastatų plotas iki 2023 metų</w:t>
            </w:r>
          </w:p>
        </w:tc>
        <w:tc>
          <w:tcPr>
            <w:tcW w:w="1308" w:type="pct"/>
            <w:hideMark/>
          </w:tcPr>
          <w:p w14:paraId="352D3773" w14:textId="68A11ABB" w:rsidR="0006117A" w:rsidRPr="00CA0B2F"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331</w:t>
            </w:r>
            <w:r w:rsidRPr="00CA0B2F">
              <w:rPr>
                <w:rFonts w:ascii="Georgia" w:hAnsi="Georgia"/>
                <w:sz w:val="20"/>
                <w:szCs w:val="20"/>
              </w:rPr>
              <w:t xml:space="preserve"> </w:t>
            </w:r>
            <w:r w:rsidR="0006117A" w:rsidRPr="00CA0B2F">
              <w:rPr>
                <w:rFonts w:ascii="Georgia" w:hAnsi="Georgia"/>
                <w:sz w:val="20"/>
                <w:szCs w:val="20"/>
              </w:rPr>
              <w:t>tūkst. kv. m.</w:t>
            </w:r>
          </w:p>
        </w:tc>
        <w:tc>
          <w:tcPr>
            <w:tcW w:w="0" w:type="pct"/>
          </w:tcPr>
          <w:p w14:paraId="22B50741" w14:textId="078B60C3" w:rsidR="0006117A" w:rsidRPr="00760316" w:rsidRDefault="00A26BF6"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311</w:t>
            </w:r>
            <w:r w:rsidR="0006117A">
              <w:rPr>
                <w:rFonts w:ascii="Georgia" w:hAnsi="Georgia"/>
                <w:sz w:val="20"/>
                <w:szCs w:val="20"/>
              </w:rPr>
              <w:t xml:space="preserve"> </w:t>
            </w:r>
            <w:r w:rsidR="0006117A" w:rsidRPr="00CA0B2F">
              <w:rPr>
                <w:rFonts w:ascii="Georgia" w:hAnsi="Georgia"/>
                <w:sz w:val="20"/>
                <w:szCs w:val="20"/>
              </w:rPr>
              <w:t>tūkst. kv. m.</w:t>
            </w:r>
          </w:p>
        </w:tc>
        <w:tc>
          <w:tcPr>
            <w:tcW w:w="0" w:type="pct"/>
          </w:tcPr>
          <w:p w14:paraId="15E3FF3D" w14:textId="77777777" w:rsidR="0006117A" w:rsidRPr="00CA0B2F"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760316">
              <w:rPr>
                <w:rFonts w:ascii="Georgia" w:hAnsi="Georgia"/>
                <w:sz w:val="20"/>
                <w:szCs w:val="20"/>
              </w:rPr>
              <w:t>11</w:t>
            </w:r>
            <w:r>
              <w:rPr>
                <w:rFonts w:ascii="Georgia" w:hAnsi="Georgia"/>
                <w:sz w:val="20"/>
                <w:szCs w:val="20"/>
              </w:rPr>
              <w:t>71</w:t>
            </w:r>
            <w:r w:rsidRPr="00CA0B2F">
              <w:rPr>
                <w:rFonts w:ascii="Georgia" w:hAnsi="Georgia"/>
                <w:sz w:val="20"/>
                <w:szCs w:val="20"/>
              </w:rPr>
              <w:t xml:space="preserve"> tūkst. kv. m.</w:t>
            </w:r>
          </w:p>
        </w:tc>
      </w:tr>
      <w:tr w:rsidR="0006117A" w14:paraId="65D0B0C2" w14:textId="77777777" w:rsidTr="007E38FC">
        <w:trPr>
          <w:trHeight w:val="531"/>
        </w:trPr>
        <w:tc>
          <w:tcPr>
            <w:cnfStyle w:val="001000000000" w:firstRow="0" w:lastRow="0" w:firstColumn="1" w:lastColumn="0" w:oddVBand="0" w:evenVBand="0" w:oddHBand="0" w:evenHBand="0" w:firstRowFirstColumn="0" w:firstRowLastColumn="0" w:lastRowFirstColumn="0" w:lastRowLastColumn="0"/>
            <w:tcW w:w="1361" w:type="pct"/>
            <w:hideMark/>
          </w:tcPr>
          <w:p w14:paraId="76A8D556" w14:textId="77777777" w:rsidR="0006117A" w:rsidRDefault="0006117A" w:rsidP="007E38FC">
            <w:pPr>
              <w:rPr>
                <w:rFonts w:ascii="Georgia" w:hAnsi="Georgia"/>
                <w:b w:val="0"/>
                <w:sz w:val="20"/>
                <w:szCs w:val="20"/>
              </w:rPr>
            </w:pPr>
            <w:r>
              <w:rPr>
                <w:rFonts w:ascii="Georgia" w:hAnsi="Georgia"/>
                <w:sz w:val="20"/>
                <w:szCs w:val="20"/>
              </w:rPr>
              <w:t>Renovuotų pastatų energijos efektyvumo suvartojimo sumažėjimas, ne mažiau kaip</w:t>
            </w:r>
          </w:p>
        </w:tc>
        <w:tc>
          <w:tcPr>
            <w:tcW w:w="1308" w:type="pct"/>
            <w:hideMark/>
          </w:tcPr>
          <w:p w14:paraId="460D4891" w14:textId="77777777" w:rsidR="0006117A"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0" w:type="pct"/>
          </w:tcPr>
          <w:p w14:paraId="06A5B420" w14:textId="77777777" w:rsidR="0006117A" w:rsidRPr="00BF68CC"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0" w:type="pct"/>
          </w:tcPr>
          <w:p w14:paraId="1DFBF41D" w14:textId="77777777" w:rsidR="0006117A" w:rsidRPr="00BF68CC"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Kuo daugiau</w:t>
            </w:r>
          </w:p>
        </w:tc>
      </w:tr>
      <w:tr w:rsidR="0006117A" w14:paraId="19D9B8D9" w14:textId="77777777" w:rsidTr="007E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hideMark/>
          </w:tcPr>
          <w:p w14:paraId="1219F379" w14:textId="77777777" w:rsidR="0006117A" w:rsidRDefault="0006117A" w:rsidP="007E38FC">
            <w:pPr>
              <w:rPr>
                <w:rFonts w:ascii="Georgia" w:hAnsi="Georgia"/>
                <w:b w:val="0"/>
                <w:sz w:val="20"/>
                <w:szCs w:val="20"/>
              </w:rPr>
            </w:pPr>
            <w:r>
              <w:rPr>
                <w:rFonts w:ascii="Georgia" w:hAnsi="Georgia"/>
                <w:sz w:val="20"/>
                <w:szCs w:val="20"/>
              </w:rPr>
              <w:t xml:space="preserve">Pasiekta energetinio efektyvumo klasė renovuotuose pastatuose ne mažesnė kaip </w:t>
            </w:r>
          </w:p>
        </w:tc>
        <w:tc>
          <w:tcPr>
            <w:tcW w:w="1308" w:type="pct"/>
            <w:hideMark/>
          </w:tcPr>
          <w:p w14:paraId="089E1924" w14:textId="77777777" w:rsidR="0006117A"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c>
          <w:tcPr>
            <w:tcW w:w="0" w:type="pct"/>
          </w:tcPr>
          <w:p w14:paraId="343725B0" w14:textId="77777777" w:rsidR="0006117A"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c>
          <w:tcPr>
            <w:tcW w:w="0" w:type="pct"/>
          </w:tcPr>
          <w:p w14:paraId="42AD9FD6" w14:textId="77777777" w:rsidR="0006117A"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r>
    </w:tbl>
    <w:p w14:paraId="50952A15" w14:textId="77777777" w:rsidR="0006117A" w:rsidRPr="00AC3318" w:rsidRDefault="0006117A" w:rsidP="0006117A">
      <w:pPr>
        <w:jc w:val="both"/>
        <w:rPr>
          <w:rFonts w:ascii="Georgia" w:eastAsia="Times New Roman" w:hAnsi="Georgia" w:cs="Times New Roman"/>
          <w:sz w:val="20"/>
          <w:szCs w:val="20"/>
          <w:lang w:val="lt-LT" w:eastAsia="lt-LT"/>
        </w:rPr>
      </w:pPr>
    </w:p>
    <w:p w14:paraId="057C4BE3" w14:textId="77777777" w:rsidR="0006117A" w:rsidRPr="003351A4" w:rsidRDefault="0006117A" w:rsidP="0006117A">
      <w:pPr>
        <w:pStyle w:val="Antrat2"/>
        <w:spacing w:after="240"/>
        <w:rPr>
          <w:lang w:val="lt-LT"/>
        </w:rPr>
      </w:pPr>
      <w:bookmarkStart w:id="473" w:name="_Toc417378468"/>
      <w:bookmarkStart w:id="474" w:name="_Toc25589997"/>
      <w:r>
        <w:rPr>
          <w:lang w:val="lt-LT"/>
        </w:rPr>
        <w:lastRenderedPageBreak/>
        <w:t xml:space="preserve">7.3.6. </w:t>
      </w:r>
      <w:r w:rsidRPr="003351A4">
        <w:rPr>
          <w:lang w:val="lt-LT"/>
        </w:rPr>
        <w:t>Finansinės priemonės rezultatų prisidėjimas prie strateginių tikslų</w:t>
      </w:r>
      <w:bookmarkEnd w:id="473"/>
      <w:bookmarkEnd w:id="474"/>
      <w:r w:rsidRPr="003351A4">
        <w:rPr>
          <w:lang w:val="lt-LT"/>
        </w:rPr>
        <w:t xml:space="preserve"> </w:t>
      </w:r>
    </w:p>
    <w:p w14:paraId="0C77F84B" w14:textId="77777777" w:rsidR="0006117A" w:rsidRPr="0023462D" w:rsidRDefault="0006117A" w:rsidP="0006117A">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Siūlomos finansinės priemonės kūrimas prisidės prie ES ir nacionalinių strateginių tikslų įgyvendinimo. Pagrindiniai tokie strateginiai dokumentai yra Nacionalinė energetinės nepriklausomybės strategija</w:t>
      </w:r>
      <w:r>
        <w:rPr>
          <w:rFonts w:ascii="Georgia" w:eastAsia="Times New Roman" w:hAnsi="Georgia" w:cs="Times New Roman"/>
          <w:sz w:val="20"/>
          <w:szCs w:val="20"/>
          <w:lang w:val="lt-LT" w:eastAsia="lt-LT"/>
        </w:rPr>
        <w:t xml:space="preserve"> </w:t>
      </w:r>
      <w:r w:rsidRPr="00DB79A6">
        <w:rPr>
          <w:rFonts w:ascii="Georgia" w:eastAsia="Times New Roman" w:hAnsi="Georgia" w:cs="Times New Roman"/>
          <w:sz w:val="20"/>
          <w:szCs w:val="20"/>
          <w:lang w:val="lt-LT" w:eastAsia="lt-LT"/>
        </w:rPr>
        <w:t xml:space="preserve">ir </w:t>
      </w:r>
      <w:r w:rsidRPr="00760316">
        <w:rPr>
          <w:rFonts w:ascii="Georgia" w:eastAsia="Times New Roman" w:hAnsi="Georgia" w:cs="Times New Roman"/>
          <w:sz w:val="20"/>
          <w:szCs w:val="20"/>
          <w:lang w:val="lt-LT" w:eastAsia="lt-LT"/>
        </w:rPr>
        <w:t>V</w:t>
      </w:r>
      <w:r w:rsidRPr="00DB79A6">
        <w:rPr>
          <w:rFonts w:ascii="Georgia" w:eastAsia="Times New Roman" w:hAnsi="Georgia" w:cs="Times New Roman"/>
          <w:sz w:val="20"/>
          <w:szCs w:val="20"/>
          <w:lang w:val="lt-LT" w:eastAsia="lt-LT"/>
        </w:rPr>
        <w:t>iešųjų pastatų energijos efektyvumo didinimo programa. Žemiau yra</w:t>
      </w:r>
      <w:r w:rsidRPr="0023462D">
        <w:rPr>
          <w:rFonts w:ascii="Georgia" w:eastAsia="Times New Roman" w:hAnsi="Georgia" w:cs="Times New Roman"/>
          <w:sz w:val="20"/>
          <w:szCs w:val="20"/>
          <w:lang w:val="lt-LT" w:eastAsia="lt-LT"/>
        </w:rPr>
        <w:t xml:space="preserve"> pateikiamas detalesnis įvertinimas, kiek finansinės priemonės sukūrimas padės pasiekti strateginius tikslus. </w:t>
      </w:r>
    </w:p>
    <w:p w14:paraId="717D0AE4" w14:textId="77777777" w:rsidR="0006117A" w:rsidRPr="0023462D" w:rsidRDefault="0006117A" w:rsidP="0006117A">
      <w:pPr>
        <w:jc w:val="both"/>
        <w:rPr>
          <w:rFonts w:ascii="Georgia" w:eastAsia="Times New Roman" w:hAnsi="Georgia" w:cs="Times New Roman"/>
          <w:b/>
          <w:i/>
          <w:sz w:val="20"/>
          <w:szCs w:val="20"/>
          <w:lang w:val="lt-LT" w:eastAsia="lt-LT"/>
        </w:rPr>
      </w:pPr>
      <w:r>
        <w:rPr>
          <w:rFonts w:ascii="Georgia" w:eastAsia="Times New Roman" w:hAnsi="Georgia" w:cs="Times New Roman"/>
          <w:b/>
          <w:i/>
          <w:sz w:val="20"/>
          <w:szCs w:val="20"/>
          <w:lang w:val="lt-LT" w:eastAsia="lt-LT"/>
        </w:rPr>
        <w:t>Savivaldybių</w:t>
      </w:r>
      <w:r w:rsidRPr="0023462D">
        <w:rPr>
          <w:rFonts w:ascii="Georgia" w:eastAsia="Times New Roman" w:hAnsi="Georgia" w:cs="Times New Roman"/>
          <w:b/>
          <w:i/>
          <w:sz w:val="20"/>
          <w:szCs w:val="20"/>
          <w:lang w:val="lt-LT" w:eastAsia="lt-LT"/>
        </w:rPr>
        <w:t xml:space="preserve"> viešieji pastatai</w:t>
      </w:r>
    </w:p>
    <w:p w14:paraId="6517CF20" w14:textId="77777777" w:rsidR="0006117A" w:rsidRPr="0023462D"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modernizavimo </w:t>
      </w:r>
      <w:r w:rsidRPr="0023462D">
        <w:rPr>
          <w:rFonts w:ascii="Georgia" w:eastAsia="Times New Roman" w:hAnsi="Georgia" w:cs="Times New Roman"/>
          <w:sz w:val="20"/>
          <w:szCs w:val="20"/>
          <w:lang w:val="lt-LT" w:eastAsia="lt-LT"/>
        </w:rPr>
        <w:t>metu būtų prisidedama prie šių energinio efektyvumo tikslų vykdymo:</w:t>
      </w:r>
    </w:p>
    <w:p w14:paraId="5D71FA08"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Pr>
          <w:rFonts w:ascii="Georgia" w:hAnsi="Georgia"/>
          <w:sz w:val="20"/>
          <w:szCs w:val="20"/>
        </w:rPr>
        <w:t>savivaldybėms</w:t>
      </w:r>
      <w:r w:rsidRPr="0023462D">
        <w:rPr>
          <w:rFonts w:ascii="Georgia" w:hAnsi="Georgia"/>
          <w:sz w:val="20"/>
          <w:szCs w:val="20"/>
        </w:rPr>
        <w:t xml:space="preserve"> nuosavybės teise priklausančių </w:t>
      </w:r>
      <w:r>
        <w:rPr>
          <w:rFonts w:ascii="Georgia" w:hAnsi="Georgia"/>
          <w:sz w:val="20"/>
          <w:szCs w:val="20"/>
        </w:rPr>
        <w:t>viešųjų</w:t>
      </w:r>
      <w:r w:rsidRPr="0023462D">
        <w:rPr>
          <w:rFonts w:ascii="Georgia" w:hAnsi="Georgia"/>
          <w:sz w:val="20"/>
          <w:szCs w:val="20"/>
        </w:rPr>
        <w:t xml:space="preserve"> pastatų plot</w:t>
      </w:r>
      <w:r>
        <w:rPr>
          <w:rFonts w:ascii="Georgia" w:hAnsi="Georgia"/>
          <w:sz w:val="20"/>
          <w:szCs w:val="20"/>
        </w:rPr>
        <w:t>as, kai pasiekiama mažiausiai C energinio naudingumo klasė, nuo programos pradžios iki</w:t>
      </w:r>
      <w:r w:rsidRPr="0023462D">
        <w:rPr>
          <w:rFonts w:ascii="Georgia" w:hAnsi="Georgia"/>
          <w:sz w:val="20"/>
          <w:szCs w:val="20"/>
        </w:rPr>
        <w:t xml:space="preserve"> 202</w:t>
      </w:r>
      <w:r>
        <w:rPr>
          <w:rFonts w:ascii="Georgia" w:hAnsi="Georgia"/>
          <w:sz w:val="20"/>
          <w:szCs w:val="20"/>
          <w:lang w:val="en-US"/>
        </w:rPr>
        <w:t>0</w:t>
      </w:r>
      <w:r w:rsidRPr="0023462D">
        <w:rPr>
          <w:rFonts w:ascii="Georgia" w:hAnsi="Georgia"/>
          <w:sz w:val="20"/>
          <w:szCs w:val="20"/>
        </w:rPr>
        <w:t xml:space="preserve"> metų – </w:t>
      </w:r>
      <w:r>
        <w:rPr>
          <w:rFonts w:ascii="Georgia" w:hAnsi="Georgia"/>
          <w:sz w:val="20"/>
          <w:szCs w:val="20"/>
        </w:rPr>
        <w:t>230</w:t>
      </w:r>
      <w:r w:rsidRPr="0023462D">
        <w:rPr>
          <w:rFonts w:ascii="Georgia" w:hAnsi="Georgia"/>
          <w:sz w:val="20"/>
          <w:szCs w:val="20"/>
        </w:rPr>
        <w:t>000</w:t>
      </w:r>
    </w:p>
    <w:p w14:paraId="7891E4F6"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skaičiuojamųjų šiluminės energijos sąnaudų sumažėjimas atnaujintuose viešosios paskirties pastatuose (GWh) iki 2020 metų – 100</w:t>
      </w:r>
    </w:p>
    <w:p w14:paraId="1009AC54"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anglies dioksido išmetimo į atmosferą mažėjimas (tūkst. t.) iki 2020 metų – 20</w:t>
      </w:r>
    </w:p>
    <w:p w14:paraId="5E24C8D6"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viešosios paskirties pastatų energinio efektyvumo didinimo proceso dalyvių mokymas ir švietimas (procentais) iki 2020 metų – 90</w:t>
      </w:r>
    </w:p>
    <w:p w14:paraId="4439AE08"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73D63F25" w14:textId="77777777" w:rsidR="0006117A" w:rsidRPr="0023462D"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modernizacijos </w:t>
      </w:r>
      <w:r w:rsidRPr="0023462D">
        <w:rPr>
          <w:rFonts w:ascii="Georgia" w:eastAsia="Times New Roman" w:hAnsi="Georgia" w:cs="Times New Roman"/>
          <w:sz w:val="20"/>
          <w:szCs w:val="20"/>
          <w:lang w:val="lt-LT" w:eastAsia="lt-LT"/>
        </w:rPr>
        <w:t>metu būtų prisidedama prie šių Veiksmų programos (4.3. investicinio prioriteto) išdėstytų tikslų vykdymo:</w:t>
      </w:r>
    </w:p>
    <w:p w14:paraId="7D417143"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Sunaudotas galutinės energijos kiekis paslaugų ir namų ūkių sektoriuose, tūkst. tne, nuo 2109,6 (2011) iki 1680 (2023)</w:t>
      </w:r>
    </w:p>
    <w:p w14:paraId="52A31D3C"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Galutinės energijos vartojimo efektyvumas, proc</w:t>
      </w:r>
      <w:r>
        <w:rPr>
          <w:rFonts w:ascii="Georgia" w:hAnsi="Georgia"/>
          <w:sz w:val="20"/>
          <w:szCs w:val="20"/>
        </w:rPr>
        <w:t>.</w:t>
      </w:r>
      <w:r w:rsidRPr="0023462D">
        <w:rPr>
          <w:rFonts w:ascii="Georgia" w:hAnsi="Georgia"/>
          <w:sz w:val="20"/>
          <w:szCs w:val="20"/>
        </w:rPr>
        <w:t>, nuo 4,5 (2011) iki 17 (2023)</w:t>
      </w:r>
    </w:p>
    <w:p w14:paraId="56A5776A" w14:textId="67423B5A"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 xml:space="preserve">Metinis pirminės energijos suvartojimo viešuosiuose pastatuose sumažėjimas, kWh/per metus, </w:t>
      </w:r>
      <w:r w:rsidR="00EE34B0">
        <w:rPr>
          <w:rFonts w:ascii="Georgia" w:hAnsi="Georgia"/>
          <w:sz w:val="20"/>
          <w:szCs w:val="20"/>
        </w:rPr>
        <w:br/>
      </w:r>
      <w:r w:rsidRPr="0023462D">
        <w:rPr>
          <w:rFonts w:ascii="Georgia" w:hAnsi="Georgia"/>
          <w:sz w:val="20"/>
          <w:szCs w:val="20"/>
        </w:rPr>
        <w:t>60 000 000 (2023)</w:t>
      </w:r>
    </w:p>
    <w:p w14:paraId="24E2F793" w14:textId="77777777" w:rsidR="0006117A" w:rsidRDefault="0006117A" w:rsidP="0006117A">
      <w:pPr>
        <w:jc w:val="both"/>
        <w:rPr>
          <w:rFonts w:ascii="Georgia" w:eastAsia="Times New Roman" w:hAnsi="Georgia" w:cs="Times New Roman"/>
          <w:sz w:val="20"/>
          <w:szCs w:val="20"/>
          <w:lang w:val="lt-LT" w:eastAsia="lt-LT"/>
        </w:rPr>
      </w:pPr>
    </w:p>
    <w:p w14:paraId="3240829E" w14:textId="77777777" w:rsidR="0006117A" w:rsidRPr="0023462D"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modernizacijos </w:t>
      </w:r>
      <w:r w:rsidRPr="0023462D">
        <w:rPr>
          <w:rFonts w:ascii="Georgia" w:eastAsia="Times New Roman" w:hAnsi="Georgia" w:cs="Times New Roman"/>
          <w:sz w:val="20"/>
          <w:szCs w:val="20"/>
          <w:lang w:val="lt-LT" w:eastAsia="lt-LT"/>
        </w:rPr>
        <w:t>metu būtų prisidedama prie šių Nacionalinėje pažangos programoje išdėstytų tikslų vykdymo:</w:t>
      </w:r>
    </w:p>
    <w:p w14:paraId="6FDFB46C" w14:textId="090BD0BD"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 xml:space="preserve">Išmetamų į atmosferą šiltnamio efektą sukeliančių dujų kiekis CO2 ekvivalentu, mln. </w:t>
      </w:r>
      <w:r w:rsidR="009E500F">
        <w:rPr>
          <w:rFonts w:ascii="Georgia" w:hAnsi="Georgia"/>
          <w:sz w:val="20"/>
          <w:szCs w:val="20"/>
        </w:rPr>
        <w:t>t</w:t>
      </w:r>
      <w:r w:rsidRPr="0023462D">
        <w:rPr>
          <w:rFonts w:ascii="Georgia" w:hAnsi="Georgia"/>
          <w:sz w:val="20"/>
          <w:szCs w:val="20"/>
        </w:rPr>
        <w:t>onų, nuo 19,959 (2009) iki 26,886 (2020 metais)</w:t>
      </w:r>
    </w:p>
    <w:p w14:paraId="741988F2"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12A7938B" w14:textId="77777777" w:rsidR="0006117A" w:rsidRPr="0023462D" w:rsidRDefault="0006117A" w:rsidP="0006117A">
      <w:pPr>
        <w:pStyle w:val="prastasis1"/>
        <w:numPr>
          <w:ilvl w:val="0"/>
          <w:numId w:val="3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41D3F710" w14:textId="77777777" w:rsidR="0006117A" w:rsidRPr="0023462D" w:rsidRDefault="0006117A" w:rsidP="0006117A">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 xml:space="preserve">Pasirinkus rekomenduojamą </w:t>
      </w: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modernizavimo</w:t>
      </w:r>
      <w:r w:rsidRPr="0023462D">
        <w:rPr>
          <w:rFonts w:ascii="Georgia" w:eastAsia="Times New Roman" w:hAnsi="Georgia" w:cs="Times New Roman"/>
          <w:sz w:val="20"/>
          <w:szCs w:val="20"/>
          <w:lang w:val="lt-LT" w:eastAsia="lt-LT"/>
        </w:rPr>
        <w:t xml:space="preserve"> scenarijų planuojami energijos sutaupymai ir taršos mažinimo rodikliai pateikti žemiau esančioje lentelėje.</w:t>
      </w:r>
    </w:p>
    <w:p w14:paraId="7BBA0A29" w14:textId="1274B554" w:rsidR="0006117A" w:rsidRPr="008377C9" w:rsidRDefault="0006117A" w:rsidP="0006117A">
      <w:pPr>
        <w:pStyle w:val="Antrat"/>
        <w:jc w:val="both"/>
        <w:rPr>
          <w:b w:val="0"/>
          <w:i/>
          <w:sz w:val="22"/>
          <w:lang w:val="lt-LT"/>
        </w:rPr>
      </w:pPr>
      <w:bookmarkStart w:id="475" w:name="_Toc459646523"/>
      <w:bookmarkStart w:id="476" w:name="_Toc507939235"/>
      <w:r w:rsidRPr="008377C9">
        <w:rPr>
          <w:b w:val="0"/>
          <w:i/>
          <w:lang w:val="lt-LT"/>
        </w:rPr>
        <w:lastRenderedPageBreak/>
        <w:t xml:space="preserve">Lentelė </w:t>
      </w:r>
      <w:r w:rsidRPr="008377C9">
        <w:rPr>
          <w:b w:val="0"/>
          <w:i/>
          <w:lang w:val="lt-LT"/>
        </w:rPr>
        <w:fldChar w:fldCharType="begin"/>
      </w:r>
      <w:r w:rsidRPr="008377C9">
        <w:rPr>
          <w:b w:val="0"/>
          <w:i/>
          <w:lang w:val="lt-LT"/>
        </w:rPr>
        <w:instrText xml:space="preserve"> SEQ Lentelė \* ARABIC </w:instrText>
      </w:r>
      <w:r w:rsidRPr="008377C9">
        <w:rPr>
          <w:b w:val="0"/>
          <w:i/>
          <w:lang w:val="lt-LT"/>
        </w:rPr>
        <w:fldChar w:fldCharType="separate"/>
      </w:r>
      <w:r w:rsidR="009652A6">
        <w:rPr>
          <w:b w:val="0"/>
          <w:i/>
          <w:noProof/>
          <w:lang w:val="lt-LT"/>
        </w:rPr>
        <w:t>113</w:t>
      </w:r>
      <w:r w:rsidRPr="008377C9">
        <w:rPr>
          <w:b w:val="0"/>
          <w:i/>
          <w:lang w:val="lt-LT"/>
        </w:rPr>
        <w:fldChar w:fldCharType="end"/>
      </w:r>
      <w:r w:rsidRPr="008377C9">
        <w:rPr>
          <w:b w:val="0"/>
          <w:i/>
          <w:lang w:val="lt-LT"/>
        </w:rPr>
        <w:t xml:space="preserve">. </w:t>
      </w:r>
      <w:r w:rsidRPr="008377C9">
        <w:rPr>
          <w:b w:val="0"/>
          <w:i/>
          <w:szCs w:val="20"/>
          <w:lang w:val="lt-LT"/>
        </w:rPr>
        <w:t xml:space="preserve">Tikėtini </w:t>
      </w:r>
      <w:r w:rsidRPr="008377C9">
        <w:rPr>
          <w:rFonts w:eastAsia="Times New Roman"/>
          <w:b w:val="0"/>
          <w:i/>
          <w:szCs w:val="20"/>
          <w:lang w:val="lt-LT" w:eastAsia="lt-LT"/>
        </w:rPr>
        <w:t xml:space="preserve">savivaldybių pastatų modernizacijos </w:t>
      </w:r>
      <w:r w:rsidRPr="008377C9">
        <w:rPr>
          <w:b w:val="0"/>
          <w:i/>
          <w:szCs w:val="20"/>
          <w:lang w:val="lt-LT"/>
        </w:rPr>
        <w:t>energijos sutaupymo ir taršos mažinimo rezultatai</w:t>
      </w:r>
      <w:bookmarkEnd w:id="475"/>
      <w:bookmarkEnd w:id="476"/>
    </w:p>
    <w:tbl>
      <w:tblPr>
        <w:tblStyle w:val="LightList-Accent21"/>
        <w:tblW w:w="5000" w:type="pct"/>
        <w:tblLook w:val="04A0" w:firstRow="1" w:lastRow="0" w:firstColumn="1" w:lastColumn="0" w:noHBand="0" w:noVBand="1"/>
      </w:tblPr>
      <w:tblGrid>
        <w:gridCol w:w="3213"/>
        <w:gridCol w:w="3304"/>
        <w:gridCol w:w="3365"/>
      </w:tblGrid>
      <w:tr w:rsidR="0006117A" w:rsidRPr="00467B8E" w14:paraId="11B7B150" w14:textId="77777777" w:rsidTr="008377C9">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pct"/>
            <w:hideMark/>
          </w:tcPr>
          <w:p w14:paraId="2B24AF92" w14:textId="77777777" w:rsidR="0006117A" w:rsidRPr="00467B8E" w:rsidRDefault="0006117A" w:rsidP="007E38FC">
            <w:pPr>
              <w:keepNext/>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0" w:type="pct"/>
            <w:hideMark/>
          </w:tcPr>
          <w:p w14:paraId="39704470" w14:textId="77777777" w:rsidR="0006117A" w:rsidRPr="00467B8E" w:rsidRDefault="0006117A" w:rsidP="007E38FC">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0" w:type="pct"/>
            <w:hideMark/>
          </w:tcPr>
          <w:p w14:paraId="22FE52B5" w14:textId="77777777" w:rsidR="0006117A" w:rsidRPr="00467B8E" w:rsidRDefault="0006117A" w:rsidP="007E38FC">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r w:rsidRPr="00467B8E">
              <w:rPr>
                <w:rStyle w:val="Puslapioinaosnuoroda"/>
                <w:rFonts w:ascii="Georgia" w:eastAsia="Times New Roman" w:hAnsi="Georgia" w:cs="Arial"/>
                <w:sz w:val="20"/>
                <w:lang w:eastAsia="lt-LT"/>
              </w:rPr>
              <w:footnoteReference w:id="204"/>
            </w:r>
          </w:p>
        </w:tc>
      </w:tr>
      <w:tr w:rsidR="0006117A" w:rsidRPr="00A90CB3" w14:paraId="34BFDFC2" w14:textId="77777777" w:rsidTr="008377C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pct"/>
            <w:hideMark/>
          </w:tcPr>
          <w:p w14:paraId="4F1A0F72" w14:textId="77777777" w:rsidR="0006117A" w:rsidRPr="002A2E90" w:rsidRDefault="0006117A" w:rsidP="007E38FC">
            <w:pPr>
              <w:rPr>
                <w:rFonts w:ascii="Georgia" w:eastAsia="Times New Roman" w:hAnsi="Georgia" w:cs="Arial"/>
                <w:color w:val="000000"/>
                <w:sz w:val="20"/>
                <w:lang w:eastAsia="lt-LT"/>
              </w:rPr>
            </w:pPr>
            <w:r w:rsidRPr="002A2E90">
              <w:rPr>
                <w:rFonts w:ascii="Georgia" w:eastAsia="Times New Roman" w:hAnsi="Georgia" w:cs="Arial"/>
                <w:color w:val="000000"/>
                <w:sz w:val="20"/>
                <w:lang w:eastAsia="lt-LT"/>
              </w:rPr>
              <w:t>Metinis sutaupytos energijos kiekis (iki 2023 m.)</w:t>
            </w:r>
          </w:p>
        </w:tc>
        <w:tc>
          <w:tcPr>
            <w:tcW w:w="0" w:type="pct"/>
            <w:noWrap/>
            <w:hideMark/>
          </w:tcPr>
          <w:p w14:paraId="35CF69E6" w14:textId="77777777" w:rsidR="0006117A" w:rsidRPr="002A2E90"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A2E90">
              <w:rPr>
                <w:rFonts w:ascii="Georgia" w:eastAsia="Times New Roman" w:hAnsi="Georgia" w:cs="Arial"/>
                <w:bCs/>
                <w:color w:val="000000"/>
                <w:sz w:val="20"/>
                <w:lang w:eastAsia="lt-LT"/>
              </w:rPr>
              <w:t>GWh</w:t>
            </w:r>
          </w:p>
        </w:tc>
        <w:tc>
          <w:tcPr>
            <w:tcW w:w="0" w:type="pct"/>
            <w:noWrap/>
            <w:hideMark/>
          </w:tcPr>
          <w:p w14:paraId="711E5C17" w14:textId="77777777" w:rsidR="0006117A" w:rsidRPr="002A2E90" w:rsidRDefault="0006117A" w:rsidP="007E38F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2A2E90">
              <w:rPr>
                <w:rFonts w:ascii="Georgia" w:eastAsia="Times New Roman" w:hAnsi="Georgia" w:cs="Arial"/>
                <w:bCs/>
                <w:color w:val="000000"/>
                <w:sz w:val="20"/>
                <w:lang w:eastAsia="lt-LT"/>
              </w:rPr>
              <w:t xml:space="preserve">28,7-30,2    </w:t>
            </w:r>
          </w:p>
        </w:tc>
      </w:tr>
      <w:tr w:rsidR="0006117A" w:rsidRPr="00A90CB3" w14:paraId="523E508D" w14:textId="77777777" w:rsidTr="008377C9">
        <w:trPr>
          <w:trHeight w:val="615"/>
        </w:trPr>
        <w:tc>
          <w:tcPr>
            <w:cnfStyle w:val="001000000000" w:firstRow="0" w:lastRow="0" w:firstColumn="1" w:lastColumn="0" w:oddVBand="0" w:evenVBand="0" w:oddHBand="0" w:evenHBand="0" w:firstRowFirstColumn="0" w:firstRowLastColumn="0" w:lastRowFirstColumn="0" w:lastRowLastColumn="0"/>
            <w:tcW w:w="0" w:type="pct"/>
            <w:hideMark/>
          </w:tcPr>
          <w:p w14:paraId="3FF7E3A1" w14:textId="77777777" w:rsidR="0006117A" w:rsidRPr="002A2E90" w:rsidRDefault="0006117A" w:rsidP="007E38FC">
            <w:pPr>
              <w:rPr>
                <w:rFonts w:ascii="Georgia" w:eastAsia="Times New Roman" w:hAnsi="Georgia" w:cs="Arial"/>
                <w:color w:val="000000"/>
                <w:sz w:val="20"/>
                <w:lang w:eastAsia="lt-LT"/>
              </w:rPr>
            </w:pPr>
            <w:r w:rsidRPr="002A2E90">
              <w:rPr>
                <w:rFonts w:ascii="Georgia" w:eastAsia="Times New Roman" w:hAnsi="Georgia" w:cs="Arial"/>
                <w:color w:val="000000"/>
                <w:sz w:val="20"/>
                <w:lang w:eastAsia="lt-LT"/>
              </w:rPr>
              <w:t>Metinis išmetamųjų ŠESD kiekio sumažinimas (iki 2022 m.)</w:t>
            </w:r>
          </w:p>
        </w:tc>
        <w:tc>
          <w:tcPr>
            <w:tcW w:w="0" w:type="pct"/>
            <w:noWrap/>
            <w:hideMark/>
          </w:tcPr>
          <w:p w14:paraId="23E45C46" w14:textId="77777777" w:rsidR="0006117A" w:rsidRPr="002A2E90"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A2E90">
              <w:rPr>
                <w:rFonts w:ascii="Georgia" w:eastAsia="Times New Roman" w:hAnsi="Georgia" w:cs="Arial"/>
                <w:bCs/>
                <w:color w:val="000000"/>
                <w:sz w:val="20"/>
                <w:lang w:eastAsia="lt-LT"/>
              </w:rPr>
              <w:t>tūkst. t CO2 ekv.</w:t>
            </w:r>
          </w:p>
        </w:tc>
        <w:tc>
          <w:tcPr>
            <w:tcW w:w="0" w:type="pct"/>
            <w:noWrap/>
            <w:hideMark/>
          </w:tcPr>
          <w:p w14:paraId="0AB4B988" w14:textId="77777777" w:rsidR="0006117A" w:rsidRPr="002A2E90" w:rsidRDefault="0006117A" w:rsidP="007E38F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2A2E90">
              <w:rPr>
                <w:rFonts w:ascii="Georgia" w:eastAsia="Times New Roman" w:hAnsi="Georgia" w:cs="Arial"/>
                <w:bCs/>
                <w:color w:val="000000"/>
                <w:sz w:val="20"/>
                <w:lang w:eastAsia="lt-LT"/>
              </w:rPr>
              <w:t>6,7-7,0</w:t>
            </w:r>
          </w:p>
        </w:tc>
      </w:tr>
    </w:tbl>
    <w:p w14:paraId="3BA50944" w14:textId="77777777" w:rsidR="0006117A" w:rsidRPr="0023462D" w:rsidRDefault="0006117A" w:rsidP="0006117A">
      <w:pPr>
        <w:rPr>
          <w:lang w:val="lt-LT"/>
        </w:rPr>
      </w:pPr>
    </w:p>
    <w:p w14:paraId="45613997" w14:textId="77777777" w:rsidR="0006117A" w:rsidRPr="00DF3A8E" w:rsidRDefault="0006117A" w:rsidP="0006117A">
      <w:pPr>
        <w:pStyle w:val="Antrat2"/>
        <w:spacing w:after="240"/>
        <w:rPr>
          <w:lang w:val="lt-LT"/>
        </w:rPr>
      </w:pPr>
      <w:bookmarkStart w:id="477" w:name="_Toc417378469"/>
      <w:bookmarkStart w:id="478" w:name="_Toc25589998"/>
      <w:r>
        <w:rPr>
          <w:lang w:val="lt-LT"/>
        </w:rPr>
        <w:t xml:space="preserve">7.3.7. </w:t>
      </w:r>
      <w:r w:rsidRPr="00DF3A8E">
        <w:rPr>
          <w:lang w:val="lt-LT"/>
        </w:rPr>
        <w:t>Stebėsenos sistemos apibrėžimas</w:t>
      </w:r>
      <w:bookmarkEnd w:id="477"/>
      <w:bookmarkEnd w:id="478"/>
    </w:p>
    <w:p w14:paraId="3DEB1F10"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kad visi energijos efektyvumo tikslai yra pasiekti, o finansinė priemonė įgyvendinama efektyviai įgyvendinta, lėšos naudojamos pagal patikimus finansų principus, svarbu tinkamai reaguojama į rinkos pokyčius ar kitus didelę įtaką darančius veiksnius, lemiančius rezultatų pasiekimą bei būtina apibrėžti tinkamą stebėsenos sistemą finansinės priemonės įgyvendinimui. </w:t>
      </w:r>
    </w:p>
    <w:p w14:paraId="00136E0D" w14:textId="77777777" w:rsidR="0006117A" w:rsidRDefault="0006117A" w:rsidP="0006117A">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14:paraId="047195E9" w14:textId="77777777" w:rsidR="0006117A" w:rsidRDefault="0006117A" w:rsidP="0006117A">
      <w:pPr>
        <w:rPr>
          <w:rFonts w:ascii="Georgia" w:eastAsia="Times New Roman" w:hAnsi="Georgia" w:cs="Times New Roman"/>
          <w:sz w:val="20"/>
          <w:szCs w:val="20"/>
          <w:lang w:val="lt-LT" w:eastAsia="lt-LT"/>
        </w:rPr>
      </w:pPr>
      <w:r w:rsidRPr="004A263A">
        <w:rPr>
          <w:rFonts w:ascii="Georgia" w:eastAsia="Times New Roman" w:hAnsi="Georgia" w:cs="Times New Roman"/>
          <w:noProof/>
          <w:sz w:val="20"/>
          <w:szCs w:val="20"/>
          <w:lang w:val="lt-LT" w:eastAsia="lt-LT"/>
        </w:rPr>
        <mc:AlternateContent>
          <mc:Choice Requires="wpg">
            <w:drawing>
              <wp:inline distT="0" distB="0" distL="0" distR="0" wp14:anchorId="5E23C634" wp14:editId="1D779C2C">
                <wp:extent cx="5838825" cy="914400"/>
                <wp:effectExtent l="0" t="0" r="28575" b="19050"/>
                <wp:docPr id="245" name="Group 260"/>
                <wp:cNvGraphicFramePr/>
                <a:graphic xmlns:a="http://schemas.openxmlformats.org/drawingml/2006/main">
                  <a:graphicData uri="http://schemas.microsoft.com/office/word/2010/wordprocessingGroup">
                    <wpg:wgp>
                      <wpg:cNvGrpSpPr/>
                      <wpg:grpSpPr>
                        <a:xfrm>
                          <a:off x="0" y="0"/>
                          <a:ext cx="5838825" cy="914400"/>
                          <a:chOff x="0" y="0"/>
                          <a:chExt cx="5838825" cy="914400"/>
                        </a:xfrm>
                      </wpg:grpSpPr>
                      <wps:wsp>
                        <wps:cNvPr id="246" name="Text Box 261"/>
                        <wps:cNvSpPr txBox="1"/>
                        <wps:spPr>
                          <a:xfrm>
                            <a:off x="4198716" y="102413"/>
                            <a:ext cx="1640109"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DC8BFC"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Ataskaitos</w:t>
                              </w:r>
                            </w:p>
                            <w:p w14:paraId="18F31173"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Komunikacija</w:t>
                              </w:r>
                            </w:p>
                            <w:p w14:paraId="3FF12685"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62"/>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D63ED"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Rodiklių matavimas</w:t>
                              </w:r>
                            </w:p>
                            <w:p w14:paraId="0D5F7CA7"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Kita informacija ir duomenys</w:t>
                              </w:r>
                            </w:p>
                            <w:p w14:paraId="233DC852"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Right Arrow 263"/>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64"/>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36FC1" w14:textId="77777777" w:rsidR="00133798" w:rsidRPr="003D3348" w:rsidRDefault="00133798" w:rsidP="0006117A">
                              <w:pPr>
                                <w:jc w:val="center"/>
                                <w:rPr>
                                  <w:rFonts w:ascii="Georgia" w:hAnsi="Georgia"/>
                                  <w:b/>
                                  <w:lang w:val="lt-LT"/>
                                </w:rPr>
                              </w:pPr>
                              <w:r w:rsidRPr="003D3348">
                                <w:rPr>
                                  <w:rFonts w:ascii="Georgia" w:hAnsi="Georgia"/>
                                  <w:b/>
                                  <w:lang w:val="lt-LT"/>
                                </w:rPr>
                                <w:t>ANALIZĖ</w:t>
                              </w:r>
                            </w:p>
                            <w:p w14:paraId="35531834" w14:textId="77777777" w:rsidR="00133798" w:rsidRPr="003D3348" w:rsidRDefault="00133798" w:rsidP="0006117A">
                              <w:pPr>
                                <w:jc w:val="center"/>
                                <w:rPr>
                                  <w:rFonts w:ascii="Georgia" w:hAnsi="Georgia"/>
                                  <w:b/>
                                  <w:lang w:val="lt-LT"/>
                                </w:rPr>
                              </w:pPr>
                              <w:r w:rsidRPr="003D3348">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_x0000_s1205" style="width:459.75pt;height:1in;mso-position-horizontal-relative:char;mso-position-vertical-relative:line" coordsize="583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">
                <v:shape id="Text Box 261" o:spid="_x0000_s1206" type="#_x0000_t202" style="position:absolute;left:41987;top:1024;width:1640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qAsMA&#10;AADcAAAADwAAAGRycy9kb3ducmV2LnhtbESPQWsCMRSE74X+h/AKvdVsp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qAsMAAADcAAAADwAAAAAAAAAAAAAAAACYAgAAZHJzL2Rv&#10;d25yZXYueG1sUEsFBgAAAAAEAAQA9QAAAIgDAAAAAA==&#10;" fillcolor="white [3201]" strokeweight=".5pt">
                  <v:textbox>
                    <w:txbxContent>
                      <w:p w14:paraId="25DC8BFC"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Ataskaitos</w:t>
                        </w:r>
                      </w:p>
                      <w:p w14:paraId="18F31173"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Komunikacija</w:t>
                        </w:r>
                      </w:p>
                      <w:p w14:paraId="3FF12685"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Veiksmai</w:t>
                        </w:r>
                      </w:p>
                    </w:txbxContent>
                  </v:textbox>
                </v:shape>
                <v:shape id="Text Box 262" o:spid="_x0000_s1207"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14:paraId="692D63ED"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Rodiklių matavimas</w:t>
                        </w:r>
                      </w:p>
                      <w:p w14:paraId="0D5F7CA7"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Kita informacija ir duomenys</w:t>
                        </w:r>
                      </w:p>
                      <w:p w14:paraId="233DC852" w14:textId="77777777" w:rsidR="00133798" w:rsidRPr="003D3348" w:rsidRDefault="00133798" w:rsidP="0006117A">
                        <w:pPr>
                          <w:pStyle w:val="Sraopastraipa"/>
                          <w:numPr>
                            <w:ilvl w:val="0"/>
                            <w:numId w:val="38"/>
                          </w:numPr>
                          <w:rPr>
                            <w:rFonts w:ascii="Georgia" w:hAnsi="Georgia"/>
                            <w:sz w:val="20"/>
                          </w:rPr>
                        </w:pPr>
                        <w:r w:rsidRPr="003D3348">
                          <w:rPr>
                            <w:rFonts w:ascii="Georgia" w:hAnsi="Georgia"/>
                            <w:sz w:val="20"/>
                            <w:lang w:val="lt-LT"/>
                          </w:rPr>
                          <w:t>Vertinimo ataskaitos</w:t>
                        </w:r>
                      </w:p>
                    </w:txbxContent>
                  </v:textbox>
                </v:shape>
                <v:shape id="Right Arrow 263" o:spid="_x0000_s1208"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pa8MA&#10;AADcAAAADwAAAGRycy9kb3ducmV2LnhtbERPXWvCMBR9H+w/hCv4NlOLE6mmZQqCG4yxbgx9uzTX&#10;pltzU5qo9d8vD4KPh/O9KgbbijP1vnGsYDpJQBBXTjdcK/j+2j4tQPiArLF1TAqu5KHIHx9WmGl3&#10;4U86l6EWMYR9hgpMCF0mpa8MWfQT1xFH7uh6iyHCvpa6x0sMt61Mk2QuLTYcGwx2tDFU/ZUnqwD3&#10;5eHjOnvV6x/5/vxrU2/820Kp8Wh4WYIINIS7+ObeaQXpL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Zpa8MAAADcAAAADwAAAAAAAAAAAAAAAACYAgAAZHJzL2Rv&#10;d25yZXYueG1sUEsFBgAAAAAEAAQA9QAAAIgDAAAAAA==&#10;" adj="19377" fillcolor="#c0504d [3205]" strokecolor="#622423 [1605]" strokeweight="2pt"/>
                <v:shape id="Text Box 264" o:spid="_x0000_s1209"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hy8IA&#10;AADcAAAADwAAAGRycy9kb3ducmV2LnhtbESPQYvCMBSE74L/ITzBm6Yri9hqFBGFetutXrw9mmcb&#10;tnkpTbbWf28WhD0OM/MNs9kNthE9dd44VvAxT0AQl04brhRcL6fZCoQPyBobx6TgSR522/Fog5l2&#10;D/6mvgiViBD2GSqoQ2gzKX1Zk0U/dy1x9O6usxii7CqpO3xEuG3kIkmW0qLhuFBjS4eayp/i1yo4&#10;PfNjPqRf+rY/yxWdy74wRio1nQz7NYhAQ/gPv9u5VrD4TOHv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CHLwgAAANwAAAAPAAAAAAAAAAAAAAAAAJgCAABkcnMvZG93&#10;bnJldi54bWxQSwUGAAAAAAQABAD1AAAAhwMAAAAA&#10;" fillcolor="#ffd03b" strokeweight=".5pt">
                  <v:textbox>
                    <w:txbxContent>
                      <w:p w14:paraId="29336FC1" w14:textId="77777777" w:rsidR="00133798" w:rsidRPr="003D3348" w:rsidRDefault="00133798" w:rsidP="0006117A">
                        <w:pPr>
                          <w:jc w:val="center"/>
                          <w:rPr>
                            <w:rFonts w:ascii="Georgia" w:hAnsi="Georgia"/>
                            <w:b/>
                            <w:lang w:val="lt-LT"/>
                          </w:rPr>
                        </w:pPr>
                        <w:r w:rsidRPr="003D3348">
                          <w:rPr>
                            <w:rFonts w:ascii="Georgia" w:hAnsi="Georgia"/>
                            <w:b/>
                            <w:lang w:val="lt-LT"/>
                          </w:rPr>
                          <w:t>ANALIZĖ</w:t>
                        </w:r>
                      </w:p>
                      <w:p w14:paraId="35531834" w14:textId="77777777" w:rsidR="00133798" w:rsidRPr="003D3348" w:rsidRDefault="00133798" w:rsidP="0006117A">
                        <w:pPr>
                          <w:jc w:val="center"/>
                          <w:rPr>
                            <w:rFonts w:ascii="Georgia" w:hAnsi="Georgia"/>
                            <w:b/>
                            <w:lang w:val="lt-LT"/>
                          </w:rPr>
                        </w:pPr>
                        <w:r w:rsidRPr="003D3348">
                          <w:rPr>
                            <w:rFonts w:ascii="Georgia" w:hAnsi="Georgia"/>
                            <w:b/>
                            <w:lang w:val="lt-LT"/>
                          </w:rPr>
                          <w:t>SPRENDIMŲ PRIĖMIMAS</w:t>
                        </w:r>
                      </w:p>
                    </w:txbxContent>
                  </v:textbox>
                </v:shape>
                <w10:anchorlock/>
              </v:group>
            </w:pict>
          </mc:Fallback>
        </mc:AlternateContent>
      </w:r>
    </w:p>
    <w:p w14:paraId="1490AD11" w14:textId="232B097F" w:rsidR="0006117A" w:rsidRPr="00D4610F" w:rsidRDefault="0006117A" w:rsidP="0006117A">
      <w:pPr>
        <w:pStyle w:val="Antrat"/>
        <w:rPr>
          <w:szCs w:val="20"/>
          <w:lang w:val="lt-LT"/>
        </w:rPr>
      </w:pPr>
      <w:bookmarkStart w:id="479" w:name="_Toc417378352"/>
      <w:bookmarkStart w:id="480" w:name="_Toc507939303"/>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9652A6">
        <w:rPr>
          <w:noProof/>
          <w:lang w:val="lt-LT"/>
        </w:rPr>
        <w:t>44</w:t>
      </w:r>
      <w:r w:rsidRPr="00D4610F">
        <w:rPr>
          <w:lang w:val="lt-LT"/>
        </w:rPr>
        <w:fldChar w:fldCharType="end"/>
      </w:r>
      <w:r w:rsidRPr="00D4610F">
        <w:rPr>
          <w:lang w:val="lt-LT"/>
        </w:rPr>
        <w:t xml:space="preserve">. </w:t>
      </w:r>
      <w:r>
        <w:rPr>
          <w:szCs w:val="20"/>
          <w:lang w:val="lt-LT"/>
        </w:rPr>
        <w:t>Pagrindiniai stebėsenos elementai</w:t>
      </w:r>
      <w:bookmarkEnd w:id="479"/>
      <w:bookmarkEnd w:id="480"/>
    </w:p>
    <w:p w14:paraId="0D4C26C3" w14:textId="77777777" w:rsidR="0006117A" w:rsidRPr="003D3348"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Šie sprendimai gali būti susiję su tolimesniu finansinių priemonių vykdymu, jų koregavimu ar netgi ex ante vertinimo peržiūrėjimu.</w:t>
      </w:r>
    </w:p>
    <w:p w14:paraId="3D77AFFF" w14:textId="77777777" w:rsidR="0006117A" w:rsidRDefault="0006117A" w:rsidP="0006117A">
      <w:pPr>
        <w:jc w:val="both"/>
        <w:rPr>
          <w:rFonts w:ascii="Georgia" w:eastAsia="Times New Roman" w:hAnsi="Georgia" w:cs="Times New Roman"/>
          <w:sz w:val="20"/>
          <w:szCs w:val="20"/>
          <w:lang w:val="lt-LT" w:eastAsia="lt-LT"/>
        </w:rPr>
      </w:pPr>
      <w:r w:rsidRPr="003D3348">
        <w:rPr>
          <w:rFonts w:ascii="Georgia" w:eastAsia="Times New Roman" w:hAnsi="Georgia" w:cs="Times New Roman"/>
          <w:sz w:val="20"/>
          <w:szCs w:val="20"/>
          <w:lang w:val="lt-LT" w:eastAsia="lt-LT"/>
        </w:rPr>
        <w:t>Vadovaujančioji institucija turi užtikrinti, jog finansavimo sutartyje su fondų fondo valdytoju yra aiškiai apibrėžt</w:t>
      </w:r>
      <w:r>
        <w:rPr>
          <w:rFonts w:ascii="Georgia" w:eastAsia="Times New Roman" w:hAnsi="Georgia" w:cs="Times New Roman"/>
          <w:sz w:val="20"/>
          <w:szCs w:val="20"/>
          <w:lang w:val="lt-LT" w:eastAsia="lt-LT"/>
        </w:rPr>
        <w:t>a</w:t>
      </w:r>
      <w:r w:rsidRPr="003D3348">
        <w:rPr>
          <w:rFonts w:ascii="Georgia" w:eastAsia="Times New Roman" w:hAnsi="Georgia" w:cs="Times New Roman"/>
          <w:sz w:val="20"/>
          <w:szCs w:val="20"/>
          <w:lang w:val="lt-LT" w:eastAsia="lt-LT"/>
        </w:rPr>
        <w:t xml:space="preserve"> ataskaitų teikimo</w:t>
      </w:r>
      <w:r>
        <w:rPr>
          <w:rFonts w:ascii="Georgia" w:eastAsia="Times New Roman" w:hAnsi="Georgia" w:cs="Times New Roman"/>
          <w:sz w:val="20"/>
          <w:szCs w:val="20"/>
          <w:lang w:val="lt-LT" w:eastAsia="lt-LT"/>
        </w:rPr>
        <w:t xml:space="preserve"> tvarka.</w:t>
      </w:r>
    </w:p>
    <w:p w14:paraId="33A790EA" w14:textId="237CBE64"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ataskaitų teikimo reikalavimai fondų fondo valdytojui apibrėžti Europos Komisijos Įgyvendinimo reglamente</w:t>
      </w:r>
      <w:r w:rsidR="00131DBD">
        <w:rPr>
          <w:rFonts w:ascii="Georgia" w:eastAsia="Times New Roman" w:hAnsi="Georgia" w:cs="Times New Roman"/>
          <w:sz w:val="20"/>
          <w:szCs w:val="20"/>
          <w:lang w:val="lt-LT" w:eastAsia="lt-LT"/>
        </w:rPr>
        <w:t>Nr. 821/2014</w:t>
      </w:r>
      <w:r>
        <w:rPr>
          <w:rFonts w:ascii="Georgia" w:eastAsia="Times New Roman" w:hAnsi="Georgia" w:cs="Times New Roman"/>
          <w:sz w:val="20"/>
          <w:szCs w:val="20"/>
          <w:lang w:val="lt-LT" w:eastAsia="lt-LT"/>
        </w:rPr>
        <w:t xml:space="preserve">. Tačiau vadovaujančioji institucija gali neapsiriboti Įgyvendinimo reglamento reikalavimais ir siūlomas ataskaitų formas papildyti jai reikalinga informacija, tačiau turi užtikrinti, kad gaunama informacija būtų proporcinga ir neperteklinė. Vadovaujančiosios institucijos ataskaitų teikimo formos tvirtinamos Finansinių priemonių taisyklėse. </w:t>
      </w:r>
    </w:p>
    <w:p w14:paraId="3E6F2904"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Tuo atveju, kai fondų fondo valdytojas pasitelkia finansinius tarpininkus finansinių priemonių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fondų fondo valdytojo atsakomybė. </w:t>
      </w:r>
    </w:p>
    <w:p w14:paraId="49854748"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190C8447" w14:textId="77777777" w:rsidR="0006117A" w:rsidRDefault="0006117A" w:rsidP="0006117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14:paraId="103B5995" w14:textId="77777777" w:rsidR="0006117A" w:rsidRDefault="0006117A" w:rsidP="0006117A">
      <w:pPr>
        <w:pStyle w:val="Sraopastraipa"/>
        <w:numPr>
          <w:ilvl w:val="6"/>
          <w:numId w:val="10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14:paraId="4FE86F09" w14:textId="77777777" w:rsidR="0006117A" w:rsidRDefault="0006117A" w:rsidP="0006117A">
      <w:pPr>
        <w:pStyle w:val="Sraopastraipa"/>
        <w:numPr>
          <w:ilvl w:val="6"/>
          <w:numId w:val="10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Įgyvendinimo ataskaitų formavimas</w:t>
      </w:r>
    </w:p>
    <w:p w14:paraId="22F8982B" w14:textId="77777777" w:rsidR="0006117A" w:rsidRDefault="0006117A" w:rsidP="0006117A">
      <w:pPr>
        <w:pStyle w:val="Sraopastraipa"/>
        <w:numPr>
          <w:ilvl w:val="6"/>
          <w:numId w:val="10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Finansinių ataskaitų formavimas</w:t>
      </w:r>
    </w:p>
    <w:p w14:paraId="35F272AD" w14:textId="77777777" w:rsidR="0006117A" w:rsidRDefault="0006117A" w:rsidP="00F91954">
      <w:pPr>
        <w:jc w:val="both"/>
        <w:rPr>
          <w:rFonts w:ascii="Georgia" w:eastAsia="Times New Roman" w:hAnsi="Georgia" w:cs="Times New Roman"/>
          <w:sz w:val="20"/>
          <w:szCs w:val="20"/>
          <w:lang w:val="lt-LT" w:eastAsia="lt-LT"/>
        </w:rPr>
      </w:pPr>
      <w:r w:rsidRPr="00EC6257">
        <w:rPr>
          <w:rFonts w:ascii="Georgia" w:eastAsia="Times New Roman" w:hAnsi="Georgia" w:cs="Times New Roman"/>
          <w:sz w:val="20"/>
          <w:szCs w:val="20"/>
          <w:lang w:val="lt-LT" w:eastAsia="lt-LT"/>
        </w:rPr>
        <w:t>Tok</w:t>
      </w:r>
      <w:r>
        <w:rPr>
          <w:rFonts w:ascii="Georgia" w:eastAsia="Times New Roman" w:hAnsi="Georgia" w:cs="Times New Roman"/>
          <w:sz w:val="20"/>
          <w:szCs w:val="20"/>
          <w:lang w:val="lt-LT" w:eastAsia="lt-LT"/>
        </w:rPr>
        <w:t>ia</w:t>
      </w:r>
      <w:r w:rsidRPr="00EC6257">
        <w:rPr>
          <w:rFonts w:ascii="Georgia" w:eastAsia="Times New Roman" w:hAnsi="Georgia" w:cs="Times New Roman"/>
          <w:sz w:val="20"/>
          <w:szCs w:val="20"/>
          <w:lang w:val="lt-LT" w:eastAsia="lt-LT"/>
        </w:rPr>
        <w:t xml:space="preserve"> ataskaitų teikimo </w:t>
      </w:r>
      <w:r>
        <w:rPr>
          <w:rFonts w:ascii="Georgia" w:eastAsia="Times New Roman" w:hAnsi="Georgia" w:cs="Times New Roman"/>
          <w:sz w:val="20"/>
          <w:szCs w:val="20"/>
          <w:lang w:val="lt-LT" w:eastAsia="lt-LT"/>
        </w:rPr>
        <w:t>tvarka</w:t>
      </w:r>
      <w:r w:rsidRPr="00EC6257">
        <w:rPr>
          <w:rFonts w:ascii="Georgia" w:eastAsia="Times New Roman" w:hAnsi="Georgia" w:cs="Times New Roman"/>
          <w:sz w:val="20"/>
          <w:szCs w:val="20"/>
          <w:lang w:val="lt-LT" w:eastAsia="lt-LT"/>
        </w:rPr>
        <w:t xml:space="preserve"> leidžia užtikrinti, kad prieinami duomenys yra tikslūs ir atspindi realią situaciją, </w:t>
      </w:r>
      <w:r>
        <w:rPr>
          <w:rFonts w:ascii="Georgia" w:eastAsia="Times New Roman" w:hAnsi="Georgia" w:cs="Times New Roman"/>
          <w:sz w:val="20"/>
          <w:szCs w:val="20"/>
          <w:lang w:val="lt-LT" w:eastAsia="lt-LT"/>
        </w:rPr>
        <w:t xml:space="preserve">todėl </w:t>
      </w:r>
      <w:r w:rsidRPr="00EC6257">
        <w:rPr>
          <w:rFonts w:ascii="Georgia" w:eastAsia="Times New Roman" w:hAnsi="Georgia" w:cs="Times New Roman"/>
          <w:sz w:val="20"/>
          <w:szCs w:val="20"/>
          <w:lang w:val="lt-LT" w:eastAsia="lt-LT"/>
        </w:rPr>
        <w:t xml:space="preserve">šių duomenų pagrindu </w:t>
      </w:r>
      <w:r>
        <w:rPr>
          <w:rFonts w:ascii="Georgia" w:eastAsia="Times New Roman" w:hAnsi="Georgia" w:cs="Times New Roman"/>
          <w:sz w:val="20"/>
          <w:szCs w:val="20"/>
          <w:lang w:val="lt-LT" w:eastAsia="lt-LT"/>
        </w:rPr>
        <w:t>parengtos</w:t>
      </w:r>
      <w:r w:rsidRPr="00EC6257">
        <w:rPr>
          <w:rFonts w:ascii="Georgia" w:eastAsia="Times New Roman" w:hAnsi="Georgia" w:cs="Times New Roman"/>
          <w:sz w:val="20"/>
          <w:szCs w:val="20"/>
          <w:lang w:val="lt-LT" w:eastAsia="lt-LT"/>
        </w:rPr>
        <w:t xml:space="preserve"> pažangos ataskaitos </w:t>
      </w:r>
      <w:r>
        <w:rPr>
          <w:rFonts w:ascii="Georgia" w:eastAsia="Times New Roman" w:hAnsi="Georgia" w:cs="Times New Roman"/>
          <w:sz w:val="20"/>
          <w:szCs w:val="20"/>
          <w:lang w:val="lt-LT" w:eastAsia="lt-LT"/>
        </w:rPr>
        <w:t>bus</w:t>
      </w:r>
      <w:r w:rsidRPr="00EC6257">
        <w:rPr>
          <w:rFonts w:ascii="Georgia" w:eastAsia="Times New Roman" w:hAnsi="Georgia" w:cs="Times New Roman"/>
          <w:sz w:val="20"/>
          <w:szCs w:val="20"/>
          <w:lang w:val="lt-LT" w:eastAsia="lt-LT"/>
        </w:rPr>
        <w:t xml:space="preserve"> teisingos ir galiausiai lei</w:t>
      </w:r>
      <w:r>
        <w:rPr>
          <w:rFonts w:ascii="Georgia" w:eastAsia="Times New Roman" w:hAnsi="Georgia" w:cs="Times New Roman"/>
          <w:sz w:val="20"/>
          <w:szCs w:val="20"/>
          <w:lang w:val="lt-LT" w:eastAsia="lt-LT"/>
        </w:rPr>
        <w:t>s</w:t>
      </w:r>
      <w:r w:rsidRPr="00EC6257">
        <w:rPr>
          <w:rFonts w:ascii="Georgia" w:eastAsia="Times New Roman" w:hAnsi="Georgia" w:cs="Times New Roman"/>
          <w:sz w:val="20"/>
          <w:szCs w:val="20"/>
          <w:lang w:val="lt-LT" w:eastAsia="lt-LT"/>
        </w:rPr>
        <w:t xml:space="preserve"> užtikrinti finansinį lėšų naudojimo teisingumą.</w:t>
      </w:r>
    </w:p>
    <w:p w14:paraId="3B747C3A" w14:textId="6BBE4325" w:rsidR="00231758" w:rsidRPr="002142B8" w:rsidRDefault="00231758">
      <w:pPr>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br w:type="page"/>
      </w:r>
    </w:p>
    <w:p w14:paraId="15DEC2B3" w14:textId="77777777" w:rsidR="008263A8" w:rsidRDefault="008263A8" w:rsidP="00B21367">
      <w:pPr>
        <w:pStyle w:val="Antrat1"/>
        <w:numPr>
          <w:ilvl w:val="0"/>
          <w:numId w:val="19"/>
        </w:numPr>
        <w:ind w:hanging="720"/>
        <w:rPr>
          <w:lang w:val="lt-LT"/>
        </w:rPr>
      </w:pPr>
      <w:bookmarkStart w:id="481" w:name="_Toc25589999"/>
      <w:r>
        <w:rPr>
          <w:lang w:val="lt-LT"/>
        </w:rPr>
        <w:lastRenderedPageBreak/>
        <w:t>Ataskaitos pabaiga</w:t>
      </w:r>
      <w:bookmarkEnd w:id="481"/>
      <w:r>
        <w:rPr>
          <w:lang w:val="lt-LT"/>
        </w:rPr>
        <w:t xml:space="preserve"> </w:t>
      </w:r>
    </w:p>
    <w:p w14:paraId="7A617B97" w14:textId="65C1A3D3" w:rsidR="0064285C" w:rsidRPr="008263A8" w:rsidRDefault="0064285C" w:rsidP="008263A8">
      <w:pPr>
        <w:pStyle w:val="Antrat1"/>
        <w:numPr>
          <w:ilvl w:val="1"/>
          <w:numId w:val="19"/>
        </w:numPr>
        <w:rPr>
          <w:sz w:val="32"/>
          <w:szCs w:val="32"/>
          <w:lang w:val="lt-LT"/>
        </w:rPr>
      </w:pPr>
      <w:bookmarkStart w:id="482" w:name="_Toc25590000"/>
      <w:r w:rsidRPr="008263A8">
        <w:rPr>
          <w:sz w:val="32"/>
          <w:szCs w:val="32"/>
          <w:lang w:val="lt-LT"/>
        </w:rPr>
        <w:t>Nuostatos e</w:t>
      </w:r>
      <w:r w:rsidR="00300FF4" w:rsidRPr="008263A8">
        <w:rPr>
          <w:sz w:val="32"/>
          <w:szCs w:val="32"/>
          <w:lang w:val="lt-LT"/>
        </w:rPr>
        <w:t>x-ante</w:t>
      </w:r>
      <w:r w:rsidRPr="008263A8">
        <w:rPr>
          <w:sz w:val="32"/>
          <w:szCs w:val="32"/>
          <w:lang w:val="lt-LT"/>
        </w:rPr>
        <w:t xml:space="preserve"> vertinimo peržiūrėjimui</w:t>
      </w:r>
      <w:bookmarkEnd w:id="482"/>
      <w:r w:rsidRPr="008263A8">
        <w:rPr>
          <w:sz w:val="32"/>
          <w:szCs w:val="32"/>
          <w:lang w:val="lt-LT"/>
        </w:rPr>
        <w:t xml:space="preserve"> </w:t>
      </w:r>
    </w:p>
    <w:p w14:paraId="392B9325" w14:textId="77777777" w:rsidR="00592921" w:rsidRPr="00592921" w:rsidRDefault="00592921" w:rsidP="00592921">
      <w:pPr>
        <w:rPr>
          <w:lang w:val="lt-LT"/>
        </w:rPr>
      </w:pPr>
    </w:p>
    <w:p w14:paraId="2956775E" w14:textId="0B60724F" w:rsidR="00A04C05" w:rsidRPr="002142B8" w:rsidRDefault="00A04C05" w:rsidP="00A04C05">
      <w:pPr>
        <w:jc w:val="both"/>
        <w:rPr>
          <w:rFonts w:ascii="Georgia" w:eastAsia="Times New Roman" w:hAnsi="Georgia" w:cs="Times New Roman"/>
          <w:sz w:val="20"/>
          <w:szCs w:val="20"/>
          <w:lang w:val="lt-LT" w:eastAsia="lt-LT"/>
        </w:rPr>
      </w:pPr>
      <w:r w:rsidRPr="002142B8">
        <w:rPr>
          <w:rFonts w:ascii="Georgia" w:eastAsia="Times New Roman" w:hAnsi="Georgia" w:cs="Times New Roman"/>
          <w:sz w:val="20"/>
          <w:szCs w:val="20"/>
          <w:lang w:val="lt-LT" w:eastAsia="lt-LT"/>
        </w:rPr>
        <w:t>Siekiant užtikrinti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vertinimo tinkamą naudojimą finansinių priemonių įgyvendinimui, ir, svarbiausia – atitikimą esamai situacijai rinkoje,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vertinimo pabaigoje turi būti numatytos nuostatos ir atvejai, skirti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vertinimo peržiūrėjimui ir keitimui. Tai pažymi esminius faktorius, kurių pasikeitimą reikėtų įvertinti ir apsispręsti, ar veikianti finansinė priemonė vis dar atitinka rinkos situaciją ir yra tinkama. Jeigu nustatoma, kad finansinė priemonė nebeatitinka esamos rinkos situacijos, nedemonstruoja gerų rezultatų,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vertinimas gali būti koreguojamas ir taip sukuriamas pagrindas modifikuoti finansinę priemonę. </w:t>
      </w:r>
    </w:p>
    <w:p w14:paraId="752E23B7" w14:textId="0E0DFF1E" w:rsidR="00A04C05" w:rsidRPr="002142B8" w:rsidRDefault="00A04C05" w:rsidP="00A04C05">
      <w:pPr>
        <w:jc w:val="both"/>
        <w:rPr>
          <w:rFonts w:ascii="Georgia" w:hAnsi="Georgia"/>
          <w:sz w:val="20"/>
          <w:szCs w:val="20"/>
          <w:lang w:val="lt-LT"/>
        </w:rPr>
      </w:pPr>
      <w:r w:rsidRPr="002142B8">
        <w:rPr>
          <w:rFonts w:ascii="Georgia" w:eastAsia="Times New Roman" w:hAnsi="Georgia" w:cs="Times New Roman"/>
          <w:sz w:val="20"/>
          <w:szCs w:val="20"/>
          <w:lang w:val="lt-LT" w:eastAsia="lt-LT"/>
        </w:rPr>
        <w:t>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vertinimą rekomenduojama peržiūrėti pasikeitus šiems faktoriams:</w:t>
      </w:r>
    </w:p>
    <w:p w14:paraId="061D2A21" w14:textId="1EC9E13F"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Reikšmingai pasikeitus prielaidoms, kuriomis remiantis buvo atliekami skaičiavimai šioje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kadangi dėl to gali būti nepasiekiami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vertinime apskaičiuoti rezultatai: </w:t>
      </w:r>
    </w:p>
    <w:p w14:paraId="27E5F733" w14:textId="77777777" w:rsidR="00A04C05" w:rsidRPr="002142B8" w:rsidRDefault="00A04C05" w:rsidP="00162BF5">
      <w:pPr>
        <w:pStyle w:val="Sraopastraipa"/>
        <w:numPr>
          <w:ilvl w:val="1"/>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Reikšmingai pasikeitus šilumos energijos kainai. Žymus energijos kainos pasikeitimas daro įtaką projektų atsipirkimo laikui ir subsidijos poreikį. Šio elemento derinimas turi būti vertinamas kartu su įgyvendinamų projektų skaičiumi ir turimų laisvų lėšų suma;</w:t>
      </w:r>
    </w:p>
    <w:p w14:paraId="3C4936BF" w14:textId="77777777" w:rsidR="00A04C05" w:rsidRPr="002142B8" w:rsidRDefault="00A04C05" w:rsidP="00162BF5">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reikšmingai pasikeitus renovacijos kainai (1 kv. m. renovacijos kaina);</w:t>
      </w:r>
    </w:p>
    <w:p w14:paraId="5FC60158" w14:textId="77777777" w:rsidR="00A04C05" w:rsidRPr="002142B8" w:rsidRDefault="00A04C05" w:rsidP="00162BF5">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pasikeitus energetinio efektyvumo reikalavimams ir tikslams;</w:t>
      </w:r>
    </w:p>
    <w:p w14:paraId="4A2E8381" w14:textId="41D2E615" w:rsidR="00A04C05" w:rsidRPr="002142B8" w:rsidRDefault="00A04C05" w:rsidP="00162BF5">
      <w:pPr>
        <w:pStyle w:val="Sraopastraipa"/>
        <w:numPr>
          <w:ilvl w:val="1"/>
          <w:numId w:val="41"/>
        </w:numPr>
        <w:jc w:val="both"/>
        <w:rPr>
          <w:rFonts w:ascii="Georgia" w:hAnsi="Georgia"/>
          <w:sz w:val="20"/>
          <w:szCs w:val="20"/>
          <w:lang w:val="lt-LT"/>
        </w:rPr>
      </w:pPr>
      <w:r w:rsidRPr="002142B8">
        <w:rPr>
          <w:rFonts w:ascii="Georgia" w:hAnsi="Georgia"/>
          <w:sz w:val="20"/>
          <w:szCs w:val="20"/>
          <w:lang w:val="lt-LT"/>
        </w:rPr>
        <w:t>reikšmingai pasikeitus kitoms šioje e</w:t>
      </w:r>
      <w:r w:rsidR="00300FF4" w:rsidRPr="002142B8">
        <w:rPr>
          <w:rFonts w:ascii="Georgia" w:hAnsi="Georgia"/>
          <w:sz w:val="20"/>
          <w:szCs w:val="20"/>
          <w:lang w:val="lt-LT"/>
        </w:rPr>
        <w:t>x-ante</w:t>
      </w:r>
      <w:r w:rsidRPr="002142B8">
        <w:rPr>
          <w:rFonts w:ascii="Georgia" w:hAnsi="Georgia"/>
          <w:sz w:val="20"/>
          <w:szCs w:val="20"/>
          <w:lang w:val="lt-LT"/>
        </w:rPr>
        <w:t xml:space="preserve"> numatytoms prielaidoms.</w:t>
      </w:r>
    </w:p>
    <w:p w14:paraId="10F38487" w14:textId="47F1A9B9" w:rsidR="00932EB1" w:rsidRPr="002142B8" w:rsidRDefault="00932EB1"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 xml:space="preserve">Pasikeitus prielaidoms dėl subsidijos projekto daliai finansuoti tikslingumo. </w:t>
      </w:r>
    </w:p>
    <w:p w14:paraId="692FF34D" w14:textId="52D1964F"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Įgyvendinant e</w:t>
      </w:r>
      <w:r w:rsidR="00300FF4" w:rsidRPr="002142B8">
        <w:rPr>
          <w:rFonts w:ascii="Georgia" w:eastAsia="Times New Roman" w:hAnsi="Georgia" w:cs="Times New Roman"/>
          <w:sz w:val="20"/>
          <w:szCs w:val="20"/>
          <w:lang w:val="lt-LT" w:eastAsia="lt-LT"/>
        </w:rPr>
        <w:t>x-ante</w:t>
      </w:r>
      <w:r w:rsidRPr="002142B8">
        <w:rPr>
          <w:rFonts w:ascii="Georgia" w:eastAsia="Times New Roman" w:hAnsi="Georgia" w:cs="Times New Roman"/>
          <w:sz w:val="20"/>
          <w:szCs w:val="20"/>
          <w:lang w:val="lt-LT" w:eastAsia="lt-LT"/>
        </w:rPr>
        <w:t xml:space="preserve"> vertinime pasiūlytas finansines priemones susiduriama su reikšmingomis teisinėmis kliūtimis ar prieštaravimais, kurie iš esmės neleidžia įgyvendinti pasiūlytų alternatyvų.</w:t>
      </w:r>
    </w:p>
    <w:p w14:paraId="6F95BD04" w14:textId="77777777" w:rsidR="00807B2D" w:rsidRPr="002142B8" w:rsidRDefault="00807B2D" w:rsidP="00162BF5">
      <w:pPr>
        <w:pStyle w:val="Sraopastraipa"/>
        <w:numPr>
          <w:ilvl w:val="0"/>
          <w:numId w:val="41"/>
        </w:numPr>
        <w:jc w:val="both"/>
        <w:rPr>
          <w:rFonts w:ascii="Georgia" w:hAnsi="Georgia"/>
          <w:sz w:val="20"/>
          <w:szCs w:val="20"/>
          <w:lang w:val="lt-LT"/>
        </w:rPr>
      </w:pPr>
      <w:r w:rsidRPr="002142B8">
        <w:rPr>
          <w:rFonts w:ascii="Georgia" w:eastAsia="Times New Roman" w:hAnsi="Georgia" w:cs="Times New Roman"/>
          <w:sz w:val="20"/>
          <w:szCs w:val="20"/>
          <w:lang w:val="lt-LT" w:eastAsia="lt-LT"/>
        </w:rPr>
        <w:t>Pakeitus ar papildžius energetinio efektyvumo reikalavimų teisinę bazę.</w:t>
      </w:r>
    </w:p>
    <w:p w14:paraId="5E813FCE" w14:textId="77777777"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Lietuvos ar ES teisės aktams, kurie suvaržo siūlomų finansinių priemonių įgyvendinimą.</w:t>
      </w:r>
    </w:p>
    <w:p w14:paraId="1F79BDB2" w14:textId="01E2D67D"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 xml:space="preserve">Pasikeitus Lietuvos ar ES teisės aktams, kurie atveria galimybes įgyvendinti finansines priemones lengviau, paprasčiau, patiriant mažiau </w:t>
      </w:r>
      <w:r w:rsidR="00592921">
        <w:rPr>
          <w:rFonts w:ascii="Georgia" w:hAnsi="Georgia"/>
          <w:sz w:val="20"/>
          <w:szCs w:val="20"/>
          <w:lang w:val="lt-LT"/>
        </w:rPr>
        <w:t>sąnaudų</w:t>
      </w:r>
      <w:r w:rsidRPr="002142B8">
        <w:rPr>
          <w:rFonts w:ascii="Georgia" w:hAnsi="Georgia"/>
          <w:sz w:val="20"/>
          <w:szCs w:val="20"/>
          <w:lang w:val="lt-LT"/>
        </w:rPr>
        <w:t xml:space="preserve"> ir pan. (pavyzdžiui, EK patvirtina naujas standartizuotas finansines priemones (angl. </w:t>
      </w:r>
      <w:r w:rsidRPr="002142B8">
        <w:rPr>
          <w:rFonts w:ascii="Georgia" w:hAnsi="Georgia"/>
          <w:i/>
          <w:sz w:val="20"/>
          <w:szCs w:val="20"/>
          <w:lang w:val="lt-LT"/>
        </w:rPr>
        <w:t>off-the-shelf instruments</w:t>
      </w:r>
      <w:r w:rsidRPr="002142B8">
        <w:rPr>
          <w:rFonts w:ascii="Georgia" w:hAnsi="Georgia"/>
          <w:sz w:val="20"/>
          <w:szCs w:val="20"/>
          <w:lang w:val="lt-LT"/>
        </w:rPr>
        <w:t>).</w:t>
      </w:r>
    </w:p>
    <w:p w14:paraId="1C6F12CF" w14:textId="77777777"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strateginiams Lietuvos tikslams ir uždaviniams, siektiniems rezultatams ir pan.</w:t>
      </w:r>
    </w:p>
    <w:p w14:paraId="6C314B11" w14:textId="69DFB6DE"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Vadovaujančiai institucijai nurodžius papildyti e</w:t>
      </w:r>
      <w:r w:rsidR="00300FF4" w:rsidRPr="002142B8">
        <w:rPr>
          <w:rFonts w:ascii="Georgia" w:hAnsi="Georgia"/>
          <w:sz w:val="20"/>
          <w:szCs w:val="20"/>
          <w:lang w:val="lt-LT"/>
        </w:rPr>
        <w:t>x-ante</w:t>
      </w:r>
      <w:r w:rsidRPr="002142B8">
        <w:rPr>
          <w:rFonts w:ascii="Georgia" w:hAnsi="Georgia"/>
          <w:sz w:val="20"/>
          <w:szCs w:val="20"/>
          <w:lang w:val="lt-LT"/>
        </w:rPr>
        <w:t xml:space="preserve"> vertinimą tokiu atveju, kai e</w:t>
      </w:r>
      <w:r w:rsidR="00300FF4" w:rsidRPr="002142B8">
        <w:rPr>
          <w:rFonts w:ascii="Georgia" w:hAnsi="Georgia"/>
          <w:sz w:val="20"/>
          <w:szCs w:val="20"/>
          <w:lang w:val="lt-LT"/>
        </w:rPr>
        <w:t>x-ante</w:t>
      </w:r>
      <w:r w:rsidRPr="002142B8">
        <w:rPr>
          <w:rFonts w:ascii="Georgia" w:hAnsi="Georgia"/>
          <w:sz w:val="20"/>
          <w:szCs w:val="20"/>
          <w:lang w:val="lt-LT"/>
        </w:rPr>
        <w:t xml:space="preserve"> pildoma dalimis, arba vadovaujančiai institucijai ir kitoms suinteresuotoms šalims argumentuotai pagrindus, kodėl yra reikalingas e</w:t>
      </w:r>
      <w:r w:rsidR="00300FF4" w:rsidRPr="002142B8">
        <w:rPr>
          <w:rFonts w:ascii="Georgia" w:hAnsi="Georgia"/>
          <w:sz w:val="20"/>
          <w:szCs w:val="20"/>
          <w:lang w:val="lt-LT"/>
        </w:rPr>
        <w:t>x-ante</w:t>
      </w:r>
      <w:r w:rsidRPr="002142B8">
        <w:rPr>
          <w:rFonts w:ascii="Georgia" w:hAnsi="Georgia"/>
          <w:sz w:val="20"/>
          <w:szCs w:val="20"/>
          <w:lang w:val="lt-LT"/>
        </w:rPr>
        <w:t xml:space="preserve"> vertinimo pakeitimas. </w:t>
      </w:r>
    </w:p>
    <w:p w14:paraId="3A19AA09" w14:textId="77777777"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Išnaudojus, arba išnaudojus didžiąją dalį (pvz. daugiau kaip 90 proc.) atskiroms sritims skirtų ESI fondų lėšų.</w:t>
      </w:r>
    </w:p>
    <w:p w14:paraId="059CF39D" w14:textId="462ED3B4" w:rsidR="00A04C05" w:rsidRPr="002142B8" w:rsidRDefault="00592921" w:rsidP="00162BF5">
      <w:pPr>
        <w:pStyle w:val="Sraopastraipa"/>
        <w:numPr>
          <w:ilvl w:val="0"/>
          <w:numId w:val="41"/>
        </w:numPr>
        <w:jc w:val="both"/>
        <w:rPr>
          <w:rFonts w:ascii="Georgia" w:hAnsi="Georgia"/>
          <w:sz w:val="20"/>
          <w:szCs w:val="20"/>
          <w:lang w:val="lt-LT"/>
        </w:rPr>
      </w:pPr>
      <w:r>
        <w:rPr>
          <w:rFonts w:ascii="Georgia" w:hAnsi="Georgia"/>
          <w:sz w:val="20"/>
          <w:szCs w:val="20"/>
          <w:lang w:val="lt-LT"/>
        </w:rPr>
        <w:t>Nustačius riziką</w:t>
      </w:r>
      <w:r w:rsidR="00A04C05" w:rsidRPr="002142B8">
        <w:rPr>
          <w:rFonts w:ascii="Georgia" w:hAnsi="Georgia"/>
          <w:sz w:val="20"/>
          <w:szCs w:val="20"/>
          <w:lang w:val="lt-LT"/>
        </w:rPr>
        <w:t>, jog e</w:t>
      </w:r>
      <w:r w:rsidR="00300FF4" w:rsidRPr="002142B8">
        <w:rPr>
          <w:rFonts w:ascii="Georgia" w:hAnsi="Georgia"/>
          <w:sz w:val="20"/>
          <w:szCs w:val="20"/>
          <w:lang w:val="lt-LT"/>
        </w:rPr>
        <w:t>x-ante</w:t>
      </w:r>
      <w:r w:rsidR="00A04C05" w:rsidRPr="002142B8">
        <w:rPr>
          <w:rFonts w:ascii="Georgia" w:hAnsi="Georgia"/>
          <w:sz w:val="20"/>
          <w:szCs w:val="20"/>
          <w:lang w:val="lt-LT"/>
        </w:rPr>
        <w:t xml:space="preserve"> nurodytomis sąlygomis nebus pasiekti numatyti rezultatai.</w:t>
      </w:r>
    </w:p>
    <w:p w14:paraId="713A876D" w14:textId="6BF2E40E" w:rsidR="00A04C05" w:rsidRPr="002142B8" w:rsidRDefault="00A04C05" w:rsidP="00162BF5">
      <w:pPr>
        <w:pStyle w:val="Sraopastraipa"/>
        <w:numPr>
          <w:ilvl w:val="0"/>
          <w:numId w:val="41"/>
        </w:numPr>
        <w:jc w:val="both"/>
        <w:rPr>
          <w:rFonts w:ascii="Georgia" w:hAnsi="Georgia"/>
          <w:sz w:val="20"/>
          <w:szCs w:val="20"/>
          <w:lang w:val="lt-LT"/>
        </w:rPr>
      </w:pPr>
      <w:r w:rsidRPr="002142B8">
        <w:rPr>
          <w:rFonts w:ascii="Georgia" w:hAnsi="Georgia"/>
          <w:sz w:val="20"/>
          <w:szCs w:val="20"/>
          <w:lang w:val="lt-LT"/>
        </w:rPr>
        <w:t>Pasikeitus kitoms sąlygoms kurios ženkliai galėtų įtakoti šios e</w:t>
      </w:r>
      <w:r w:rsidR="00300FF4" w:rsidRPr="002142B8">
        <w:rPr>
          <w:rFonts w:ascii="Georgia" w:hAnsi="Georgia"/>
          <w:sz w:val="20"/>
          <w:szCs w:val="20"/>
          <w:lang w:val="lt-LT"/>
        </w:rPr>
        <w:t>x-ante</w:t>
      </w:r>
      <w:r w:rsidRPr="002142B8">
        <w:rPr>
          <w:rFonts w:ascii="Georgia" w:hAnsi="Georgia"/>
          <w:sz w:val="20"/>
          <w:szCs w:val="20"/>
          <w:lang w:val="lt-LT"/>
        </w:rPr>
        <w:t xml:space="preserve"> rezultatus.</w:t>
      </w:r>
    </w:p>
    <w:p w14:paraId="6D6A660B" w14:textId="5D028540" w:rsidR="00A04C05" w:rsidRPr="00776D82" w:rsidRDefault="00E540A6" w:rsidP="00A04C05">
      <w:pPr>
        <w:jc w:val="both"/>
        <w:rPr>
          <w:rFonts w:ascii="Georgia" w:hAnsi="Georgia"/>
          <w:sz w:val="20"/>
          <w:szCs w:val="20"/>
          <w:lang w:val="lt-LT"/>
        </w:rPr>
      </w:pPr>
      <w:r w:rsidRPr="002142B8">
        <w:rPr>
          <w:rFonts w:ascii="Georgia" w:hAnsi="Georgia"/>
          <w:sz w:val="20"/>
          <w:szCs w:val="20"/>
          <w:lang w:val="lt-LT"/>
        </w:rPr>
        <w:t>Pažymėtina, jog siekiant laiku įvertinti susiklosčiusius pokyčius, išvardintus 1-10 punktuose aukščiau, turėtų būti užtikrinama šios informacijos stebėsena per ataskaitų teikimą. Rekomenduojame fondo valdytojui kasmet teikiant metines ataskaitas peržiūrėti 1-10 punktuose išvardintus aspektus bei pateikti savo rekomendacijas dėl jų esminių ar neesminių pasikeitimų bei savo nuomonę, ar e</w:t>
      </w:r>
      <w:r w:rsidR="00300FF4" w:rsidRPr="002142B8">
        <w:rPr>
          <w:rFonts w:ascii="Georgia" w:hAnsi="Georgia"/>
          <w:sz w:val="20"/>
          <w:szCs w:val="20"/>
          <w:lang w:val="lt-LT"/>
        </w:rPr>
        <w:t>x-ante</w:t>
      </w:r>
      <w:r w:rsidRPr="002142B8">
        <w:rPr>
          <w:rFonts w:ascii="Georgia" w:hAnsi="Georgia"/>
          <w:sz w:val="20"/>
          <w:szCs w:val="20"/>
          <w:lang w:val="lt-LT"/>
        </w:rPr>
        <w:t xml:space="preserve"> vertinimas teisingai atspindi esamą situaciją ir ar nėra reikalingas e</w:t>
      </w:r>
      <w:r w:rsidR="00300FF4" w:rsidRPr="002142B8">
        <w:rPr>
          <w:rFonts w:ascii="Georgia" w:hAnsi="Georgia"/>
          <w:sz w:val="20"/>
          <w:szCs w:val="20"/>
          <w:lang w:val="lt-LT"/>
        </w:rPr>
        <w:t>x-ante</w:t>
      </w:r>
      <w:r w:rsidRPr="002142B8">
        <w:rPr>
          <w:rFonts w:ascii="Georgia" w:hAnsi="Georgia"/>
          <w:sz w:val="20"/>
          <w:szCs w:val="20"/>
          <w:lang w:val="lt-LT"/>
        </w:rPr>
        <w:t xml:space="preserve"> vertinimo pakeitimas.</w:t>
      </w:r>
      <w:r w:rsidRPr="00B23A70">
        <w:rPr>
          <w:rFonts w:ascii="Georgia" w:hAnsi="Georgia"/>
          <w:sz w:val="20"/>
          <w:szCs w:val="20"/>
          <w:lang w:val="lt-LT"/>
        </w:rPr>
        <w:t xml:space="preserve"> </w:t>
      </w:r>
    </w:p>
    <w:p w14:paraId="75BF9A32" w14:textId="564D5F95" w:rsidR="006A520B" w:rsidRDefault="008263A8" w:rsidP="008263A8">
      <w:pPr>
        <w:pStyle w:val="Sraopastraipa"/>
        <w:keepNext/>
        <w:keepLines/>
        <w:numPr>
          <w:ilvl w:val="1"/>
          <w:numId w:val="19"/>
        </w:numPr>
        <w:spacing w:before="480" w:after="0"/>
        <w:outlineLvl w:val="0"/>
        <w:rPr>
          <w:rFonts w:ascii="Georgia" w:hAnsi="Georgia"/>
          <w:b/>
          <w:color w:val="632423" w:themeColor="accent2" w:themeShade="80"/>
          <w:sz w:val="32"/>
          <w:szCs w:val="32"/>
          <w:lang w:val="lt-LT"/>
        </w:rPr>
      </w:pPr>
      <w:bookmarkStart w:id="483" w:name="_Toc25590001"/>
      <w:r w:rsidRPr="008263A8">
        <w:rPr>
          <w:rFonts w:ascii="Georgia" w:hAnsi="Georgia"/>
          <w:b/>
          <w:color w:val="632423" w:themeColor="accent2" w:themeShade="80"/>
          <w:sz w:val="32"/>
          <w:szCs w:val="32"/>
          <w:lang w:val="lt-LT"/>
        </w:rPr>
        <w:lastRenderedPageBreak/>
        <w:t>Ex ante santrauka ir išvados</w:t>
      </w:r>
      <w:bookmarkEnd w:id="483"/>
      <w:r w:rsidRPr="008263A8">
        <w:rPr>
          <w:rFonts w:ascii="Georgia" w:hAnsi="Georgia"/>
          <w:b/>
          <w:color w:val="632423" w:themeColor="accent2" w:themeShade="80"/>
          <w:sz w:val="32"/>
          <w:szCs w:val="32"/>
          <w:lang w:val="lt-LT"/>
        </w:rPr>
        <w:t xml:space="preserve"> </w:t>
      </w:r>
    </w:p>
    <w:p w14:paraId="3A4E1EEE" w14:textId="77777777" w:rsidR="008263A8" w:rsidRDefault="008263A8" w:rsidP="008263A8">
      <w:pPr>
        <w:pStyle w:val="Sraopastraipa"/>
        <w:keepNext/>
        <w:keepLines/>
        <w:spacing w:before="480" w:after="0"/>
        <w:outlineLvl w:val="0"/>
        <w:rPr>
          <w:rFonts w:ascii="Georgia" w:hAnsi="Georgia"/>
          <w:b/>
          <w:color w:val="632423" w:themeColor="accent2" w:themeShade="80"/>
          <w:sz w:val="32"/>
          <w:szCs w:val="32"/>
          <w:lang w:val="lt-LT"/>
        </w:rPr>
      </w:pPr>
    </w:p>
    <w:p w14:paraId="092D20C7"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Finansinės priemonės yra tvarus finansavimo būdas ilguoju laikotarpiu ir finansinės priemonės tampa vis svarbesnis įrankis (tai pažymėta ir Bendrųjų nuostatų reglamento preambulės (34)-(35) punktuose) pasiekti strateginius rezultatus. Vadovaujantis Bendrųjų nuostatų reglamento 37.2 punktu, finansinių priemonių įgyvendinimas turi būti pagrįstas ex ante vertinimu, kurį atliekant turi būti nustatyti rinkos trūkumai arba beveik optimalios investavimo situacijos, apskaičiuotas viešųjų investicijų poreikių mastas ir apimtis, rinkos trūkumo susidarymo priežastys, įvairių finansinių produktų kiekybinė ir kokybinė analizė, įvertintas poreikis derinti finansines priemones su subsidijomis, finansinės priemonės valdymo alternatyvos ir stebėsena. Įvertinus poreikį kurti finansines priemones siekiant padengti susidariusius rinkos trūkumus (finansavimo trūkumus), turi būti pasiūlyti finansinių priemonių tipai, jų valdymo struktūra, investavimo strategija. Ex ante vertinimas turi būti baigtas iki vadovaujančiajai institucijai priimant sprendimą dėl įnašų pagal programą skyrimo finansinei priemonei.</w:t>
      </w:r>
    </w:p>
    <w:p w14:paraId="234F3791"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Finansų ministerijos užsakymu 2013-2014 m. buvo atliekama PwC studija, kuria buvo siekiama įvertinti JESSICA KF tęstinumą 2014-2020 m. periodu, išanalizuoti potencialius ūkio sektorius finansinių priemonių taikymui bei atlikti pilotinį ex ante vertinimą daugiabučių, viešųjų pastatų ir gatvių apšvietimo modernizavimo sritims. Atsižvelgiant į tai, kad PwC studija buvo atlikta iki Bendrųjų nuostatų reglamento patvirtinimo, kuris apibrėžia ex ante vertinimo turinį, PwC studijoje atliktas pilotinis ex ante vertinimas turi būti papildytas pagal patvirtintas nuostatas ex ante vertinimo atlikimui. </w:t>
      </w:r>
    </w:p>
    <w:p w14:paraId="31137986"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Atsižvelgdama į teisinį reglamentavimą bei poreikį papildyti PwC studijoje atliktą pilotinį ex ante vertinimą, taip pat vykdydama ESI fondų vadovaujančiosios institucijos funkcijas bei siekdama užtikrinti efektyvų ESI fondų panaudojimą, Finansų ministerija inicijavo Viešosios infrastruktūros ir Energijos efektyvumo ex ante vertinimus. Viešosios infrastruktūros ex ante vertinimas apima įvairius viešosios infrastruktūros sektorius, tokius kaip aplinkosaugos, vandentvarkos, energetikos, transporto, švietimo, kultūros bei socialinius sektorius. Nors Viešosios infrastruktūros ex ante vertinimas turi sąsajų su Energijos efektyvumo ex ante vertinimu energetikos srityje, pažymėtina, kad šiuose vertinimuose analizuojamos sritys yra skirtingos. Viešosios infrastruktūros ex ante vertinime energetikos srityje nagrinėjamos šilumos tinklų, elektros tinklų, dujų tinklų ir atsinaujinančių energijos išteklių sritys, o Energijos efektyvumo ex ante vertinimas apima pastatų (daugiabučių ir viešųjų) energetinį efektyvumą ir gatvių apšvietimo energetinį efektyvumą.</w:t>
      </w:r>
    </w:p>
    <w:p w14:paraId="5329E295" w14:textId="77777777" w:rsidR="008263A8" w:rsidRPr="008263A8" w:rsidRDefault="008263A8" w:rsidP="008263A8">
      <w:pPr>
        <w:jc w:val="both"/>
        <w:rPr>
          <w:rFonts w:ascii="Georgia" w:hAnsi="Georgia" w:cs="Times New Roman"/>
          <w:sz w:val="20"/>
          <w:lang w:val="lt-LT"/>
        </w:rPr>
      </w:pPr>
      <w:r w:rsidRPr="008263A8">
        <w:rPr>
          <w:rFonts w:ascii="Georgia" w:hAnsi="Georgia" w:cs="Times New Roman"/>
          <w:sz w:val="20"/>
          <w:lang w:val="lt-LT"/>
        </w:rPr>
        <w:t xml:space="preserve">Ši energijos vartojimo efektyvumo ex ante analizė apima daugiabučių namų modernizavimą, centrinės valdžios viešųjų pastatų modernizavimą, gatvių apšvietimo modernizavimą ir savivaldybių viešųjų pastatų modernizavimą. </w:t>
      </w:r>
    </w:p>
    <w:p w14:paraId="08E6489C"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Šis ex ante vertinimas buvo atliktas pilnai vadovaujantis Europos Komisijos užsakymu atliktos 2014-2020 metų programavimo laikotarpio finansinių priemonių ex ante vertinimo metodologijos  bendrąja ir 4-ąja dalimis ("Perėjimas prie mažai anglies dioksido į aplinką išskiriančių technologijų ekonomikos“). Taip pat buvo vadovaujamasi šiuo metu galiojančiais teisės aktais ir strateginiais dokumentais, kurie daro įtaką finansinių priemonių įgyvendinimui ar konkrečių rezultatų siekimui. </w:t>
      </w:r>
    </w:p>
    <w:p w14:paraId="057C35B5" w14:textId="6146063A" w:rsidR="008263A8" w:rsidRPr="00911B4C"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Vadovaujantis ex ante vertinimo rengimo rekomendacijomis, įvertinus įsipareigojimus pagal ES direktyvas ir kitus dokumentus bei nacionalinių strateginių dokumentų apibrėžtus tikslus buvo apskaičiuota </w:t>
      </w:r>
      <w:r w:rsidRPr="008263A8">
        <w:rPr>
          <w:rFonts w:ascii="Georgia" w:eastAsia="Times New Roman" w:hAnsi="Georgia" w:cs="Times New Roman"/>
          <w:sz w:val="20"/>
          <w:szCs w:val="20"/>
          <w:u w:val="single"/>
          <w:lang w:val="lt-LT" w:eastAsia="lt-LT"/>
        </w:rPr>
        <w:t>investicijų paklausa</w:t>
      </w:r>
      <w:r w:rsidRPr="008263A8">
        <w:rPr>
          <w:rFonts w:ascii="Georgia" w:eastAsia="Times New Roman" w:hAnsi="Georgia" w:cs="Times New Roman"/>
          <w:sz w:val="20"/>
          <w:szCs w:val="20"/>
          <w:lang w:val="lt-LT" w:eastAsia="lt-LT"/>
        </w:rPr>
        <w:t xml:space="preserve"> kiekvienai iš keturių nagrinėjamų sričių. </w:t>
      </w:r>
      <w:r w:rsidR="001D5836" w:rsidRPr="00513E18">
        <w:rPr>
          <w:rFonts w:ascii="Georgia" w:eastAsia="Times New Roman" w:hAnsi="Georgia" w:cs="Times New Roman"/>
          <w:sz w:val="20"/>
          <w:szCs w:val="20"/>
          <w:lang w:val="lt-LT" w:eastAsia="lt-LT"/>
        </w:rPr>
        <w:t xml:space="preserve">Atnaujintame Energijos vartojimo efektyvumo ex ante vertinime </w:t>
      </w:r>
      <w:r w:rsidRPr="00513E18">
        <w:rPr>
          <w:rFonts w:ascii="Georgia" w:eastAsia="Times New Roman" w:hAnsi="Georgia" w:cs="Times New Roman"/>
          <w:sz w:val="20"/>
          <w:szCs w:val="20"/>
          <w:lang w:val="lt-LT" w:eastAsia="lt-LT"/>
        </w:rPr>
        <w:t xml:space="preserve">nustatyta, kad daugiabučių namų modernizavimo investicijų poreikis siekia </w:t>
      </w:r>
      <w:r w:rsidR="001D5836" w:rsidRPr="00513E18">
        <w:rPr>
          <w:rFonts w:ascii="Georgia" w:eastAsia="Times New Roman" w:hAnsi="Georgia" w:cs="Times New Roman"/>
          <w:sz w:val="20"/>
          <w:szCs w:val="20"/>
          <w:lang w:val="lt-LT" w:eastAsia="lt-LT"/>
        </w:rPr>
        <w:t>1063,4</w:t>
      </w:r>
      <w:r w:rsidRPr="00513E18">
        <w:rPr>
          <w:rFonts w:ascii="Georgia" w:eastAsia="Times New Roman" w:hAnsi="Georgia" w:cs="Times New Roman"/>
          <w:sz w:val="20"/>
          <w:szCs w:val="20"/>
          <w:lang w:val="lt-LT" w:eastAsia="lt-LT"/>
        </w:rPr>
        <w:t xml:space="preserve"> mln. eurų ir yra pats didžiausias iš visų nagrinėtų sričių, savivaldybių viešųjų pastatų modernizavimo investicijų poreikis siekia </w:t>
      </w:r>
      <w:r w:rsidR="001D5836" w:rsidRPr="00513E18">
        <w:rPr>
          <w:rFonts w:ascii="Georgia" w:eastAsia="Times New Roman" w:hAnsi="Georgia" w:cs="Times New Roman"/>
          <w:sz w:val="20"/>
          <w:szCs w:val="20"/>
          <w:lang w:val="lt-LT" w:eastAsia="lt-LT"/>
        </w:rPr>
        <w:t>298,6</w:t>
      </w:r>
      <w:r w:rsidRPr="00513E18">
        <w:rPr>
          <w:rFonts w:ascii="Georgia" w:eastAsia="Times New Roman" w:hAnsi="Georgia" w:cs="Times New Roman"/>
          <w:sz w:val="20"/>
          <w:szCs w:val="20"/>
          <w:lang w:val="lt-LT" w:eastAsia="lt-LT"/>
        </w:rPr>
        <w:t xml:space="preserve"> mln. eurų, centrinės valdžios viešųjų pastatų modernizavimo investicijų poreikis siekia </w:t>
      </w:r>
      <w:r w:rsidR="001D5836" w:rsidRPr="00513E18">
        <w:rPr>
          <w:rFonts w:ascii="Georgia" w:eastAsia="Times New Roman" w:hAnsi="Georgia" w:cs="Times New Roman"/>
          <w:sz w:val="20"/>
          <w:szCs w:val="20"/>
          <w:lang w:val="lt-LT" w:eastAsia="lt-LT"/>
        </w:rPr>
        <w:t>610,3</w:t>
      </w:r>
      <w:r w:rsidRPr="00513E18">
        <w:rPr>
          <w:rFonts w:ascii="Georgia" w:eastAsia="Times New Roman" w:hAnsi="Georgia" w:cs="Times New Roman"/>
          <w:sz w:val="20"/>
          <w:szCs w:val="20"/>
          <w:lang w:val="lt-LT" w:eastAsia="lt-LT"/>
        </w:rPr>
        <w:t xml:space="preserve"> mln. eurų ir gatvių apšvietimo modernizavimo investicijų poreikis siekia </w:t>
      </w:r>
      <w:r w:rsidR="001D5836" w:rsidRPr="00513E18">
        <w:rPr>
          <w:rFonts w:ascii="Georgia" w:eastAsia="Times New Roman" w:hAnsi="Georgia" w:cs="Times New Roman"/>
          <w:sz w:val="20"/>
          <w:szCs w:val="20"/>
          <w:lang w:val="lt-LT" w:eastAsia="lt-LT"/>
        </w:rPr>
        <w:t>119,4</w:t>
      </w:r>
      <w:r w:rsidRPr="00513E18">
        <w:rPr>
          <w:rFonts w:ascii="Georgia" w:eastAsia="Times New Roman" w:hAnsi="Georgia" w:cs="Times New Roman"/>
          <w:sz w:val="20"/>
          <w:szCs w:val="20"/>
          <w:lang w:val="lt-LT" w:eastAsia="lt-LT"/>
        </w:rPr>
        <w:t xml:space="preserve"> mln. eurų.</w:t>
      </w:r>
      <w:r w:rsidRPr="00911B4C">
        <w:rPr>
          <w:rFonts w:ascii="Georgia" w:eastAsia="Times New Roman" w:hAnsi="Georgia" w:cs="Times New Roman"/>
          <w:sz w:val="20"/>
          <w:szCs w:val="20"/>
          <w:lang w:val="lt-LT" w:eastAsia="lt-LT"/>
        </w:rPr>
        <w:t xml:space="preserve"> </w:t>
      </w:r>
    </w:p>
    <w:p w14:paraId="09251A9A" w14:textId="7D933D3D" w:rsidR="008263A8" w:rsidRPr="008263A8" w:rsidRDefault="008263A8" w:rsidP="008263A8">
      <w:pPr>
        <w:jc w:val="both"/>
        <w:rPr>
          <w:rFonts w:ascii="Georgia" w:hAnsi="Georgia" w:cs="Georgia"/>
          <w:sz w:val="20"/>
          <w:szCs w:val="20"/>
          <w:lang w:val="lt-LT"/>
        </w:rPr>
      </w:pPr>
      <w:r w:rsidRPr="008263A8">
        <w:rPr>
          <w:rFonts w:ascii="Georgia" w:eastAsia="Times New Roman" w:hAnsi="Georgia" w:cs="Times New Roman"/>
          <w:sz w:val="20"/>
          <w:szCs w:val="20"/>
          <w:lang w:val="lt-LT" w:eastAsia="lt-LT"/>
        </w:rPr>
        <w:t xml:space="preserve">Siekiant įvertinti, koks rinkos trūkumas susidaro kiekvienoje iš analizuojamų sričių, reikalinga įvertinti </w:t>
      </w:r>
      <w:r w:rsidRPr="008263A8">
        <w:rPr>
          <w:rFonts w:ascii="Georgia" w:eastAsia="Times New Roman" w:hAnsi="Georgia" w:cs="Times New Roman"/>
          <w:sz w:val="20"/>
          <w:szCs w:val="20"/>
          <w:u w:val="single"/>
          <w:lang w:val="lt-LT" w:eastAsia="lt-LT"/>
        </w:rPr>
        <w:t>finansavimo pasiūlą</w:t>
      </w:r>
      <w:r w:rsidRPr="008263A8">
        <w:rPr>
          <w:rFonts w:ascii="Georgia" w:eastAsia="Times New Roman" w:hAnsi="Georgia" w:cs="Times New Roman"/>
          <w:sz w:val="20"/>
          <w:szCs w:val="20"/>
          <w:lang w:val="lt-LT" w:eastAsia="lt-LT"/>
        </w:rPr>
        <w:t xml:space="preserve">. Atlikus pasiūlos analizę buvo įvertintas </w:t>
      </w:r>
      <w:r w:rsidRPr="008263A8">
        <w:rPr>
          <w:rFonts w:ascii="Georgia" w:hAnsi="Georgia" w:cs="Georgia"/>
          <w:sz w:val="20"/>
          <w:szCs w:val="20"/>
          <w:lang w:val="lt-LT"/>
        </w:rPr>
        <w:t xml:space="preserve">egzistuojantis finansavimas energijos </w:t>
      </w:r>
      <w:r w:rsidRPr="008263A8">
        <w:rPr>
          <w:rFonts w:ascii="Georgia" w:hAnsi="Georgia" w:cs="Georgia"/>
          <w:sz w:val="20"/>
          <w:szCs w:val="20"/>
          <w:lang w:val="lt-LT"/>
        </w:rPr>
        <w:lastRenderedPageBreak/>
        <w:t xml:space="preserve">efektyvumo projektams bei potencialus 2014-2020 m. finansavimas. Analizuojant egzistuojantį finansavimą buvo remiamasi pirminiais ir antriniais informacijos šaltiniais, tuo tarpu vertinant potencialų finansavimą papildomai buvo atlikta komercinių bankų, kredito unijų, tarptautinių finansinių institucijų, pensijų fondų ir valstybės institucijų apklausa (klausimynų ir interviu pagalba). Tarp potencialių energijos efektyvumą didinančių priemonių finansavimo šaltinių išskirti – ESI fondai, Klimato kaitos programos lėšos, grįžusios JESSICA programos lėšos (daugiabučiams), bankų </w:t>
      </w:r>
      <w:r w:rsidRPr="00513E18">
        <w:rPr>
          <w:rFonts w:ascii="Georgia" w:hAnsi="Georgia" w:cs="Georgia"/>
          <w:sz w:val="20"/>
          <w:szCs w:val="20"/>
          <w:lang w:val="lt-LT"/>
        </w:rPr>
        <w:t xml:space="preserve">lėšos ir nuosavos lėšos. Taip pat buvo analizuojami kiti lėšų pritraukimo šaltiniai (kitos ES finansuojamos programos), tačiau jų finansavimo apimties nustatyti nepavyko. Įvertinus visus finansavimo šaltinius, kiekvienai iš sričių </w:t>
      </w:r>
      <w:r w:rsidR="00AF57C8" w:rsidRPr="00513E18">
        <w:rPr>
          <w:rFonts w:ascii="Georgia" w:eastAsia="Times New Roman" w:hAnsi="Georgia" w:cs="Times New Roman"/>
          <w:sz w:val="20"/>
          <w:szCs w:val="20"/>
          <w:lang w:val="lt-LT" w:eastAsia="lt-LT"/>
        </w:rPr>
        <w:t>a</w:t>
      </w:r>
      <w:r w:rsidR="00AF57C8" w:rsidRPr="00513E18">
        <w:rPr>
          <w:rFonts w:ascii="Georgia" w:eastAsia="Times New Roman" w:hAnsi="Georgia" w:cs="Times New Roman"/>
          <w:sz w:val="20"/>
          <w:szCs w:val="20"/>
          <w:lang w:val="lt-LT" w:eastAsia="lt-LT"/>
        </w:rPr>
        <w:t xml:space="preserve">tnaujintame Energijos vartojimo efektyvumo ex ante vertinime </w:t>
      </w:r>
      <w:r w:rsidRPr="00513E18">
        <w:rPr>
          <w:rFonts w:ascii="Georgia" w:hAnsi="Georgia" w:cs="Georgia"/>
          <w:sz w:val="20"/>
          <w:szCs w:val="20"/>
          <w:lang w:val="lt-LT"/>
        </w:rPr>
        <w:t xml:space="preserve">buvo identifikuota pasiūla: daugiabučių modernizavimui – </w:t>
      </w:r>
      <w:r w:rsidR="00AF57C8" w:rsidRPr="00513E18">
        <w:rPr>
          <w:rFonts w:ascii="Georgia" w:hAnsi="Georgia" w:cs="Georgia"/>
          <w:sz w:val="20"/>
          <w:szCs w:val="20"/>
          <w:lang w:val="lt-LT"/>
        </w:rPr>
        <w:t>283,6</w:t>
      </w:r>
      <w:r w:rsidRPr="00513E18">
        <w:rPr>
          <w:rFonts w:ascii="Georgia" w:hAnsi="Georgia" w:cs="Georgia"/>
          <w:sz w:val="20"/>
          <w:szCs w:val="20"/>
          <w:lang w:val="lt-LT"/>
        </w:rPr>
        <w:t xml:space="preserve"> mln. eurų, savivaldybių </w:t>
      </w:r>
      <w:r w:rsidRPr="00513E18">
        <w:rPr>
          <w:rFonts w:ascii="Georgia" w:eastAsia="Times New Roman" w:hAnsi="Georgia" w:cs="Times New Roman"/>
          <w:sz w:val="20"/>
          <w:szCs w:val="20"/>
          <w:lang w:val="lt-LT" w:eastAsia="lt-LT"/>
        </w:rPr>
        <w:t xml:space="preserve">viešųjų pastatų modernizavimui – </w:t>
      </w:r>
      <w:r w:rsidR="00AF57C8" w:rsidRPr="00513E18">
        <w:rPr>
          <w:rFonts w:ascii="Georgia" w:eastAsia="Times New Roman" w:hAnsi="Georgia" w:cs="Times New Roman"/>
          <w:sz w:val="20"/>
          <w:szCs w:val="20"/>
          <w:lang w:val="lt-LT" w:eastAsia="lt-LT"/>
        </w:rPr>
        <w:t>17,3</w:t>
      </w:r>
      <w:r w:rsidRPr="00513E18">
        <w:rPr>
          <w:rFonts w:ascii="Georgia" w:eastAsia="Times New Roman" w:hAnsi="Georgia" w:cs="Times New Roman"/>
          <w:sz w:val="20"/>
          <w:szCs w:val="20"/>
          <w:lang w:val="lt-LT" w:eastAsia="lt-LT"/>
        </w:rPr>
        <w:t xml:space="preserve"> mln. eurų, centrinės valdžios viešųjų pastatų modernizavimui – </w:t>
      </w:r>
      <w:r w:rsidR="00AF57C8" w:rsidRPr="00513E18">
        <w:rPr>
          <w:rFonts w:ascii="Georgia" w:eastAsia="Times New Roman" w:hAnsi="Georgia" w:cs="Times New Roman"/>
          <w:sz w:val="20"/>
          <w:szCs w:val="20"/>
          <w:lang w:val="lt-LT" w:eastAsia="lt-LT"/>
        </w:rPr>
        <w:t>109,8</w:t>
      </w:r>
      <w:r w:rsidRPr="00513E18">
        <w:rPr>
          <w:rFonts w:ascii="Georgia" w:eastAsia="Times New Roman" w:hAnsi="Georgia" w:cs="Times New Roman"/>
          <w:sz w:val="20"/>
          <w:szCs w:val="20"/>
          <w:lang w:val="lt-LT" w:eastAsia="lt-LT"/>
        </w:rPr>
        <w:t xml:space="preserve"> mln. eurų ir gatvių apšvietimo modernizavimui - </w:t>
      </w:r>
      <w:r w:rsidR="00AF57C8" w:rsidRPr="00513E18">
        <w:rPr>
          <w:rFonts w:ascii="Georgia" w:eastAsia="Times New Roman" w:hAnsi="Georgia" w:cs="Times New Roman"/>
          <w:sz w:val="20"/>
          <w:szCs w:val="20"/>
          <w:lang w:val="lt-LT" w:eastAsia="lt-LT"/>
        </w:rPr>
        <w:t>18</w:t>
      </w:r>
      <w:r w:rsidRPr="00513E18">
        <w:rPr>
          <w:rFonts w:ascii="Georgia" w:eastAsia="Times New Roman" w:hAnsi="Georgia" w:cs="Times New Roman"/>
          <w:sz w:val="20"/>
          <w:szCs w:val="20"/>
          <w:lang w:val="lt-LT" w:eastAsia="lt-LT"/>
        </w:rPr>
        <w:t xml:space="preserve"> mln. eurų.</w:t>
      </w:r>
      <w:r w:rsidRPr="008263A8">
        <w:rPr>
          <w:rFonts w:ascii="Georgia" w:eastAsia="Times New Roman" w:hAnsi="Georgia" w:cs="Times New Roman"/>
          <w:sz w:val="20"/>
          <w:szCs w:val="20"/>
          <w:lang w:val="lt-LT" w:eastAsia="lt-LT"/>
        </w:rPr>
        <w:t xml:space="preserve"> </w:t>
      </w:r>
    </w:p>
    <w:p w14:paraId="6F7A421C" w14:textId="77777777" w:rsidR="008263A8" w:rsidRPr="008263A8" w:rsidRDefault="008263A8" w:rsidP="008263A8">
      <w:pPr>
        <w:jc w:val="both"/>
        <w:rPr>
          <w:rFonts w:ascii="Georgia" w:hAnsi="Georgia" w:cs="Georgia"/>
          <w:sz w:val="20"/>
          <w:szCs w:val="20"/>
          <w:lang w:val="lt-LT"/>
        </w:rPr>
      </w:pPr>
      <w:r w:rsidRPr="008263A8">
        <w:rPr>
          <w:rFonts w:ascii="Georgia" w:hAnsi="Georgia" w:cs="Georgia"/>
          <w:sz w:val="20"/>
          <w:szCs w:val="20"/>
          <w:lang w:val="lt-LT"/>
        </w:rPr>
        <w:t xml:space="preserve">Atlikus investicijų paklausos ir finansavimo pasiūlos analizę buvo įvertintas rinkų </w:t>
      </w:r>
      <w:r w:rsidRPr="008263A8">
        <w:rPr>
          <w:rFonts w:ascii="Georgia" w:hAnsi="Georgia" w:cs="Georgia"/>
          <w:sz w:val="20"/>
          <w:szCs w:val="20"/>
          <w:u w:val="single"/>
          <w:lang w:val="lt-LT"/>
        </w:rPr>
        <w:t>finansavimo trūkumas</w:t>
      </w:r>
      <w:r w:rsidRPr="008263A8">
        <w:rPr>
          <w:rFonts w:ascii="Georgia" w:hAnsi="Georgia" w:cs="Georgia"/>
          <w:sz w:val="20"/>
          <w:szCs w:val="20"/>
          <w:lang w:val="lt-LT"/>
        </w:rPr>
        <w:t xml:space="preserve"> (rinkos finansavimo trūkumas yra investicijų paklausos ir finansavimo pasiūlos skirtumas), šio </w:t>
      </w:r>
      <w:r w:rsidRPr="008263A8">
        <w:rPr>
          <w:rFonts w:ascii="Georgia" w:hAnsi="Georgia" w:cs="Georgia"/>
          <w:sz w:val="20"/>
          <w:szCs w:val="20"/>
          <w:u w:val="single"/>
          <w:lang w:val="lt-LT"/>
        </w:rPr>
        <w:t>trūkumo susidarymo priežastys</w:t>
      </w:r>
      <w:r w:rsidRPr="008263A8">
        <w:rPr>
          <w:rFonts w:ascii="Georgia" w:hAnsi="Georgia" w:cs="Georgia"/>
          <w:sz w:val="20"/>
          <w:szCs w:val="20"/>
          <w:lang w:val="lt-LT"/>
        </w:rPr>
        <w:t xml:space="preserve"> bei n</w:t>
      </w:r>
      <w:r w:rsidRPr="008263A8">
        <w:rPr>
          <w:rFonts w:ascii="Georgia" w:eastAsia="Times New Roman" w:hAnsi="Georgia" w:cs="Times New Roman"/>
          <w:sz w:val="20"/>
          <w:szCs w:val="20"/>
          <w:lang w:val="lt-LT" w:eastAsia="lt-LT"/>
        </w:rPr>
        <w:t xml:space="preserve">ustatytos didžiausios finansinių priemonių plėtros kliūtys. Identifikuota, jog didžiausias finansavimo trūkumas susidaro daugiabučių namų modernizavimo srityje, tačiau didžiausios rinkos kliūtys buvo nustatytos centrinės valdžios viešųjų pastatų modernizavimo srityje, kurioje siekiama pritaikyti ESCO modelį. </w:t>
      </w:r>
    </w:p>
    <w:p w14:paraId="404726E8"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u w:val="single"/>
          <w:lang w:val="lt-LT" w:eastAsia="lt-LT"/>
        </w:rPr>
        <w:t>Papildomų privačių lėšų pritraukimo</w:t>
      </w:r>
      <w:r w:rsidRPr="008263A8">
        <w:rPr>
          <w:rFonts w:ascii="Georgia" w:eastAsia="Times New Roman" w:hAnsi="Georgia" w:cs="Times New Roman"/>
          <w:sz w:val="20"/>
          <w:szCs w:val="20"/>
          <w:lang w:val="lt-LT" w:eastAsia="lt-LT"/>
        </w:rPr>
        <w:t xml:space="preserve"> dalyje buvo išanalizuotos tarptautinių finansinių institucijų investavimo energijos efektyvumo didinimo srityje ir Lietuvoje apimtys, tokių kaip: </w:t>
      </w:r>
      <w:r w:rsidRPr="008263A8">
        <w:rPr>
          <w:rFonts w:ascii="Georgia" w:hAnsi="Georgia" w:cs="Arial"/>
          <w:sz w:val="20"/>
          <w:szCs w:val="20"/>
          <w:lang w:val="lt-LT"/>
        </w:rPr>
        <w:t>Europos rekonstrukcijos ir plėtros bankas (</w:t>
      </w:r>
      <w:r w:rsidRPr="008263A8">
        <w:rPr>
          <w:rFonts w:ascii="Georgia" w:hAnsi="Georgia" w:cs="Arial"/>
          <w:i/>
          <w:sz w:val="20"/>
          <w:szCs w:val="20"/>
          <w:lang w:val="lt-LT"/>
        </w:rPr>
        <w:t>angl. European Bank for Restructuring and Development</w:t>
      </w:r>
      <w:r w:rsidRPr="008263A8">
        <w:rPr>
          <w:rFonts w:ascii="Georgia" w:hAnsi="Georgia" w:cs="Arial"/>
          <w:sz w:val="20"/>
          <w:szCs w:val="20"/>
          <w:lang w:val="lt-LT"/>
        </w:rPr>
        <w:t>); Šiaurės investicijų bankas (angl. Nordic Investment Bank); Europos investicijų bankas (</w:t>
      </w:r>
      <w:r w:rsidRPr="008263A8">
        <w:rPr>
          <w:rFonts w:ascii="Georgia" w:hAnsi="Georgia" w:cs="Arial"/>
          <w:i/>
          <w:sz w:val="20"/>
          <w:szCs w:val="20"/>
          <w:lang w:val="lt-LT"/>
        </w:rPr>
        <w:t>angl. European Investment Bank</w:t>
      </w:r>
      <w:r w:rsidRPr="008263A8">
        <w:rPr>
          <w:rFonts w:ascii="Georgia" w:hAnsi="Georgia" w:cs="Arial"/>
          <w:sz w:val="20"/>
          <w:szCs w:val="20"/>
          <w:lang w:val="lt-LT"/>
        </w:rPr>
        <w:t>); Europos Tarybos vystymo banko (</w:t>
      </w:r>
      <w:r w:rsidRPr="008263A8">
        <w:rPr>
          <w:rFonts w:ascii="Georgia" w:hAnsi="Georgia" w:cs="Arial"/>
          <w:i/>
          <w:sz w:val="20"/>
          <w:szCs w:val="20"/>
          <w:lang w:val="lt-LT"/>
        </w:rPr>
        <w:t>angl. Council of Europe Development Bank</w:t>
      </w:r>
      <w:r w:rsidRPr="008263A8">
        <w:rPr>
          <w:rFonts w:ascii="Georgia" w:hAnsi="Georgia" w:cs="Arial"/>
          <w:sz w:val="20"/>
          <w:szCs w:val="20"/>
          <w:lang w:val="lt-LT"/>
        </w:rPr>
        <w:t>). Taip pat kiti finansavimo šaltiniai: Connecting Europe facility (Europos infrastruktūros tinklų priemonė); Intelligent Energy Europe (“Pažangi energetika Europai”); Horizon 2020; ELENA; LIFE+Programme (2014-2020); 2020 European Fund for Energy, Climate Change and Infrastructure (the Marguerite Fund) ir kitos. Buvo identifikuoti privačių investicijų pritraukimo lygiai ir būdai, bei privačių investicijų pritraukimo skatinimo elementai.</w:t>
      </w:r>
    </w:p>
    <w:p w14:paraId="04AC59FE" w14:textId="77777777" w:rsidR="008263A8" w:rsidRPr="008263A8" w:rsidRDefault="008263A8" w:rsidP="008263A8">
      <w:pPr>
        <w:jc w:val="both"/>
        <w:rPr>
          <w:rFonts w:ascii="Georgia" w:hAnsi="Georgia" w:cs="Times New Roman"/>
          <w:sz w:val="20"/>
          <w:lang w:val="lt-LT"/>
        </w:rPr>
      </w:pPr>
      <w:r w:rsidRPr="008263A8">
        <w:rPr>
          <w:rFonts w:ascii="Georgia" w:hAnsi="Georgia" w:cs="Times New Roman"/>
          <w:sz w:val="20"/>
          <w:lang w:val="lt-LT"/>
        </w:rPr>
        <w:t xml:space="preserve">Siekiant išsiaiškinti tipinių projektų kiekvienoje iš analizuojamų sričių gyvybingumą, buvo atlikta </w:t>
      </w:r>
      <w:r w:rsidRPr="008263A8">
        <w:rPr>
          <w:rFonts w:ascii="Georgia" w:hAnsi="Georgia" w:cs="Times New Roman"/>
          <w:sz w:val="20"/>
          <w:u w:val="single"/>
          <w:lang w:val="lt-LT"/>
        </w:rPr>
        <w:t>jautrumo analizė</w:t>
      </w:r>
      <w:r w:rsidRPr="008263A8">
        <w:rPr>
          <w:rFonts w:ascii="Georgia" w:hAnsi="Georgia" w:cs="Times New Roman"/>
          <w:sz w:val="20"/>
          <w:lang w:val="lt-LT"/>
        </w:rPr>
        <w:t xml:space="preserve">. Jautrumo </w:t>
      </w:r>
      <w:r w:rsidRPr="00911B4C">
        <w:rPr>
          <w:rFonts w:ascii="Georgia" w:hAnsi="Georgia" w:cs="Times New Roman"/>
          <w:sz w:val="20"/>
          <w:lang w:val="lt-LT"/>
        </w:rPr>
        <w:t>analizės tikslas – įvertinti, kaip keičiasi subsidijos poreikis projektui besikeičiant kitiems veiksniams, pavyzdžiui, projekto atsipirkimo laikotarpiui, energijos kainai ir kt. Jautrumo analizė buvo atlikta įvairiais pjūviais ir nustatyta, jog daugiabučių namų modernizavimo projektams reikalinga papildoma 30 proc. projekto apimties subsidija siekiant, kad projektas atsipirktų per 20 metų. Ši 30 proc. subsidija galėtų būti teikiama šiuo metu galiojančią tvarką, t.y. 15 proc. palūkanų kompensavimo priemonė finansuojama iš fondo lėšų, bei 15 proc. papildoma valstybės paramos dalis, šiuo metu teikiama iš Klimato kaitos programos.</w:t>
      </w:r>
      <w:r w:rsidRPr="008263A8">
        <w:rPr>
          <w:rFonts w:ascii="Georgia" w:hAnsi="Georgia" w:cs="Times New Roman"/>
          <w:sz w:val="20"/>
          <w:lang w:val="lt-LT"/>
        </w:rPr>
        <w:t xml:space="preserve"> </w:t>
      </w:r>
    </w:p>
    <w:p w14:paraId="6305123B" w14:textId="77777777" w:rsidR="008263A8" w:rsidRPr="0030769D" w:rsidRDefault="008263A8" w:rsidP="008263A8">
      <w:pPr>
        <w:jc w:val="both"/>
        <w:rPr>
          <w:rFonts w:ascii="Georgia" w:hAnsi="Georgia" w:cs="Times New Roman"/>
          <w:sz w:val="20"/>
          <w:lang w:val="lt-LT"/>
        </w:rPr>
      </w:pPr>
      <w:r w:rsidRPr="0030769D">
        <w:rPr>
          <w:rFonts w:ascii="Georgia" w:hAnsi="Georgia" w:cs="Times New Roman"/>
          <w:sz w:val="20"/>
          <w:lang w:val="lt-LT"/>
        </w:rPr>
        <w:t xml:space="preserve">Savivaldybių ir centrinės valdžios viešųjų pastatų modernizavimo projektams jautrumo analizės metu buvo nustatyta reikalinga 20 proc. subsidija, kad energijos efektyvumo didinimo projektai atsipirktų per 20 m. laikotarpį. Europos Komisijos išleistos gairės dėl subsidijos teikimo finansinės priemonės apimtyje yra ypač varžančios, kas tokį subsidijos teikimo procesą padaro per daug sudėtingą. </w:t>
      </w:r>
      <w:r w:rsidRPr="0030769D">
        <w:rPr>
          <w:rFonts w:ascii="Georgia" w:eastAsia="Times New Roman" w:hAnsi="Georgia" w:cs="Times New Roman"/>
          <w:sz w:val="20"/>
          <w:szCs w:val="20"/>
          <w:lang w:val="lt-LT" w:eastAsia="lt-LT"/>
        </w:rPr>
        <w:t>Atsiradus galimybei skirti papildomą subsidiją iš kitų šaltinių (pvz. Klimato kaitos programos lėšų), siūloma išnaudoti tokią galimybę siekiant sutrumpinti projektų atsipirkimo laikotarpį ir motyvuoti pastatų savininkus aktyviau atnaujinti viešuosius pastatus, tokiu būdu prisidedant prie energijos taupymo strateginių tikslų, taip pat</w:t>
      </w:r>
      <w:r w:rsidRPr="0030769D">
        <w:rPr>
          <w:rFonts w:ascii="Georgia" w:hAnsi="Georgia" w:cs="Times New Roman"/>
          <w:sz w:val="20"/>
          <w:lang w:val="lt-LT"/>
        </w:rPr>
        <w:t xml:space="preserve"> tokiu būdu būtų užtikrinamas lengvesnis perėjimą nuo paramos subsidijos forma prie gražintinos formos priemonių. Jautrumo analizės metu buvo nustatyta, kad gatvių apšvietimo projektams subsidija nėra reikalinga siekiant, kad projektas atsipirktų per 20 m. laikotarpį, todėl rekomenduojama gatvių apšvietimo projektams papildomos paramos neskirti. </w:t>
      </w:r>
    </w:p>
    <w:p w14:paraId="54993AAC" w14:textId="77777777" w:rsidR="008263A8" w:rsidRPr="008263A8" w:rsidRDefault="008263A8" w:rsidP="008263A8">
      <w:pPr>
        <w:jc w:val="both"/>
        <w:rPr>
          <w:rFonts w:ascii="Georgia" w:eastAsia="Times New Roman" w:hAnsi="Georgia" w:cs="Times New Roman"/>
          <w:sz w:val="20"/>
          <w:szCs w:val="20"/>
          <w:lang w:val="lt-LT" w:eastAsia="lt-LT"/>
        </w:rPr>
      </w:pPr>
      <w:r w:rsidRPr="0030769D">
        <w:rPr>
          <w:rFonts w:ascii="Georgia" w:eastAsia="Times New Roman" w:hAnsi="Georgia" w:cs="Times New Roman"/>
          <w:sz w:val="20"/>
          <w:szCs w:val="20"/>
          <w:lang w:val="lt-LT" w:eastAsia="lt-LT"/>
        </w:rPr>
        <w:t>Centrinės valdžios viešųjų pastatų modernizavimui yra reikalingas ne tik didelis kiekis lėšų, bet ir egzistuoja teisiniai apribojimai, kurie draudžia biudžetinių įstaigų tiesioginį skolinimąsi, o taip pat šioje srityje privalo</w:t>
      </w:r>
      <w:r w:rsidRPr="008263A8">
        <w:rPr>
          <w:rFonts w:ascii="Georgia" w:eastAsia="Times New Roman" w:hAnsi="Georgia" w:cs="Times New Roman"/>
          <w:sz w:val="20"/>
          <w:szCs w:val="20"/>
          <w:lang w:val="lt-LT" w:eastAsia="lt-LT"/>
        </w:rPr>
        <w:t xml:space="preserve"> būti pasiekti Energijos efektyvumo direktyvos keliami reikalavimai ir tikslai. Šiame kontekste centrinės </w:t>
      </w:r>
      <w:r w:rsidRPr="008263A8">
        <w:rPr>
          <w:rFonts w:ascii="Georgia" w:eastAsia="Times New Roman" w:hAnsi="Georgia" w:cs="Times New Roman"/>
          <w:sz w:val="20"/>
          <w:szCs w:val="20"/>
          <w:lang w:val="lt-LT" w:eastAsia="lt-LT"/>
        </w:rPr>
        <w:lastRenderedPageBreak/>
        <w:t xml:space="preserve">valdžios viešųjų pastatų modernizavimui svarbų vaidmenį galėtų atlikti energetinių paslaugų bendrovės (ESCO), kurios sudarytų galimybę projektus įgyvendinti efektyviai tiek technologine ir finansine prasme. Be to, rekomenduojama ESCO įmonėms įgyvendinant projektus reikalauti jų prisidėjimo savomis lėšomis, kas padėtų užtikrinti kokybišką jų darbą, tinkamą pastato priežiūrą po projekto įgyvendinimo bei efektyvesnį viešųjų finansų naudojimą. ESCO modelio įgyvendinimas taip pat leistų viešajam sektoriui patirti mažesnę technologinę, ekonominę ir finansinę rizikas. </w:t>
      </w:r>
    </w:p>
    <w:p w14:paraId="156CBF24" w14:textId="77777777" w:rsidR="008263A8" w:rsidRPr="008263A8" w:rsidRDefault="008263A8" w:rsidP="008263A8">
      <w:pPr>
        <w:jc w:val="both"/>
        <w:rPr>
          <w:rFonts w:ascii="Georgia" w:hAnsi="Georgia" w:cs="Times New Roman"/>
          <w:sz w:val="20"/>
          <w:lang w:val="lt-LT"/>
        </w:rPr>
      </w:pPr>
      <w:r w:rsidRPr="00CE0098">
        <w:rPr>
          <w:rFonts w:ascii="Georgia" w:eastAsia="Times New Roman" w:hAnsi="Georgia" w:cs="Times New Roman"/>
          <w:sz w:val="20"/>
          <w:szCs w:val="20"/>
          <w:lang w:val="lt-LT" w:eastAsia="lt-LT"/>
        </w:rPr>
        <w:t xml:space="preserve">Atliekant </w:t>
      </w:r>
      <w:r w:rsidRPr="00CE0098">
        <w:rPr>
          <w:rFonts w:ascii="Georgia" w:eastAsia="Times New Roman" w:hAnsi="Georgia" w:cs="Times New Roman"/>
          <w:sz w:val="20"/>
          <w:szCs w:val="20"/>
          <w:u w:val="single"/>
          <w:lang w:val="lt-LT" w:eastAsia="lt-LT"/>
        </w:rPr>
        <w:t>kiekybinę analizę</w:t>
      </w:r>
      <w:r w:rsidRPr="00CE0098">
        <w:rPr>
          <w:rFonts w:ascii="Georgia" w:eastAsia="Times New Roman" w:hAnsi="Georgia" w:cs="Times New Roman"/>
          <w:sz w:val="20"/>
          <w:szCs w:val="20"/>
          <w:lang w:val="lt-LT" w:eastAsia="lt-LT"/>
        </w:rPr>
        <w:t xml:space="preserve"> kiekvienai iš analizuojamų sričių buvo įvertinti įvairūs finansinių produktų scenarijai ir, </w:t>
      </w:r>
      <w:r w:rsidRPr="008263A8">
        <w:rPr>
          <w:rFonts w:ascii="Georgia" w:eastAsia="Times New Roman" w:hAnsi="Georgia" w:cs="Times New Roman"/>
          <w:sz w:val="20"/>
          <w:szCs w:val="20"/>
          <w:lang w:val="lt-LT" w:eastAsia="lt-LT"/>
        </w:rPr>
        <w:t xml:space="preserve">įvertinus apskaičiuotus kiekybinius rodiklius, pasiūlytas finansinis produktas kiekvienai iš analizuojamų sričių. Be to, buvo atlikta </w:t>
      </w:r>
      <w:r w:rsidRPr="008263A8">
        <w:rPr>
          <w:rFonts w:ascii="Georgia" w:eastAsia="Times New Roman" w:hAnsi="Georgia" w:cs="Times New Roman"/>
          <w:sz w:val="20"/>
          <w:szCs w:val="20"/>
          <w:u w:val="single"/>
          <w:lang w:val="lt-LT" w:eastAsia="lt-LT"/>
        </w:rPr>
        <w:t>kokybinė analizė</w:t>
      </w:r>
      <w:r w:rsidRPr="008263A8">
        <w:rPr>
          <w:rFonts w:ascii="Georgia" w:eastAsia="Times New Roman" w:hAnsi="Georgia" w:cs="Times New Roman"/>
          <w:sz w:val="20"/>
          <w:szCs w:val="20"/>
          <w:lang w:val="lt-LT" w:eastAsia="lt-LT"/>
        </w:rPr>
        <w:t xml:space="preserve">, kuri apėmė Stiprybių-Silpnybių-Grėsmių-Galimybių analizę. </w:t>
      </w:r>
      <w:r w:rsidRPr="008263A8">
        <w:rPr>
          <w:rFonts w:ascii="Georgia" w:hAnsi="Georgia" w:cs="Times New Roman"/>
          <w:sz w:val="20"/>
          <w:lang w:val="lt-LT"/>
        </w:rPr>
        <w:t xml:space="preserve">Atsižvelgiant į visus šiuos aspektus yra rekomenduojamos optimaliausios ESI fondų investicijų formos finansinių priemonių įgyvendinimui. Visoms analizuojamoms sritims taip pat buvo </w:t>
      </w:r>
      <w:r w:rsidRPr="008263A8">
        <w:rPr>
          <w:rFonts w:ascii="Georgia" w:eastAsia="Times New Roman" w:hAnsi="Georgia" w:cs="Times New Roman"/>
          <w:sz w:val="20"/>
          <w:szCs w:val="20"/>
          <w:u w:val="single"/>
          <w:lang w:val="lt-LT" w:eastAsia="lt-LT"/>
        </w:rPr>
        <w:t>įvertintos trys pagrindinės galimos valdymo ir įgyvendinimo alternatyvos</w:t>
      </w:r>
      <w:r w:rsidRPr="008263A8">
        <w:rPr>
          <w:rFonts w:ascii="Georgia" w:eastAsia="Times New Roman" w:hAnsi="Georgia" w:cs="Times New Roman"/>
          <w:sz w:val="20"/>
          <w:szCs w:val="20"/>
          <w:lang w:val="lt-LT" w:eastAsia="lt-LT"/>
        </w:rPr>
        <w:t xml:space="preserve">: fondų fondo kūrimas, juridinio asmens statusą turinčio fondo kūrimas, fondų fondo ir investicinio fondo steigimas. </w:t>
      </w:r>
    </w:p>
    <w:p w14:paraId="07ED75B7"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u w:val="single"/>
          <w:lang w:val="lt-LT" w:eastAsia="lt-LT"/>
        </w:rPr>
        <w:t>Daugiabučių namų modernizavimo kiekybinės analizės</w:t>
      </w:r>
      <w:r w:rsidRPr="008263A8">
        <w:rPr>
          <w:rFonts w:ascii="Georgia" w:eastAsia="Times New Roman" w:hAnsi="Georgia" w:cs="Times New Roman"/>
          <w:sz w:val="20"/>
          <w:szCs w:val="20"/>
          <w:lang w:val="lt-LT" w:eastAsia="lt-LT"/>
        </w:rPr>
        <w:t xml:space="preserve"> metu buvo nustatyta, jog didžiausią pridėtinę vertę sukurtų lengvatinių paskolų teikimo tęstinumas. Vertinant įvarius finansinius produktus buvo nustatyta, jog nors ir yra kitokių finansinių produktų, kurie demonstruotų geresnius kiekybinius rezultatus, jų įvedimas ir pritaikymas projektų finansavimui užimtų daug laiko. Iš patirties žinoma, jog net ir menki teisinės bazės, finansinio produkto pakeitimai reikalauja didelių pastangų užtikrinti galutinių naudos gavėjų informuotumą, tinkamą viešinimą. Modifikavus finansinį produktą kyla didelė rizika, kad šiuo metu susiformavęs projektų srautas staigiai sumažės ir dalis projektų nebus įgyvendinti dėl neužtikrintumo. Todėl </w:t>
      </w:r>
      <w:r w:rsidRPr="008263A8">
        <w:rPr>
          <w:rFonts w:ascii="Georgia" w:eastAsia="Times New Roman" w:hAnsi="Georgia" w:cs="Times New Roman"/>
          <w:sz w:val="20"/>
          <w:szCs w:val="20"/>
          <w:u w:val="single"/>
          <w:lang w:val="lt-LT" w:eastAsia="lt-LT"/>
        </w:rPr>
        <w:t>daugiabučių namų modernizavimui siūloma palikti tą patį šiuo metu galiojantį JESSICA KF finansinį produktą – lengvatinę paskolą su fiksuotomis 3 proc. palūkanomis, 15 proc. projekto vertės palūkanų kompensavimu ir papildoma 15 proc. subsidija iš kitų šaltinių</w:t>
      </w:r>
      <w:r w:rsidRPr="008263A8">
        <w:rPr>
          <w:rFonts w:ascii="Georgia" w:eastAsia="Times New Roman" w:hAnsi="Georgia" w:cs="Times New Roman"/>
          <w:sz w:val="20"/>
          <w:szCs w:val="20"/>
          <w:lang w:val="lt-LT" w:eastAsia="lt-LT"/>
        </w:rPr>
        <w:t xml:space="preserve">. </w:t>
      </w:r>
    </w:p>
    <w:p w14:paraId="3BC99259"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Daugiabučių namų modernizavimui taip pat buvo įvertintos trys galimos </w:t>
      </w:r>
      <w:r w:rsidRPr="008263A8">
        <w:rPr>
          <w:rFonts w:ascii="Georgia" w:eastAsia="Times New Roman" w:hAnsi="Georgia" w:cs="Times New Roman"/>
          <w:sz w:val="20"/>
          <w:szCs w:val="20"/>
          <w:u w:val="single"/>
          <w:lang w:val="lt-LT" w:eastAsia="lt-LT"/>
        </w:rPr>
        <w:t>valdymo ir įgyvendinimo alternatyvos ir parengta Investavimo strategija</w:t>
      </w:r>
      <w:r w:rsidRPr="008263A8">
        <w:rPr>
          <w:rFonts w:ascii="Georgia" w:eastAsia="Times New Roman" w:hAnsi="Georgia" w:cs="Times New Roman"/>
          <w:sz w:val="20"/>
          <w:szCs w:val="20"/>
          <w:lang w:val="lt-LT" w:eastAsia="lt-LT"/>
        </w:rPr>
        <w:t xml:space="preserve">. Įvertinus JESSICA KF patirtį, pagrindinius trūkumus bei privalumus, buvo identifikuota, jog optimaliausia valdymo ir įgyvendinimo alternatyva daugiabučių namų modernizavimo įgyvendinimui yra juridinio asmens statusą turinčio fondo kūrimas, kurio forma galėtų būti komanditinė ūkinė bendrija (KŪB). Daugiabučių namų modernizavimo Investavimo strategijoje yra detaliai aprašytas tokios formos fondo steigimas, valdymas ir veikla. Pagrindinis šio modelio privalumas yra galimybė pritraukti privačias lėšas projektų finansavimui, kadangi toks fondas veiktų kaip atskiras juridinis subjektas ir būtų atskirtas nuo fondo valdytojo. Fondui veikiant kaip atskiram juridiniam subjektui investuotojai galėtų fondo veikloje dalyvauti kaip komanditoriai arba teikti paskolas. Pažymėtina, jog naujo juridinio subjekto kūrimas užima daug laiko, o šiuo metu yra susiformavęs didelis daugiabučių namų modernizavimo projektų srautas, kuriam finansuoti 2007-2013 m. JESSICA KF finansavimo nepakaks. Atsižvelgiant į tai, buvo pasiūlytas pereinamojo laikotarpio modelis ir </w:t>
      </w:r>
      <w:r w:rsidRPr="008263A8">
        <w:rPr>
          <w:rFonts w:ascii="Georgia" w:eastAsia="Times New Roman" w:hAnsi="Georgia" w:cs="Times New Roman"/>
          <w:sz w:val="20"/>
          <w:szCs w:val="20"/>
          <w:u w:val="single"/>
          <w:lang w:val="lt-LT" w:eastAsia="lt-LT"/>
        </w:rPr>
        <w:t>gerai įvertinus esamą situaciją fondo valdytojas turėtų pateikti siūlomą veiksmų planą, kaip galima sklandžiai pereiti nuo vieno periodo prie kito ir užtikrinti projektų srauto kontrolę</w:t>
      </w:r>
      <w:r w:rsidRPr="008263A8">
        <w:rPr>
          <w:rFonts w:ascii="Georgia" w:eastAsia="Times New Roman" w:hAnsi="Georgia" w:cs="Times New Roman"/>
          <w:sz w:val="20"/>
          <w:szCs w:val="20"/>
          <w:lang w:val="lt-LT" w:eastAsia="lt-LT"/>
        </w:rPr>
        <w:t xml:space="preserve">. </w:t>
      </w:r>
    </w:p>
    <w:p w14:paraId="3F0021E5"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Daugiabučių namų modernizavimo Investavimo strategijoje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stebėsenos sistema.</w:t>
      </w:r>
    </w:p>
    <w:p w14:paraId="03212590"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Savivaldybių viešųjų pastatų modernizavimo Investavimo strategijoje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14:paraId="29AAB0D9"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hAnsi="Georgia"/>
          <w:sz w:val="20"/>
          <w:szCs w:val="20"/>
          <w:u w:val="single"/>
          <w:lang w:val="lt-LT" w:eastAsia="lt-LT"/>
        </w:rPr>
        <w:t>Savivaldybių viešųjų pastatų modernizavimo kiekybinės analizės</w:t>
      </w:r>
      <w:r w:rsidRPr="00553854">
        <w:rPr>
          <w:rFonts w:ascii="Georgia" w:hAnsi="Georgia"/>
          <w:sz w:val="20"/>
          <w:szCs w:val="20"/>
          <w:lang w:val="lt-LT" w:eastAsia="lt-LT"/>
        </w:rPr>
        <w:t xml:space="preserve"> metu buvo nustatyta, jog didžiausią pridėtinę vertę sukurtų lengvatinių paskolų teikimas taikant iki 2% + 6 mėn. EURIBOR (bet ne mažiau kaip 0%). Finansinės priemonės (ar fondų fondo) valdytojas gali pasiūlyti užfiksuoti palūkanų normą (palūkanų </w:t>
      </w:r>
      <w:r w:rsidRPr="00553854">
        <w:rPr>
          <w:rFonts w:ascii="Georgia" w:hAnsi="Georgia"/>
          <w:sz w:val="20"/>
          <w:szCs w:val="20"/>
          <w:lang w:val="lt-LT" w:eastAsia="lt-LT"/>
        </w:rPr>
        <w:lastRenderedPageBreak/>
        <w:t>fiksavimas būtų paremtas rinkos sąlygomis prieinamais instrumentais). Išnaudojus ESI lėšas papildomai gali būti taikomi papildomi finansavimo mokesčiai (susiję su papildomo finansavimo pritraukimu).</w:t>
      </w:r>
      <w:r w:rsidRPr="00553854">
        <w:rPr>
          <w:rFonts w:ascii="Georgia" w:eastAsia="Times New Roman" w:hAnsi="Georgia" w:cs="Times New Roman"/>
          <w:sz w:val="20"/>
          <w:szCs w:val="20"/>
          <w:lang w:val="lt-LT" w:eastAsia="lt-LT"/>
        </w:rPr>
        <w:t xml:space="preserve"> Įvertinus įvairius aspektus buvo identifikuota, jog vadovaujanti institucija kartu su Aplinkos ministerija gali pasirinkti tarp dviejų  valdymo ir įgyvendinimo alternatyvų savivaldybių pastatų modernizavimo įgyvendinimui:  i) kai kuriama finansinė priemonė ir jos ateities pinigų srautus išperka įkurtas privatus investicinis fondas arba privatūs investuotojai, arba ii) kai pradžioje kuriama finansinė priemonė ir vėliau sukuriamas rizikos pasidalijimo fondas, o ESI fondų lėšos nukreipiamos fondo pirmojo praradimo kapitalui suformuoti, tokiu būdu pritraukiant investuotojus, o rizikos pasidalijimo fondas teikia paskolas galutiniams naudos gavėjams arba jų naudai. Vertinant kiekybinius rodiklius, šie scenarijais turi geriausius, beveik vienodus multiplikatoriaus efekto ir sverto rodiklius.  </w:t>
      </w:r>
      <w:r w:rsidRPr="00553854">
        <w:rPr>
          <w:rFonts w:ascii="Georgia" w:eastAsia="Times New Roman" w:hAnsi="Georgia" w:cs="Times New Roman"/>
          <w:sz w:val="20"/>
          <w:szCs w:val="20"/>
          <w:u w:val="single"/>
          <w:lang w:val="lt-LT" w:eastAsia="lt-LT"/>
        </w:rPr>
        <w:t>Lengvatinės paskolos turėtų būti derinamos su 20 proc. paramos teikimu, o atsiradus galimybei galėtų būti sudaromos sąlygos skirti papildomą subsidiją iš kitų šaltinių</w:t>
      </w:r>
      <w:r w:rsidRPr="00553854">
        <w:rPr>
          <w:rFonts w:ascii="Georgia" w:eastAsia="Times New Roman" w:hAnsi="Georgia" w:cs="Times New Roman"/>
          <w:sz w:val="20"/>
          <w:szCs w:val="20"/>
          <w:lang w:val="lt-LT" w:eastAsia="lt-LT"/>
        </w:rPr>
        <w:t xml:space="preserve">. </w:t>
      </w:r>
    </w:p>
    <w:p w14:paraId="144F3CC5"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Savivaldybių viešųjų pastatų modernizavimui buvo įvertintos </w:t>
      </w:r>
      <w:r w:rsidRPr="00553854">
        <w:rPr>
          <w:rFonts w:ascii="Georgia" w:eastAsia="Times New Roman" w:hAnsi="Georgia" w:cs="Times New Roman"/>
          <w:sz w:val="20"/>
          <w:szCs w:val="20"/>
          <w:u w:val="single"/>
          <w:lang w:val="lt-LT" w:eastAsia="lt-LT"/>
        </w:rPr>
        <w:t>trys galimos valdymo ir įgyvendinimo alternatyvos ir parengta Investavimo strategija</w:t>
      </w:r>
      <w:r w:rsidRPr="00553854">
        <w:rPr>
          <w:rFonts w:ascii="Georgia" w:eastAsia="Times New Roman" w:hAnsi="Georgia" w:cs="Times New Roman"/>
          <w:sz w:val="20"/>
          <w:szCs w:val="20"/>
          <w:lang w:val="lt-LT" w:eastAsia="lt-LT"/>
        </w:rPr>
        <w:t>. Vertinant tai, jog šioje srityje finansinės priemonės iki šiol nebuvo taikomos, be to, Aplinkos ministerija ir kitos valstybinės institucijos yra suinteresuotos modelio įgyvendinimo sparta, buvo siekiama identifikuoti modelį, kuris būtų ir efektyvus, ir greitas. Todėl rekomenduojama savivaldybių modernizavo finansinių priemonių valdymą įgyvendinti dviem etapais, t.y. pirmame etape sukuriant atskirą finansinę priemonę, kuri galėtų pradėti veikti sąlyginai greitai, o vėliau pasirikti alternatyvą, kuri būtų greičiau įgyvendinama, t.y. parduodami pinigų srautai investuotojams arba sukuriamas rizikos pasidalijimo fondas, į kurį perkeliama sukurta finansinė priemonė. Savivaldybių modernizavimo Investavimo strategijoje yra detaliai aprašyti abu šie modeliai. Pagrindinis šių modelių privalumas yra galimybė pritraukti privačias lėšas projektų finansavimui.</w:t>
      </w:r>
    </w:p>
    <w:p w14:paraId="3EDB0412"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Parenkant optimaliausią finansinį produktą savivaldybių pastatų modernizavimui, nustatyti trys  projektų įgyvendinimo tipai. Vienas šių tipų yra ESCO modelis: esant galimybei rekomenduojama pasinaudoti ESCO įmonių paslaugomis, tokiu būdu galimai neįtakojant savivaldybių skolos limitų rodiklių.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r w:rsidRPr="00553854">
        <w:rPr>
          <w:rFonts w:ascii="Georgia" w:hAnsi="Georgia"/>
          <w:sz w:val="20"/>
          <w:lang w:val="lt-LT"/>
        </w:rPr>
        <w:t xml:space="preserve">Siekiant užtikrinti sklandų savivaldybių pastatų renovacijos procesą išanalizuota teisinė aplinka ir pateiktas rekomenduotinas teisės aktų pakeitimo (priėmimo) sąrašas. </w:t>
      </w:r>
    </w:p>
    <w:p w14:paraId="7337EA59"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hAnsi="Georgia"/>
          <w:sz w:val="20"/>
          <w:szCs w:val="20"/>
          <w:u w:val="single"/>
          <w:lang w:val="lt-LT" w:eastAsia="lt-LT"/>
        </w:rPr>
        <w:t>Centrinės valdžios viešųjų pastatų modernizavimo kiekybinės analizės</w:t>
      </w:r>
      <w:r w:rsidRPr="00553854">
        <w:rPr>
          <w:rFonts w:ascii="Georgia" w:hAnsi="Georgia"/>
          <w:sz w:val="20"/>
          <w:szCs w:val="20"/>
          <w:lang w:val="lt-LT" w:eastAsia="lt-LT"/>
        </w:rPr>
        <w:t xml:space="preserve"> metu buvo nustatyta, jog didžiausią pridėtinę vertę sukurtų lengvatinių paskolų teikimas taikant iki 2% + 6 mėn. arba 12 mėn. EURIBOR (ne mažiau kaip 0%) palūkanų normą. Finansinės priemonės (ar fondų fondo) valdytojas gali pasiūlyti užfiksuoti palūkanų normą (palūkanų fiksavimas būtų paremtas rinkos sąlygomis prieinamais instrumentais), su galimybe išpirkti šias paskolas</w:t>
      </w:r>
      <w:r w:rsidRPr="00553854">
        <w:rPr>
          <w:rFonts w:ascii="Georgia" w:eastAsia="Times New Roman" w:hAnsi="Georgia" w:cs="Times New Roman"/>
          <w:sz w:val="20"/>
          <w:szCs w:val="20"/>
          <w:lang w:val="lt-LT" w:eastAsia="lt-LT"/>
        </w:rPr>
        <w:t xml:space="preserve">. </w:t>
      </w:r>
      <w:r w:rsidRPr="00553854">
        <w:rPr>
          <w:rFonts w:ascii="Georgia" w:eastAsia="Times New Roman" w:hAnsi="Georgia" w:cs="Times New Roman"/>
          <w:sz w:val="20"/>
          <w:szCs w:val="20"/>
          <w:u w:val="single"/>
          <w:lang w:val="lt-LT" w:eastAsia="lt-LT"/>
        </w:rPr>
        <w:t>Lengvatinės paskolos turėtų būti derinamos su 20 proc. paramos teikimu bei ESCO kompanijų nuosavu įnašu</w:t>
      </w:r>
      <w:r w:rsidRPr="00553854">
        <w:rPr>
          <w:rFonts w:ascii="Georgia" w:eastAsia="Times New Roman" w:hAnsi="Georgia" w:cs="Times New Roman"/>
          <w:sz w:val="20"/>
          <w:szCs w:val="20"/>
          <w:lang w:val="lt-LT" w:eastAsia="lt-LT"/>
        </w:rPr>
        <w:t xml:space="preserve">. Vertinant kiekybinius rodiklius, šis scenarijus turi vieną geriausių multiplikatoriaus efektų bei sverto rodiklių. Be to, parenkant optimaliausią finansinį produktą šių projektų finansavimui buvo atsižvelgta ir į tai, jog ESCO modelis Lietuvoje iki šiol viešajam sektoriui nebuvo įgyvendintas, potencialūs finansuotojai (t.y. komerciniai bankai) įžvelgia daug rizikų, kredito istorijos trūkumą pažymi kaip vieną iš esminių faktorių, darančių įtaką ESCO modelio finansavimui rinkos sąlygomis. Būtent dėl šių priežasčių garantijų finansinė priemonė, kuri kiekybinės analizės metu pademonstravo dar geresnius kiekybinius rezultatus, pradiniame etape negali būti įgyvendinama. Vis dėlto pažymėtina, jog garantijų priemonės taikymas būtų labai rekomenduotinas tuomet, kuomet atsiras komercinių bankų dalyvavimo suinteresuotumas bei tinkama kredito istorija kartu su modelio įgyvendinimo patirtimi.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p>
    <w:p w14:paraId="432640EF"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u w:val="single"/>
          <w:lang w:val="lt-LT" w:eastAsia="lt-LT"/>
        </w:rPr>
        <w:t xml:space="preserve">Gatvių apšvietimo modernizavimo kiekybinės analizės </w:t>
      </w:r>
      <w:r w:rsidRPr="00553854">
        <w:rPr>
          <w:rFonts w:ascii="Georgia" w:eastAsia="Times New Roman" w:hAnsi="Georgia" w:cs="Times New Roman"/>
          <w:sz w:val="20"/>
          <w:szCs w:val="20"/>
          <w:lang w:val="lt-LT" w:eastAsia="lt-LT"/>
        </w:rPr>
        <w:t xml:space="preserve">metu buvo nustatyta, jog geriausius kiekybinius rezultatus pademonstruotų garantijų finansinė priemonė garantuojant ne daugiau kaip 80 proc. paskolos su galimybe išpirkti ateities piniginius srautus. Garantijų priemonė gatvių apšvietimo modernizavimui rekomenduojama dar ir dėl to, jog gatvių apšvietimo modernizavimo projektų finansavimui yra numatyta </w:t>
      </w:r>
      <w:r w:rsidRPr="00553854">
        <w:rPr>
          <w:rFonts w:ascii="Georgia" w:eastAsia="Times New Roman" w:hAnsi="Georgia" w:cs="Times New Roman"/>
          <w:sz w:val="20"/>
          <w:szCs w:val="20"/>
          <w:lang w:val="lt-LT" w:eastAsia="lt-LT"/>
        </w:rPr>
        <w:lastRenderedPageBreak/>
        <w:t xml:space="preserve">labai maža ESI fondų lėšų suma, todėl turėtų būti siekiama pritraukti kuo daugiau privačių lėšų, kad būtų pasiekti adekvatūs energijos efektyvumo rezultatai. Taip pat dėl to, kad gatvių apšvietimo projektai yra technologiškai gerokai paprastesni nei centrinės valdžios pastatų, turi geresnį projektų atsipirkimo laikotarpį, sutaupymų efektas pajaučiamas labai greitai. Visos šios projekto savybės lemia mažesnį tokių projektų rizikingumą, tuo pačiu ir komercinių bankų didesnį suinteresuotumą finansuoti tokius projektus. </w:t>
      </w:r>
    </w:p>
    <w:p w14:paraId="2D95DA2E" w14:textId="77777777" w:rsidR="008263A8" w:rsidRPr="00553854" w:rsidRDefault="008263A8" w:rsidP="008263A8">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Atsižvelgiant į tai, kad centrinės valdžios viešųjų pastatų ir gatvių apšvietimo modernizavimą kuruoja Energetikos ministerija, be to, gatvių apšvietimo modernizavimui numatyta nedidelė lėšų suma, valdymo ir įgyvendinimo alternatyvos šioms dviem sritims buvo analizuojamos kartu. </w:t>
      </w:r>
    </w:p>
    <w:p w14:paraId="68DFE9E1" w14:textId="77777777" w:rsidR="008263A8" w:rsidRPr="008263A8" w:rsidRDefault="008263A8" w:rsidP="008263A8">
      <w:pPr>
        <w:jc w:val="both"/>
        <w:rPr>
          <w:rFonts w:ascii="Georgia" w:eastAsia="Times New Roman" w:hAnsi="Georgia" w:cs="Times New Roman"/>
          <w:sz w:val="20"/>
          <w:szCs w:val="20"/>
          <w:lang w:val="lt-LT" w:eastAsia="lt-LT"/>
        </w:rPr>
      </w:pPr>
      <w:r w:rsidRPr="00553854">
        <w:rPr>
          <w:rFonts w:ascii="Georgia" w:eastAsia="Times New Roman" w:hAnsi="Georgia" w:cs="Times New Roman"/>
          <w:sz w:val="20"/>
          <w:szCs w:val="20"/>
          <w:lang w:val="lt-LT" w:eastAsia="lt-LT"/>
        </w:rPr>
        <w:t xml:space="preserve">Centrinės valdžios viešųjų pastatų modernizavimui ir gatvių apšvietimo modernizavimui buvo įvertintos </w:t>
      </w:r>
      <w:r w:rsidRPr="00553854">
        <w:rPr>
          <w:rFonts w:ascii="Georgia" w:eastAsia="Times New Roman" w:hAnsi="Georgia" w:cs="Times New Roman"/>
          <w:sz w:val="20"/>
          <w:szCs w:val="20"/>
          <w:u w:val="single"/>
          <w:lang w:val="lt-LT" w:eastAsia="lt-LT"/>
        </w:rPr>
        <w:t>trys galimos valdymo ir įgyvendinimo alternatyvos ir parengta Investavimo strategija</w:t>
      </w:r>
      <w:r w:rsidRPr="00553854">
        <w:rPr>
          <w:rFonts w:ascii="Georgia" w:eastAsia="Times New Roman" w:hAnsi="Georgia" w:cs="Times New Roman"/>
          <w:sz w:val="20"/>
          <w:szCs w:val="20"/>
          <w:lang w:val="lt-LT" w:eastAsia="lt-LT"/>
        </w:rPr>
        <w:t>.</w:t>
      </w:r>
      <w:r w:rsidRPr="008263A8">
        <w:rPr>
          <w:rFonts w:ascii="Georgia" w:eastAsia="Times New Roman" w:hAnsi="Georgia" w:cs="Times New Roman"/>
          <w:sz w:val="20"/>
          <w:szCs w:val="20"/>
          <w:lang w:val="lt-LT" w:eastAsia="lt-LT"/>
        </w:rPr>
        <w:t xml:space="preserve"> Vertinant tai, jog šioje srityje finansinės priemonės iki šiol nebuvo taikomos, be to, Energetikos ministerija ir kitos valstybinės institucijos yra suinteresuotos modelio įgyvendinimo sparta dėl taikomų Energijos efektyvumo direktyvos reikalavimų, buvo siekiama identifikuoti modelį, kuris būtų ir efektyvus, ir greitas. Todėl rekomenduojama šioms dviem sritims kurti fondų fondą bei investicinį fondą. Fondų fondas būtų sudarytas iš dviejų skirtingų finansinių priemonių atitinkamai pagal dvi sritis. Fondų fondas būtų sukuriamas kaip finansinis padalinys (atskiras sąskaitų rinkinys) finansų įstaigoje, kadangi tai yra greičiausias ir paprasčiausias būdas kuo greičiau pradėti projektų finansavimą. Lygiagrečiai būtų pradedamas kurti investicinis fondas, kuris būtų sukurtas ir veikiantis rinkos sąlygomis, o jo valdytojai būtų investuotojai, tarptautinės finansų institucijos, pensijų fondai. </w:t>
      </w:r>
    </w:p>
    <w:p w14:paraId="711C4E67"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Centrinės valdžios viešųjų pastatų modernizavimo ir gatvių apšvietimo Investavimo strategijoje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14:paraId="65F8B44F" w14:textId="77777777" w:rsidR="008263A8" w:rsidRPr="008263A8" w:rsidRDefault="008263A8" w:rsidP="008263A8">
      <w:pPr>
        <w:jc w:val="both"/>
        <w:rPr>
          <w:rFonts w:ascii="Georgia" w:eastAsia="Times New Roman" w:hAnsi="Georgia" w:cs="Times New Roman"/>
          <w:sz w:val="20"/>
          <w:szCs w:val="20"/>
          <w:lang w:val="lt-LT" w:eastAsia="lt-LT"/>
        </w:rPr>
      </w:pPr>
      <w:r w:rsidRPr="008263A8">
        <w:rPr>
          <w:rFonts w:ascii="Georgia" w:eastAsia="Times New Roman" w:hAnsi="Georgia" w:cs="Times New Roman"/>
          <w:sz w:val="20"/>
          <w:szCs w:val="20"/>
          <w:lang w:val="lt-LT" w:eastAsia="lt-LT"/>
        </w:rPr>
        <w:t xml:space="preserve">Siekiant pasinaudoti kitų šalių patirtimi, ex ante vertinime taip pat buvo išnagrinėtos dviejų šalių </w:t>
      </w:r>
      <w:r w:rsidRPr="008263A8">
        <w:rPr>
          <w:rFonts w:ascii="Georgia" w:eastAsia="Times New Roman" w:hAnsi="Georgia" w:cs="Times New Roman"/>
          <w:sz w:val="20"/>
          <w:szCs w:val="20"/>
          <w:u w:val="single"/>
          <w:lang w:val="lt-LT" w:eastAsia="lt-LT"/>
        </w:rPr>
        <w:t>finansinių priemonių patirtys</w:t>
      </w:r>
      <w:r w:rsidRPr="008263A8">
        <w:rPr>
          <w:rFonts w:ascii="Georgia" w:eastAsia="Times New Roman" w:hAnsi="Georgia" w:cs="Times New Roman"/>
          <w:sz w:val="20"/>
          <w:szCs w:val="20"/>
          <w:lang w:val="lt-LT" w:eastAsia="lt-LT"/>
        </w:rPr>
        <w:t xml:space="preserve"> - </w:t>
      </w:r>
      <w:r w:rsidRPr="008263A8">
        <w:rPr>
          <w:rFonts w:ascii="Georgia" w:hAnsi="Georgia"/>
          <w:bCs/>
          <w:sz w:val="20"/>
          <w:szCs w:val="20"/>
          <w:lang w:val="lt-LT"/>
        </w:rPr>
        <w:t>Energijos efektyvumo ir atsinaujinančių išteklių fondas Bulgarijoje ir Londono energetinio efektyvumo fondas Jungtinėje Karalystėje -</w:t>
      </w:r>
      <w:r w:rsidRPr="008263A8">
        <w:rPr>
          <w:rFonts w:ascii="Georgia" w:eastAsia="Times New Roman" w:hAnsi="Georgia" w:cs="Times New Roman"/>
          <w:sz w:val="20"/>
          <w:szCs w:val="20"/>
          <w:lang w:val="lt-LT" w:eastAsia="lt-LT"/>
        </w:rPr>
        <w:t xml:space="preserve"> bei JESSICA KF Lietuvoje patirtis. Šių trijų atvejo studijų pagrindu buvo parengta rizikų analizė ir identifikuotos rizikų valdymo priemonės. </w:t>
      </w:r>
    </w:p>
    <w:p w14:paraId="112A3450" w14:textId="77777777" w:rsidR="008263A8" w:rsidRPr="008263A8" w:rsidRDefault="008263A8" w:rsidP="008263A8">
      <w:pPr>
        <w:jc w:val="both"/>
        <w:rPr>
          <w:rFonts w:ascii="Georgia" w:hAnsi="Georgia" w:cs="Times New Roman"/>
          <w:sz w:val="20"/>
          <w:lang w:val="lt-LT"/>
        </w:rPr>
      </w:pPr>
      <w:r w:rsidRPr="008263A8">
        <w:rPr>
          <w:rFonts w:ascii="Georgia" w:hAnsi="Georgia" w:cs="Times New Roman"/>
          <w:sz w:val="20"/>
          <w:lang w:val="lt-LT"/>
        </w:rPr>
        <w:t xml:space="preserve">Pažymėtina, jog ex ante vertinimas buvo atliktas pagal Europos Komisijos parengtos ex ante vertinimo atlikimo metodologijos nuostatas, atliekant ex ante vertinimą buvo konsultuojamasi su visomis suinteresuotomis institucijomis, buvo atsižvelgta į visas pateiktas pastabas ir vertinimas atliktas objektyviai ir nešališkai. Ex ante vertinimas gali būti keičiamas ar pildomas nepažeidžiant ir vadovaujantis Bendrųjų nuostatų reglamento nuostatomis. </w:t>
      </w:r>
    </w:p>
    <w:p w14:paraId="1B258CF9" w14:textId="77777777" w:rsidR="008263A8" w:rsidRPr="008263A8" w:rsidRDefault="008263A8" w:rsidP="008263A8">
      <w:pPr>
        <w:rPr>
          <w:rFonts w:asciiTheme="majorHAnsi" w:eastAsiaTheme="majorEastAsia" w:hAnsiTheme="majorHAnsi" w:cstheme="majorBidi"/>
          <w:b/>
          <w:bCs/>
          <w:color w:val="365F91" w:themeColor="accent1" w:themeShade="BF"/>
          <w:sz w:val="28"/>
          <w:szCs w:val="28"/>
          <w:lang w:val="lt-LT"/>
        </w:rPr>
      </w:pPr>
      <w:r w:rsidRPr="008263A8">
        <w:rPr>
          <w:lang w:val="lt-LT"/>
        </w:rPr>
        <w:br w:type="page"/>
      </w:r>
    </w:p>
    <w:p w14:paraId="6C6533D9" w14:textId="77777777" w:rsidR="008263A8" w:rsidRPr="008263A8" w:rsidRDefault="008263A8" w:rsidP="008263A8">
      <w:pPr>
        <w:pStyle w:val="Sraopastraipa"/>
        <w:keepNext/>
        <w:keepLines/>
        <w:spacing w:before="480" w:after="0"/>
        <w:outlineLvl w:val="0"/>
        <w:rPr>
          <w:rFonts w:ascii="Georgia" w:hAnsi="Georgia"/>
          <w:b/>
          <w:color w:val="632423" w:themeColor="accent2" w:themeShade="80"/>
          <w:sz w:val="32"/>
          <w:szCs w:val="32"/>
          <w:lang w:val="lt-LT"/>
        </w:rPr>
      </w:pPr>
    </w:p>
    <w:p w14:paraId="6ADA5DCD" w14:textId="77777777" w:rsidR="008263A8" w:rsidRPr="008263A8" w:rsidRDefault="008263A8" w:rsidP="008263A8">
      <w:pPr>
        <w:pStyle w:val="Sraopastraipa"/>
        <w:keepNext/>
        <w:keepLines/>
        <w:spacing w:before="480" w:after="0"/>
        <w:outlineLvl w:val="0"/>
        <w:rPr>
          <w:b/>
          <w:lang w:val="lt-LT"/>
        </w:rPr>
      </w:pPr>
    </w:p>
    <w:sectPr w:rsidR="008263A8" w:rsidRPr="008263A8" w:rsidSect="00DA6A3B">
      <w:footerReference w:type="default" r:id="rId84"/>
      <w:pgSz w:w="12240" w:h="15840"/>
      <w:pgMar w:top="0" w:right="1134" w:bottom="1276" w:left="1440" w:header="567" w:footer="567"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BFD562" w16cid:durableId="1E0B2FB2"/>
  <w16cid:commentId w16cid:paraId="41FFD615" w16cid:durableId="1E0B2FB3"/>
  <w16cid:commentId w16cid:paraId="480044E0" w16cid:durableId="1E0B2FB4"/>
  <w16cid:commentId w16cid:paraId="6DA38CE7" w16cid:durableId="1E0B2FB5"/>
  <w16cid:commentId w16cid:paraId="2D31DECF" w16cid:durableId="1E0B2FB6"/>
  <w16cid:commentId w16cid:paraId="266D9C36" w16cid:durableId="1E0B2FB7"/>
  <w16cid:commentId w16cid:paraId="0A262B6D" w16cid:durableId="1E0B2FB8"/>
  <w16cid:commentId w16cid:paraId="4B7AF5A1" w16cid:durableId="1E0B2FB9"/>
  <w16cid:commentId w16cid:paraId="54848110" w16cid:durableId="1E0B2FBA"/>
  <w16cid:commentId w16cid:paraId="242EFA8A" w16cid:durableId="1E0B2FBB"/>
  <w16cid:commentId w16cid:paraId="220E2E14" w16cid:durableId="1E0B2FBC"/>
  <w16cid:commentId w16cid:paraId="1AACD517" w16cid:durableId="1E0B2FBD"/>
  <w16cid:commentId w16cid:paraId="7BDDA7F6" w16cid:durableId="1E0B2FBE"/>
  <w16cid:commentId w16cid:paraId="5192773A" w16cid:durableId="1E0B2FBF"/>
  <w16cid:commentId w16cid:paraId="26D3E658" w16cid:durableId="1E0B2FC0"/>
  <w16cid:commentId w16cid:paraId="7C70E98F" w16cid:durableId="1E0B2FC1"/>
  <w16cid:commentId w16cid:paraId="1613FAA7" w16cid:durableId="1E0B2FC2"/>
  <w16cid:commentId w16cid:paraId="01500A51" w16cid:durableId="1E0B2FC3"/>
  <w16cid:commentId w16cid:paraId="76A88410" w16cid:durableId="1E0B2FC4"/>
  <w16cid:commentId w16cid:paraId="5C442D29" w16cid:durableId="1E0B2FC5"/>
  <w16cid:commentId w16cid:paraId="4D425297" w16cid:durableId="1E0B2FC6"/>
  <w16cid:commentId w16cid:paraId="7EBDE25E" w16cid:durableId="1E0B2FC7"/>
  <w16cid:commentId w16cid:paraId="46841B21" w16cid:durableId="1E0B2FC8"/>
  <w16cid:commentId w16cid:paraId="67CD128A" w16cid:durableId="1E0B2FC9"/>
  <w16cid:commentId w16cid:paraId="45BD00F0" w16cid:durableId="1E0B30DE"/>
  <w16cid:commentId w16cid:paraId="23824753" w16cid:durableId="1E0B319B"/>
  <w16cid:commentId w16cid:paraId="3D176207" w16cid:durableId="1E0B3327"/>
  <w16cid:commentId w16cid:paraId="03060325" w16cid:durableId="1E0B2FCA"/>
  <w16cid:commentId w16cid:paraId="258DB3DC" w16cid:durableId="1E0B2FCB"/>
  <w16cid:commentId w16cid:paraId="394F5F9A" w16cid:durableId="1E0B3665"/>
  <w16cid:commentId w16cid:paraId="6230ABDD" w16cid:durableId="1E0B38D8"/>
  <w16cid:commentId w16cid:paraId="7A48F251" w16cid:durableId="1E0B3867"/>
  <w16cid:commentId w16cid:paraId="090F5CCB" w16cid:durableId="1E0B2FCC"/>
  <w16cid:commentId w16cid:paraId="43D59E44" w16cid:durableId="1E0BA147"/>
  <w16cid:commentId w16cid:paraId="6B138A8B" w16cid:durableId="1E0B2FCD"/>
  <w16cid:commentId w16cid:paraId="5992718F" w16cid:durableId="1E0B2FCE"/>
  <w16cid:commentId w16cid:paraId="6125D5AA" w16cid:durableId="1E0B2FCF"/>
  <w16cid:commentId w16cid:paraId="29A3AB40" w16cid:durableId="1E0B2FD0"/>
  <w16cid:commentId w16cid:paraId="3DC91B25" w16cid:durableId="1E0B2FD1"/>
  <w16cid:commentId w16cid:paraId="79B91116" w16cid:durableId="1E0B2FD2"/>
  <w16cid:commentId w16cid:paraId="4F89E4C0" w16cid:durableId="1E0B2FD3"/>
  <w16cid:commentId w16cid:paraId="6338ED8C" w16cid:durableId="1E0B3A0F"/>
  <w16cid:commentId w16cid:paraId="3963BDBD" w16cid:durableId="1E0B2FD4"/>
  <w16cid:commentId w16cid:paraId="2E5D002A" w16cid:durableId="1E0B2FD5"/>
  <w16cid:commentId w16cid:paraId="4059B484" w16cid:durableId="1E0B2FD6"/>
  <w16cid:commentId w16cid:paraId="3A70EC33" w16cid:durableId="1E0B3BCB"/>
  <w16cid:commentId w16cid:paraId="5E177CD0" w16cid:durableId="1E0B3BF4"/>
  <w16cid:commentId w16cid:paraId="7F9C1F1D" w16cid:durableId="1E0B997C"/>
  <w16cid:commentId w16cid:paraId="31C363E4" w16cid:durableId="1E0B3DDA"/>
  <w16cid:commentId w16cid:paraId="22610E48" w16cid:durableId="1E0B3D6B"/>
  <w16cid:commentId w16cid:paraId="6FC689D7" w16cid:durableId="1E0B4050"/>
  <w16cid:commentId w16cid:paraId="4166D8E7" w16cid:durableId="1E0B98B3"/>
  <w16cid:commentId w16cid:paraId="7426678E" w16cid:durableId="1E0B98D1"/>
  <w16cid:commentId w16cid:paraId="419CE0A9" w16cid:durableId="1E0B99F1"/>
  <w16cid:commentId w16cid:paraId="3DAA987F" w16cid:durableId="1E0B9AD4"/>
  <w16cid:commentId w16cid:paraId="599A6BBE" w16cid:durableId="1E0B9B0C"/>
  <w16cid:commentId w16cid:paraId="77AFB0E4" w16cid:durableId="1E0B9B82"/>
  <w16cid:commentId w16cid:paraId="26A99255" w16cid:durableId="1E0B9BE8"/>
  <w16cid:commentId w16cid:paraId="75A10703" w16cid:durableId="1E0B9D85"/>
  <w16cid:commentId w16cid:paraId="46134046" w16cid:durableId="1E0B9E47"/>
  <w16cid:commentId w16cid:paraId="5C7A50B9" w16cid:durableId="1E0B9EF3"/>
  <w16cid:commentId w16cid:paraId="34A24EDD" w16cid:durableId="1E0B9FA0"/>
  <w16cid:commentId w16cid:paraId="00E97903" w16cid:durableId="1E0B9FC9"/>
  <w16cid:commentId w16cid:paraId="47C631E0" w16cid:durableId="1E0BA020"/>
  <w16cid:commentId w16cid:paraId="705248C1" w16cid:durableId="1E0BA0D6"/>
  <w16cid:commentId w16cid:paraId="609E74DF" w16cid:durableId="1E0BA19D"/>
  <w16cid:commentId w16cid:paraId="51479703" w16cid:durableId="1E0BA1D8"/>
  <w16cid:commentId w16cid:paraId="696FC676" w16cid:durableId="1E0BA35A"/>
  <w16cid:commentId w16cid:paraId="469C3BB2" w16cid:durableId="1E0BA2C7"/>
  <w16cid:commentId w16cid:paraId="4505ED1C" w16cid:durableId="1E0BA51C"/>
  <w16cid:commentId w16cid:paraId="1FED8429" w16cid:durableId="1E0BA570"/>
  <w16cid:commentId w16cid:paraId="1154E41A" w16cid:durableId="1E0BA5AA"/>
  <w16cid:commentId w16cid:paraId="54662FDE" w16cid:durableId="1E0BA7D9"/>
  <w16cid:commentId w16cid:paraId="3AA96532" w16cid:durableId="1E0BA813"/>
  <w16cid:commentId w16cid:paraId="3818A46C" w16cid:durableId="1E0BA821"/>
  <w16cid:commentId w16cid:paraId="39DE7001" w16cid:durableId="1E0BA877"/>
  <w16cid:commentId w16cid:paraId="17FB3669" w16cid:durableId="1E0BA899"/>
  <w16cid:commentId w16cid:paraId="0D0C01CD" w16cid:durableId="1E0BA8EB"/>
  <w16cid:commentId w16cid:paraId="706B0F9F" w16cid:durableId="1E0BA919"/>
  <w16cid:commentId w16cid:paraId="1A61223F" w16cid:durableId="1E0BA93D"/>
  <w16cid:commentId w16cid:paraId="038CE11F" w16cid:durableId="1E0BA9CF"/>
  <w16cid:commentId w16cid:paraId="0A6D9E2D" w16cid:durableId="1E0BA9C6"/>
  <w16cid:commentId w16cid:paraId="40C898F3" w16cid:durableId="1E0B2FD7"/>
  <w16cid:commentId w16cid:paraId="28E3B60A" w16cid:durableId="1E0B2FD8"/>
  <w16cid:commentId w16cid:paraId="47CD39DE" w16cid:durableId="1E0B2FD9"/>
  <w16cid:commentId w16cid:paraId="40FE93C8" w16cid:durableId="1E0B2FDA"/>
  <w16cid:commentId w16cid:paraId="221EC9C0" w16cid:durableId="1E0BAA19"/>
  <w16cid:commentId w16cid:paraId="63514A79" w16cid:durableId="1E0BABC2"/>
  <w16cid:commentId w16cid:paraId="73596883" w16cid:durableId="1E0BACAF"/>
  <w16cid:commentId w16cid:paraId="09E6952A" w16cid:durableId="1E0BACA5"/>
  <w16cid:commentId w16cid:paraId="6E68E73F" w16cid:durableId="1E0BADEB"/>
  <w16cid:commentId w16cid:paraId="326FE1ED" w16cid:durableId="1E0BB554"/>
  <w16cid:commentId w16cid:paraId="1EAD4006" w16cid:durableId="1E0BB891"/>
  <w16cid:commentId w16cid:paraId="151B4FCF" w16cid:durableId="1E0B2FDB"/>
  <w16cid:commentId w16cid:paraId="13F4061B" w16cid:durableId="1E0BBAD2"/>
  <w16cid:commentId w16cid:paraId="3B7ABBF8" w16cid:durableId="1E0BBB12"/>
  <w16cid:commentId w16cid:paraId="159EA788" w16cid:durableId="1E0BC061"/>
  <w16cid:commentId w16cid:paraId="145612D9" w16cid:durableId="1E0B2FDC"/>
  <w16cid:commentId w16cid:paraId="3E612584" w16cid:durableId="1E0B2FDD"/>
  <w16cid:commentId w16cid:paraId="1203FBA6" w16cid:durableId="1E0BC17F"/>
  <w16cid:commentId w16cid:paraId="31B80FE6" w16cid:durableId="1E0B2FDE"/>
  <w16cid:commentId w16cid:paraId="1A198560" w16cid:durableId="1E0B2FDF"/>
  <w16cid:commentId w16cid:paraId="31593C86" w16cid:durableId="1E0B2FE0"/>
  <w16cid:commentId w16cid:paraId="4773AAC9" w16cid:durableId="1E0B2FE1"/>
  <w16cid:commentId w16cid:paraId="53B6D550" w16cid:durableId="1E0B2FE2"/>
  <w16cid:commentId w16cid:paraId="3C479355" w16cid:durableId="1E0B2FE3"/>
  <w16cid:commentId w16cid:paraId="29390212" w16cid:durableId="1E0B2FE4"/>
  <w16cid:commentId w16cid:paraId="1B622BA2" w16cid:durableId="1E0B2FE5"/>
  <w16cid:commentId w16cid:paraId="5916AF05" w16cid:durableId="1E0B2FE6"/>
  <w16cid:commentId w16cid:paraId="5E770F2A" w16cid:durableId="1E0B2FE7"/>
  <w16cid:commentId w16cid:paraId="0DFA4464" w16cid:durableId="1E0B2FE8"/>
  <w16cid:commentId w16cid:paraId="7D9705BA" w16cid:durableId="1E0B2FE9"/>
  <w16cid:commentId w16cid:paraId="031618AF" w16cid:durableId="1E0B2FEA"/>
  <w16cid:commentId w16cid:paraId="7899CE36" w16cid:durableId="1E0BC349"/>
  <w16cid:commentId w16cid:paraId="004D1BBE" w16cid:durableId="1E0BC422"/>
  <w16cid:commentId w16cid:paraId="3396C7F2" w16cid:durableId="1E0BC47E"/>
  <w16cid:commentId w16cid:paraId="4A2D668C" w16cid:durableId="1E0B2FEB"/>
  <w16cid:commentId w16cid:paraId="780D7759" w16cid:durableId="1E0B2FEC"/>
  <w16cid:commentId w16cid:paraId="5594206A" w16cid:durableId="1E0B2FED"/>
  <w16cid:commentId w16cid:paraId="37FE3E02" w16cid:durableId="1E0B2FEE"/>
  <w16cid:commentId w16cid:paraId="7F6F87A2" w16cid:durableId="1E0B2FEF"/>
  <w16cid:commentId w16cid:paraId="2EAE8DCC" w16cid:durableId="1E0B2FF0"/>
  <w16cid:commentId w16cid:paraId="175AF8E2" w16cid:durableId="1E0B2FF1"/>
  <w16cid:commentId w16cid:paraId="332E4571" w16cid:durableId="1E0BC88D"/>
  <w16cid:commentId w16cid:paraId="6995A4FD" w16cid:durableId="1E0BBFA9"/>
  <w16cid:commentId w16cid:paraId="5C4FB9FF" w16cid:durableId="1E0B2FF2"/>
  <w16cid:commentId w16cid:paraId="6364EB6E" w16cid:durableId="1E0B2FF3"/>
  <w16cid:commentId w16cid:paraId="24120BB2" w16cid:durableId="1E0B2FF4"/>
  <w16cid:commentId w16cid:paraId="47BCB983" w16cid:durableId="1E0B2FF5"/>
  <w16cid:commentId w16cid:paraId="2047234A" w16cid:durableId="1E0B2FF6"/>
  <w16cid:commentId w16cid:paraId="0EA21957" w16cid:durableId="1E0B2FF7"/>
  <w16cid:commentId w16cid:paraId="5831D1DD" w16cid:durableId="1E0B2FF8"/>
  <w16cid:commentId w16cid:paraId="2A1CDB43" w16cid:durableId="1E0B2FF9"/>
  <w16cid:commentId w16cid:paraId="7AB2B9B5" w16cid:durableId="1E0B2F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94585" w14:textId="77777777" w:rsidR="00133798" w:rsidRDefault="00133798" w:rsidP="00EE14AD">
      <w:pPr>
        <w:spacing w:after="0" w:line="240" w:lineRule="auto"/>
      </w:pPr>
      <w:r>
        <w:separator/>
      </w:r>
    </w:p>
  </w:endnote>
  <w:endnote w:type="continuationSeparator" w:id="0">
    <w:p w14:paraId="7F23CC75" w14:textId="77777777" w:rsidR="00133798" w:rsidRDefault="00133798" w:rsidP="00EE14AD">
      <w:pPr>
        <w:spacing w:after="0" w:line="240" w:lineRule="auto"/>
      </w:pPr>
      <w:r>
        <w:continuationSeparator/>
      </w:r>
    </w:p>
  </w:endnote>
  <w:endnote w:type="continuationNotice" w:id="1">
    <w:p w14:paraId="732C19CE" w14:textId="77777777" w:rsidR="00133798" w:rsidRDefault="00133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Georgia">
    <w:panose1 w:val="02040502050405020303"/>
    <w:charset w:val="BA"/>
    <w:family w:val="roman"/>
    <w:pitch w:val="variable"/>
    <w:sig w:usb0="00000287" w:usb1="00000000" w:usb2="00000000" w:usb3="00000000" w:csb0="0000009F" w:csb1="00000000"/>
  </w:font>
  <w:font w:name="FranklinGothicBookITC-Regular">
    <w:altName w:val="Arial"/>
    <w:panose1 w:val="00000000000000000000"/>
    <w:charset w:val="00"/>
    <w:family w:val="swiss"/>
    <w:notTrueType/>
    <w:pitch w:val="default"/>
    <w:sig w:usb0="00000003" w:usb1="08070000" w:usb2="00000010" w:usb3="00000000" w:csb0="00020001" w:csb1="00000000"/>
  </w:font>
  <w:font w:name="DokChampa">
    <w:altName w:val="Arial Unicode MS"/>
    <w:charset w:val="DE"/>
    <w:family w:val="swiss"/>
    <w:pitch w:val="variable"/>
    <w:sig w:usb0="00000000"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BA"/>
    <w:family w:val="swiss"/>
    <w:pitch w:val="variable"/>
    <w:sig w:usb0="E1002EFF" w:usb1="C000605B" w:usb2="00000029" w:usb3="00000000" w:csb0="000101FF" w:csb1="00000000"/>
  </w:font>
  <w:font w:name="Univers 45 Light">
    <w:panose1 w:val="00000000000000000000"/>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Malgun Gothic Semilight">
    <w:panose1 w:val="020B0502040204020203"/>
    <w:charset w:val="80"/>
    <w:family w:val="swiss"/>
    <w:pitch w:val="variable"/>
    <w:sig w:usb0="B0000AAF" w:usb1="09DF7CFB" w:usb2="00000012" w:usb3="00000000" w:csb0="003E01BD" w:csb1="00000000"/>
  </w:font>
  <w:font w:name="Georgia,Bold">
    <w:altName w:val="Times New Roman"/>
    <w:panose1 w:val="00000000000000000000"/>
    <w:charset w:val="00"/>
    <w:family w:val="auto"/>
    <w:notTrueType/>
    <w:pitch w:val="default"/>
    <w:sig w:usb0="00000003" w:usb1="00000000" w:usb2="00000000" w:usb3="00000000" w:csb0="00000001" w:csb1="00000000"/>
  </w:font>
  <w:font w:name="FranklinGothicBookCondITC-Reg">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7778" w14:textId="6D81D557" w:rsidR="00133798" w:rsidRPr="005524FA" w:rsidRDefault="00133798" w:rsidP="00E0468B">
    <w:pPr>
      <w:pStyle w:val="Porat"/>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BD4CF" w14:textId="77777777" w:rsidR="00133798" w:rsidRDefault="00133798" w:rsidP="00EE14AD">
      <w:pPr>
        <w:spacing w:after="0" w:line="240" w:lineRule="auto"/>
      </w:pPr>
      <w:r>
        <w:separator/>
      </w:r>
    </w:p>
  </w:footnote>
  <w:footnote w:type="continuationSeparator" w:id="0">
    <w:p w14:paraId="6B685127" w14:textId="77777777" w:rsidR="00133798" w:rsidRDefault="00133798" w:rsidP="00EE14AD">
      <w:pPr>
        <w:spacing w:after="0" w:line="240" w:lineRule="auto"/>
      </w:pPr>
      <w:r>
        <w:continuationSeparator/>
      </w:r>
    </w:p>
  </w:footnote>
  <w:footnote w:type="continuationNotice" w:id="1">
    <w:p w14:paraId="03568F18" w14:textId="77777777" w:rsidR="00133798" w:rsidRDefault="00133798">
      <w:pPr>
        <w:spacing w:after="0" w:line="240" w:lineRule="auto"/>
      </w:pPr>
    </w:p>
  </w:footnote>
  <w:footnote w:id="2">
    <w:p w14:paraId="2BAE8EB6" w14:textId="77777777" w:rsidR="00133798" w:rsidRPr="00B76111" w:rsidRDefault="00133798">
      <w:pPr>
        <w:pStyle w:val="Puslapioinaostekstas"/>
        <w:rPr>
          <w:lang w:val="lt-LT"/>
        </w:rPr>
      </w:pPr>
      <w:r w:rsidRPr="00A332C0">
        <w:rPr>
          <w:rStyle w:val="Puslapioinaosnuoroda"/>
          <w:lang w:val="lt-LT"/>
        </w:rPr>
        <w:footnoteRef/>
      </w:r>
      <w:r w:rsidRPr="00A332C0">
        <w:rPr>
          <w:lang w:val="lt-LT"/>
        </w:rPr>
        <w:t xml:space="preserve"> Finansų ministerijos 2014 metų balandžio 10 dienos raštu Nr. (24.39)-6K-1403042</w:t>
      </w:r>
    </w:p>
  </w:footnote>
  <w:footnote w:id="3">
    <w:p w14:paraId="62A5A76B" w14:textId="77777777" w:rsidR="00133798" w:rsidRPr="001554CF" w:rsidRDefault="00133798">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 xml:space="preserve">Energijos efektyvumo direktyvos 9.3 punktas. </w:t>
      </w:r>
    </w:p>
  </w:footnote>
  <w:footnote w:id="4">
    <w:p w14:paraId="604DD8E5" w14:textId="1BDCD627" w:rsidR="00133798" w:rsidRPr="0063781D" w:rsidRDefault="00133798" w:rsidP="009A2195">
      <w:pPr>
        <w:pStyle w:val="Puslapioinaostekstas"/>
        <w:tabs>
          <w:tab w:val="clear" w:pos="360"/>
          <w:tab w:val="left" w:pos="0"/>
        </w:tabs>
        <w:ind w:left="0" w:firstLine="0"/>
        <w:rPr>
          <w:lang w:val="lt-LT"/>
        </w:rPr>
      </w:pPr>
      <w:r>
        <w:rPr>
          <w:rStyle w:val="Puslapioinaosnuoroda"/>
        </w:rPr>
        <w:footnoteRef/>
      </w:r>
      <w:r>
        <w:t xml:space="preserve"> </w:t>
      </w:r>
      <w:r>
        <w:rPr>
          <w:color w:val="000000"/>
        </w:rPr>
        <w:t xml:space="preserve">2017 m. lapkričio 29 d. </w:t>
      </w:r>
      <w:r>
        <w:t xml:space="preserve">LRV nutarimas </w:t>
      </w:r>
      <w:r>
        <w:rPr>
          <w:color w:val="000000"/>
        </w:rPr>
        <w:t>Nr. 983 D</w:t>
      </w:r>
      <w:r w:rsidRPr="009A2195">
        <w:rPr>
          <w:color w:val="000000"/>
        </w:rPr>
        <w:t>ėl Lietuvos Respublikos Seimo nutarimo „Dėl Lietuvos Respublikos Seimo 2012 m. birželio 26 d. nutarimo Nr. XI-2133 „Dėl Nacionalinės energetinės nepriklausomybės strategijos patvirtinimo“ pakeitimo“ projekto pateikimo Lietuvos Respublikos Seimui</w:t>
      </w:r>
      <w:r>
        <w:rPr>
          <w:color w:val="000000"/>
        </w:rPr>
        <w:t xml:space="preserve"> (</w:t>
      </w:r>
      <w:r w:rsidRPr="009A2195">
        <w:rPr>
          <w:color w:val="000000"/>
        </w:rPr>
        <w:t>TAR, 2017-12-05, Nr. 19475</w:t>
      </w:r>
      <w:r>
        <w:rPr>
          <w:color w:val="000000"/>
        </w:rPr>
        <w:t>).</w:t>
      </w:r>
    </w:p>
  </w:footnote>
  <w:footnote w:id="5">
    <w:p w14:paraId="1AB50C73" w14:textId="77777777" w:rsidR="00133798" w:rsidRPr="00FB240F" w:rsidRDefault="00133798" w:rsidP="00336C16">
      <w:pPr>
        <w:pStyle w:val="Puslapioinaostekstas"/>
        <w:tabs>
          <w:tab w:val="clear" w:pos="360"/>
          <w:tab w:val="left" w:pos="0"/>
          <w:tab w:val="left" w:pos="426"/>
        </w:tabs>
        <w:ind w:left="0" w:firstLine="0"/>
        <w:jc w:val="both"/>
        <w:rPr>
          <w:szCs w:val="16"/>
          <w:lang w:val="lt-LT"/>
        </w:rPr>
      </w:pPr>
      <w:r w:rsidRPr="00B76111">
        <w:rPr>
          <w:rStyle w:val="Puslapioinaosnuoroda"/>
          <w:lang w:val="lt-LT"/>
        </w:rPr>
        <w:footnoteRef/>
      </w:r>
      <w:r w:rsidRPr="00B76111">
        <w:rPr>
          <w:lang w:val="lt-LT"/>
        </w:rPr>
        <w:t xml:space="preserve"> </w:t>
      </w:r>
      <w:r w:rsidRPr="001554CF">
        <w:rPr>
          <w:szCs w:val="16"/>
          <w:lang w:val="lt-LT"/>
        </w:rPr>
        <w:t xml:space="preserve">Europos socialiniai, teisiniai ir ekonominiai projektai; Sutkienė, Pilkauskas &amp; Partners, </w:t>
      </w:r>
      <w:r w:rsidRPr="00FB240F">
        <w:rPr>
          <w:i/>
          <w:color w:val="000000"/>
          <w:szCs w:val="16"/>
          <w:lang w:val="lt-LT"/>
        </w:rPr>
        <w:t>Annex to the Supplementary Study on JESSICA instruments for energy efficiency in Lithuania</w:t>
      </w:r>
      <w:r w:rsidRPr="00FB240F">
        <w:rPr>
          <w:color w:val="000000"/>
          <w:szCs w:val="16"/>
          <w:lang w:val="lt-LT"/>
        </w:rPr>
        <w:t xml:space="preserve">, </w:t>
      </w:r>
      <w:hyperlink r:id="rId1" w:history="1">
        <w:r w:rsidRPr="00FB240F">
          <w:rPr>
            <w:rStyle w:val="Hipersaitas"/>
            <w:szCs w:val="16"/>
            <w:lang w:val="lt-LT"/>
          </w:rPr>
          <w:t>http://www.eib.org/attachments/documents/annex-to-supplementary-study-on-JESSICA-instrument-for-energy-efficiency-in-lithuania.pdf</w:t>
        </w:r>
      </w:hyperlink>
      <w:r w:rsidRPr="00B76111">
        <w:rPr>
          <w:szCs w:val="16"/>
          <w:lang w:val="lt-LT"/>
        </w:rPr>
        <w:t xml:space="preserve">, 61-62 </w:t>
      </w:r>
      <w:r w:rsidRPr="001554CF">
        <w:rPr>
          <w:szCs w:val="16"/>
          <w:lang w:val="lt-LT"/>
        </w:rPr>
        <w:t>puslapiai</w:t>
      </w:r>
      <w:r w:rsidRPr="00FB240F">
        <w:rPr>
          <w:szCs w:val="16"/>
          <w:lang w:val="lt-LT"/>
        </w:rPr>
        <w:t>.</w:t>
      </w:r>
    </w:p>
    <w:p w14:paraId="2EAB6A0D" w14:textId="77777777" w:rsidR="00133798" w:rsidRPr="00FB240F" w:rsidRDefault="00133798" w:rsidP="00336C16">
      <w:pPr>
        <w:pStyle w:val="Puslapioinaostekstas"/>
        <w:rPr>
          <w:lang w:val="lt-LT"/>
        </w:rPr>
      </w:pPr>
    </w:p>
  </w:footnote>
  <w:footnote w:id="6">
    <w:p w14:paraId="01103923" w14:textId="77777777" w:rsidR="00133798" w:rsidRPr="00FB240F" w:rsidRDefault="00133798"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Commission staff working document, financial instruments in Cohesion Policy, SWD(2012) 36 final, Brussels, 27.2.2012.</w:t>
      </w:r>
    </w:p>
  </w:footnote>
  <w:footnote w:id="7">
    <w:p w14:paraId="666CA0F8" w14:textId="77777777" w:rsidR="00133798" w:rsidRPr="001554CF" w:rsidRDefault="00133798">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Bendrųjų nuostatų reglamento 38.3 punktas.</w:t>
      </w:r>
    </w:p>
  </w:footnote>
  <w:footnote w:id="8">
    <w:p w14:paraId="5F35EB07" w14:textId="77777777" w:rsidR="00133798" w:rsidRPr="00F65508" w:rsidRDefault="00133798" w:rsidP="00633A60">
      <w:pPr>
        <w:pStyle w:val="Puslapioinaostekstas"/>
        <w:tabs>
          <w:tab w:val="clear" w:pos="360"/>
          <w:tab w:val="left" w:pos="0"/>
        </w:tabs>
        <w:ind w:left="0" w:firstLine="0"/>
        <w:rPr>
          <w:szCs w:val="16"/>
          <w:lang w:val="lt-LT"/>
        </w:rPr>
      </w:pPr>
      <w:r w:rsidRPr="00F65508">
        <w:rPr>
          <w:rStyle w:val="Puslapioinaosnuoroda"/>
          <w:szCs w:val="16"/>
          <w:lang w:val="lt-LT"/>
        </w:rPr>
        <w:footnoteRef/>
      </w:r>
      <w:r w:rsidRPr="00F65508">
        <w:rPr>
          <w:szCs w:val="16"/>
          <w:lang w:val="lt-LT"/>
        </w:rPr>
        <w:t xml:space="preserve"> Daugiabučių namų atnaujinimo (modernizavimo) programa, patvirtinta Lietuvos Respublikos Vyriausybės 2004 m. rugsėjo 23 d. Nr. 1213 (Žin., 2013, Nr. 83-4153)</w:t>
      </w:r>
    </w:p>
  </w:footnote>
  <w:footnote w:id="9">
    <w:p w14:paraId="32865F29" w14:textId="77777777" w:rsidR="00133798" w:rsidRPr="00D425FA" w:rsidRDefault="00133798" w:rsidP="005A0219">
      <w:pPr>
        <w:pStyle w:val="Puslapioinaostekstas"/>
        <w:rPr>
          <w:lang w:val="lt-LT"/>
        </w:rPr>
      </w:pPr>
      <w:r>
        <w:rPr>
          <w:rStyle w:val="Puslapioinaosnuoroda"/>
        </w:rPr>
        <w:footnoteRef/>
      </w:r>
      <w:r>
        <w:t xml:space="preserve"> </w:t>
      </w:r>
      <w:r w:rsidRPr="003423B7">
        <w:t>http://www.regula.lt/SiteAssets/naujienu-medziaga/2017/2017-spalis/1_pav_2017_10_12.jpg</w:t>
      </w:r>
    </w:p>
  </w:footnote>
  <w:footnote w:id="10">
    <w:p w14:paraId="67FD65C8" w14:textId="77777777" w:rsidR="00133798" w:rsidRPr="001E419B" w:rsidRDefault="00133798" w:rsidP="005A0219">
      <w:pPr>
        <w:pStyle w:val="Puslapioinaostekstas"/>
        <w:rPr>
          <w:lang w:val="lt-LT"/>
        </w:rPr>
      </w:pPr>
      <w:r w:rsidRPr="00F65508">
        <w:rPr>
          <w:rStyle w:val="Puslapioinaosnuoroda"/>
          <w:szCs w:val="16"/>
          <w:lang w:val="lt-LT"/>
        </w:rPr>
        <w:footnoteRef/>
      </w:r>
      <w:r w:rsidRPr="00F65508">
        <w:rPr>
          <w:szCs w:val="16"/>
          <w:lang w:val="lt-LT"/>
        </w:rPr>
        <w:t xml:space="preserve"> </w:t>
      </w:r>
      <w:hyperlink r:id="rId2" w:history="1">
        <w:r w:rsidRPr="002707BE">
          <w:rPr>
            <w:rStyle w:val="Hipersaitas"/>
            <w:rFonts w:cs="Georgia"/>
            <w:szCs w:val="16"/>
            <w:lang w:val="lt-LT"/>
          </w:rPr>
          <w:t>www.am.lt</w:t>
        </w:r>
      </w:hyperlink>
      <w:r>
        <w:rPr>
          <w:rFonts w:cs="Georgia"/>
          <w:szCs w:val="16"/>
          <w:lang w:val="lt-LT"/>
        </w:rPr>
        <w:t xml:space="preserve"> </w:t>
      </w:r>
      <w:r w:rsidRPr="00F65508">
        <w:rPr>
          <w:rFonts w:cs="Georgia"/>
          <w:szCs w:val="16"/>
          <w:lang w:val="lt-LT"/>
        </w:rPr>
        <w:t>/statyba ir būstas/būstas</w:t>
      </w:r>
      <w:r>
        <w:rPr>
          <w:rFonts w:cs="Georgia"/>
          <w:szCs w:val="16"/>
          <w:lang w:val="lt-LT"/>
        </w:rPr>
        <w:t xml:space="preserve"> </w:t>
      </w:r>
    </w:p>
  </w:footnote>
  <w:footnote w:id="11">
    <w:p w14:paraId="7F36AB34" w14:textId="77777777" w:rsidR="00133798" w:rsidRPr="001D42B4" w:rsidRDefault="00133798" w:rsidP="005A0219">
      <w:pPr>
        <w:pStyle w:val="Puslapioinaostekstas"/>
        <w:rPr>
          <w:lang w:val="lt-LT"/>
        </w:rPr>
      </w:pPr>
      <w:r>
        <w:rPr>
          <w:rStyle w:val="Puslapioinaosnuoroda"/>
        </w:rPr>
        <w:footnoteRef/>
      </w:r>
      <w:r>
        <w:t xml:space="preserve"> </w:t>
      </w:r>
      <w:r>
        <w:rPr>
          <w:lang w:val="lt-LT"/>
        </w:rPr>
        <w:t xml:space="preserve">2016 m. gruodžio mėn., </w:t>
      </w:r>
      <w:r w:rsidRPr="003423B7">
        <w:rPr>
          <w:lang w:val="lt-LT"/>
        </w:rPr>
        <w:t>http://www.betalt.lt/apie-mus/#veiklos-ataskaitos</w:t>
      </w:r>
    </w:p>
  </w:footnote>
  <w:footnote w:id="12">
    <w:p w14:paraId="6F52EC43" w14:textId="77777777" w:rsidR="00133798" w:rsidRPr="0096795B" w:rsidRDefault="00133798" w:rsidP="005A0219">
      <w:pPr>
        <w:pStyle w:val="Puslapioinaostekstas"/>
      </w:pPr>
      <w:r>
        <w:rPr>
          <w:rStyle w:val="Puslapioinaosnuoroda"/>
        </w:rPr>
        <w:footnoteRef/>
      </w:r>
      <w:r>
        <w:t xml:space="preserve"> 2017 m. rugs</w:t>
      </w:r>
      <w:r>
        <w:rPr>
          <w:lang w:val="lt-LT"/>
        </w:rPr>
        <w:t xml:space="preserve">ėjo </w:t>
      </w:r>
      <w:r>
        <w:t xml:space="preserve">1 d. </w:t>
      </w:r>
    </w:p>
  </w:footnote>
  <w:footnote w:id="13">
    <w:p w14:paraId="07AAEB3B" w14:textId="11B36F1D" w:rsidR="00133798" w:rsidRPr="005B31C6" w:rsidRDefault="00133798">
      <w:pPr>
        <w:pStyle w:val="Puslapioinaostekstas"/>
        <w:rPr>
          <w:lang w:val="en-US"/>
        </w:rPr>
      </w:pPr>
      <w:r>
        <w:rPr>
          <w:rStyle w:val="Puslapioinaosnuoroda"/>
        </w:rPr>
        <w:footnoteRef/>
      </w:r>
      <w:r>
        <w:t xml:space="preserve"> Vilniaus miesto savivaldyb</w:t>
      </w:r>
      <w:r>
        <w:rPr>
          <w:lang w:val="lt-LT"/>
        </w:rPr>
        <w:t>ės</w:t>
      </w:r>
      <w:r>
        <w:t xml:space="preserve"> tarybos nutarimą  Nr. 1-1057 </w:t>
      </w:r>
    </w:p>
  </w:footnote>
  <w:footnote w:id="14">
    <w:p w14:paraId="5B3EC8A4" w14:textId="77777777" w:rsidR="00133798" w:rsidRPr="0097509A" w:rsidRDefault="00133798" w:rsidP="005A0219">
      <w:pPr>
        <w:pStyle w:val="Puslapioinaostekstas"/>
        <w:rPr>
          <w:lang w:val="lt-LT"/>
        </w:rPr>
      </w:pPr>
      <w:r>
        <w:rPr>
          <w:rStyle w:val="Puslapioinaosnuoroda"/>
        </w:rPr>
        <w:footnoteRef/>
      </w:r>
      <w:r>
        <w:t xml:space="preserve"> Europos Parlamento</w:t>
      </w:r>
      <w:r w:rsidRPr="0097509A">
        <w:t xml:space="preserve"> </w:t>
      </w:r>
      <w:r>
        <w:t>ir</w:t>
      </w:r>
      <w:r w:rsidRPr="0097509A">
        <w:t xml:space="preserve"> </w:t>
      </w:r>
      <w:r>
        <w:t xml:space="preserve">Tarybos Direktyva </w:t>
      </w:r>
      <w:r w:rsidRPr="0097509A">
        <w:t>kuria iš dalies keičiama Direktyva 2012/27/ES dėl energijos vartojimo efektyvumo</w:t>
      </w:r>
      <w:r>
        <w:t>, 2016/0376 (COD)</w:t>
      </w:r>
    </w:p>
  </w:footnote>
  <w:footnote w:id="15">
    <w:p w14:paraId="12A410A0" w14:textId="1A168FFC" w:rsidR="00133798" w:rsidRPr="0097509A" w:rsidRDefault="00133798" w:rsidP="005A0219">
      <w:pPr>
        <w:pStyle w:val="Puslapioinaostekstas"/>
        <w:rPr>
          <w:lang w:val="lt-LT"/>
        </w:rPr>
      </w:pPr>
      <w:r>
        <w:rPr>
          <w:rStyle w:val="Puslapioinaosnuoroda"/>
        </w:rPr>
        <w:footnoteRef/>
      </w:r>
      <w:r>
        <w:t xml:space="preserve"> LRV nutarimas </w:t>
      </w:r>
      <w:r w:rsidRPr="0063781D">
        <w:t>Dėl Lietuvos Respublikos Seimo nutarimo „Dėl Lietuvos Respublikos Seimo 2012 m. birželio 26 d. nutarimo Nr. XI-2133 „Dėl Nacionalinės energetinės nepriklausomybės strategijos patvirtinimo“ pakeitimo“ projekto pateikimo Lietuvos Respublikos Seimui</w:t>
      </w:r>
      <w:r>
        <w:t xml:space="preserve"> (</w:t>
      </w:r>
      <w:r w:rsidRPr="0063781D">
        <w:t xml:space="preserve">TAR, 2017-12-05, Nr. 19475) </w:t>
      </w:r>
    </w:p>
  </w:footnote>
  <w:footnote w:id="16">
    <w:p w14:paraId="3B1E83D2" w14:textId="77777777" w:rsidR="00133798" w:rsidRPr="00B629C6" w:rsidRDefault="00133798" w:rsidP="005A0219">
      <w:pPr>
        <w:pStyle w:val="Puslapioinaostekstas"/>
        <w:rPr>
          <w:lang w:val="lt-LT"/>
        </w:rPr>
      </w:pPr>
      <w:r>
        <w:rPr>
          <w:rStyle w:val="Puslapioinaosnuoroda"/>
        </w:rPr>
        <w:footnoteRef/>
      </w:r>
      <w:r>
        <w:t xml:space="preserve"> 2014 m. gegužės 30 d. Nr. 1-149 Lietuvos Respublikos energetikos ministro </w:t>
      </w:r>
      <w:r>
        <w:rPr>
          <w:lang w:val="lt-LT"/>
        </w:rPr>
        <w:t>įsakymo „Dėl energijos vartojimo efektyvumo didinimo 2014-2016 metų veiksmų plano patvirtinimo“, 2 priedas</w:t>
      </w:r>
    </w:p>
  </w:footnote>
  <w:footnote w:id="17">
    <w:p w14:paraId="1CB3E3E3" w14:textId="77777777" w:rsidR="00133798" w:rsidRPr="001C0456" w:rsidRDefault="00133798" w:rsidP="005A0219">
      <w:pPr>
        <w:pStyle w:val="Puslapioinaostekstas"/>
      </w:pPr>
      <w:r>
        <w:rPr>
          <w:rStyle w:val="Puslapioinaosnuoroda"/>
        </w:rPr>
        <w:footnoteRef/>
      </w:r>
      <w:r>
        <w:t xml:space="preserve"> Remiantis</w:t>
      </w:r>
      <w:r>
        <w:rPr>
          <w:lang w:val="lt-LT"/>
        </w:rPr>
        <w:t xml:space="preserve"> </w:t>
      </w:r>
      <w:r>
        <w:t>2015m. pa</w:t>
      </w:r>
      <w:r>
        <w:rPr>
          <w:lang w:val="lt-LT"/>
        </w:rPr>
        <w:t xml:space="preserve">žangos siekiant nacionalinių energijos vartojimo efektyvumo tikslų ataskaita, </w:t>
      </w:r>
      <w:r>
        <w:t>2015 m. Lietuvos energijos balanse galutin</w:t>
      </w:r>
      <w:r>
        <w:rPr>
          <w:lang w:val="lt-LT"/>
        </w:rPr>
        <w:t xml:space="preserve">ės energijos suvartojimas sudarė </w:t>
      </w:r>
      <w:r>
        <w:t xml:space="preserve">80,5% viso pirminio energijos suvartojimo. </w:t>
      </w:r>
    </w:p>
  </w:footnote>
  <w:footnote w:id="18">
    <w:p w14:paraId="3C3A31B7" w14:textId="77777777" w:rsidR="00133798" w:rsidRPr="00C226C9" w:rsidRDefault="00133798" w:rsidP="005A0219">
      <w:pPr>
        <w:pStyle w:val="Puslapioinaostekstas"/>
        <w:rPr>
          <w:lang w:val="lt-LT"/>
        </w:rPr>
      </w:pPr>
      <w:r>
        <w:rPr>
          <w:rStyle w:val="Puslapioinaosnuoroda"/>
        </w:rPr>
        <w:footnoteRef/>
      </w:r>
      <w:r>
        <w:t xml:space="preserve"> </w:t>
      </w:r>
      <w:r>
        <w:rPr>
          <w:lang w:val="lt-LT"/>
        </w:rPr>
        <w:t xml:space="preserve">Šaltinis – </w:t>
      </w:r>
      <w:r>
        <w:t xml:space="preserve">2017 m. liepos 7 d. </w:t>
      </w:r>
      <w:r>
        <w:rPr>
          <w:lang w:val="lt-LT"/>
        </w:rPr>
        <w:t xml:space="preserve">LR Energetikos ministro įsakymas Nr. </w:t>
      </w:r>
      <w:r>
        <w:t>1-181 d</w:t>
      </w:r>
      <w:r>
        <w:rPr>
          <w:lang w:val="lt-LT"/>
        </w:rPr>
        <w:t xml:space="preserve">ėl energijos vartojimo efektyvumo didinimo 2017-2019 metų veiksmų plano patvirtinimo </w:t>
      </w:r>
      <w:r>
        <w:t>4  lentelė, neįskaičiuojant bendrabučių ir aukštųjų mokyklų atnaujinimų</w:t>
      </w:r>
    </w:p>
  </w:footnote>
  <w:footnote w:id="19">
    <w:p w14:paraId="1F920071" w14:textId="77777777" w:rsidR="00133798" w:rsidRPr="00E92FC2" w:rsidRDefault="00133798" w:rsidP="005A0219">
      <w:pPr>
        <w:pStyle w:val="Puslapioinaostekstas"/>
        <w:rPr>
          <w:lang w:val="lt-LT"/>
        </w:rPr>
      </w:pPr>
      <w:r>
        <w:rPr>
          <w:rStyle w:val="Puslapioinaosnuoroda"/>
        </w:rPr>
        <w:footnoteRef/>
      </w:r>
      <w:r>
        <w:t xml:space="preserve"> 2004 m. rugsėjo </w:t>
      </w:r>
      <w:r>
        <w:rPr>
          <w:lang w:val="lt-LT"/>
        </w:rPr>
        <w:t>Lietuvos Respublikos Vyriausybės nutarimas Nr. 1213 „Dėl daugiabučių namų atnaujinimo (modernizavimo) programos patvirtinimo“</w:t>
      </w:r>
    </w:p>
  </w:footnote>
  <w:footnote w:id="20">
    <w:p w14:paraId="3F27A30D" w14:textId="77777777" w:rsidR="00133798" w:rsidRPr="00F07810" w:rsidRDefault="00133798" w:rsidP="005A0219">
      <w:pPr>
        <w:pStyle w:val="Puslapioinaostekstas"/>
      </w:pPr>
      <w:r>
        <w:rPr>
          <w:rStyle w:val="Puslapioinaosnuoroda"/>
        </w:rPr>
        <w:footnoteRef/>
      </w:r>
      <w:r>
        <w:t xml:space="preserve"> </w:t>
      </w:r>
      <w:r>
        <w:rPr>
          <w:lang w:val="lt-LT"/>
        </w:rPr>
        <w:t xml:space="preserve">Nacionalinės energetikos strategijos pirminis projektas, </w:t>
      </w:r>
      <w:r>
        <w:t>52 psl.</w:t>
      </w:r>
    </w:p>
  </w:footnote>
  <w:footnote w:id="21">
    <w:p w14:paraId="6EA705CF" w14:textId="77777777" w:rsidR="00133798" w:rsidRPr="00F07810" w:rsidRDefault="00133798" w:rsidP="005A0219">
      <w:pPr>
        <w:pStyle w:val="Puslapioinaostekstas"/>
      </w:pPr>
      <w:r>
        <w:rPr>
          <w:rStyle w:val="Puslapioinaosnuoroda"/>
        </w:rPr>
        <w:footnoteRef/>
      </w:r>
      <w:r>
        <w:t xml:space="preserve"> </w:t>
      </w:r>
      <w:r>
        <w:rPr>
          <w:lang w:val="lt-LT"/>
        </w:rPr>
        <w:t xml:space="preserve">Nacionalinės energetikos strategijos pirminis projektas, </w:t>
      </w:r>
      <w:r>
        <w:t>52 psl.</w:t>
      </w:r>
    </w:p>
  </w:footnote>
  <w:footnote w:id="22">
    <w:p w14:paraId="4DE363EF" w14:textId="77777777" w:rsidR="00133798" w:rsidRPr="00B917B9" w:rsidRDefault="00133798" w:rsidP="000264DA">
      <w:pPr>
        <w:pStyle w:val="Puslapioinaostekstas"/>
        <w:rPr>
          <w:lang w:val="lt-LT"/>
        </w:rPr>
      </w:pPr>
      <w:r>
        <w:rPr>
          <w:rStyle w:val="Puslapioinaosnuoroda"/>
        </w:rPr>
        <w:footnoteRef/>
      </w:r>
      <w:r>
        <w:t xml:space="preserve"> </w:t>
      </w:r>
      <w:r w:rsidRPr="00B917B9">
        <w:t>http://www.kaunas.lt/wp-content/uploads/sites/13/2015/03/3-programos-priemones-1.pdf</w:t>
      </w:r>
    </w:p>
  </w:footnote>
  <w:footnote w:id="23">
    <w:p w14:paraId="277DA796" w14:textId="77777777" w:rsidR="00133798" w:rsidRPr="00F15DF4" w:rsidRDefault="00133798" w:rsidP="000264DA">
      <w:pPr>
        <w:pStyle w:val="Puslapioinaostekstas"/>
        <w:rPr>
          <w:szCs w:val="16"/>
          <w:lang w:val="lt-LT"/>
        </w:rPr>
      </w:pPr>
      <w:r w:rsidRPr="00F15DF4">
        <w:rPr>
          <w:rStyle w:val="Puslapioinaosnuoroda"/>
          <w:szCs w:val="16"/>
        </w:rPr>
        <w:footnoteRef/>
      </w:r>
      <w:r w:rsidRPr="00F15DF4">
        <w:rPr>
          <w:szCs w:val="16"/>
        </w:rPr>
        <w:t xml:space="preserve"> </w:t>
      </w:r>
      <w:r w:rsidRPr="00012489">
        <w:rPr>
          <w:szCs w:val="16"/>
        </w:rPr>
        <w:t>https://www.klaipeda.lt/lit/2017-2019-m/3733443</w:t>
      </w:r>
    </w:p>
  </w:footnote>
  <w:footnote w:id="24">
    <w:p w14:paraId="1A92DE37" w14:textId="77777777" w:rsidR="00133798" w:rsidRPr="00BE1614" w:rsidRDefault="00133798" w:rsidP="000264DA">
      <w:pPr>
        <w:pStyle w:val="Puslapioinaostekstas"/>
        <w:rPr>
          <w:lang w:val="en-US"/>
        </w:rPr>
      </w:pPr>
      <w:r>
        <w:rPr>
          <w:rStyle w:val="Puslapioinaosnuoroda"/>
        </w:rPr>
        <w:footnoteRef/>
      </w:r>
      <w:r>
        <w:t xml:space="preserve"> </w:t>
      </w:r>
      <w:r w:rsidRPr="00BE1614">
        <w:t>https://www.siauliai.lt/lit/STRATEGINIS-PLANAVIMAS/414</w:t>
      </w:r>
    </w:p>
  </w:footnote>
  <w:footnote w:id="25">
    <w:p w14:paraId="0F63AAB7" w14:textId="77777777" w:rsidR="00133798" w:rsidRPr="00F15DF4" w:rsidRDefault="00133798" w:rsidP="000264DA">
      <w:pPr>
        <w:pStyle w:val="Puslapioinaostekstas"/>
        <w:rPr>
          <w:szCs w:val="16"/>
          <w:lang w:val="en-US"/>
        </w:rPr>
      </w:pPr>
      <w:r w:rsidRPr="00F15DF4">
        <w:rPr>
          <w:rStyle w:val="Puslapioinaosnuoroda"/>
          <w:szCs w:val="16"/>
        </w:rPr>
        <w:footnoteRef/>
      </w:r>
      <w:r w:rsidRPr="00F15DF4">
        <w:rPr>
          <w:szCs w:val="16"/>
        </w:rPr>
        <w:t xml:space="preserve"> </w:t>
      </w:r>
      <w:hyperlink r:id="rId3" w:tgtFrame="_blank" w:history="1">
        <w:r w:rsidRPr="00F15DF4">
          <w:rPr>
            <w:rStyle w:val="Hipersaitas"/>
            <w:rFonts w:cs="Calibri"/>
            <w:color w:val="1155CC"/>
            <w:szCs w:val="16"/>
            <w:shd w:val="clear" w:color="auto" w:fill="FFFFFF"/>
          </w:rPr>
          <w:t>http://www.panevezys.lt/lt/veikla/planavimo-dokumentai.html</w:t>
        </w:r>
      </w:hyperlink>
    </w:p>
  </w:footnote>
  <w:footnote w:id="26">
    <w:p w14:paraId="7D98F3F0" w14:textId="77777777" w:rsidR="00133798" w:rsidRPr="00F3678D" w:rsidRDefault="00133798" w:rsidP="000264DA">
      <w:pPr>
        <w:pStyle w:val="Puslapioinaostekstas"/>
        <w:rPr>
          <w:lang w:val="lt-LT"/>
        </w:rPr>
      </w:pPr>
      <w:r>
        <w:rPr>
          <w:rStyle w:val="Puslapioinaosnuoroda"/>
        </w:rPr>
        <w:footnoteRef/>
      </w:r>
      <w:r>
        <w:t xml:space="preserve"> </w:t>
      </w:r>
      <w:r w:rsidRPr="00F3678D">
        <w:t>http://infolex.lt/marijampole/Default.aspx?Id=3&amp;DocId=44167&amp;KlasId=17</w:t>
      </w:r>
    </w:p>
  </w:footnote>
  <w:footnote w:id="27">
    <w:p w14:paraId="6FD326A3" w14:textId="77777777" w:rsidR="00133798" w:rsidRPr="00F3678D" w:rsidRDefault="00133798" w:rsidP="000264DA">
      <w:pPr>
        <w:pStyle w:val="Puslapioinaostekstas"/>
        <w:rPr>
          <w:lang w:val="lt-LT"/>
        </w:rPr>
      </w:pPr>
      <w:r>
        <w:rPr>
          <w:rStyle w:val="Puslapioinaosnuoroda"/>
        </w:rPr>
        <w:footnoteRef/>
      </w:r>
      <w:r>
        <w:t xml:space="preserve"> </w:t>
      </w:r>
      <w:r w:rsidRPr="00F3678D">
        <w:t>http://www.ukmerge.lt/webPartner/subsystems/web/doc.php?itemID=10421</w:t>
      </w:r>
    </w:p>
  </w:footnote>
  <w:footnote w:id="28">
    <w:p w14:paraId="127E1D26" w14:textId="77777777" w:rsidR="00133798" w:rsidRPr="00B22F35" w:rsidRDefault="00133798" w:rsidP="000264DA">
      <w:pPr>
        <w:pStyle w:val="Puslapioinaostekstas"/>
        <w:rPr>
          <w:lang w:val="lt-LT"/>
        </w:rPr>
      </w:pPr>
      <w:r w:rsidRPr="00F15DF4">
        <w:rPr>
          <w:rStyle w:val="Puslapioinaosnuoroda"/>
          <w:szCs w:val="16"/>
        </w:rPr>
        <w:footnoteRef/>
      </w:r>
      <w:r w:rsidRPr="00F15DF4">
        <w:rPr>
          <w:szCs w:val="16"/>
        </w:rPr>
        <w:t xml:space="preserve"> https://www.vrsa.lt/go.php/lit/VILNIAUS-RAJONO-SAVIVALDYBES-STRATEGINIAI-PLETROS-PLANAI/2015</w:t>
      </w:r>
    </w:p>
  </w:footnote>
  <w:footnote w:id="29">
    <w:p w14:paraId="1896B91B" w14:textId="77777777" w:rsidR="00133798" w:rsidRPr="001554CF" w:rsidRDefault="00133798" w:rsidP="005A0219">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Lentelėje pateikti 2014 m. rugsėjo 23 d. duomenys.</w:t>
      </w:r>
    </w:p>
  </w:footnote>
  <w:footnote w:id="30">
    <w:p w14:paraId="694811A7" w14:textId="77777777" w:rsidR="00133798" w:rsidRPr="00B76111" w:rsidRDefault="00133798"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w:t>
      </w:r>
      <w:r w:rsidRPr="001554CF">
        <w:rPr>
          <w:szCs w:val="16"/>
          <w:lang w:val="lt-LT"/>
        </w:rPr>
        <w:t xml:space="preserve">, </w:t>
      </w:r>
      <w:r w:rsidRPr="00FB240F">
        <w:rPr>
          <w:i/>
          <w:szCs w:val="16"/>
          <w:lang w:val="lt-LT"/>
        </w:rPr>
        <w:t xml:space="preserve">Viešosios paskirties pastatų renovavimas nacionaliniu lygiu VP3-3.4-ŪM-03-V, </w:t>
      </w:r>
      <w:r w:rsidRPr="00FB240F">
        <w:rPr>
          <w:szCs w:val="16"/>
          <w:lang w:val="lt-LT"/>
        </w:rPr>
        <w:t xml:space="preserve"> 23 May 2013, </w:t>
      </w:r>
      <w:hyperlink r:id="rId4" w:history="1">
        <w:r w:rsidRPr="00FB240F">
          <w:rPr>
            <w:rStyle w:val="Hipersaitas"/>
            <w:szCs w:val="16"/>
            <w:lang w:val="lt-LT"/>
          </w:rPr>
          <w:t>http://www.esparama.lt/priemone?priem_id=000bdd538000119e</w:t>
        </w:r>
      </w:hyperlink>
      <w:r w:rsidRPr="00B76111">
        <w:rPr>
          <w:szCs w:val="16"/>
          <w:lang w:val="lt-LT"/>
        </w:rPr>
        <w:t>.</w:t>
      </w:r>
    </w:p>
  </w:footnote>
  <w:footnote w:id="31">
    <w:p w14:paraId="0CDA3380" w14:textId="77777777" w:rsidR="00133798" w:rsidRPr="00B76111" w:rsidRDefault="00133798"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 xml:space="preserve">Viešosios paskirties pastatų renovavimas regioniniu lygiu VP3-3.4-ŪM-04-R, </w:t>
      </w:r>
      <w:r w:rsidRPr="00FB240F">
        <w:rPr>
          <w:rFonts w:cs="Arial"/>
          <w:bCs/>
          <w:szCs w:val="16"/>
          <w:lang w:val="lt-LT"/>
        </w:rPr>
        <w:t>16 October 2008</w:t>
      </w:r>
      <w:r w:rsidRPr="00FB240F">
        <w:rPr>
          <w:szCs w:val="16"/>
          <w:lang w:val="lt-LT"/>
        </w:rPr>
        <w:t xml:space="preserve">, </w:t>
      </w:r>
      <w:hyperlink r:id="rId5" w:history="1">
        <w:r w:rsidRPr="00FB240F">
          <w:rPr>
            <w:rStyle w:val="Hipersaitas"/>
            <w:szCs w:val="16"/>
            <w:lang w:val="lt-LT"/>
          </w:rPr>
          <w:t>http://www.esparama.lt/priemone?priem_id=000bdd538000119f</w:t>
        </w:r>
      </w:hyperlink>
      <w:r w:rsidRPr="00B76111">
        <w:rPr>
          <w:szCs w:val="16"/>
          <w:lang w:val="lt-LT"/>
        </w:rPr>
        <w:t>.</w:t>
      </w:r>
    </w:p>
  </w:footnote>
  <w:footnote w:id="32">
    <w:p w14:paraId="29F66455" w14:textId="77777777" w:rsidR="00133798" w:rsidRPr="00B76111" w:rsidRDefault="00133798" w:rsidP="005A0219">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Viešosios paskirties pastatų renovavimo projektai, atitinkantys Lietuvos 2004–2006 m. Bendrojo</w:t>
      </w:r>
      <w:r w:rsidRPr="00FB240F">
        <w:rPr>
          <w:rFonts w:cs="Arial"/>
          <w:bCs/>
          <w:i/>
          <w:szCs w:val="16"/>
          <w:lang w:val="lt-LT"/>
        </w:rPr>
        <w:t xml:space="preserve"> programavimo dokumento 1.2 priemonės „Energijos tiekimo stabilumo, prieinamumo ir didesnio energetikos efektyvumo užtikrinimas“ naudos ir kokybės vertinimo kriterijus VP3-3.4-ŪM-05-V</w:t>
      </w:r>
      <w:r w:rsidRPr="00FB240F">
        <w:rPr>
          <w:szCs w:val="16"/>
          <w:lang w:val="lt-LT"/>
        </w:rPr>
        <w:t xml:space="preserve">, 24 November 2011, </w:t>
      </w:r>
      <w:hyperlink r:id="rId6" w:history="1">
        <w:r w:rsidRPr="00FB240F">
          <w:rPr>
            <w:rStyle w:val="Hipersaitas"/>
            <w:szCs w:val="16"/>
            <w:lang w:val="lt-LT"/>
          </w:rPr>
          <w:t>http://www.esparama.lt/priemone?priem_id=000bdd53800011a0</w:t>
        </w:r>
      </w:hyperlink>
      <w:r w:rsidRPr="00B76111">
        <w:rPr>
          <w:szCs w:val="16"/>
          <w:lang w:val="lt-LT"/>
        </w:rPr>
        <w:t>.</w:t>
      </w:r>
    </w:p>
  </w:footnote>
  <w:footnote w:id="33">
    <w:p w14:paraId="6C73D882" w14:textId="77777777" w:rsidR="00133798" w:rsidRPr="001554CF" w:rsidRDefault="00133798" w:rsidP="005A0219">
      <w:pPr>
        <w:pStyle w:val="Puslapioinaostekstas"/>
        <w:rPr>
          <w:lang w:val="lt-LT"/>
        </w:rPr>
      </w:pPr>
      <w:r w:rsidRPr="00E67C77">
        <w:rPr>
          <w:rStyle w:val="Puslapioinaosnuoroda"/>
          <w:lang w:val="lt-LT"/>
        </w:rPr>
        <w:footnoteRef/>
      </w:r>
      <w:r w:rsidRPr="00E67C77">
        <w:rPr>
          <w:lang w:val="lt-LT"/>
        </w:rPr>
        <w:t xml:space="preserve"> </w:t>
      </w:r>
      <w:hyperlink r:id="rId7" w:history="1">
        <w:r w:rsidRPr="00FB240F">
          <w:rPr>
            <w:rStyle w:val="Hipersaitas"/>
            <w:lang w:val="lt-LT"/>
          </w:rPr>
          <w:t>www.ppplietuva.lt</w:t>
        </w:r>
      </w:hyperlink>
      <w:r w:rsidRPr="00B76111">
        <w:rPr>
          <w:lang w:val="lt-LT"/>
        </w:rPr>
        <w:t xml:space="preserve"> </w:t>
      </w:r>
    </w:p>
  </w:footnote>
  <w:footnote w:id="34">
    <w:p w14:paraId="3345E5F1" w14:textId="77777777" w:rsidR="00133798" w:rsidRPr="00933A3C" w:rsidRDefault="00133798" w:rsidP="005A0219">
      <w:pPr>
        <w:pStyle w:val="Puslapioinaostekstas"/>
        <w:rPr>
          <w:lang w:val="lt-LT"/>
        </w:rPr>
      </w:pPr>
      <w:r>
        <w:rPr>
          <w:rStyle w:val="Puslapioinaosnuoroda"/>
        </w:rPr>
        <w:footnoteRef/>
      </w:r>
      <w:r>
        <w:t xml:space="preserve"> 2017 m. vasario 8 d. galiojanti 2014-2020 met</w:t>
      </w:r>
      <w:r>
        <w:rPr>
          <w:lang w:val="lt-LT"/>
        </w:rPr>
        <w:t>ų Europos Sąjungos fondų investicijų veiksmų programos versija</w:t>
      </w:r>
    </w:p>
  </w:footnote>
  <w:footnote w:id="35">
    <w:p w14:paraId="1B932BFD" w14:textId="77777777" w:rsidR="00133798" w:rsidRPr="00EF799C" w:rsidRDefault="00133798" w:rsidP="005A0219">
      <w:pPr>
        <w:pStyle w:val="Puslapioinaostekstas"/>
      </w:pPr>
      <w:r>
        <w:rPr>
          <w:rStyle w:val="Puslapioinaosnuoroda"/>
        </w:rPr>
        <w:footnoteRef/>
      </w:r>
      <w:r>
        <w:t xml:space="preserve"> 2017 m. liepos 3 d. Nr. 2017/2 – 1722 “D</w:t>
      </w:r>
      <w:r>
        <w:rPr>
          <w:lang w:val="lt-LT"/>
        </w:rPr>
        <w:t>ėl energijos efektyvumo fondo metinės ataskaitos patikslinimo</w:t>
      </w:r>
      <w:r>
        <w:t>”</w:t>
      </w:r>
    </w:p>
  </w:footnote>
  <w:footnote w:id="36">
    <w:p w14:paraId="780B4FCA" w14:textId="77777777" w:rsidR="00133798" w:rsidRPr="00131AB8" w:rsidRDefault="00133798" w:rsidP="005A0219">
      <w:pPr>
        <w:pStyle w:val="Puslapioinaostekstas"/>
        <w:rPr>
          <w:lang w:val="lt-LT"/>
        </w:rPr>
      </w:pPr>
      <w:r>
        <w:rPr>
          <w:rStyle w:val="Puslapioinaosnuoroda"/>
        </w:rPr>
        <w:footnoteRef/>
      </w:r>
      <w:r>
        <w:t xml:space="preserve"> </w:t>
      </w:r>
      <w:r w:rsidRPr="00131AB8">
        <w:t>http://www.esinvesticijos.lt/lt/naujienos/daugiabuciu-namu-renovacijai-lietuvoje-50-mln-euru-erpb-paskola-</w:t>
      </w:r>
    </w:p>
  </w:footnote>
  <w:footnote w:id="37">
    <w:p w14:paraId="6500F224" w14:textId="77777777" w:rsidR="00133798" w:rsidRDefault="00133798" w:rsidP="005A0219">
      <w:pPr>
        <w:pStyle w:val="Puslapioinaostekstas"/>
      </w:pPr>
      <w:r>
        <w:rPr>
          <w:rStyle w:val="Puslapioinaosnuoroda"/>
        </w:rPr>
        <w:footnoteRef/>
      </w:r>
      <w:r>
        <w:t xml:space="preserve"> </w:t>
      </w:r>
      <w:r w:rsidRPr="00FF5180">
        <w:t>http://www.lb.lt/lt/docview/?file=/documents/files/Banku%20sektoriaus%20rodikliai%202017-07-01%20solo%20EUR.xls</w:t>
      </w:r>
    </w:p>
  </w:footnote>
  <w:footnote w:id="38">
    <w:p w14:paraId="70562F5C" w14:textId="77777777" w:rsidR="00133798" w:rsidRDefault="00133798" w:rsidP="005A0219">
      <w:pPr>
        <w:pStyle w:val="Puslapioinaostekstas"/>
      </w:pPr>
      <w:r>
        <w:rPr>
          <w:rStyle w:val="Puslapioinaosnuoroda"/>
        </w:rPr>
        <w:footnoteRef/>
      </w:r>
      <w:r>
        <w:t xml:space="preserve"> </w:t>
      </w:r>
      <w:r w:rsidRPr="00FF5180">
        <w:t>http://www.lb.lt/lt/visa-ekonomika-trumpai?ff=1&amp;date_interval%5Bfrom%5D=2012-Q2&amp;date_interval%5Bto%5D=2017-Q2&amp;relation=96&amp;FSS_DUOM_TIP=1</w:t>
      </w:r>
    </w:p>
  </w:footnote>
  <w:footnote w:id="39">
    <w:p w14:paraId="3563C5EC" w14:textId="77777777" w:rsidR="00133798" w:rsidRPr="001531F0" w:rsidRDefault="00133798" w:rsidP="005A0219">
      <w:pPr>
        <w:pStyle w:val="Puslapioinaostekstas"/>
        <w:rPr>
          <w:lang w:val="lt-LT"/>
        </w:rPr>
      </w:pPr>
      <w:r>
        <w:rPr>
          <w:rStyle w:val="Puslapioinaosnuoroda"/>
        </w:rPr>
        <w:footnoteRef/>
      </w:r>
      <w:r>
        <w:t xml:space="preserve"> </w:t>
      </w:r>
      <w:r w:rsidRPr="001531F0">
        <w:t>http://www.lb.lt/lt/paskolos-ne-finansu-bendrovems-pagal-ekonomines-veiklos-rusis</w:t>
      </w:r>
    </w:p>
  </w:footnote>
  <w:footnote w:id="40">
    <w:p w14:paraId="4FACBEFB" w14:textId="77777777" w:rsidR="00133798" w:rsidRPr="00666A42" w:rsidRDefault="00133798" w:rsidP="005A0219">
      <w:pPr>
        <w:pStyle w:val="Puslapioinaostekstas"/>
        <w:rPr>
          <w:lang w:val="lt-LT"/>
        </w:rPr>
      </w:pPr>
      <w:r>
        <w:rPr>
          <w:rStyle w:val="Puslapioinaosnuoroda"/>
        </w:rPr>
        <w:footnoteRef/>
      </w:r>
      <w:r>
        <w:t xml:space="preserve"> </w:t>
      </w:r>
      <w:r>
        <w:rPr>
          <w:lang w:val="lt-LT"/>
        </w:rPr>
        <w:t>Lietuvos Bankas,  Lietuvos Ekonomikos Apžvalga, 2017 m.</w:t>
      </w:r>
    </w:p>
  </w:footnote>
  <w:footnote w:id="41">
    <w:p w14:paraId="6F1B5CD7" w14:textId="77777777" w:rsidR="00133798" w:rsidRPr="00490F12" w:rsidRDefault="00133798" w:rsidP="00CF6E71">
      <w:pPr>
        <w:pStyle w:val="Puslapioinaostekstas"/>
        <w:rPr>
          <w:rFonts w:asciiTheme="majorHAnsi" w:hAnsiTheme="majorHAnsi"/>
          <w:szCs w:val="16"/>
        </w:rPr>
      </w:pPr>
      <w:r w:rsidRPr="00490F12">
        <w:rPr>
          <w:rStyle w:val="Puslapioinaosnuoroda"/>
          <w:rFonts w:asciiTheme="majorHAnsi" w:hAnsiTheme="majorHAnsi"/>
          <w:szCs w:val="16"/>
        </w:rPr>
        <w:footnoteRef/>
      </w:r>
      <w:r w:rsidRPr="00490F12">
        <w:rPr>
          <w:rFonts w:asciiTheme="majorHAnsi" w:hAnsiTheme="majorHAnsi"/>
          <w:szCs w:val="16"/>
        </w:rPr>
        <w:t xml:space="preserve"> https://www.e-tar.lt/portal/lt/legalAct/79fa29e0cda311e6a2cac7383cbb90a3</w:t>
      </w:r>
    </w:p>
  </w:footnote>
  <w:footnote w:id="42">
    <w:p w14:paraId="07C596AD" w14:textId="77777777" w:rsidR="00133798" w:rsidRPr="00090D59" w:rsidRDefault="00133798" w:rsidP="00CF6E71">
      <w:pPr>
        <w:pStyle w:val="Puslapioinaostekstas"/>
        <w:rPr>
          <w:szCs w:val="16"/>
        </w:rPr>
      </w:pPr>
      <w:r w:rsidRPr="00090D59">
        <w:rPr>
          <w:rStyle w:val="Puslapioinaosnuoroda"/>
          <w:szCs w:val="16"/>
        </w:rPr>
        <w:footnoteRef/>
      </w:r>
      <w:r w:rsidRPr="00090D59">
        <w:rPr>
          <w:szCs w:val="16"/>
        </w:rPr>
        <w:t xml:space="preserve"> http://www.varena.lt/download/30833/i%C5%A1vada%20d%C4%97l%20ilgalaik%C4%97s%20paskolos%20(2016-03-21%20nr.ar-3(3.14)).pdf</w:t>
      </w:r>
    </w:p>
  </w:footnote>
  <w:footnote w:id="43">
    <w:p w14:paraId="423213FC" w14:textId="77777777" w:rsidR="00133798" w:rsidRPr="00967B2B" w:rsidRDefault="00133798" w:rsidP="00CF6E71">
      <w:pPr>
        <w:pStyle w:val="Puslapioinaostekstas"/>
      </w:pPr>
      <w:r w:rsidRPr="00490F12">
        <w:rPr>
          <w:rStyle w:val="Puslapioinaosnuoroda"/>
          <w:rFonts w:asciiTheme="majorHAnsi" w:hAnsiTheme="majorHAnsi"/>
          <w:szCs w:val="16"/>
        </w:rPr>
        <w:footnoteRef/>
      </w:r>
      <w:r w:rsidRPr="00490F12">
        <w:rPr>
          <w:rFonts w:asciiTheme="majorHAnsi" w:hAnsiTheme="majorHAnsi"/>
          <w:szCs w:val="16"/>
        </w:rPr>
        <w:t xml:space="preserve"> http://www.vmi.lt/cms/ataskaitu-archyvas</w:t>
      </w:r>
    </w:p>
  </w:footnote>
  <w:footnote w:id="44">
    <w:p w14:paraId="163579AD" w14:textId="77777777" w:rsidR="00133798" w:rsidRPr="00490F12" w:rsidRDefault="00133798" w:rsidP="00CF6E71">
      <w:pPr>
        <w:rPr>
          <w:rFonts w:asciiTheme="majorHAnsi" w:hAnsiTheme="majorHAnsi"/>
          <w:sz w:val="16"/>
          <w:szCs w:val="16"/>
        </w:rPr>
      </w:pPr>
      <w:r w:rsidRPr="00490F12">
        <w:rPr>
          <w:rStyle w:val="Puslapioinaosnuoroda"/>
          <w:rFonts w:asciiTheme="majorHAnsi" w:hAnsiTheme="majorHAnsi"/>
          <w:sz w:val="16"/>
          <w:szCs w:val="16"/>
        </w:rPr>
        <w:footnoteRef/>
      </w:r>
      <w:r w:rsidRPr="00490F12">
        <w:rPr>
          <w:rFonts w:asciiTheme="majorHAnsi" w:hAnsiTheme="majorHAnsi"/>
          <w:sz w:val="16"/>
          <w:szCs w:val="16"/>
        </w:rPr>
        <w:t xml:space="preserve"> http://finmin.lrv.lt/lt/veiklos-sritys/biudzetas/biudzeto-vykdymas/savivaldybiu-biudzetai/savivaldybiu-skolinimosi-limitai/2017-m-3/2017-m-rugsejo-30-d-1</w:t>
      </w:r>
    </w:p>
    <w:p w14:paraId="1C898E22" w14:textId="77777777" w:rsidR="00133798" w:rsidRDefault="00133798" w:rsidP="00CF6E71">
      <w:pPr>
        <w:pStyle w:val="Puslapioinaostekstas"/>
      </w:pPr>
    </w:p>
  </w:footnote>
  <w:footnote w:id="45">
    <w:p w14:paraId="312791A1" w14:textId="77777777" w:rsidR="00133798" w:rsidRPr="00B76111" w:rsidRDefault="00133798" w:rsidP="005A0219">
      <w:pPr>
        <w:pStyle w:val="Puslapioinaostekstas"/>
        <w:rPr>
          <w:lang w:val="lt-LT"/>
        </w:rPr>
      </w:pPr>
      <w:r w:rsidRPr="00E67C77">
        <w:rPr>
          <w:rStyle w:val="Puslapioinaosnuoroda"/>
          <w:lang w:val="lt-LT"/>
        </w:rPr>
        <w:footnoteRef/>
      </w:r>
      <w:r w:rsidRPr="00E67C77">
        <w:rPr>
          <w:lang w:val="lt-LT"/>
        </w:rPr>
        <w:t xml:space="preserve"> http://www.lsta.lt/files/studijos/2012%20metu/A-77_V.Stankevicius_renovac_paskata.pdf</w:t>
      </w:r>
    </w:p>
  </w:footnote>
  <w:footnote w:id="46">
    <w:p w14:paraId="4A229780" w14:textId="77777777" w:rsidR="00133798" w:rsidRPr="002656DA" w:rsidRDefault="00133798" w:rsidP="00984ACE">
      <w:pPr>
        <w:pStyle w:val="Puslapioinaostekstas"/>
        <w:rPr>
          <w:lang w:val="en-US"/>
        </w:rPr>
      </w:pPr>
      <w:r>
        <w:rPr>
          <w:rStyle w:val="Puslapioinaosnuoroda"/>
        </w:rPr>
        <w:footnoteRef/>
      </w:r>
      <w:r>
        <w:t xml:space="preserve"> </w:t>
      </w:r>
      <w:r w:rsidRPr="00AE7211">
        <w:t>https://ec.europa.eu/info/business-economy-euro/growth-and-investment/financing-investment/connecting-europe-facility-cef-financial-instruments_en</w:t>
      </w:r>
    </w:p>
  </w:footnote>
  <w:footnote w:id="47">
    <w:p w14:paraId="55D1911D" w14:textId="77777777" w:rsidR="00133798" w:rsidRPr="002656DA" w:rsidRDefault="00133798" w:rsidP="00984ACE">
      <w:pPr>
        <w:pStyle w:val="Puslapioinaostekstas"/>
        <w:rPr>
          <w:lang w:val="en-US"/>
        </w:rPr>
      </w:pPr>
      <w:r>
        <w:rPr>
          <w:rStyle w:val="Puslapioinaosnuoroda"/>
        </w:rPr>
        <w:footnoteRef/>
      </w:r>
      <w:r>
        <w:t xml:space="preserve"> </w:t>
      </w:r>
      <w:r w:rsidRPr="00AE7211">
        <w:t>https://ec.europa.eu/programmes/horizon2020/en/news/horizon-2020-work-programme-2018-2020</w:t>
      </w:r>
    </w:p>
  </w:footnote>
  <w:footnote w:id="48">
    <w:p w14:paraId="74AC79B8" w14:textId="77777777" w:rsidR="00133798" w:rsidRPr="001554CF"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7A69FD">
        <w:rPr>
          <w:rFonts w:cs="Arial"/>
          <w:szCs w:val="16"/>
          <w:lang w:val="lt-LT"/>
        </w:rPr>
        <w:t>http://www.ebrd.com/what-we-do.html</w:t>
      </w:r>
      <w:r w:rsidRPr="007A69FD" w:rsidDel="007A69FD">
        <w:rPr>
          <w:rFonts w:cs="Arial"/>
          <w:szCs w:val="16"/>
          <w:lang w:val="lt-LT"/>
        </w:rPr>
        <w:t xml:space="preserve"> </w:t>
      </w:r>
    </w:p>
  </w:footnote>
  <w:footnote w:id="49">
    <w:p w14:paraId="17C6801B"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Pr>
          <w:rFonts w:cs="Arial"/>
          <w:szCs w:val="16"/>
          <w:lang w:val="lt-LT"/>
        </w:rPr>
        <w:t>Guide to EBRD financing 2016 April</w:t>
      </w:r>
    </w:p>
  </w:footnote>
  <w:footnote w:id="50">
    <w:p w14:paraId="352D53D1" w14:textId="77777777" w:rsidR="00133798" w:rsidRPr="001B7484" w:rsidRDefault="00133798" w:rsidP="006977C2">
      <w:pPr>
        <w:pStyle w:val="Puslapioinaostekstas"/>
        <w:rPr>
          <w:lang w:val="en-US"/>
        </w:rPr>
      </w:pPr>
      <w:r>
        <w:rPr>
          <w:rStyle w:val="Puslapioinaosnuoroda"/>
        </w:rPr>
        <w:footnoteRef/>
      </w:r>
      <w:r>
        <w:t xml:space="preserve"> Energy Sector strategy EBRD 2013 December</w:t>
      </w:r>
    </w:p>
  </w:footnote>
  <w:footnote w:id="51">
    <w:p w14:paraId="26F541C2" w14:textId="77777777" w:rsidR="00133798" w:rsidRPr="009A047D" w:rsidRDefault="00133798" w:rsidP="006977C2">
      <w:pPr>
        <w:pStyle w:val="Puslapioinaostekstas"/>
        <w:rPr>
          <w:lang w:val="lt-LT"/>
        </w:rPr>
      </w:pPr>
      <w:r>
        <w:rPr>
          <w:rStyle w:val="Puslapioinaosnuoroda"/>
        </w:rPr>
        <w:footnoteRef/>
      </w:r>
      <w:r>
        <w:t xml:space="preserve"> </w:t>
      </w:r>
      <w:r>
        <w:rPr>
          <w:lang w:val="en-US"/>
        </w:rPr>
        <w:t>Green Economy Transition brochure</w:t>
      </w:r>
    </w:p>
  </w:footnote>
  <w:footnote w:id="52">
    <w:p w14:paraId="29E8783C" w14:textId="77777777" w:rsidR="00133798" w:rsidRPr="00293852" w:rsidRDefault="00133798" w:rsidP="006977C2">
      <w:pPr>
        <w:pStyle w:val="Puslapioinaostekstas"/>
        <w:rPr>
          <w:lang w:val="lt-LT"/>
        </w:rPr>
      </w:pPr>
      <w:r>
        <w:rPr>
          <w:rStyle w:val="Puslapioinaosnuoroda"/>
        </w:rPr>
        <w:footnoteRef/>
      </w:r>
      <w:r>
        <w:t xml:space="preserve"> </w:t>
      </w:r>
      <w:r>
        <w:rPr>
          <w:lang w:val="en-US"/>
        </w:rPr>
        <w:t>Green Economy Transition approach 30 September 2015</w:t>
      </w:r>
    </w:p>
  </w:footnote>
  <w:footnote w:id="53">
    <w:p w14:paraId="56595795" w14:textId="77777777" w:rsidR="00133798" w:rsidRPr="00E12946" w:rsidRDefault="00133798" w:rsidP="006977C2">
      <w:pPr>
        <w:pStyle w:val="Puslapioinaostekstas"/>
        <w:rPr>
          <w:lang w:val="en-US"/>
        </w:rPr>
      </w:pPr>
      <w:r>
        <w:rPr>
          <w:rStyle w:val="Puslapioinaosnuoroda"/>
        </w:rPr>
        <w:footnoteRef/>
      </w:r>
      <w:r>
        <w:rPr>
          <w:lang w:val="en-US"/>
        </w:rPr>
        <w:t xml:space="preserve"> Green Economy Transition approach 30 September 2015</w:t>
      </w:r>
    </w:p>
  </w:footnote>
  <w:footnote w:id="54">
    <w:p w14:paraId="3C81DB67" w14:textId="77777777" w:rsidR="00133798" w:rsidRPr="00F42F98" w:rsidRDefault="00133798" w:rsidP="006977C2">
      <w:pPr>
        <w:pStyle w:val="Puslapioinaostekstas"/>
        <w:rPr>
          <w:lang w:val="en-US"/>
        </w:rPr>
      </w:pPr>
      <w:r>
        <w:rPr>
          <w:rStyle w:val="Puslapioinaosnuoroda"/>
        </w:rPr>
        <w:footnoteRef/>
      </w:r>
      <w:r>
        <w:t xml:space="preserve"> </w:t>
      </w:r>
      <w:r>
        <w:rPr>
          <w:lang w:val="en-US"/>
        </w:rPr>
        <w:t>Green Economy Transition brochure</w:t>
      </w:r>
    </w:p>
  </w:footnote>
  <w:footnote w:id="55">
    <w:p w14:paraId="5CCAC3F3" w14:textId="77777777" w:rsidR="00133798" w:rsidRPr="001554CF"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Document of </w:t>
      </w:r>
      <w:r w:rsidRPr="001554CF">
        <w:rPr>
          <w:rFonts w:cs="Arial"/>
          <w:szCs w:val="16"/>
          <w:lang w:val="lt-LT"/>
        </w:rPr>
        <w:t>European Banks of Reconstruction and Development, Strategy for Lithuania as approved by the Board of</w:t>
      </w:r>
    </w:p>
    <w:p w14:paraId="69CC30B2" w14:textId="77777777" w:rsidR="00133798" w:rsidRPr="00B76111" w:rsidRDefault="00133798" w:rsidP="006977C2">
      <w:pPr>
        <w:pStyle w:val="Puslapioinaostekstas"/>
        <w:rPr>
          <w:rFonts w:cs="Arial"/>
          <w:szCs w:val="16"/>
          <w:lang w:val="lt-LT"/>
        </w:rPr>
      </w:pPr>
      <w:r w:rsidRPr="00FB240F">
        <w:rPr>
          <w:rFonts w:cs="Arial"/>
          <w:szCs w:val="16"/>
          <w:lang w:val="lt-LT"/>
        </w:rPr>
        <w:t xml:space="preserve">Directors at its meeting on </w:t>
      </w:r>
      <w:r>
        <w:rPr>
          <w:rFonts w:cs="Arial"/>
          <w:szCs w:val="16"/>
          <w:lang w:val="lt-LT"/>
        </w:rPr>
        <w:t>10</w:t>
      </w:r>
      <w:r w:rsidRPr="00FB240F">
        <w:rPr>
          <w:rFonts w:cs="Arial"/>
          <w:szCs w:val="16"/>
          <w:lang w:val="lt-LT"/>
        </w:rPr>
        <w:t xml:space="preserve"> </w:t>
      </w:r>
      <w:r>
        <w:rPr>
          <w:rFonts w:cs="Arial"/>
          <w:szCs w:val="16"/>
          <w:lang w:val="lt-LT"/>
        </w:rPr>
        <w:t>February</w:t>
      </w:r>
      <w:r w:rsidRPr="00FB240F">
        <w:rPr>
          <w:rFonts w:cs="Arial"/>
          <w:szCs w:val="16"/>
          <w:lang w:val="lt-LT"/>
        </w:rPr>
        <w:t xml:space="preserve"> 201</w:t>
      </w:r>
      <w:r>
        <w:rPr>
          <w:rFonts w:cs="Arial"/>
          <w:szCs w:val="16"/>
          <w:lang w:val="lt-LT"/>
        </w:rPr>
        <w:t>6</w:t>
      </w:r>
      <w:r w:rsidRPr="00FB240F">
        <w:rPr>
          <w:rFonts w:cs="Arial"/>
          <w:szCs w:val="16"/>
          <w:lang w:val="lt-LT"/>
        </w:rPr>
        <w:t xml:space="preserve"> </w:t>
      </w:r>
    </w:p>
  </w:footnote>
  <w:footnote w:id="56">
    <w:p w14:paraId="5974FA53" w14:textId="77777777" w:rsidR="00133798" w:rsidRPr="00FB240F" w:rsidRDefault="00133798" w:rsidP="006977C2">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i/>
          <w:szCs w:val="16"/>
          <w:lang w:val="lt-LT"/>
        </w:rPr>
        <w:t>Angl. Net Cumulative Business Volume</w:t>
      </w:r>
    </w:p>
  </w:footnote>
  <w:footnote w:id="57">
    <w:p w14:paraId="77B41DF0" w14:textId="77777777" w:rsidR="00133798" w:rsidRPr="00177B7B" w:rsidRDefault="00133798" w:rsidP="006977C2">
      <w:pPr>
        <w:pStyle w:val="Puslapioinaostekstas"/>
        <w:rPr>
          <w:lang w:val="lt-LT"/>
        </w:rPr>
      </w:pPr>
      <w:r>
        <w:rPr>
          <w:rStyle w:val="Puslapioinaosnuoroda"/>
        </w:rPr>
        <w:footnoteRef/>
      </w:r>
      <w:r>
        <w:t xml:space="preserve"> </w:t>
      </w:r>
      <w:r w:rsidRPr="00177B7B">
        <w:rPr>
          <w:i/>
          <w:lang w:val="lt-LT"/>
        </w:rPr>
        <w:t>http://www.ebrd.com/lithuania-data.html</w:t>
      </w:r>
    </w:p>
  </w:footnote>
  <w:footnote w:id="58">
    <w:p w14:paraId="53ED6D95" w14:textId="77777777" w:rsidR="00133798" w:rsidRPr="00516C9E" w:rsidRDefault="00133798" w:rsidP="006977C2">
      <w:pPr>
        <w:pStyle w:val="Puslapioinaostekstas"/>
        <w:rPr>
          <w:rFonts w:ascii="Arial" w:hAnsi="Arial" w:cs="Arial"/>
          <w:sz w:val="18"/>
          <w:lang w:val="lt-LT"/>
        </w:rPr>
      </w:pPr>
      <w:r w:rsidRPr="00516C9E">
        <w:rPr>
          <w:rStyle w:val="Puslapioinaosnuoroda"/>
          <w:rFonts w:cs="Arial"/>
          <w:szCs w:val="16"/>
          <w:lang w:val="lt-LT"/>
        </w:rPr>
        <w:footnoteRef/>
      </w:r>
      <w:r w:rsidRPr="00516C9E">
        <w:rPr>
          <w:rFonts w:cs="Arial"/>
          <w:szCs w:val="16"/>
          <w:lang w:val="lt-LT"/>
        </w:rPr>
        <w:t xml:space="preserve"> </w:t>
      </w:r>
      <w:r w:rsidRPr="00516C9E">
        <w:rPr>
          <w:lang w:val="lt-LT"/>
        </w:rPr>
        <w:t>http://www.ebrd.com/lithuania-data.html</w:t>
      </w:r>
    </w:p>
  </w:footnote>
  <w:footnote w:id="59">
    <w:p w14:paraId="2F06CA6B" w14:textId="77777777" w:rsidR="00133798" w:rsidRPr="00E67C77" w:rsidRDefault="00133798" w:rsidP="006977C2">
      <w:pPr>
        <w:pStyle w:val="Puslapioinaostekstas"/>
        <w:rPr>
          <w:lang w:val="lt-LT"/>
        </w:rPr>
      </w:pPr>
      <w:r w:rsidRPr="00E67C77">
        <w:rPr>
          <w:rStyle w:val="Puslapioinaosnuoroda"/>
          <w:lang w:val="lt-LT"/>
        </w:rPr>
        <w:footnoteRef/>
      </w:r>
      <w:r w:rsidRPr="00E67C77">
        <w:rPr>
          <w:lang w:val="lt-LT"/>
        </w:rPr>
        <w:t xml:space="preserve"> </w:t>
      </w:r>
      <w:r w:rsidRPr="00670977">
        <w:rPr>
          <w:rFonts w:cs="Arial"/>
          <w:i/>
          <w:lang w:val="lt-LT"/>
        </w:rPr>
        <w:t>http://www.ebrd.com/downloads/country/strategy/lithuania.pdf</w:t>
      </w:r>
      <w:r>
        <w:rPr>
          <w:rFonts w:cs="Arial"/>
          <w:i/>
          <w:lang w:val="lt-LT"/>
        </w:rPr>
        <w:t xml:space="preserve">; </w:t>
      </w:r>
      <w:r w:rsidRPr="003E7875">
        <w:rPr>
          <w:rFonts w:cs="Arial"/>
          <w:i/>
          <w:lang w:val="lt-LT"/>
        </w:rPr>
        <w:t>http://www.ebrd.com/lithuania-data.html</w:t>
      </w:r>
    </w:p>
  </w:footnote>
  <w:footnote w:id="60">
    <w:p w14:paraId="32AA5CD6" w14:textId="77777777" w:rsidR="00133798" w:rsidRPr="00631728" w:rsidRDefault="00133798" w:rsidP="006977C2">
      <w:pPr>
        <w:pStyle w:val="Puslapioinaostekstas"/>
        <w:rPr>
          <w:lang w:val="en-US"/>
        </w:rPr>
      </w:pPr>
      <w:r>
        <w:rPr>
          <w:rStyle w:val="Puslapioinaosnuoroda"/>
        </w:rPr>
        <w:footnoteRef/>
      </w:r>
      <w:r>
        <w:t xml:space="preserve"> </w:t>
      </w:r>
      <w:r w:rsidRPr="00402C80">
        <w:t>http://www.ebrd.com/work-with-us/projects/psd/vipa-energy-efficiency-structured-loan.html</w:t>
      </w:r>
    </w:p>
  </w:footnote>
  <w:footnote w:id="61">
    <w:p w14:paraId="4CB83AA9" w14:textId="77777777" w:rsidR="00133798" w:rsidRPr="00402C80" w:rsidRDefault="00133798" w:rsidP="006977C2">
      <w:pPr>
        <w:pStyle w:val="Puslapioinaostekstas"/>
        <w:rPr>
          <w:lang w:val="lt-LT"/>
        </w:rPr>
      </w:pPr>
      <w:r>
        <w:rPr>
          <w:rStyle w:val="Puslapioinaosnuoroda"/>
        </w:rPr>
        <w:footnoteRef/>
      </w:r>
      <w:r>
        <w:t xml:space="preserve"> </w:t>
      </w:r>
      <w:r w:rsidRPr="00402C80">
        <w:t>http://www.ebrd.com/work-with-us/projects/psd/lietuvos-energija-green-bond.html</w:t>
      </w:r>
    </w:p>
  </w:footnote>
  <w:footnote w:id="62">
    <w:p w14:paraId="5EC1267C" w14:textId="77777777" w:rsidR="00133798" w:rsidRPr="00B76111" w:rsidRDefault="00133798" w:rsidP="002D46ED">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Sąlygos priklauso nuo konkrečios paskolos.</w:t>
      </w:r>
    </w:p>
  </w:footnote>
  <w:footnote w:id="63">
    <w:p w14:paraId="32EE5E9B" w14:textId="77777777" w:rsidR="00133798" w:rsidRPr="001554CF" w:rsidRDefault="00133798" w:rsidP="002D46ED">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Angl. Income notes</w:t>
      </w:r>
    </w:p>
  </w:footnote>
  <w:footnote w:id="64">
    <w:p w14:paraId="0CF16B3F" w14:textId="77777777" w:rsidR="00133798" w:rsidRPr="00B76111" w:rsidRDefault="00133798" w:rsidP="006977C2">
      <w:pPr>
        <w:pStyle w:val="Puslapioinaostekstas"/>
        <w:rPr>
          <w:lang w:val="lt-LT"/>
        </w:rPr>
      </w:pPr>
      <w:r w:rsidRPr="00E67C77">
        <w:rPr>
          <w:rStyle w:val="Puslapioinaosnuoroda"/>
          <w:lang w:val="lt-LT"/>
        </w:rPr>
        <w:footnoteRef/>
      </w:r>
      <w:r w:rsidRPr="00E67C77">
        <w:rPr>
          <w:lang w:val="lt-LT"/>
        </w:rPr>
        <w:t xml:space="preserve"> </w:t>
      </w:r>
      <w:r w:rsidRPr="005053DE">
        <w:t>http://www.ebrd.com/news/publications/guides/a-guide-to-ebrd-financing.html</w:t>
      </w:r>
    </w:p>
  </w:footnote>
  <w:footnote w:id="65">
    <w:p w14:paraId="24AC05E9" w14:textId="77777777" w:rsidR="00133798" w:rsidRPr="00510DF5" w:rsidRDefault="00133798" w:rsidP="006977C2">
      <w:pPr>
        <w:pStyle w:val="Puslapioinaostekstas"/>
        <w:rPr>
          <w:lang w:val="lt-LT"/>
        </w:rPr>
      </w:pPr>
      <w:r>
        <w:rPr>
          <w:rStyle w:val="Puslapioinaosnuoroda"/>
        </w:rPr>
        <w:footnoteRef/>
      </w:r>
      <w:r>
        <w:t xml:space="preserve"> </w:t>
      </w:r>
      <w:r w:rsidRPr="00510DF5">
        <w:t>http://www.ebrd.com/what-we-do/products-and-services.html</w:t>
      </w:r>
    </w:p>
  </w:footnote>
  <w:footnote w:id="66">
    <w:p w14:paraId="766B940F"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412AF9">
        <w:rPr>
          <w:rFonts w:cs="Arial"/>
          <w:szCs w:val="16"/>
          <w:lang w:val="lt-LT"/>
        </w:rPr>
        <w:t>http://www.nib.int/nib_in_brief/iaur_s_investicij_bankas</w:t>
      </w:r>
      <w:r w:rsidRPr="00B76111">
        <w:rPr>
          <w:rFonts w:cs="Arial"/>
          <w:szCs w:val="16"/>
          <w:lang w:val="lt-LT"/>
        </w:rPr>
        <w:t xml:space="preserve"> </w:t>
      </w:r>
    </w:p>
  </w:footnote>
  <w:footnote w:id="67">
    <w:p w14:paraId="181BEA2E" w14:textId="77777777" w:rsidR="00133798" w:rsidRPr="00C41FB5" w:rsidRDefault="00133798" w:rsidP="006977C2">
      <w:pPr>
        <w:pStyle w:val="Puslapioinaostekstas"/>
        <w:rPr>
          <w:lang w:val="lt-LT"/>
        </w:rPr>
      </w:pPr>
      <w:r>
        <w:rPr>
          <w:rStyle w:val="Puslapioinaosnuoroda"/>
        </w:rPr>
        <w:footnoteRef/>
      </w:r>
      <w:r>
        <w:t xml:space="preserve"> </w:t>
      </w:r>
      <w:r w:rsidRPr="001929D4">
        <w:t>https://www.nib.int/filebank/1187-NIB_Business_Strategy_for_Energy_Summary.pdf</w:t>
      </w:r>
    </w:p>
  </w:footnote>
  <w:footnote w:id="68">
    <w:p w14:paraId="01F39B64" w14:textId="77777777" w:rsidR="00133798" w:rsidRPr="006C05E8" w:rsidRDefault="00133798" w:rsidP="006977C2">
      <w:pPr>
        <w:pStyle w:val="Puslapioinaostekstas"/>
        <w:rPr>
          <w:lang w:val="lt-LT"/>
        </w:rPr>
      </w:pPr>
      <w:r>
        <w:rPr>
          <w:rStyle w:val="Puslapioinaosnuoroda"/>
        </w:rPr>
        <w:footnoteRef/>
      </w:r>
      <w:r>
        <w:t xml:space="preserve"> </w:t>
      </w:r>
      <w:r w:rsidRPr="006C05E8">
        <w:t>http://annualreport.nib.int/2016/in-detail/operating-environment/lending/</w:t>
      </w:r>
    </w:p>
  </w:footnote>
  <w:footnote w:id="69">
    <w:p w14:paraId="799CF309" w14:textId="77777777" w:rsidR="00133798" w:rsidRPr="00BD32F1" w:rsidRDefault="00133798" w:rsidP="006977C2">
      <w:pPr>
        <w:pStyle w:val="Puslapioinaostekstas"/>
        <w:rPr>
          <w:lang w:val="en-US"/>
        </w:rPr>
      </w:pPr>
      <w:r>
        <w:rPr>
          <w:rStyle w:val="Puslapioinaosnuoroda"/>
        </w:rPr>
        <w:footnoteRef/>
      </w:r>
      <w:r>
        <w:t xml:space="preserve"> </w:t>
      </w:r>
      <w:r w:rsidRPr="00684126">
        <w:t>https://www.nib.int/news_publications/1697/nib_allocates_eur_500m_for_arctic_lending_facility</w:t>
      </w:r>
    </w:p>
  </w:footnote>
  <w:footnote w:id="70">
    <w:p w14:paraId="1524AAD1" w14:textId="77777777" w:rsidR="00133798" w:rsidRPr="00BD32F1" w:rsidRDefault="00133798" w:rsidP="006977C2">
      <w:pPr>
        <w:pStyle w:val="Puslapioinaostekstas"/>
        <w:rPr>
          <w:lang w:val="en-US"/>
        </w:rPr>
      </w:pPr>
      <w:r>
        <w:rPr>
          <w:rStyle w:val="Puslapioinaosnuoroda"/>
        </w:rPr>
        <w:footnoteRef/>
      </w:r>
      <w:r>
        <w:t xml:space="preserve"> NIB Annual review </w:t>
      </w:r>
      <w:r>
        <w:rPr>
          <w:lang w:val="en-US"/>
        </w:rPr>
        <w:t>2016</w:t>
      </w:r>
    </w:p>
  </w:footnote>
  <w:footnote w:id="71">
    <w:p w14:paraId="2F6A81C2" w14:textId="77777777" w:rsidR="00133798" w:rsidRPr="00412AF9" w:rsidRDefault="00133798" w:rsidP="002D46ED">
      <w:pPr>
        <w:pStyle w:val="Puslapioinaostekstas"/>
        <w:rPr>
          <w:lang w:val="lt-LT"/>
        </w:rPr>
      </w:pPr>
      <w:r>
        <w:rPr>
          <w:rStyle w:val="Puslapioinaosnuoroda"/>
        </w:rPr>
        <w:footnoteRef/>
      </w:r>
      <w:r>
        <w:t>h</w:t>
      </w:r>
      <w:r w:rsidRPr="00412AF9">
        <w:t>tps://www.nib.int/loans/agreed_loans?year=All&amp;country%5B0%5D=Lithuania&amp;selClasses%5B0%5D=21&amp;selClasses%5B1%5D=45&amp;selClasses%5B2%5D=56&amp;selClasses%5B3%5D=47&amp;client_name=&amp;Search_x=16&amp;Search_y=7s&amp;loanpage=3</w:t>
      </w:r>
    </w:p>
  </w:footnote>
  <w:footnote w:id="72">
    <w:p w14:paraId="06BE6E17" w14:textId="77777777" w:rsidR="00133798" w:rsidRPr="00B76111" w:rsidRDefault="00133798"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BA0D29">
        <w:t>https://finmin.lrv.lt/lt/naujienos/lietuva-ir-siaures-investiciju-bankas-pasirase-100-mln-euru-paskolos-sutarti</w:t>
      </w:r>
    </w:p>
  </w:footnote>
  <w:footnote w:id="73">
    <w:p w14:paraId="52921E61" w14:textId="77777777" w:rsidR="00133798" w:rsidRPr="00FC65FF" w:rsidRDefault="00133798" w:rsidP="006977C2">
      <w:pPr>
        <w:pStyle w:val="Puslapioinaostekstas"/>
        <w:rPr>
          <w:lang w:val="lt-LT"/>
        </w:rPr>
      </w:pPr>
      <w:r>
        <w:rPr>
          <w:rStyle w:val="Puslapioinaosnuoroda"/>
        </w:rPr>
        <w:footnoteRef/>
      </w:r>
      <w:r>
        <w:t xml:space="preserve"> </w:t>
      </w:r>
      <w:hyperlink r:id="rId8" w:history="1">
        <w:r w:rsidRPr="006F08AF">
          <w:rPr>
            <w:rFonts w:ascii="Arial" w:hAnsi="Arial" w:cs="Arial"/>
            <w:i/>
            <w:lang w:val="lt-LT"/>
          </w:rPr>
          <w:t>http://www.nib.int/loans/loan_characteristics</w:t>
        </w:r>
      </w:hyperlink>
      <w:r w:rsidRPr="006F08AF">
        <w:rPr>
          <w:rFonts w:ascii="Arial" w:hAnsi="Arial" w:cs="Arial"/>
          <w:i/>
          <w:lang w:val="lt-LT"/>
        </w:rPr>
        <w:t>, The International Financial Institution of the Nordic and Baltic countries pdf. 2016</w:t>
      </w:r>
    </w:p>
  </w:footnote>
  <w:footnote w:id="74">
    <w:p w14:paraId="4AA447A7" w14:textId="77777777" w:rsidR="00133798" w:rsidRPr="0078131B" w:rsidRDefault="00133798" w:rsidP="006977C2">
      <w:pPr>
        <w:pStyle w:val="Puslapioinaostekstas"/>
        <w:rPr>
          <w:lang w:val="lt-LT"/>
        </w:rPr>
      </w:pPr>
      <w:r>
        <w:rPr>
          <w:rStyle w:val="Puslapioinaosnuoroda"/>
        </w:rPr>
        <w:footnoteRef/>
      </w:r>
      <w:r>
        <w:t xml:space="preserve"> </w:t>
      </w:r>
      <w:r w:rsidRPr="0078131B">
        <w:t>http://annualreport.nib.int/2016/in-detail/operating-environment/lending/</w:t>
      </w:r>
    </w:p>
  </w:footnote>
  <w:footnote w:id="75">
    <w:p w14:paraId="1B5DB866" w14:textId="77777777" w:rsidR="00133798" w:rsidRPr="00FB240F" w:rsidRDefault="00133798"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Įmonės turinčios 250-3.000 darbuotojų.</w:t>
      </w:r>
    </w:p>
  </w:footnote>
  <w:footnote w:id="76">
    <w:p w14:paraId="7577D5A7" w14:textId="77777777" w:rsidR="00133798" w:rsidRPr="00DB7FDE" w:rsidRDefault="00133798" w:rsidP="006977C2">
      <w:pPr>
        <w:pStyle w:val="Puslapioinaostekstas"/>
        <w:rPr>
          <w:lang w:val="lt-LT"/>
        </w:rPr>
      </w:pPr>
      <w:r>
        <w:rPr>
          <w:rStyle w:val="Puslapioinaosnuoroda"/>
        </w:rPr>
        <w:footnoteRef/>
      </w:r>
      <w:r>
        <w:t xml:space="preserve"> </w:t>
      </w:r>
      <w:r w:rsidRPr="00DB7FDE">
        <w:t>http://www.eib.org/projects/priorities/infrastructure/index.htm</w:t>
      </w:r>
    </w:p>
  </w:footnote>
  <w:footnote w:id="77">
    <w:p w14:paraId="114C5524" w14:textId="77777777" w:rsidR="00133798" w:rsidRPr="003A4541" w:rsidRDefault="00133798" w:rsidP="006977C2">
      <w:pPr>
        <w:pStyle w:val="Puslapioinaostekstas"/>
        <w:rPr>
          <w:lang w:val="lt-LT"/>
        </w:rPr>
      </w:pPr>
      <w:r>
        <w:rPr>
          <w:rStyle w:val="Puslapioinaosnuoroda"/>
        </w:rPr>
        <w:footnoteRef/>
      </w:r>
      <w:r>
        <w:t xml:space="preserve"> </w:t>
      </w:r>
      <w:r w:rsidRPr="003A4541">
        <w:t>http://www.eif.org/</w:t>
      </w:r>
    </w:p>
  </w:footnote>
  <w:footnote w:id="78">
    <w:p w14:paraId="386B0817" w14:textId="77777777" w:rsidR="00133798" w:rsidRPr="00FB240F" w:rsidRDefault="00133798" w:rsidP="006977C2">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Įmonės turinčios 250-3.000 darbuotojų.</w:t>
      </w:r>
    </w:p>
  </w:footnote>
  <w:footnote w:id="79">
    <w:p w14:paraId="7D22352A" w14:textId="77777777" w:rsidR="00133798" w:rsidRPr="00E82AB5" w:rsidRDefault="00133798" w:rsidP="006977C2">
      <w:pPr>
        <w:pStyle w:val="Puslapioinaostekstas"/>
        <w:rPr>
          <w:lang w:val="en-US"/>
        </w:rPr>
      </w:pPr>
      <w:r>
        <w:rPr>
          <w:rStyle w:val="Puslapioinaosnuoroda"/>
        </w:rPr>
        <w:footnoteRef/>
      </w:r>
      <w:r>
        <w:t xml:space="preserve"> </w:t>
      </w:r>
      <w:r w:rsidRPr="00E82AB5">
        <w:t>http://www.eib.org/attachments/strategies/eib_climate_strategy_en.pdf</w:t>
      </w:r>
    </w:p>
  </w:footnote>
  <w:footnote w:id="80">
    <w:p w14:paraId="245E9228" w14:textId="77777777" w:rsidR="00133798" w:rsidRPr="00776939" w:rsidRDefault="00133798" w:rsidP="006977C2">
      <w:pPr>
        <w:pStyle w:val="Puslapioinaostekstas"/>
        <w:rPr>
          <w:lang w:val="lt-LT"/>
        </w:rPr>
      </w:pPr>
      <w:r>
        <w:rPr>
          <w:rStyle w:val="Puslapioinaosnuoroda"/>
        </w:rPr>
        <w:footnoteRef/>
      </w:r>
      <w:r>
        <w:t xml:space="preserve"> </w:t>
      </w:r>
      <w:r w:rsidRPr="00776939">
        <w:t>https://ec.europa.eu/energy/sites/ener/files/documents/4_berna_topaloglu_seif_prague_27-04-17.pdf</w:t>
      </w:r>
    </w:p>
  </w:footnote>
  <w:footnote w:id="81">
    <w:p w14:paraId="5B19D2C9" w14:textId="77777777" w:rsidR="00133798" w:rsidRPr="00F746F6" w:rsidRDefault="00133798" w:rsidP="006977C2">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hyperlink r:id="rId9" w:history="1">
        <w:r w:rsidRPr="00F746F6">
          <w:rPr>
            <w:rStyle w:val="Hipersaitas"/>
            <w:rFonts w:cs="Arial"/>
            <w:color w:val="auto"/>
            <w:szCs w:val="16"/>
            <w:lang w:val="lt-LT"/>
          </w:rPr>
          <w:t>https://ec.europa.eu/energy/sites/ener/files/documents/4_berna_topaloglu_seif_prague_27-04-17.pdf</w:t>
        </w:r>
      </w:hyperlink>
      <w:r w:rsidRPr="00F746F6">
        <w:rPr>
          <w:rFonts w:cs="Arial"/>
          <w:szCs w:val="16"/>
          <w:lang w:val="lt-LT"/>
        </w:rPr>
        <w:t>; http://www.eib.org/attachments/thematic/energy_efficiency_en.pdf</w:t>
      </w:r>
    </w:p>
  </w:footnote>
  <w:footnote w:id="82">
    <w:p w14:paraId="08B84316" w14:textId="77777777" w:rsidR="00133798" w:rsidRPr="00F746F6" w:rsidRDefault="00133798" w:rsidP="006977C2">
      <w:pPr>
        <w:pStyle w:val="Puslapioinaostekstas"/>
        <w:rPr>
          <w:rFonts w:cs="Arial"/>
          <w:szCs w:val="16"/>
          <w:lang w:val="lt-LT"/>
        </w:rPr>
      </w:pPr>
      <w:r w:rsidRPr="00F746F6">
        <w:rPr>
          <w:rStyle w:val="Puslapioinaosnuoroda"/>
          <w:rFonts w:cs="Arial"/>
          <w:szCs w:val="16"/>
          <w:lang w:val="lt-LT"/>
        </w:rPr>
        <w:footnoteRef/>
      </w:r>
      <w:r w:rsidRPr="00F746F6">
        <w:rPr>
          <w:rFonts w:cs="Arial"/>
          <w:szCs w:val="16"/>
          <w:lang w:val="lt-LT"/>
        </w:rPr>
        <w:t xml:space="preserve"> http://www.eib.org/products/lending/equity_funds/infrastructure_debt_funds/european_energy_efficiency_fund.htm</w:t>
      </w:r>
    </w:p>
  </w:footnote>
  <w:footnote w:id="83">
    <w:p w14:paraId="1FF26335" w14:textId="77777777" w:rsidR="00133798" w:rsidRPr="00B76111" w:rsidRDefault="00133798" w:rsidP="006977C2">
      <w:pPr>
        <w:pStyle w:val="Puslapioinaostekstas"/>
        <w:rPr>
          <w:rFonts w:cs="Arial"/>
          <w:szCs w:val="16"/>
          <w:lang w:val="lt-LT"/>
        </w:rPr>
      </w:pPr>
      <w:r w:rsidRPr="00F746F6">
        <w:rPr>
          <w:rStyle w:val="Puslapioinaosnuoroda"/>
          <w:rFonts w:cs="Arial"/>
          <w:szCs w:val="16"/>
          <w:lang w:val="lt-LT"/>
        </w:rPr>
        <w:footnoteRef/>
      </w:r>
      <w:r w:rsidRPr="00F746F6">
        <w:rPr>
          <w:rFonts w:cs="Arial"/>
          <w:szCs w:val="16"/>
          <w:lang w:val="lt-LT"/>
        </w:rPr>
        <w:t xml:space="preserve"> </w:t>
      </w:r>
      <w:hyperlink r:id="rId10" w:history="1">
        <w:r w:rsidRPr="00F746F6">
          <w:rPr>
            <w:rStyle w:val="Hipersaitas"/>
            <w:rFonts w:cs="Arial"/>
            <w:color w:val="auto"/>
            <w:szCs w:val="16"/>
            <w:lang w:val="lt-LT"/>
          </w:rPr>
          <w:t>http://www.eeef.eu/objective-of-the-fund.html</w:t>
        </w:r>
      </w:hyperlink>
      <w:r w:rsidRPr="00F746F6">
        <w:rPr>
          <w:rFonts w:cs="Arial"/>
          <w:szCs w:val="16"/>
          <w:lang w:val="lt-LT"/>
        </w:rPr>
        <w:t xml:space="preserve"> </w:t>
      </w:r>
    </w:p>
  </w:footnote>
  <w:footnote w:id="84">
    <w:p w14:paraId="30D4B548" w14:textId="77777777" w:rsidR="00133798" w:rsidRPr="00B76111" w:rsidRDefault="00133798" w:rsidP="006977C2">
      <w:pPr>
        <w:pStyle w:val="Puslapioinaostekstas"/>
        <w:rPr>
          <w:lang w:val="lt-LT"/>
        </w:rPr>
      </w:pPr>
      <w:r w:rsidRPr="00E67C77">
        <w:rPr>
          <w:rStyle w:val="Puslapioinaosnuoroda"/>
          <w:lang w:val="lt-LT"/>
        </w:rPr>
        <w:footnoteRef/>
      </w:r>
      <w:r w:rsidRPr="00E67C77">
        <w:rPr>
          <w:lang w:val="lt-LT"/>
        </w:rPr>
        <w:t xml:space="preserve"> SPV (angl. special purpose vehicles)</w:t>
      </w:r>
    </w:p>
  </w:footnote>
  <w:footnote w:id="85">
    <w:p w14:paraId="6B3B5A81" w14:textId="77777777" w:rsidR="00133798" w:rsidRPr="00B76111" w:rsidRDefault="00133798" w:rsidP="006977C2">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11" w:history="1">
        <w:r w:rsidRPr="00ED6572">
          <w:rPr>
            <w:rStyle w:val="Hipersaitas"/>
            <w:rFonts w:cs="Arial"/>
            <w:color w:val="auto"/>
            <w:szCs w:val="16"/>
            <w:lang w:val="lt-LT"/>
          </w:rPr>
          <w:t>http://www.eeef.eu/eligible-investments.html</w:t>
        </w:r>
      </w:hyperlink>
      <w:r w:rsidRPr="00ED6572">
        <w:rPr>
          <w:szCs w:val="16"/>
          <w:lang w:val="lt-LT"/>
        </w:rPr>
        <w:t xml:space="preserve"> </w:t>
      </w:r>
    </w:p>
  </w:footnote>
  <w:footnote w:id="86">
    <w:p w14:paraId="5F0BEE6A" w14:textId="77777777" w:rsidR="00133798" w:rsidRPr="00ED6572"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 xml:space="preserve">European </w:t>
      </w:r>
      <w:r w:rsidRPr="00ED6572">
        <w:rPr>
          <w:rFonts w:cs="Arial"/>
          <w:szCs w:val="16"/>
          <w:lang w:val="lt-LT"/>
        </w:rPr>
        <w:t>Energy Efficiency Fund, Advancing Sustainable Energy for Europe Quarterly Fact Sheet a</w:t>
      </w:r>
      <w:r>
        <w:rPr>
          <w:rFonts w:cs="Arial"/>
          <w:szCs w:val="16"/>
          <w:lang w:val="lt-LT"/>
        </w:rPr>
        <w:t>s of 30/06</w:t>
      </w:r>
      <w:r w:rsidRPr="00ED6572">
        <w:rPr>
          <w:rFonts w:cs="Arial"/>
          <w:szCs w:val="16"/>
          <w:lang w:val="lt-LT"/>
        </w:rPr>
        <w:t>/ 201</w:t>
      </w:r>
      <w:r>
        <w:rPr>
          <w:rFonts w:cs="Arial"/>
          <w:szCs w:val="16"/>
          <w:lang w:val="lt-LT"/>
        </w:rPr>
        <w:t>7</w:t>
      </w:r>
      <w:r w:rsidRPr="00ED6572">
        <w:rPr>
          <w:rFonts w:cs="Arial"/>
          <w:szCs w:val="16"/>
          <w:lang w:val="lt-LT"/>
        </w:rPr>
        <w:t xml:space="preserve"> </w:t>
      </w:r>
      <w:r>
        <w:rPr>
          <w:rFonts w:cs="Arial"/>
          <w:szCs w:val="16"/>
          <w:lang w:val="lt-LT"/>
        </w:rPr>
        <w:t>(</w:t>
      </w:r>
      <w:r w:rsidRPr="00ED6572">
        <w:rPr>
          <w:rFonts w:cs="Arial"/>
          <w:szCs w:val="16"/>
          <w:lang w:val="lt-LT"/>
        </w:rPr>
        <w:t xml:space="preserve">https://www.eeef.eu/tl_files/downloads/Quarterly_Reports/EEEF%20Quarterly%20Report%202017-Q2.pdf)  </w:t>
      </w:r>
    </w:p>
  </w:footnote>
  <w:footnote w:id="87">
    <w:p w14:paraId="67C6338B" w14:textId="77777777" w:rsidR="00133798" w:rsidRPr="00ED6572" w:rsidRDefault="00133798" w:rsidP="006977C2">
      <w:pPr>
        <w:pStyle w:val="Puslapioinaostekstas"/>
        <w:rPr>
          <w:szCs w:val="16"/>
          <w:lang w:val="lt-LT"/>
        </w:rPr>
      </w:pPr>
      <w:r w:rsidRPr="00ED6572">
        <w:rPr>
          <w:rStyle w:val="Puslapioinaosnuoroda"/>
          <w:szCs w:val="16"/>
          <w:lang w:val="lt-LT"/>
        </w:rPr>
        <w:footnoteRef/>
      </w:r>
      <w:r w:rsidRPr="00ED6572">
        <w:rPr>
          <w:szCs w:val="16"/>
          <w:lang w:val="lt-LT"/>
        </w:rPr>
        <w:t xml:space="preserve"> </w:t>
      </w:r>
      <w:hyperlink r:id="rId12" w:history="1">
        <w:r w:rsidRPr="00ED6572">
          <w:rPr>
            <w:rStyle w:val="Hipersaitas"/>
            <w:color w:val="auto"/>
          </w:rPr>
          <w:t>http://www.eib.org/products/advising/elena/index.htm</w:t>
        </w:r>
      </w:hyperlink>
      <w:r w:rsidRPr="00ED6572">
        <w:t>; http://www.eib.org/products/advising/elena/projects/index.htm</w:t>
      </w:r>
    </w:p>
  </w:footnote>
  <w:footnote w:id="88">
    <w:p w14:paraId="39B44FEF" w14:textId="77777777" w:rsidR="00133798" w:rsidRPr="00ED6572" w:rsidRDefault="00133798" w:rsidP="006977C2">
      <w:pPr>
        <w:pStyle w:val="Puslapioinaostekstas"/>
        <w:rPr>
          <w:rFonts w:cs="Arial"/>
          <w:sz w:val="18"/>
          <w:lang w:val="lt-LT"/>
        </w:rPr>
      </w:pPr>
      <w:r w:rsidRPr="00ED6572">
        <w:rPr>
          <w:rStyle w:val="Puslapioinaosnuoroda"/>
          <w:rFonts w:cs="Arial"/>
          <w:szCs w:val="16"/>
          <w:lang w:val="lt-LT"/>
        </w:rPr>
        <w:footnoteRef/>
      </w:r>
      <w:r w:rsidRPr="00ED6572">
        <w:rPr>
          <w:rFonts w:cs="Arial"/>
          <w:szCs w:val="16"/>
          <w:lang w:val="lt-LT"/>
        </w:rPr>
        <w:t xml:space="preserve"> </w:t>
      </w:r>
      <w:r w:rsidRPr="00230D4C">
        <w:t>http://www.eib.org/attachments/thematic/jessica_2008_lt.pdf</w:t>
      </w:r>
    </w:p>
  </w:footnote>
  <w:footnote w:id="89">
    <w:p w14:paraId="556B6801" w14:textId="77777777" w:rsidR="00133798" w:rsidRPr="00ED6572" w:rsidRDefault="00133798" w:rsidP="006977C2">
      <w:pPr>
        <w:pStyle w:val="Puslapioinaostekstas"/>
        <w:rPr>
          <w:lang w:val="lt-LT"/>
        </w:rPr>
      </w:pPr>
      <w:r w:rsidRPr="00ED6572">
        <w:rPr>
          <w:rStyle w:val="Puslapioinaosnuoroda"/>
        </w:rPr>
        <w:footnoteRef/>
      </w:r>
      <w:r w:rsidRPr="00ED6572">
        <w:t xml:space="preserve"> http://urban-intergroup.eu/wp-content/uploads/2016/04/EP-Seminar-F-Lee-EIB-April-2016-UPDATED-FINAL-.pdf</w:t>
      </w:r>
    </w:p>
  </w:footnote>
  <w:footnote w:id="90">
    <w:p w14:paraId="1481C296" w14:textId="77777777" w:rsidR="00133798" w:rsidRPr="000F3347" w:rsidRDefault="00133798" w:rsidP="006977C2">
      <w:pPr>
        <w:pStyle w:val="Puslapioinaostekstas"/>
        <w:rPr>
          <w:lang w:val="en-US"/>
        </w:rPr>
      </w:pPr>
      <w:r>
        <w:rPr>
          <w:rStyle w:val="Puslapioinaosnuoroda"/>
        </w:rPr>
        <w:footnoteRef/>
      </w:r>
      <w:r>
        <w:t xml:space="preserve"> </w:t>
      </w:r>
      <w:r w:rsidRPr="000F3347">
        <w:t>https://ec.europa.eu/clima/sites/clima/files/docs/pf4ee_en.pdf</w:t>
      </w:r>
    </w:p>
  </w:footnote>
  <w:footnote w:id="91">
    <w:p w14:paraId="5112AE43" w14:textId="77777777" w:rsidR="00133798" w:rsidRPr="00053145" w:rsidRDefault="00133798" w:rsidP="006977C2">
      <w:pPr>
        <w:pStyle w:val="Puslapioinaostekstas"/>
        <w:rPr>
          <w:lang w:val="lt-LT"/>
        </w:rPr>
      </w:pPr>
      <w:r>
        <w:rPr>
          <w:rStyle w:val="Puslapioinaosnuoroda"/>
        </w:rPr>
        <w:footnoteRef/>
      </w:r>
      <w:r>
        <w:t xml:space="preserve"> </w:t>
      </w:r>
      <w:r w:rsidRPr="00053145">
        <w:t>http://www.eib.org/attachments/pf4ee_support_beneficiaries_2016.pdf</w:t>
      </w:r>
    </w:p>
  </w:footnote>
  <w:footnote w:id="92">
    <w:p w14:paraId="54B41BE7" w14:textId="77777777" w:rsidR="00133798" w:rsidRPr="00DB0CB4" w:rsidRDefault="00133798" w:rsidP="006977C2">
      <w:pPr>
        <w:pStyle w:val="Puslapioinaostekstas"/>
        <w:rPr>
          <w:lang w:val="en-US"/>
        </w:rPr>
      </w:pPr>
      <w:r>
        <w:rPr>
          <w:rStyle w:val="Puslapioinaosnuoroda"/>
        </w:rPr>
        <w:footnoteRef/>
      </w:r>
      <w:r>
        <w:t xml:space="preserve"> </w:t>
      </w:r>
      <w:r w:rsidRPr="00DB0CB4">
        <w:t>http://www.eib.org/products/lending/equity_funds/infrastructure_equity_funds/index.htm</w:t>
      </w:r>
    </w:p>
  </w:footnote>
  <w:footnote w:id="93">
    <w:p w14:paraId="1C9F4569" w14:textId="77777777" w:rsidR="00133798" w:rsidRPr="00123537" w:rsidRDefault="00133798" w:rsidP="006977C2">
      <w:pPr>
        <w:pStyle w:val="Puslapioinaostekstas"/>
        <w:rPr>
          <w:lang w:val="lt-LT"/>
        </w:rPr>
      </w:pPr>
      <w:r>
        <w:rPr>
          <w:rStyle w:val="Puslapioinaosnuoroda"/>
        </w:rPr>
        <w:footnoteRef/>
      </w:r>
      <w:r>
        <w:t xml:space="preserve"> </w:t>
      </w:r>
      <w:r w:rsidRPr="00123537">
        <w:t>http://www.eib.org/products/lending/equity_funds/infrastructure_equity_funds/geeref.htm</w:t>
      </w:r>
    </w:p>
  </w:footnote>
  <w:footnote w:id="94">
    <w:p w14:paraId="2536947A"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230D3F">
        <w:rPr>
          <w:rFonts w:cs="Arial"/>
          <w:szCs w:val="16"/>
          <w:lang w:val="lt-LT"/>
        </w:rPr>
        <w:t>http://www.eib.org/projects/regions/european-uni</w:t>
      </w:r>
      <w:r>
        <w:rPr>
          <w:rFonts w:cs="Arial"/>
          <w:szCs w:val="16"/>
          <w:lang w:val="lt-LT"/>
        </w:rPr>
        <w:t>on/lithuania/index.htm?lang=-lt</w:t>
      </w:r>
    </w:p>
  </w:footnote>
  <w:footnote w:id="95">
    <w:p w14:paraId="39EAE32A"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bookmarkStart w:id="126" w:name="OLE_LINK1"/>
      <w:r w:rsidRPr="00230D3F">
        <w:rPr>
          <w:rFonts w:cs="Arial"/>
          <w:szCs w:val="16"/>
          <w:lang w:val="lt-LT"/>
        </w:rPr>
        <w:t>http://www.eib.org/projects/regions/european-uni</w:t>
      </w:r>
      <w:r>
        <w:rPr>
          <w:rFonts w:cs="Arial"/>
          <w:szCs w:val="16"/>
          <w:lang w:val="lt-LT"/>
        </w:rPr>
        <w:t>on/lithuania/index.htm?lang=-lt</w:t>
      </w:r>
      <w:bookmarkEnd w:id="126"/>
    </w:p>
  </w:footnote>
  <w:footnote w:id="96">
    <w:p w14:paraId="16FB3882" w14:textId="77777777" w:rsidR="00133798" w:rsidRPr="00FB240F" w:rsidRDefault="00133798" w:rsidP="002D46ED">
      <w:pPr>
        <w:pStyle w:val="Puslapioinaostekstas"/>
        <w:rPr>
          <w:lang w:val="lt-LT"/>
        </w:rPr>
      </w:pPr>
      <w:r w:rsidRPr="00E67C77">
        <w:rPr>
          <w:rStyle w:val="Puslapioinaosnuoroda"/>
          <w:lang w:val="lt-LT"/>
        </w:rPr>
        <w:footnoteRef/>
      </w:r>
      <w:r w:rsidRPr="00E67C77">
        <w:rPr>
          <w:lang w:val="lt-LT"/>
        </w:rPr>
        <w:t xml:space="preserve"> </w:t>
      </w:r>
      <w:r>
        <w:rPr>
          <w:lang w:val="lt-LT"/>
        </w:rPr>
        <w:t>Statistical reports EIB 2009 - 2016</w:t>
      </w:r>
    </w:p>
  </w:footnote>
  <w:footnote w:id="97">
    <w:p w14:paraId="05C5FC71" w14:textId="77777777" w:rsidR="00133798" w:rsidRPr="00166297" w:rsidRDefault="00133798" w:rsidP="006977C2">
      <w:pPr>
        <w:pStyle w:val="Puslapioinaostekstas"/>
        <w:rPr>
          <w:lang w:val="en-US"/>
        </w:rPr>
      </w:pPr>
      <w:r>
        <w:rPr>
          <w:rStyle w:val="Puslapioinaosnuoroda"/>
        </w:rPr>
        <w:footnoteRef/>
      </w:r>
      <w:r>
        <w:t xml:space="preserve"> </w:t>
      </w:r>
      <w:r w:rsidRPr="00166297">
        <w:t>http://www.eib.org/infocentre/press/releases/all/2016/2016-207-eib-to-support-vilnius-urban-investment-programme.htm?lang=-lt</w:t>
      </w:r>
    </w:p>
  </w:footnote>
  <w:footnote w:id="98">
    <w:p w14:paraId="17723A4C" w14:textId="77777777" w:rsidR="00133798" w:rsidRPr="009B19ED" w:rsidRDefault="00133798" w:rsidP="006977C2">
      <w:pPr>
        <w:pStyle w:val="Puslapioinaostekstas"/>
        <w:rPr>
          <w:lang w:val="en-US"/>
        </w:rPr>
      </w:pPr>
      <w:r>
        <w:rPr>
          <w:rStyle w:val="Puslapioinaosnuoroda"/>
        </w:rPr>
        <w:footnoteRef/>
      </w:r>
      <w:r>
        <w:t xml:space="preserve"> </w:t>
      </w:r>
      <w:r w:rsidRPr="009B19ED">
        <w:t>http://www.eib.org/infocentre/press/releases/all/2016/2016-317-european-support-for-cheaper-and-cleaner-heat-and-power-in-lithuania.htm?lang=-lt</w:t>
      </w:r>
    </w:p>
  </w:footnote>
  <w:footnote w:id="99">
    <w:p w14:paraId="092ECD08"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13" w:history="1">
        <w:r w:rsidRPr="00FB240F">
          <w:rPr>
            <w:rStyle w:val="Hipersaitas"/>
            <w:rFonts w:cs="Arial"/>
            <w:szCs w:val="16"/>
            <w:lang w:val="lt-LT"/>
          </w:rPr>
          <w:t>http://www.eib.org/products/index.htm</w:t>
        </w:r>
      </w:hyperlink>
      <w:r w:rsidRPr="00B76111">
        <w:rPr>
          <w:rFonts w:cs="Arial"/>
          <w:szCs w:val="16"/>
          <w:lang w:val="lt-LT"/>
        </w:rPr>
        <w:t xml:space="preserve"> </w:t>
      </w:r>
    </w:p>
  </w:footnote>
  <w:footnote w:id="100">
    <w:p w14:paraId="637C5740" w14:textId="77777777" w:rsidR="00133798" w:rsidRPr="00B76111" w:rsidRDefault="00133798" w:rsidP="006977C2">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r w:rsidRPr="001C024A">
        <w:rPr>
          <w:rFonts w:cs="Arial"/>
          <w:szCs w:val="16"/>
          <w:lang w:val="lt-LT"/>
        </w:rPr>
        <w:t>http://www.eib.org/products/lending/loans/index.htm</w:t>
      </w:r>
    </w:p>
  </w:footnote>
  <w:footnote w:id="101">
    <w:p w14:paraId="342C224E" w14:textId="77777777" w:rsidR="00133798" w:rsidRPr="00B65D4C" w:rsidRDefault="00133798" w:rsidP="006977C2">
      <w:pPr>
        <w:pStyle w:val="Puslapioinaostekstas"/>
        <w:rPr>
          <w:lang w:val="lt-LT"/>
        </w:rPr>
      </w:pPr>
      <w:r>
        <w:rPr>
          <w:rStyle w:val="Puslapioinaosnuoroda"/>
        </w:rPr>
        <w:footnoteRef/>
      </w:r>
      <w:r>
        <w:t xml:space="preserve"> </w:t>
      </w:r>
      <w:r w:rsidRPr="00B65D4C">
        <w:rPr>
          <w:rFonts w:cs="Arial"/>
          <w:i/>
          <w:lang w:val="lt-LT"/>
        </w:rPr>
        <w:t>http://www.eib.org/products/lending/loans/index.htm</w:t>
      </w:r>
    </w:p>
  </w:footnote>
  <w:footnote w:id="102">
    <w:p w14:paraId="1C2CE9A6" w14:textId="77777777" w:rsidR="00133798" w:rsidRPr="00B76111" w:rsidRDefault="00133798" w:rsidP="006977C2">
      <w:pPr>
        <w:pStyle w:val="Puslapioinaostekstas"/>
        <w:rPr>
          <w:lang w:val="lt-LT"/>
        </w:rPr>
      </w:pPr>
      <w:r w:rsidRPr="00E67C77">
        <w:rPr>
          <w:rStyle w:val="Puslapioinaosnuoroda"/>
          <w:lang w:val="lt-LT"/>
        </w:rPr>
        <w:footnoteRef/>
      </w:r>
      <w:r w:rsidRPr="00E67C77">
        <w:rPr>
          <w:lang w:val="lt-LT"/>
        </w:rPr>
        <w:t xml:space="preserve"> angl. Structured Finance Facility</w:t>
      </w:r>
    </w:p>
  </w:footnote>
  <w:footnote w:id="103">
    <w:p w14:paraId="020C3A95"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FE5436">
        <w:t>http://www.eib.org/products/blending/sff/index.htm</w:t>
      </w:r>
    </w:p>
  </w:footnote>
  <w:footnote w:id="104">
    <w:p w14:paraId="2A301F3A" w14:textId="77777777" w:rsidR="00133798" w:rsidRPr="00B76111" w:rsidRDefault="00133798" w:rsidP="006977C2">
      <w:pPr>
        <w:pStyle w:val="Puslapioinaostekstas"/>
        <w:rPr>
          <w:lang w:val="lt-LT"/>
        </w:rPr>
      </w:pPr>
      <w:r w:rsidRPr="00E67C77">
        <w:rPr>
          <w:rStyle w:val="Puslapioinaosnuoroda"/>
          <w:lang w:val="lt-LT"/>
        </w:rPr>
        <w:footnoteRef/>
      </w:r>
      <w:r w:rsidRPr="00E67C77">
        <w:rPr>
          <w:lang w:val="lt-LT"/>
        </w:rPr>
        <w:t xml:space="preserve"> angl. debt service</w:t>
      </w:r>
    </w:p>
  </w:footnote>
  <w:footnote w:id="105">
    <w:p w14:paraId="132AB749"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ED750A">
        <w:rPr>
          <w:rFonts w:cs="Arial"/>
          <w:szCs w:val="16"/>
          <w:lang w:val="lt-LT"/>
        </w:rPr>
        <w:t>http://www.eib.org/products/blending/guarantees/index.htm</w:t>
      </w:r>
    </w:p>
  </w:footnote>
  <w:footnote w:id="106">
    <w:p w14:paraId="68C63360" w14:textId="77777777" w:rsidR="00133798" w:rsidRPr="00B76111" w:rsidRDefault="00133798" w:rsidP="006977C2">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ED750A">
        <w:rPr>
          <w:rFonts w:cs="Arial"/>
          <w:szCs w:val="16"/>
          <w:lang w:val="lt-LT"/>
        </w:rPr>
        <w:t>http://www.eib.org/products/lending/equity_funds/index.htm</w:t>
      </w:r>
    </w:p>
  </w:footnote>
  <w:footnote w:id="107">
    <w:p w14:paraId="16ADCB23" w14:textId="77777777" w:rsidR="00133798" w:rsidRPr="00301F56" w:rsidRDefault="00133798" w:rsidP="006977C2">
      <w:pPr>
        <w:pStyle w:val="Puslapioinaostekstas"/>
        <w:rPr>
          <w:lang w:val="en-US"/>
        </w:rPr>
      </w:pPr>
      <w:r>
        <w:rPr>
          <w:rStyle w:val="Puslapioinaosnuoroda"/>
        </w:rPr>
        <w:footnoteRef/>
      </w:r>
      <w:r>
        <w:t xml:space="preserve"> </w:t>
      </w:r>
      <w:r w:rsidRPr="00301F56">
        <w:t>https://coebank.org/en/project-financing/sectors/</w:t>
      </w:r>
    </w:p>
  </w:footnote>
  <w:footnote w:id="108">
    <w:p w14:paraId="2456A85A" w14:textId="77777777" w:rsidR="00133798" w:rsidRPr="006C0913" w:rsidRDefault="00133798" w:rsidP="006977C2">
      <w:pPr>
        <w:pStyle w:val="Puslapioinaostekstas"/>
        <w:rPr>
          <w:lang w:val="lt-LT"/>
        </w:rPr>
      </w:pPr>
      <w:r>
        <w:rPr>
          <w:rStyle w:val="Puslapioinaosnuoroda"/>
        </w:rPr>
        <w:footnoteRef/>
      </w:r>
      <w:r>
        <w:t xml:space="preserve"> </w:t>
      </w:r>
      <w:r w:rsidRPr="0007250E">
        <w:t>Report_of_the_Governor_2016.pdf (CEB)</w:t>
      </w:r>
    </w:p>
  </w:footnote>
  <w:footnote w:id="109">
    <w:p w14:paraId="2B8545BC" w14:textId="77777777" w:rsidR="00133798" w:rsidRPr="002656DA" w:rsidRDefault="00133798" w:rsidP="006977C2">
      <w:pPr>
        <w:pStyle w:val="Puslapioinaostekstas"/>
        <w:rPr>
          <w:lang w:val="en-US"/>
        </w:rPr>
      </w:pPr>
      <w:r>
        <w:rPr>
          <w:rStyle w:val="Puslapioinaosnuoroda"/>
        </w:rPr>
        <w:footnoteRef/>
      </w:r>
      <w:r>
        <w:t xml:space="preserve"> </w:t>
      </w:r>
      <w:r w:rsidRPr="0007250E">
        <w:t>Report_of_the_Governor_2016.pdf (CEB)</w:t>
      </w:r>
    </w:p>
  </w:footnote>
  <w:footnote w:id="110">
    <w:p w14:paraId="32D10A40" w14:textId="77777777" w:rsidR="00133798" w:rsidRPr="00FB240F" w:rsidRDefault="00133798" w:rsidP="006977C2">
      <w:pPr>
        <w:pStyle w:val="Puslapioinaostekstas"/>
        <w:jc w:val="both"/>
        <w:rPr>
          <w:rFonts w:cs="Arial"/>
          <w:sz w:val="18"/>
          <w:lang w:val="lt-LT"/>
        </w:rPr>
      </w:pPr>
      <w:r w:rsidRPr="00B76111">
        <w:rPr>
          <w:rStyle w:val="Puslapioinaosnuoroda"/>
          <w:rFonts w:cs="Arial"/>
          <w:lang w:val="lt-LT"/>
        </w:rPr>
        <w:footnoteRef/>
      </w:r>
      <w:r w:rsidRPr="00B76111">
        <w:rPr>
          <w:rFonts w:cs="Arial"/>
          <w:sz w:val="18"/>
          <w:lang w:val="lt-LT"/>
        </w:rPr>
        <w:t xml:space="preserve"> </w:t>
      </w:r>
      <w:r w:rsidRPr="00117681">
        <w:t xml:space="preserve"> </w:t>
      </w:r>
      <w:r w:rsidRPr="00117681">
        <w:rPr>
          <w:rFonts w:cs="Arial"/>
          <w:szCs w:val="16"/>
          <w:lang w:val="lt-LT"/>
        </w:rPr>
        <w:t>http://www.eib.org/products/blending/jessica/</w:t>
      </w:r>
    </w:p>
  </w:footnote>
  <w:footnote w:id="111">
    <w:p w14:paraId="188301A2" w14:textId="77777777" w:rsidR="00133798" w:rsidRPr="00E67C77" w:rsidRDefault="00133798" w:rsidP="006977C2">
      <w:pPr>
        <w:pStyle w:val="Puslapioinaostekstas"/>
        <w:rPr>
          <w:lang w:val="lt-LT"/>
        </w:rPr>
      </w:pPr>
      <w:r w:rsidRPr="00E67C77">
        <w:rPr>
          <w:rStyle w:val="Puslapioinaosnuoroda"/>
          <w:lang w:val="lt-LT"/>
        </w:rPr>
        <w:footnoteRef/>
      </w:r>
      <w:r w:rsidRPr="00E67C77">
        <w:rPr>
          <w:lang w:val="lt-LT"/>
        </w:rPr>
        <w:t xml:space="preserve"> </w:t>
      </w:r>
      <w:r w:rsidRPr="005041F9">
        <w:t xml:space="preserve"> </w:t>
      </w:r>
      <w:r w:rsidRPr="005041F9">
        <w:rPr>
          <w:lang w:val="lt-LT"/>
        </w:rPr>
        <w:t>https://coebank.org/en/about/partnerships/</w:t>
      </w:r>
    </w:p>
  </w:footnote>
  <w:footnote w:id="112">
    <w:p w14:paraId="74E26928" w14:textId="77777777" w:rsidR="00133798" w:rsidRPr="001660D4" w:rsidRDefault="00133798" w:rsidP="006977C2">
      <w:pPr>
        <w:pStyle w:val="Puslapioinaostekstas"/>
        <w:rPr>
          <w:lang w:val="en-US"/>
        </w:rPr>
      </w:pPr>
      <w:r>
        <w:rPr>
          <w:rStyle w:val="Puslapioinaosnuoroda"/>
        </w:rPr>
        <w:footnoteRef/>
      </w:r>
      <w:r>
        <w:t xml:space="preserve"> </w:t>
      </w:r>
      <w:r w:rsidRPr="001660D4">
        <w:t>https://finmin.lrv.lt/lt/es-ir-tarptautinis-bendradarbiavimas/tarptautines-finansu-institucijos/europos-tarybos-vystymo-bankas</w:t>
      </w:r>
    </w:p>
  </w:footnote>
  <w:footnote w:id="113">
    <w:p w14:paraId="2CE92469" w14:textId="77777777" w:rsidR="00133798" w:rsidRDefault="00133798" w:rsidP="006977C2">
      <w:pPr>
        <w:pStyle w:val="Puslapioinaostekstas"/>
        <w:rPr>
          <w:lang w:val="lt-LT"/>
        </w:rPr>
      </w:pPr>
      <w:r w:rsidRPr="00E67C77">
        <w:rPr>
          <w:rStyle w:val="Puslapioinaosnuoroda"/>
          <w:lang w:val="lt-LT"/>
        </w:rPr>
        <w:footnoteRef/>
      </w:r>
      <w:r w:rsidRPr="00E67C77">
        <w:rPr>
          <w:lang w:val="lt-LT"/>
        </w:rPr>
        <w:t xml:space="preserve"> CEB, Loan and Project Financing Policy; CEB, Handbook for the Preparation and Monitoring of Projects</w:t>
      </w:r>
      <w:r>
        <w:rPr>
          <w:lang w:val="lt-LT"/>
        </w:rPr>
        <w:t xml:space="preserve">; </w:t>
      </w:r>
    </w:p>
    <w:p w14:paraId="072693CF" w14:textId="77777777" w:rsidR="00133798" w:rsidRPr="00B76111" w:rsidRDefault="00133798" w:rsidP="006977C2">
      <w:pPr>
        <w:pStyle w:val="Puslapioinaostekstas"/>
        <w:rPr>
          <w:lang w:val="lt-LT"/>
        </w:rPr>
      </w:pPr>
    </w:p>
  </w:footnote>
  <w:footnote w:id="114">
    <w:p w14:paraId="594EC4F5" w14:textId="7E7412C3" w:rsidR="00133798" w:rsidRPr="00BB058D" w:rsidRDefault="00133798">
      <w:pPr>
        <w:pStyle w:val="Puslapioinaostekstas"/>
        <w:rPr>
          <w:lang w:val="en-US"/>
        </w:rPr>
      </w:pPr>
      <w:r>
        <w:rPr>
          <w:rStyle w:val="Puslapioinaosnuoroda"/>
        </w:rPr>
        <w:footnoteRef/>
      </w:r>
      <w:r>
        <w:t xml:space="preserve"> </w:t>
      </w:r>
      <w:r>
        <w:rPr>
          <w:lang w:val="en-US"/>
        </w:rPr>
        <w:t>BaltCap Infrastructure Fund skai</w:t>
      </w:r>
      <w:r>
        <w:rPr>
          <w:lang w:val="lt-LT"/>
        </w:rPr>
        <w:t xml:space="preserve">čiavimais, infrastruktūros Baltijos šalyse finansavimo trūkumas per ateinančius </w:t>
      </w:r>
      <w:r>
        <w:rPr>
          <w:lang w:val="en-US"/>
        </w:rPr>
        <w:t>5 metus sieks 6 mlrd. Eur.</w:t>
      </w:r>
    </w:p>
  </w:footnote>
  <w:footnote w:id="115">
    <w:p w14:paraId="14DD4B44" w14:textId="55A0C407" w:rsidR="00133798" w:rsidRPr="00181123" w:rsidRDefault="00133798">
      <w:pPr>
        <w:pStyle w:val="Puslapioinaostekstas"/>
        <w:rPr>
          <w:lang w:val="en-US"/>
        </w:rPr>
      </w:pPr>
      <w:r>
        <w:rPr>
          <w:rStyle w:val="Puslapioinaosnuoroda"/>
        </w:rPr>
        <w:footnoteRef/>
      </w:r>
      <w:r>
        <w:t xml:space="preserve"> </w:t>
      </w:r>
      <w:r w:rsidRPr="00181123">
        <w:t>https://www.vz.lt/rinkos/fondai/2017/07/03/baltijos-salyse--naujas-100-mln-eur-infrastrukturos-fondas#7</w:t>
      </w:r>
    </w:p>
  </w:footnote>
  <w:footnote w:id="116">
    <w:p w14:paraId="5AE33BD5" w14:textId="2449E5DF" w:rsidR="00133798" w:rsidRPr="00446BD3" w:rsidRDefault="00133798">
      <w:pPr>
        <w:pStyle w:val="Puslapioinaostekstas"/>
        <w:rPr>
          <w:lang w:val="en-US"/>
        </w:rPr>
      </w:pPr>
      <w:r>
        <w:rPr>
          <w:rStyle w:val="Puslapioinaosnuoroda"/>
        </w:rPr>
        <w:footnoteRef/>
      </w:r>
      <w:r>
        <w:t xml:space="preserve"> </w:t>
      </w:r>
      <w:r w:rsidRPr="00446BD3">
        <w:t>https://ec.europa.eu/lithuania/EIB%20invests%20EUR%2020m%20into%20BaltCap%20Infrastructure%20Fund_lt</w:t>
      </w:r>
    </w:p>
  </w:footnote>
  <w:footnote w:id="117">
    <w:p w14:paraId="6B177463" w14:textId="6E9E8080" w:rsidR="00133798" w:rsidRPr="008F5E56" w:rsidRDefault="00133798" w:rsidP="00C15C81">
      <w:pPr>
        <w:pStyle w:val="Puslapioinaostekstas"/>
        <w:rPr>
          <w:lang w:val="lt-LT"/>
        </w:rPr>
      </w:pPr>
      <w:r>
        <w:rPr>
          <w:rStyle w:val="Puslapioinaosnuoroda"/>
        </w:rPr>
        <w:footnoteRef/>
      </w:r>
      <w:r>
        <w:t xml:space="preserve">  http://www.regula.lt/Puslapiai/naujienos/2017-metai/2017-lapkritis/lapkricio-menesio-silumos-kainu-statistika-Lietuvoje.aspx</w:t>
      </w:r>
    </w:p>
  </w:footnote>
  <w:footnote w:id="118">
    <w:p w14:paraId="5A6A819C" w14:textId="52C8F150" w:rsidR="00133798" w:rsidRPr="00255903" w:rsidRDefault="00133798">
      <w:pPr>
        <w:pStyle w:val="Puslapioinaostekstas"/>
        <w:rPr>
          <w:lang w:val="lt-LT"/>
        </w:rPr>
      </w:pPr>
      <w:r>
        <w:rPr>
          <w:rStyle w:val="Puslapioinaosnuoroda"/>
        </w:rPr>
        <w:footnoteRef/>
      </w:r>
      <w:r>
        <w:t xml:space="preserve"> </w:t>
      </w:r>
      <w:r w:rsidRPr="00255903">
        <w:t>http://www.kogen.lt/projektu-nauda</w:t>
      </w:r>
    </w:p>
  </w:footnote>
  <w:footnote w:id="119">
    <w:p w14:paraId="14739FEF" w14:textId="535200CB" w:rsidR="00133798" w:rsidRPr="00637559" w:rsidRDefault="00133798">
      <w:pPr>
        <w:pStyle w:val="Puslapioinaostekstas"/>
        <w:rPr>
          <w:lang w:val="lt-LT"/>
        </w:rPr>
      </w:pPr>
      <w:r>
        <w:rPr>
          <w:rStyle w:val="Puslapioinaosnuoroda"/>
        </w:rPr>
        <w:footnoteRef/>
      </w:r>
      <w:r>
        <w:t xml:space="preserve"> </w:t>
      </w:r>
      <w:r w:rsidRPr="00637559">
        <w:t>https://enmin.lrv.lt/lt/veiklos-sritys-3/biokuro-potencialo-lietuvoje-ivertinimas-biokuro-kainu-prognoze-biokuro-panaudojimo-socialines-naudos-ivertinimas-ir-biokuro-panaudojimo-pletrai-reikalingu-valstybes-intervenciju-pasiulymai</w:t>
      </w:r>
    </w:p>
  </w:footnote>
  <w:footnote w:id="120">
    <w:p w14:paraId="3520CD54" w14:textId="614C250A" w:rsidR="00133798" w:rsidRPr="00B34B72" w:rsidRDefault="00133798">
      <w:pPr>
        <w:pStyle w:val="Puslapioinaostekstas"/>
        <w:rPr>
          <w:lang w:val="lt-LT"/>
        </w:rPr>
      </w:pPr>
      <w:r>
        <w:rPr>
          <w:rStyle w:val="Puslapioinaosnuoroda"/>
        </w:rPr>
        <w:footnoteRef/>
      </w:r>
      <w:r>
        <w:t xml:space="preserve"> </w:t>
      </w:r>
      <w:r w:rsidRPr="00B34B72">
        <w:t>https://knoema.com/ncszerf/natural-gas-prices-forecast-long-term-2017-to-2030-data-and-charts</w:t>
      </w:r>
    </w:p>
  </w:footnote>
  <w:footnote w:id="121">
    <w:p w14:paraId="04693076" w14:textId="208FD390" w:rsidR="00133798" w:rsidRPr="00B34B72" w:rsidRDefault="00133798">
      <w:pPr>
        <w:pStyle w:val="Puslapioinaostekstas"/>
        <w:rPr>
          <w:lang w:val="lt-LT"/>
        </w:rPr>
      </w:pPr>
      <w:r>
        <w:rPr>
          <w:rStyle w:val="Puslapioinaosnuoroda"/>
        </w:rPr>
        <w:footnoteRef/>
      </w:r>
      <w:r>
        <w:t xml:space="preserve"> </w:t>
      </w:r>
      <w:r w:rsidRPr="00B34B72">
        <w:t>https://e.baltpool.eu/biomass/?ti=3935675&amp;bp=biodeliveryprice</w:t>
      </w:r>
    </w:p>
  </w:footnote>
  <w:footnote w:id="122">
    <w:p w14:paraId="67F66F41" w14:textId="77777777" w:rsidR="00133798" w:rsidRPr="00950129" w:rsidRDefault="00133798" w:rsidP="004456F5">
      <w:pPr>
        <w:pStyle w:val="Puslapioinaostekstas"/>
        <w:rPr>
          <w:lang w:val="lt-LT"/>
        </w:rPr>
      </w:pPr>
      <w:r>
        <w:rPr>
          <w:rStyle w:val="Puslapioinaosnuoroda"/>
        </w:rPr>
        <w:footnoteRef/>
      </w:r>
      <w:r>
        <w:t xml:space="preserve"> 2009 m. liepos </w:t>
      </w:r>
      <w:r>
        <w:rPr>
          <w:lang w:val="en-US"/>
        </w:rPr>
        <w:t xml:space="preserve">8 d. </w:t>
      </w:r>
      <w:r>
        <w:rPr>
          <w:lang w:val="lt-LT"/>
        </w:rPr>
        <w:t>valstybinės kainų ir energetikos kontrolės komisijos nutarimas dėl šilumos kainų nustatymo metodikos nr. O</w:t>
      </w:r>
      <w:r>
        <w:rPr>
          <w:lang w:val="en-US"/>
        </w:rPr>
        <w:t>3-96, 20 straipsnio 3 dalies 11 punktas</w:t>
      </w:r>
    </w:p>
  </w:footnote>
  <w:footnote w:id="123">
    <w:p w14:paraId="082A61C3" w14:textId="77777777" w:rsidR="00133798" w:rsidRPr="00CB1D9C" w:rsidRDefault="00133798" w:rsidP="0032111C">
      <w:pPr>
        <w:pStyle w:val="Puslapioinaostekstas"/>
        <w:rPr>
          <w:lang w:val="en-US"/>
        </w:rPr>
      </w:pPr>
      <w:r>
        <w:rPr>
          <w:rStyle w:val="Puslapioinaosnuoroda"/>
        </w:rPr>
        <w:footnoteRef/>
      </w:r>
      <w:r>
        <w:t xml:space="preserve"> </w:t>
      </w:r>
      <w:r w:rsidRPr="006E3692">
        <w:t>http://www.vkekk.lt/siluma/Puslapiai/statistika.aspx</w:t>
      </w:r>
    </w:p>
  </w:footnote>
  <w:footnote w:id="124">
    <w:p w14:paraId="5CF5183B" w14:textId="77777777" w:rsidR="00133798" w:rsidRPr="00CB1D9C" w:rsidRDefault="00133798" w:rsidP="0032111C">
      <w:pPr>
        <w:pStyle w:val="Puslapioinaostekstas"/>
        <w:rPr>
          <w:lang w:val="lt-LT"/>
        </w:rPr>
      </w:pPr>
      <w:r>
        <w:rPr>
          <w:rStyle w:val="Puslapioinaosnuoroda"/>
        </w:rPr>
        <w:footnoteRef/>
      </w:r>
      <w:r>
        <w:t xml:space="preserve"> </w:t>
      </w:r>
      <w:r w:rsidRPr="006146D8">
        <w:t>ww.betalt.lt/ivertinti-daugiau-kaip-500-atnaujintu-daugiabuciu-faktiniai-silumos-suvartojimo-duomenys-lenkia-prognozuotus/</w:t>
      </w:r>
    </w:p>
  </w:footnote>
  <w:footnote w:id="125">
    <w:p w14:paraId="41AF7796" w14:textId="77777777" w:rsidR="00133798" w:rsidRPr="00CB1D9C" w:rsidRDefault="00133798" w:rsidP="0032111C">
      <w:pPr>
        <w:pStyle w:val="Puslapioinaostekstas"/>
        <w:rPr>
          <w:lang w:val="lt-LT"/>
        </w:rPr>
      </w:pPr>
      <w:r>
        <w:rPr>
          <w:rStyle w:val="Puslapioinaosnuoroda"/>
        </w:rPr>
        <w:footnoteRef/>
      </w:r>
      <w:r>
        <w:t xml:space="preserve"> </w:t>
      </w:r>
      <w:r w:rsidRPr="00883EC4">
        <w:t>http://www.betalt.lt/daugiabuciu-renovacija-rangos-darbu-kaina-stabili-jau-kelerius-metus/</w:t>
      </w:r>
    </w:p>
  </w:footnote>
  <w:footnote w:id="126">
    <w:p w14:paraId="038B7B68" w14:textId="77777777" w:rsidR="00133798" w:rsidRPr="00CB1D9C" w:rsidRDefault="00133798" w:rsidP="0032111C">
      <w:pPr>
        <w:pStyle w:val="Puslapioinaostekstas"/>
        <w:rPr>
          <w:lang w:val="lt-LT"/>
        </w:rPr>
      </w:pPr>
      <w:r>
        <w:rPr>
          <w:rStyle w:val="Puslapioinaosnuoroda"/>
        </w:rPr>
        <w:footnoteRef/>
      </w:r>
      <w:r>
        <w:t xml:space="preserve"> </w:t>
      </w:r>
      <w:r w:rsidRPr="00276405">
        <w:t>http://www.lsta.lt/files/statistika/2016_LSTA_ukines_veiklos_apzvalga.pdf</w:t>
      </w:r>
    </w:p>
  </w:footnote>
  <w:footnote w:id="127">
    <w:p w14:paraId="3A520AFD" w14:textId="77777777" w:rsidR="00133798" w:rsidRPr="005A15CD" w:rsidRDefault="00133798" w:rsidP="00444375">
      <w:pPr>
        <w:pStyle w:val="Puslapioinaostekstas"/>
        <w:rPr>
          <w:lang w:val="en-US"/>
        </w:rPr>
      </w:pPr>
      <w:r>
        <w:rPr>
          <w:rStyle w:val="Puslapioinaosnuoroda"/>
        </w:rPr>
        <w:footnoteRef/>
      </w:r>
      <w:r>
        <w:t xml:space="preserve"> Remiantis CPVA sukurtomis taisyklėmis ir IP vertinimo metodika, projekto ataskaitinis laikotarpis energetikos sektoriuje yra </w:t>
      </w:r>
      <w:r>
        <w:rPr>
          <w:lang w:val="en-US"/>
        </w:rPr>
        <w:t xml:space="preserve">25 metai. Reglamentai ir kiti tesiniai dokumentai </w:t>
      </w:r>
      <w:r>
        <w:t xml:space="preserve">nenustato griežto paskolų </w:t>
      </w:r>
      <w:r>
        <w:rPr>
          <w:lang w:val="lt-LT"/>
        </w:rPr>
        <w:t xml:space="preserve">šmokėjimo ar projeto </w:t>
      </w:r>
      <w:r>
        <w:t>atsipirkimo reikalavimo, todėl jautrumo analize bandoma įvertinti optimalų subsidijų dydį. Teikiant paskolą 20 metų laikotarpiui ir esant 25 metų atsipirkimo laikotarpiui reiškia, jog po 20 metų visa sutaupymų nauda atiteks pastato valdytojui.</w:t>
      </w:r>
    </w:p>
  </w:footnote>
  <w:footnote w:id="128">
    <w:p w14:paraId="787C64FF" w14:textId="77777777" w:rsidR="00133798" w:rsidRPr="005A15CD" w:rsidRDefault="00133798" w:rsidP="00444375">
      <w:pPr>
        <w:pStyle w:val="Puslapioinaostekstas"/>
        <w:rPr>
          <w:lang w:val="lt-LT"/>
        </w:rPr>
      </w:pPr>
      <w:r>
        <w:rPr>
          <w:rStyle w:val="Puslapioinaosnuoroda"/>
        </w:rPr>
        <w:footnoteRef/>
      </w:r>
      <w:r>
        <w:t xml:space="preserve"> </w:t>
      </w:r>
      <w:r w:rsidRPr="003D6991">
        <w:rPr>
          <w:rFonts w:ascii="Times New Roman" w:hAnsi="Times New Roman"/>
          <w:sz w:val="20"/>
        </w:rPr>
        <w:t>EK gairių vadovaujančiajai institucijai* 5.2. punkte</w:t>
      </w:r>
    </w:p>
  </w:footnote>
  <w:footnote w:id="129">
    <w:p w14:paraId="76422C39" w14:textId="48FFD958" w:rsidR="00133798" w:rsidRPr="0063781D" w:rsidRDefault="00133798" w:rsidP="00FA5C6F">
      <w:pPr>
        <w:pStyle w:val="Puslapioinaostekstas"/>
        <w:tabs>
          <w:tab w:val="clear" w:pos="360"/>
          <w:tab w:val="left" w:pos="0"/>
        </w:tabs>
        <w:ind w:left="0" w:firstLine="0"/>
        <w:rPr>
          <w:lang w:val="lt-LT"/>
        </w:rPr>
      </w:pPr>
      <w:r>
        <w:rPr>
          <w:rStyle w:val="Puslapioinaosnuoroda"/>
        </w:rPr>
        <w:footnoteRef/>
      </w:r>
      <w:r>
        <w:t xml:space="preserve"> </w:t>
      </w:r>
      <w:r w:rsidRPr="00FA5C6F">
        <w:t>Lietuvos Respublikos valstybės paramos daugiabučiams namams atnaujinti (modernizuoti) įstatymas</w:t>
      </w:r>
      <w:r>
        <w:t xml:space="preserve"> (</w:t>
      </w:r>
      <w:r w:rsidRPr="0063781D">
        <w:t>TAR 2017-06-27, i. k. 2017-10841)</w:t>
      </w:r>
    </w:p>
  </w:footnote>
  <w:footnote w:id="130">
    <w:p w14:paraId="52FFDB50" w14:textId="77777777" w:rsidR="00133798" w:rsidRPr="00492193" w:rsidRDefault="00133798" w:rsidP="00247D53">
      <w:pPr>
        <w:pStyle w:val="Puslapioinaostekstas"/>
        <w:jc w:val="both"/>
        <w:rPr>
          <w:lang w:val="lt-LT"/>
        </w:rPr>
      </w:pPr>
      <w:r>
        <w:rPr>
          <w:rStyle w:val="Puslapioinaosnuoroda"/>
        </w:rPr>
        <w:footnoteRef/>
      </w:r>
      <w:r>
        <w:t xml:space="preserve"> </w:t>
      </w:r>
      <w:r>
        <w:rPr>
          <w:lang w:val="lt-LT"/>
        </w:rPr>
        <w:t>Šis atvejis yra tik vienas iš pavyzdžių, kuris atspindi reikalavimo teisių į piniginius srautus perdavimą už atlygį tokiu būdu užtikrinant greitesnį lėšų gražinimą ir neriboja finansinės priemonės/fondų fondo valdytojoi ir(ar) ministerijų pasirinkimo kitokios modelio schemos taikymo (pvz. atskirų paskolų pardavimo, reikalavimų vertimų vertybiniais popieriais ir pan.).</w:t>
      </w:r>
    </w:p>
  </w:footnote>
  <w:footnote w:id="131">
    <w:p w14:paraId="305FA931" w14:textId="77777777" w:rsidR="00133798" w:rsidRPr="00492193" w:rsidRDefault="00133798" w:rsidP="005A432A">
      <w:pPr>
        <w:pStyle w:val="Puslapioinaostekstas"/>
        <w:jc w:val="both"/>
        <w:rPr>
          <w:lang w:val="lt-LT"/>
        </w:rPr>
      </w:pPr>
      <w:r>
        <w:rPr>
          <w:rStyle w:val="Puslapioinaosnuoroda"/>
        </w:rPr>
        <w:footnoteRef/>
      </w:r>
      <w:r>
        <w:t xml:space="preserve"> </w:t>
      </w:r>
      <w:r>
        <w:rPr>
          <w:lang w:val="lt-LT"/>
        </w:rPr>
        <w:t>Šis atvejis yra tik vienas iš pavyzdžių, kuris atspindi reikalavimo teisių į piniginius srautus perdavimą už atlyg tokiu būdu užtikrinant greitesnį lėšų gražinimą ir neriboja finansinės priemonės/fondų fondo valdytojoi ir(ar) ministerijų pasirinkimo kitokios modelio schemos taikymo (pvz. atskirų paskolų pardavimo, reikalavimų vertimų vertybiniais popieriais ir pan.).</w:t>
      </w:r>
    </w:p>
  </w:footnote>
  <w:footnote w:id="132">
    <w:p w14:paraId="60EA9417" w14:textId="77777777" w:rsidR="00133798" w:rsidRPr="005B31C6" w:rsidRDefault="00133798" w:rsidP="005A432A">
      <w:pPr>
        <w:pStyle w:val="Puslapioinaostekstas"/>
        <w:jc w:val="both"/>
        <w:rPr>
          <w:lang w:val="lt-LT"/>
        </w:rPr>
      </w:pPr>
      <w:r>
        <w:rPr>
          <w:rStyle w:val="Puslapioinaosnuoroda"/>
        </w:rPr>
        <w:footnoteRef/>
      </w:r>
      <w:r>
        <w:t xml:space="preserve"> </w:t>
      </w:r>
      <w:r>
        <w:rPr>
          <w:lang w:val="lt-LT"/>
        </w:rPr>
        <w:t xml:space="preserve">Šis atvejis yra tik vienas iš pavyzdžių, kuris atspindi netolygų rizikos pasidalijimą tarp investuotojo/finansuotojo ir viešųjų lėšų įnašo ir neriboja finansinės priemonės/fondų fondo valdytojoi ir(ar) ministerijų pasirinkimo kitokios modelio schemos taikymo. </w:t>
      </w:r>
    </w:p>
  </w:footnote>
  <w:footnote w:id="133">
    <w:p w14:paraId="2741AE79" w14:textId="77777777" w:rsidR="00133798" w:rsidRPr="005B31C6" w:rsidRDefault="00133798" w:rsidP="0006117A">
      <w:pPr>
        <w:pStyle w:val="Puslapioinaostekstas"/>
        <w:jc w:val="both"/>
        <w:rPr>
          <w:lang w:val="lt-LT"/>
        </w:rPr>
      </w:pPr>
      <w:r>
        <w:rPr>
          <w:rStyle w:val="Puslapioinaosnuoroda"/>
        </w:rPr>
        <w:footnoteRef/>
      </w:r>
      <w:r>
        <w:t xml:space="preserve"> </w:t>
      </w:r>
      <w:r>
        <w:rPr>
          <w:lang w:val="lt-LT"/>
        </w:rPr>
        <w:t xml:space="preserve">Šis atvejis yra tik vienas iš pavyzdžių, kuris atspindi netolygų rizikos pasidalijimą tarp investuotojo/finansuotojo ir viešųjų lėšų įnašo ir neriboja finansinės priemonės/fondų fondo valdytojoi ir(ar) ministerijų pasirinkimo kitokios modelio schemos taikymo. </w:t>
      </w:r>
    </w:p>
  </w:footnote>
  <w:footnote w:id="134">
    <w:p w14:paraId="47102D1C" w14:textId="77777777" w:rsidR="00133798" w:rsidRPr="00492193" w:rsidRDefault="00133798" w:rsidP="005A432A">
      <w:pPr>
        <w:pStyle w:val="Puslapioinaostekstas"/>
        <w:jc w:val="both"/>
        <w:rPr>
          <w:lang w:val="lt-LT"/>
        </w:rPr>
      </w:pPr>
      <w:r>
        <w:rPr>
          <w:rStyle w:val="Puslapioinaosnuoroda"/>
        </w:rPr>
        <w:footnoteRef/>
      </w:r>
      <w:r>
        <w:t xml:space="preserve"> </w:t>
      </w:r>
      <w:r>
        <w:rPr>
          <w:lang w:val="lt-LT"/>
        </w:rPr>
        <w:t>Šis atvejis yra tik vienas iš pavyzdžių, kuris atspindi reikalavimo teisių į piniginius srautus perdavimą už atlyg tokiu būdu užtikrinant greitesnį lėšų gražinimą ir neriboja finansinės priemonės/fondų fondo valdytojoi ir(ar) ministerijų pasirinkimo kitokios modelio schemos taikymo (pvz. atskirų paskolų pardavimo, reikalavimų vertimų vertybiniais popieriais ir pan.).</w:t>
      </w:r>
    </w:p>
  </w:footnote>
  <w:footnote w:id="135">
    <w:p w14:paraId="529F786B" w14:textId="77777777" w:rsidR="00133798" w:rsidRPr="00492193" w:rsidRDefault="00133798" w:rsidP="005A432A">
      <w:pPr>
        <w:pStyle w:val="Puslapioinaostekstas"/>
        <w:jc w:val="both"/>
        <w:rPr>
          <w:lang w:val="lt-LT"/>
        </w:rPr>
      </w:pPr>
      <w:r>
        <w:rPr>
          <w:rStyle w:val="Puslapioinaosnuoroda"/>
        </w:rPr>
        <w:footnoteRef/>
      </w:r>
      <w:r>
        <w:t xml:space="preserve"> </w:t>
      </w:r>
      <w:r>
        <w:rPr>
          <w:lang w:val="lt-LT"/>
        </w:rPr>
        <w:t>Šis atvejis yra tik vienas iš pavyzdžių, kuris atspindi netolygų rizikos pasidalijimą tarp investuotojo/finansuotojo ir viešųjų lėšų įnašo ir neriboja finansinės priemonės/fondų fondo valdytojoi ir(ar) ministerijų pasirinkimo kitokios modelio schemos taikymo.</w:t>
      </w:r>
    </w:p>
  </w:footnote>
  <w:footnote w:id="136">
    <w:p w14:paraId="215B722C" w14:textId="1C94DBAF" w:rsidR="00133798" w:rsidRPr="002248D1" w:rsidRDefault="00133798" w:rsidP="005A432A">
      <w:pPr>
        <w:pStyle w:val="Puslapioinaostekstas"/>
        <w:tabs>
          <w:tab w:val="clear" w:pos="360"/>
          <w:tab w:val="left" w:pos="284"/>
        </w:tabs>
        <w:ind w:left="284" w:hanging="284"/>
      </w:pPr>
      <w:r>
        <w:rPr>
          <w:rStyle w:val="Puslapioinaosnuoroda"/>
        </w:rPr>
        <w:footnoteRef/>
      </w:r>
      <w:r>
        <w:t xml:space="preserve"> Grąžinamoji </w:t>
      </w:r>
      <w:r w:rsidRPr="00AF0ACF">
        <w:t xml:space="preserve"> subsidija – projekto finansavimo forma, kai  projektui įgyvendinti skiriamos ES fondų ir Lietuvos Respublikos valstybės biudžeto lėšos, kurias visas arba jų dalį projekto sutartyje nustatytomis sąlygomis projekto vykdytojas privalo grąžinti ne dėl netinkamo projekto įgyvendinimo.</w:t>
      </w:r>
    </w:p>
  </w:footnote>
  <w:footnote w:id="137">
    <w:p w14:paraId="4C37C126" w14:textId="77777777" w:rsidR="00133798" w:rsidRPr="00E63B26" w:rsidRDefault="00133798" w:rsidP="005A432A">
      <w:pPr>
        <w:pStyle w:val="Puslapioinaostekstas"/>
        <w:rPr>
          <w:lang w:val="en-US"/>
        </w:rPr>
      </w:pPr>
      <w:r>
        <w:rPr>
          <w:rStyle w:val="Puslapioinaosnuoroda"/>
        </w:rPr>
        <w:footnoteRef/>
      </w:r>
      <w:r>
        <w:t xml:space="preserve"> </w:t>
      </w:r>
      <w:r>
        <w:rPr>
          <w:lang w:val="lt-LT"/>
        </w:rPr>
        <w:t xml:space="preserve">Bendrųjų nuostatų reglamentas, preambulė </w:t>
      </w:r>
      <w:r>
        <w:rPr>
          <w:lang w:val="en-US"/>
        </w:rPr>
        <w:t>34-36</w:t>
      </w:r>
    </w:p>
  </w:footnote>
  <w:footnote w:id="138">
    <w:p w14:paraId="6256F2C9" w14:textId="77777777" w:rsidR="00133798" w:rsidRPr="005B31C6" w:rsidRDefault="00133798" w:rsidP="005A432A">
      <w:pPr>
        <w:pStyle w:val="Puslapioinaostekstas"/>
        <w:rPr>
          <w:lang w:val="en-US"/>
        </w:rPr>
      </w:pPr>
      <w:r>
        <w:rPr>
          <w:rStyle w:val="Puslapioinaosnuoroda"/>
        </w:rPr>
        <w:footnoteRef/>
      </w:r>
      <w:r>
        <w:t xml:space="preserve"> </w:t>
      </w:r>
      <w:r>
        <w:rPr>
          <w:lang w:val="lt-LT"/>
        </w:rPr>
        <w:t xml:space="preserve">KPMG ESCO studija, </w:t>
      </w:r>
      <w:r>
        <w:rPr>
          <w:lang w:val="en-US"/>
        </w:rPr>
        <w:t>1.4.2 skyrius “Energijos vartojimo efektyvumo projekt</w:t>
      </w:r>
      <w:r>
        <w:rPr>
          <w:lang w:val="lt-LT"/>
        </w:rPr>
        <w:t>ų Lietuvos viešajame sektoriuje rinkos paklausos studija</w:t>
      </w:r>
      <w:r>
        <w:rPr>
          <w:lang w:val="en-US"/>
        </w:rPr>
        <w:t>”</w:t>
      </w:r>
    </w:p>
  </w:footnote>
  <w:footnote w:id="139">
    <w:p w14:paraId="0F1BC64F" w14:textId="475911CC" w:rsidR="00133798" w:rsidRPr="0063781D" w:rsidRDefault="00133798">
      <w:pPr>
        <w:pStyle w:val="Puslapioinaostekstas"/>
        <w:rPr>
          <w:lang w:val="lt-LT"/>
        </w:rPr>
      </w:pPr>
      <w:r>
        <w:rPr>
          <w:rStyle w:val="Puslapioinaosnuoroda"/>
        </w:rPr>
        <w:footnoteRef/>
      </w:r>
      <w:r>
        <w:t xml:space="preserve"> </w:t>
      </w:r>
      <w:r>
        <w:rPr>
          <w:lang w:val="lt-LT"/>
        </w:rPr>
        <w:t>Gali būti vadovaujamasi sverto, multiplikatoriaus ar kitais argumentuotai pagrįstais kriterijais.</w:t>
      </w:r>
    </w:p>
  </w:footnote>
  <w:footnote w:id="140">
    <w:p w14:paraId="19487BDF" w14:textId="77777777" w:rsidR="00133798" w:rsidRPr="002A2E90" w:rsidRDefault="00133798" w:rsidP="0006117A">
      <w:pPr>
        <w:pStyle w:val="Puslapioinaostekstas"/>
        <w:rPr>
          <w:lang w:val="lt-LT"/>
        </w:rPr>
      </w:pPr>
      <w:r>
        <w:rPr>
          <w:rStyle w:val="Puslapioinaosnuoroda"/>
        </w:rPr>
        <w:footnoteRef/>
      </w:r>
      <w:r>
        <w:t xml:space="preserve"> </w:t>
      </w:r>
      <w:r>
        <w:rPr>
          <w:lang w:val="lt-LT"/>
        </w:rPr>
        <w:t>Ši prielaida yra tik pavyzdinė, tikrasis tokio fondo atsiradimo laikas priklauso nuo daugelio faktorių, pvz. galimų teisinės aplinkos trūkumų pašalinimo, projektų srauto formavimosi greičio, ekonominės situacijos, investuotojų reikalavimų ir pan.</w:t>
      </w:r>
    </w:p>
  </w:footnote>
  <w:footnote w:id="141">
    <w:p w14:paraId="3AF2FB00" w14:textId="77777777" w:rsidR="00133798" w:rsidRPr="007F3B00" w:rsidRDefault="00133798" w:rsidP="005A432A">
      <w:pPr>
        <w:pStyle w:val="Puslapioinaostekstas"/>
        <w:tabs>
          <w:tab w:val="clear" w:pos="360"/>
          <w:tab w:val="left" w:pos="0"/>
        </w:tabs>
        <w:ind w:left="0" w:firstLine="0"/>
        <w:rPr>
          <w:lang w:val="lt-LT"/>
        </w:rPr>
      </w:pPr>
      <w:r>
        <w:rPr>
          <w:rStyle w:val="Puslapioinaosnuoroda"/>
        </w:rPr>
        <w:footnoteRef/>
      </w:r>
      <w:r>
        <w:t xml:space="preserve"> European Commission on </w:t>
      </w:r>
      <w:r>
        <w:rPr>
          <w:lang w:val="lt-LT"/>
        </w:rPr>
        <w:t>„Guidance for Memeber States on CPR_</w:t>
      </w:r>
      <w:r>
        <w:rPr>
          <w:lang w:val="en-US"/>
        </w:rPr>
        <w:t>37_7_8_9</w:t>
      </w:r>
      <w:r>
        <w:rPr>
          <w:lang w:val="lt-LT"/>
        </w:rPr>
        <w:t xml:space="preserve"> Combination of support from a financial instrument with other forms of support“</w:t>
      </w:r>
    </w:p>
  </w:footnote>
  <w:footnote w:id="142">
    <w:p w14:paraId="29FC8DFA" w14:textId="77777777" w:rsidR="00133798" w:rsidRPr="00DF52F4" w:rsidRDefault="00133798" w:rsidP="00E930BB">
      <w:pPr>
        <w:pStyle w:val="Puslapioinaostekstas"/>
        <w:rPr>
          <w:lang w:val="en-US"/>
        </w:rPr>
      </w:pPr>
      <w:r>
        <w:rPr>
          <w:rStyle w:val="Puslapioinaosnuoroda"/>
        </w:rPr>
        <w:footnoteRef/>
      </w:r>
      <w:r>
        <w:t xml:space="preserve"> </w:t>
      </w:r>
      <w:r>
        <w:rPr>
          <w:lang w:val="lt-LT"/>
        </w:rPr>
        <w:t xml:space="preserve">Eurostat Guidance Note „The recording of energy performance contracts in government accounts“, </w:t>
      </w:r>
      <w:r>
        <w:rPr>
          <w:lang w:val="en-US"/>
        </w:rPr>
        <w:t>2017 m. rugs</w:t>
      </w:r>
      <w:r>
        <w:rPr>
          <w:lang w:val="lt-LT"/>
        </w:rPr>
        <w:t xml:space="preserve">ėjo </w:t>
      </w:r>
      <w:r>
        <w:rPr>
          <w:lang w:val="en-US"/>
        </w:rPr>
        <w:t>19 d.</w:t>
      </w:r>
    </w:p>
  </w:footnote>
  <w:footnote w:id="143">
    <w:p w14:paraId="3B3E1361" w14:textId="77777777" w:rsidR="00133798" w:rsidRPr="00B76111" w:rsidRDefault="00133798"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ES Sutarties suvestinė redakcija, 107 str. (ex 87 str.)</w:t>
      </w:r>
    </w:p>
  </w:footnote>
  <w:footnote w:id="144">
    <w:p w14:paraId="577A3A7E" w14:textId="77777777" w:rsidR="00133798" w:rsidRPr="00B76111" w:rsidRDefault="00133798"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14" w:history="1">
        <w:r w:rsidRPr="00E67C77">
          <w:rPr>
            <w:rStyle w:val="Hipersaitas"/>
            <w:sz w:val="18"/>
            <w:szCs w:val="18"/>
            <w:lang w:val="lt-LT"/>
          </w:rPr>
          <w:t>Case C-290/07 P Commission v Scott [2010] ECR I-7763, para. 66</w:t>
        </w:r>
      </w:hyperlink>
      <w:r w:rsidRPr="00E67C77">
        <w:rPr>
          <w:sz w:val="18"/>
          <w:szCs w:val="18"/>
          <w:lang w:val="lt-LT"/>
        </w:rPr>
        <w:t>.</w:t>
      </w:r>
    </w:p>
  </w:footnote>
  <w:footnote w:id="145">
    <w:p w14:paraId="0722CDD7" w14:textId="77777777" w:rsidR="00133798" w:rsidRPr="00B76111" w:rsidRDefault="00133798" w:rsidP="00CE5A01">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15" w:history="1">
        <w:r w:rsidRPr="00FB240F">
          <w:rPr>
            <w:rStyle w:val="Hipersaitas"/>
            <w:sz w:val="18"/>
            <w:szCs w:val="18"/>
            <w:lang w:val="lt-LT"/>
          </w:rPr>
          <w:t>Case C-482/99 France v Commission (Stardust) [2002] ECR I-4397, para. 57</w:t>
        </w:r>
      </w:hyperlink>
    </w:p>
  </w:footnote>
  <w:footnote w:id="146">
    <w:p w14:paraId="5D3F7151" w14:textId="77777777" w:rsidR="00133798" w:rsidRPr="00B76111" w:rsidRDefault="00133798" w:rsidP="00CE5A01">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16" w:history="1">
        <w:r w:rsidRPr="00FB240F">
          <w:rPr>
            <w:rStyle w:val="Hipersaitas"/>
            <w:sz w:val="18"/>
            <w:szCs w:val="18"/>
            <w:lang w:val="lt-LT"/>
          </w:rPr>
          <w:t>Case T-351/02 Deutsche Bahn AG v Commission [2006] ECR II-1047, para. 102</w:t>
        </w:r>
      </w:hyperlink>
    </w:p>
  </w:footnote>
  <w:footnote w:id="147">
    <w:p w14:paraId="65EB23D0" w14:textId="77777777" w:rsidR="00133798" w:rsidRPr="00B76111" w:rsidRDefault="00133798"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17" w:history="1">
        <w:r w:rsidRPr="00E67C77">
          <w:rPr>
            <w:rStyle w:val="Hipersaitas"/>
            <w:sz w:val="18"/>
            <w:szCs w:val="18"/>
            <w:lang w:val="lt-LT"/>
          </w:rPr>
          <w:t>Joined Cases C-180/98 to C-184/98 Pavlov and Others [2000] ECR I-6451, para. 74</w:t>
        </w:r>
      </w:hyperlink>
    </w:p>
  </w:footnote>
  <w:footnote w:id="148">
    <w:p w14:paraId="08C9D847" w14:textId="77777777" w:rsidR="00133798" w:rsidRPr="00E67C77" w:rsidRDefault="00133798"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18" w:history="1">
        <w:r w:rsidRPr="00E67C77">
          <w:rPr>
            <w:rStyle w:val="Hipersaitas"/>
            <w:sz w:val="18"/>
            <w:szCs w:val="18"/>
            <w:lang w:val="lt-LT"/>
          </w:rPr>
          <w:t>Case C-480/09 P AceaElectrabel Produzione SpA v Commission [2010] ECR I-13355 para. 47-55</w:t>
        </w:r>
      </w:hyperlink>
      <w:r w:rsidRPr="00E67C77">
        <w:rPr>
          <w:sz w:val="18"/>
          <w:szCs w:val="18"/>
          <w:lang w:val="lt-LT"/>
        </w:rPr>
        <w:t>.</w:t>
      </w:r>
    </w:p>
  </w:footnote>
  <w:footnote w:id="149">
    <w:p w14:paraId="427ADCFB" w14:textId="77777777" w:rsidR="00133798" w:rsidRPr="00B76111" w:rsidRDefault="00133798"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19" w:history="1">
        <w:r w:rsidRPr="00E67C77">
          <w:rPr>
            <w:rStyle w:val="Hipersaitas"/>
            <w:sz w:val="18"/>
            <w:szCs w:val="18"/>
            <w:lang w:val="lt-LT"/>
          </w:rPr>
          <w:t xml:space="preserve">Case C-364/92 </w:t>
        </w:r>
        <w:r w:rsidRPr="00E67C77">
          <w:rPr>
            <w:rStyle w:val="Hipersaitas"/>
            <w:i/>
            <w:iCs/>
            <w:sz w:val="18"/>
            <w:szCs w:val="18"/>
            <w:lang w:val="lt-LT"/>
          </w:rPr>
          <w:t xml:space="preserve">SAT </w:t>
        </w:r>
        <w:r w:rsidRPr="00E67C77">
          <w:rPr>
            <w:rStyle w:val="Hipersaitas"/>
            <w:sz w:val="18"/>
            <w:szCs w:val="18"/>
            <w:lang w:val="lt-LT"/>
          </w:rPr>
          <w:t>[1994] ECR I-43, para. 30.</w:t>
        </w:r>
      </w:hyperlink>
    </w:p>
  </w:footnote>
  <w:footnote w:id="150">
    <w:p w14:paraId="7E7C6411" w14:textId="77777777" w:rsidR="00133798" w:rsidRPr="001554CF" w:rsidRDefault="00133798" w:rsidP="00CE5A01">
      <w:pPr>
        <w:autoSpaceDE w:val="0"/>
        <w:autoSpaceDN w:val="0"/>
        <w:adjustRightInd w:val="0"/>
        <w:spacing w:after="0" w:line="240" w:lineRule="auto"/>
        <w:jc w:val="both"/>
        <w:rPr>
          <w:rStyle w:val="Hipersaitas"/>
          <w:rFonts w:ascii="Georgia" w:hAnsi="Georgia" w:cs="Times New Roman"/>
          <w:sz w:val="18"/>
          <w:szCs w:val="18"/>
          <w:lang w:val="lt-LT"/>
        </w:rPr>
      </w:pPr>
      <w:r w:rsidRPr="00E67C77">
        <w:rPr>
          <w:rStyle w:val="Puslapioinaosnuoroda"/>
          <w:lang w:val="lt-LT"/>
        </w:rPr>
        <w:footnoteRef/>
      </w:r>
      <w:r w:rsidRPr="00E67C77">
        <w:rPr>
          <w:lang w:val="lt-LT"/>
        </w:rPr>
        <w:t xml:space="preserve"> </w:t>
      </w:r>
      <w:hyperlink r:id="rId20" w:history="1">
        <w:r w:rsidRPr="00FB240F">
          <w:rPr>
            <w:rStyle w:val="Hipersaitas"/>
            <w:rFonts w:ascii="Georgia" w:hAnsi="Georgia" w:cs="Times New Roman"/>
            <w:sz w:val="18"/>
            <w:szCs w:val="18"/>
            <w:lang w:val="lt-LT"/>
          </w:rPr>
          <w:t xml:space="preserve">Case C-403/10 </w:t>
        </w:r>
        <w:r w:rsidRPr="00FB240F">
          <w:rPr>
            <w:rStyle w:val="Hipersaitas"/>
            <w:rFonts w:ascii="Georgia" w:hAnsi="Georgia" w:cs="Times New Roman"/>
            <w:i/>
            <w:iCs/>
            <w:sz w:val="18"/>
            <w:szCs w:val="18"/>
            <w:lang w:val="lt-LT"/>
          </w:rPr>
          <w:t xml:space="preserve">Mediaset SpA v Commission </w:t>
        </w:r>
        <w:r w:rsidRPr="00FB240F">
          <w:rPr>
            <w:rStyle w:val="Hipersaitas"/>
            <w:rFonts w:ascii="Georgia" w:hAnsi="Georgia" w:cs="Times New Roman"/>
            <w:sz w:val="18"/>
            <w:szCs w:val="18"/>
            <w:lang w:val="lt-LT"/>
          </w:rPr>
          <w:t>[2011] ECR I-117, para. 73-77</w:t>
        </w:r>
      </w:hyperlink>
      <w:r w:rsidRPr="00B76111">
        <w:rPr>
          <w:rFonts w:ascii="Georgia" w:hAnsi="Georgia" w:cs="Times New Roman"/>
          <w:sz w:val="18"/>
          <w:szCs w:val="18"/>
          <w:lang w:val="lt-LT"/>
        </w:rPr>
        <w:t xml:space="preserve">; </w:t>
      </w:r>
      <w:r w:rsidRPr="001554CF">
        <w:rPr>
          <w:rFonts w:ascii="Georgia" w:hAnsi="Georgia" w:cs="Times New Roman"/>
          <w:sz w:val="18"/>
          <w:szCs w:val="18"/>
          <w:lang w:val="lt-LT"/>
        </w:rPr>
        <w:fldChar w:fldCharType="begin"/>
      </w:r>
      <w:r w:rsidRPr="00FB240F">
        <w:rPr>
          <w:rFonts w:ascii="Georgia" w:hAnsi="Georgia" w:cs="Times New Roman"/>
          <w:sz w:val="18"/>
          <w:szCs w:val="18"/>
          <w:lang w:val="lt-LT"/>
        </w:rPr>
        <w:instrText xml:space="preserve"> HYPERLINK "http://curia.europa.eu/juris/showPdf.jsf?text=&amp;docid=47413&amp;pageIndex=0&amp;doclang=EN&amp;mode=lst&amp;dir=&amp;occ=first&amp;part=1&amp;cid=86984" </w:instrText>
      </w:r>
      <w:r w:rsidRPr="001554CF">
        <w:rPr>
          <w:rFonts w:ascii="Georgia" w:hAnsi="Georgia" w:cs="Times New Roman"/>
          <w:sz w:val="18"/>
          <w:szCs w:val="18"/>
          <w:lang w:val="lt-LT"/>
        </w:rPr>
        <w:fldChar w:fldCharType="separate"/>
      </w:r>
      <w:r w:rsidRPr="001554CF">
        <w:rPr>
          <w:rStyle w:val="Hipersaitas"/>
          <w:rFonts w:ascii="Georgia" w:hAnsi="Georgia" w:cs="Times New Roman"/>
          <w:sz w:val="18"/>
          <w:szCs w:val="18"/>
          <w:lang w:val="lt-LT"/>
        </w:rPr>
        <w:t>Case C-382/99 Netherlands v</w:t>
      </w:r>
    </w:p>
    <w:p w14:paraId="0517ED0B" w14:textId="77777777" w:rsidR="00133798" w:rsidRPr="00B76111" w:rsidRDefault="00133798" w:rsidP="00CE5A01">
      <w:pPr>
        <w:autoSpaceDE w:val="0"/>
        <w:autoSpaceDN w:val="0"/>
        <w:adjustRightInd w:val="0"/>
        <w:spacing w:after="0" w:line="240" w:lineRule="auto"/>
        <w:jc w:val="both"/>
        <w:rPr>
          <w:rFonts w:ascii="Georgia" w:hAnsi="Georgia"/>
          <w:sz w:val="18"/>
          <w:szCs w:val="18"/>
          <w:lang w:val="lt-LT"/>
        </w:rPr>
      </w:pPr>
      <w:r w:rsidRPr="00FB240F">
        <w:rPr>
          <w:rStyle w:val="Hipersaitas"/>
          <w:rFonts w:ascii="Georgia" w:hAnsi="Georgia" w:cs="Times New Roman"/>
          <w:sz w:val="18"/>
          <w:szCs w:val="18"/>
          <w:lang w:val="lt-LT"/>
        </w:rPr>
        <w:t>Commission [2002] ECR I-5163, para. 60-66</w:t>
      </w:r>
      <w:r w:rsidRPr="001554CF">
        <w:rPr>
          <w:rFonts w:ascii="Georgia" w:hAnsi="Georgia" w:cs="Times New Roman"/>
          <w:sz w:val="18"/>
          <w:szCs w:val="18"/>
          <w:lang w:val="lt-LT"/>
        </w:rPr>
        <w:fldChar w:fldCharType="end"/>
      </w:r>
    </w:p>
  </w:footnote>
  <w:footnote w:id="151">
    <w:p w14:paraId="01ED850F" w14:textId="77777777" w:rsidR="00133798" w:rsidRPr="00B76111" w:rsidRDefault="00133798" w:rsidP="00CE5A01">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1" w:history="1">
        <w:r w:rsidRPr="00FB240F">
          <w:rPr>
            <w:rStyle w:val="Hipersaitas"/>
            <w:sz w:val="18"/>
            <w:szCs w:val="18"/>
            <w:lang w:val="lt-LT"/>
          </w:rPr>
          <w:t xml:space="preserve">Case T-379/09 </w:t>
        </w:r>
        <w:r w:rsidRPr="00FB240F">
          <w:rPr>
            <w:rStyle w:val="Hipersaitas"/>
            <w:i/>
            <w:iCs/>
            <w:sz w:val="18"/>
            <w:szCs w:val="18"/>
            <w:lang w:val="lt-LT"/>
          </w:rPr>
          <w:t xml:space="preserve">Italy v Commission </w:t>
        </w:r>
        <w:r w:rsidRPr="00FB240F">
          <w:rPr>
            <w:rStyle w:val="Hipersaitas"/>
            <w:sz w:val="18"/>
            <w:szCs w:val="18"/>
            <w:lang w:val="lt-LT"/>
          </w:rPr>
          <w:t>[2012] ECR I-0000</w:t>
        </w:r>
        <w:r w:rsidRPr="00FB240F">
          <w:rPr>
            <w:rStyle w:val="Hipersaitas"/>
            <w:i/>
            <w:iCs/>
            <w:sz w:val="18"/>
            <w:szCs w:val="18"/>
            <w:lang w:val="lt-LT"/>
          </w:rPr>
          <w:t xml:space="preserve">, </w:t>
        </w:r>
        <w:r w:rsidRPr="00FB240F">
          <w:rPr>
            <w:rStyle w:val="Hipersaitas"/>
            <w:sz w:val="18"/>
            <w:szCs w:val="18"/>
            <w:lang w:val="lt-LT"/>
          </w:rPr>
          <w:t>para. 47</w:t>
        </w:r>
      </w:hyperlink>
      <w:r w:rsidRPr="00B76111">
        <w:rPr>
          <w:sz w:val="18"/>
          <w:szCs w:val="18"/>
          <w:lang w:val="lt-LT"/>
        </w:rPr>
        <w:t>.</w:t>
      </w:r>
    </w:p>
  </w:footnote>
  <w:footnote w:id="152">
    <w:p w14:paraId="10163D8F" w14:textId="77777777" w:rsidR="00133798" w:rsidRPr="00B76111" w:rsidRDefault="00133798" w:rsidP="00CE5A01">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2" w:history="1">
        <w:r w:rsidRPr="00E67C77">
          <w:rPr>
            <w:rStyle w:val="Hipersaitas"/>
            <w:sz w:val="18"/>
            <w:szCs w:val="18"/>
            <w:lang w:val="lt-LT"/>
          </w:rPr>
          <w:t>Case C-6/12 P Oy [2013] ECR I-0000, para. 27</w:t>
        </w:r>
      </w:hyperlink>
    </w:p>
  </w:footnote>
  <w:footnote w:id="153">
    <w:p w14:paraId="404457C4" w14:textId="77777777" w:rsidR="00133798" w:rsidRPr="00E67C77" w:rsidRDefault="00133798" w:rsidP="00CE5A01">
      <w:pPr>
        <w:pStyle w:val="Puslapioinaostekstas"/>
        <w:jc w:val="both"/>
        <w:rPr>
          <w:rStyle w:val="Hipersaitas"/>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3" w:history="1">
        <w:r w:rsidRPr="00E67C77">
          <w:rPr>
            <w:rStyle w:val="Hipersaitas"/>
            <w:sz w:val="18"/>
            <w:szCs w:val="18"/>
            <w:lang w:val="lt-LT"/>
          </w:rPr>
          <w:t>Case C-279/08 P Commission v Netherlands (NOx) [2011] ECR I-7671, para. 62</w:t>
        </w:r>
      </w:hyperlink>
      <w:r w:rsidRPr="00E67C77">
        <w:rPr>
          <w:sz w:val="18"/>
          <w:szCs w:val="18"/>
          <w:lang w:val="lt-LT"/>
        </w:rPr>
        <w:t xml:space="preserve">; </w:t>
      </w:r>
      <w:r w:rsidRPr="00E67C77">
        <w:rPr>
          <w:sz w:val="18"/>
          <w:szCs w:val="18"/>
          <w:lang w:val="lt-LT"/>
        </w:rPr>
        <w:fldChar w:fldCharType="begin"/>
      </w:r>
      <w:r w:rsidRPr="00E67C77">
        <w:rPr>
          <w:sz w:val="18"/>
          <w:szCs w:val="18"/>
          <w:lang w:val="lt-LT"/>
        </w:rPr>
        <w:instrText xml:space="preserve"> HYPERLINK "http://curia.europa.eu/juris/showPdf.jsf?text=&amp;docid=97777&amp;pageIndex=0&amp;doclang=EN&amp;mode=lst&amp;dir=&amp;occ=first&amp;part=1&amp;cid=89019" </w:instrText>
      </w:r>
      <w:r w:rsidRPr="00E67C77">
        <w:rPr>
          <w:sz w:val="18"/>
          <w:szCs w:val="18"/>
          <w:lang w:val="lt-LT"/>
        </w:rPr>
        <w:fldChar w:fldCharType="separate"/>
      </w:r>
      <w:r w:rsidRPr="00E67C77">
        <w:rPr>
          <w:rStyle w:val="Hipersaitas"/>
          <w:sz w:val="18"/>
          <w:szCs w:val="18"/>
          <w:lang w:val="lt-LT"/>
        </w:rPr>
        <w:t>Joined Cases C-72/91 and</w:t>
      </w:r>
    </w:p>
    <w:p w14:paraId="18E7C941" w14:textId="77777777" w:rsidR="00133798" w:rsidRPr="00B76111" w:rsidRDefault="00133798" w:rsidP="00CE5A01">
      <w:pPr>
        <w:pStyle w:val="Puslapioinaostekstas"/>
        <w:jc w:val="both"/>
        <w:rPr>
          <w:lang w:val="lt-LT"/>
        </w:rPr>
      </w:pPr>
      <w:r w:rsidRPr="00E67C77">
        <w:rPr>
          <w:rStyle w:val="Hipersaitas"/>
          <w:sz w:val="18"/>
          <w:szCs w:val="18"/>
          <w:lang w:val="lt-LT"/>
        </w:rPr>
        <w:t>C-73/91 Sloman Neptun [1993] ECR I-887, para. 21</w:t>
      </w:r>
      <w:r w:rsidRPr="00E67C77">
        <w:rPr>
          <w:sz w:val="18"/>
          <w:szCs w:val="18"/>
          <w:lang w:val="lt-LT"/>
        </w:rPr>
        <w:fldChar w:fldCharType="end"/>
      </w:r>
    </w:p>
  </w:footnote>
  <w:footnote w:id="154">
    <w:p w14:paraId="0F208E4B" w14:textId="77777777" w:rsidR="00133798" w:rsidRPr="00B76111" w:rsidRDefault="00133798" w:rsidP="00CE5A01">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24" w:history="1">
        <w:r w:rsidRPr="00E67C77">
          <w:rPr>
            <w:rStyle w:val="Hipersaitas"/>
            <w:sz w:val="18"/>
            <w:szCs w:val="18"/>
            <w:lang w:val="lt-LT"/>
          </w:rPr>
          <w:t>Case C-280/00 Altmark Trans [2003] ECR I-7747, para. 79</w:t>
        </w:r>
      </w:hyperlink>
    </w:p>
  </w:footnote>
  <w:footnote w:id="155">
    <w:p w14:paraId="6EFF9841" w14:textId="77777777" w:rsidR="00133798" w:rsidRPr="001554CF" w:rsidRDefault="00133798" w:rsidP="00CE5A01">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Bendrųjų nuostatų reglamento 2 str. 1 d. 13 p.</w:t>
      </w:r>
    </w:p>
  </w:footnote>
  <w:footnote w:id="156">
    <w:p w14:paraId="5E80DA9D" w14:textId="77777777" w:rsidR="00133798" w:rsidRPr="000D2630" w:rsidRDefault="00133798" w:rsidP="00CE5A01">
      <w:pPr>
        <w:pStyle w:val="Puslapioinaostekstas"/>
        <w:rPr>
          <w:lang w:val="lt-LT"/>
        </w:rPr>
      </w:pPr>
      <w:r>
        <w:rPr>
          <w:rStyle w:val="Puslapioinaosnuoroda"/>
        </w:rPr>
        <w:footnoteRef/>
      </w:r>
      <w:r>
        <w:t xml:space="preserve"> </w:t>
      </w:r>
      <w:r>
        <w:rPr>
          <w:lang w:val="lt-LT"/>
        </w:rPr>
        <w:t xml:space="preserve">Bendrosios išimties reglamento 4 str. 1 d. t) p., 39 str. </w:t>
      </w:r>
    </w:p>
  </w:footnote>
  <w:footnote w:id="157">
    <w:p w14:paraId="104FB38C" w14:textId="77777777" w:rsidR="00133798" w:rsidRPr="000D2630" w:rsidRDefault="00133798" w:rsidP="00CE5A01">
      <w:pPr>
        <w:pStyle w:val="Puslapioinaostekstas"/>
        <w:rPr>
          <w:lang w:val="lt-LT"/>
        </w:rPr>
      </w:pPr>
      <w:r>
        <w:rPr>
          <w:rStyle w:val="Puslapioinaosnuoroda"/>
        </w:rPr>
        <w:footnoteRef/>
      </w:r>
      <w:r>
        <w:t xml:space="preserve"> Bendrųjų nuostatų reglamento 37 str. 7 d. </w:t>
      </w:r>
    </w:p>
  </w:footnote>
  <w:footnote w:id="158">
    <w:p w14:paraId="5CA7B4A9" w14:textId="77777777" w:rsidR="00133798" w:rsidRPr="00FB240F" w:rsidRDefault="00133798" w:rsidP="00CE5A01">
      <w:pPr>
        <w:pStyle w:val="Puslapioinaostekstas"/>
        <w:rPr>
          <w:lang w:val="lt-LT"/>
        </w:rPr>
      </w:pPr>
      <w:r w:rsidRPr="00E67C77">
        <w:rPr>
          <w:rStyle w:val="Puslapioinaosnuoroda"/>
          <w:lang w:val="lt-LT"/>
        </w:rPr>
        <w:footnoteRef/>
      </w:r>
      <w:r w:rsidRPr="00B76111">
        <w:rPr>
          <w:lang w:val="lt-LT"/>
        </w:rPr>
        <w:t xml:space="preserve"> Komisijos pranešim</w:t>
      </w:r>
      <w:r w:rsidRPr="001554CF">
        <w:rPr>
          <w:lang w:val="lt-LT"/>
        </w:rPr>
        <w:t>o</w:t>
      </w:r>
      <w:r w:rsidRPr="00FB240F">
        <w:rPr>
          <w:lang w:val="lt-LT"/>
        </w:rPr>
        <w:t xml:space="preserve"> dėl EB sutarties 87 ir 88 straipsnių taikymo garantijomis suteikiamai valstybės pagalbai 3.4 p. f) p.</w:t>
      </w:r>
    </w:p>
  </w:footnote>
  <w:footnote w:id="159">
    <w:p w14:paraId="20EAAAB4" w14:textId="77777777" w:rsidR="00133798" w:rsidRPr="00E67C77" w:rsidRDefault="00133798" w:rsidP="00575FB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w:t>
      </w:r>
      <w:r w:rsidRPr="001554CF">
        <w:rPr>
          <w:lang w:val="lt-LT"/>
        </w:rPr>
        <w:t xml:space="preserve">ai nuo 2014-11-01 yra taikomas 0,55 </w:t>
      </w:r>
      <w:r w:rsidRPr="00E67C77">
        <w:rPr>
          <w:lang w:val="lt-LT"/>
        </w:rPr>
        <w:t xml:space="preserve">% IBOR. // </w:t>
      </w:r>
      <w:hyperlink r:id="rId25" w:history="1">
        <w:r w:rsidRPr="00E67C77">
          <w:rPr>
            <w:rStyle w:val="Hipersaitas"/>
            <w:lang w:val="lt-LT"/>
          </w:rPr>
          <w:t>http://ec.europa.eu/competition/state_aid/legislation/base_rates_eu28bis_en.pdf</w:t>
        </w:r>
      </w:hyperlink>
      <w:r w:rsidRPr="00E67C77">
        <w:rPr>
          <w:lang w:val="lt-LT"/>
        </w:rPr>
        <w:t xml:space="preserve"> </w:t>
      </w:r>
    </w:p>
  </w:footnote>
  <w:footnote w:id="160">
    <w:p w14:paraId="65A38784" w14:textId="77777777" w:rsidR="00133798" w:rsidRPr="00B76111" w:rsidRDefault="00133798" w:rsidP="00575FB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Lietuvai nuo 2014-11-01 yra ta</w:t>
      </w:r>
      <w:r w:rsidRPr="001554CF">
        <w:rPr>
          <w:lang w:val="lt-LT"/>
        </w:rPr>
        <w:t xml:space="preserve">ikomas 0,55 </w:t>
      </w:r>
      <w:r w:rsidRPr="00E67C77">
        <w:rPr>
          <w:lang w:val="lt-LT"/>
        </w:rPr>
        <w:t xml:space="preserve">% IBOR. // </w:t>
      </w:r>
      <w:hyperlink r:id="rId26" w:history="1">
        <w:r w:rsidRPr="00E67C77">
          <w:rPr>
            <w:rStyle w:val="Hipersaitas"/>
            <w:lang w:val="lt-LT"/>
          </w:rPr>
          <w:t>http://ec.europa.eu/competition/state_aid/legislation/base_rates_eu28bis_en.pdf</w:t>
        </w:r>
      </w:hyperlink>
    </w:p>
  </w:footnote>
  <w:footnote w:id="161">
    <w:p w14:paraId="5ABC238F" w14:textId="77777777" w:rsidR="00133798" w:rsidRPr="00B76111" w:rsidRDefault="00133798" w:rsidP="005A432A">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27" w:history="1">
        <w:r w:rsidRPr="00E67C77">
          <w:rPr>
            <w:rStyle w:val="Hipersaitas"/>
            <w:lang w:val="lt-LT"/>
          </w:rPr>
          <w:t>http://ec.europa.eu/competition/state_aid/legislation/base_rates_eu28bis_en.pdf</w:t>
        </w:r>
      </w:hyperlink>
    </w:p>
  </w:footnote>
  <w:footnote w:id="162">
    <w:p w14:paraId="4E174686" w14:textId="77777777" w:rsidR="00133798" w:rsidRPr="00315971" w:rsidRDefault="00133798" w:rsidP="00833F44">
      <w:pPr>
        <w:pStyle w:val="Puslapioinaostekstas"/>
        <w:ind w:left="142" w:hanging="142"/>
        <w:jc w:val="both"/>
        <w:rPr>
          <w:lang w:val="lt-LT"/>
        </w:rPr>
      </w:pPr>
      <w:r>
        <w:rPr>
          <w:rStyle w:val="Puslapioinaosnuoroda"/>
        </w:rPr>
        <w:footnoteRef/>
      </w:r>
      <w:r>
        <w:t xml:space="preserve">Europos Teisingumo Teismo praktikoje taikoma įmonės apibrėžtis (200 m. rugsėjo 12 d. Teisingumo teismo sprendimo </w:t>
      </w:r>
      <w:r w:rsidRPr="00315971">
        <w:rPr>
          <w:i/>
        </w:rPr>
        <w:t>Pavlov ir kiti</w:t>
      </w:r>
      <w:r>
        <w:t xml:space="preserve">, sujungtos bylos C-180/98-C-184/98, ECLI:EU:C:2000:428, 74 punktas, 2006 m. sausio 10 d. Teisingumo Teismo sprendimo </w:t>
      </w:r>
      <w:r w:rsidRPr="00315971">
        <w:rPr>
          <w:i/>
        </w:rPr>
        <w:t>Cassa di Risparmio di Firenze SpA ir kiti</w:t>
      </w:r>
      <w:r>
        <w:t>, C-222/04, ECLI:EU:C:2006:8, 107 punktas).</w:t>
      </w:r>
    </w:p>
  </w:footnote>
  <w:footnote w:id="163">
    <w:p w14:paraId="3EDF9D19" w14:textId="77777777" w:rsidR="00133798" w:rsidRPr="00E67C77" w:rsidRDefault="00133798" w:rsidP="0006117A">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28" w:history="1">
        <w:r w:rsidRPr="00E67C77">
          <w:rPr>
            <w:rStyle w:val="Hipersaitas"/>
            <w:lang w:val="lt-LT"/>
          </w:rPr>
          <w:t>http://ec.europa.eu/competition/state_aid/legislation/base_rates_eu28bis_en.pdf</w:t>
        </w:r>
      </w:hyperlink>
      <w:r w:rsidRPr="00E67C77">
        <w:rPr>
          <w:lang w:val="lt-LT"/>
        </w:rPr>
        <w:t xml:space="preserve"> </w:t>
      </w:r>
    </w:p>
  </w:footnote>
  <w:footnote w:id="164">
    <w:p w14:paraId="239AA0E0" w14:textId="77777777" w:rsidR="00133798" w:rsidRPr="00B76111" w:rsidRDefault="00133798" w:rsidP="0006117A">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w:t>
      </w:r>
      <w:r w:rsidRPr="001554CF">
        <w:rPr>
          <w:lang w:val="lt-LT"/>
        </w:rPr>
        <w:t>uvai nuo 201</w:t>
      </w:r>
      <w:r>
        <w:rPr>
          <w:lang w:val="en-US"/>
        </w:rPr>
        <w:t>7</w:t>
      </w:r>
      <w:r w:rsidRPr="001554CF">
        <w:rPr>
          <w:lang w:val="lt-LT"/>
        </w:rPr>
        <w:t>-1</w:t>
      </w:r>
      <w:r>
        <w:rPr>
          <w:lang w:val="lt-LT"/>
        </w:rPr>
        <w:t>2</w:t>
      </w:r>
      <w:r w:rsidRPr="001554CF">
        <w:rPr>
          <w:lang w:val="lt-LT"/>
        </w:rPr>
        <w:t>-</w:t>
      </w:r>
      <w:r>
        <w:rPr>
          <w:lang w:val="lt-LT"/>
        </w:rPr>
        <w:t>31</w:t>
      </w:r>
      <w:r w:rsidRPr="001554CF">
        <w:rPr>
          <w:lang w:val="lt-LT"/>
        </w:rPr>
        <w:t xml:space="preserve"> yra taikomas </w:t>
      </w:r>
      <w:r>
        <w:rPr>
          <w:lang w:val="lt-LT"/>
        </w:rPr>
        <w:t>-</w:t>
      </w:r>
      <w:r w:rsidRPr="001554CF">
        <w:rPr>
          <w:lang w:val="lt-LT"/>
        </w:rPr>
        <w:t>0,</w:t>
      </w:r>
      <w:r>
        <w:rPr>
          <w:lang w:val="lt-LT"/>
        </w:rPr>
        <w:t>15</w:t>
      </w:r>
      <w:r w:rsidRPr="001554CF">
        <w:rPr>
          <w:lang w:val="lt-LT"/>
        </w:rPr>
        <w:t xml:space="preserve"> </w:t>
      </w:r>
      <w:r w:rsidRPr="00E67C77">
        <w:rPr>
          <w:lang w:val="lt-LT"/>
        </w:rPr>
        <w:t xml:space="preserve">% IBOR. // </w:t>
      </w:r>
      <w:r w:rsidRPr="000038A2">
        <w:rPr>
          <w:lang w:val="lt-LT"/>
        </w:rPr>
        <w:t>http://ec.europa.eu/competition/state_aid/legislation/base_rates2017_10_en.pdf</w:t>
      </w:r>
    </w:p>
  </w:footnote>
  <w:footnote w:id="165">
    <w:p w14:paraId="41638E68" w14:textId="77777777" w:rsidR="00133798" w:rsidRPr="00FB240F" w:rsidRDefault="00133798"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w:t>
      </w:r>
      <w:r w:rsidRPr="001554CF">
        <w:rPr>
          <w:lang w:val="lt-LT"/>
        </w:rPr>
        <w:t>Atlikti interviu su G. Tautku</w:t>
      </w:r>
      <w:r w:rsidRPr="00FB240F">
        <w:rPr>
          <w:lang w:val="lt-LT"/>
        </w:rPr>
        <w:t>te, Būsto energijos taupymo agentūros direktoriaus pavaduotoja; J. Bumelyte, Europos investicijų banko atstove Lietuvoje; I. Kiškiu, LR Aplinkos ministerijos Europos Sąjungos paramos administravimo departamento direktoriumi.</w:t>
      </w:r>
    </w:p>
  </w:footnote>
  <w:footnote w:id="166">
    <w:p w14:paraId="235B0061" w14:textId="77777777" w:rsidR="00133798" w:rsidRPr="00FB240F" w:rsidRDefault="00133798"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DG REGIO Summary of data on t</w:t>
      </w:r>
      <w:r w:rsidRPr="001554CF">
        <w:rPr>
          <w:lang w:val="lt-LT"/>
        </w:rPr>
        <w:t>he progress made in financing and implementing financial engineering instruments reported by the managing authorities in accordance with Article 67(2)(j) of Council Regulation (EC) No 1083/2006 Programming period 2007-2013 Situation as at 31 December 2012,</w:t>
      </w:r>
      <w:r w:rsidRPr="00FB240F">
        <w:rPr>
          <w:lang w:val="lt-LT"/>
        </w:rPr>
        <w:t xml:space="preserve"> 19/09/2013 COCOF_13-0093-00-EN</w:t>
      </w:r>
    </w:p>
  </w:footnote>
  <w:footnote w:id="167">
    <w:p w14:paraId="752A3F7C" w14:textId="77777777" w:rsidR="00133798" w:rsidRPr="00FB240F" w:rsidRDefault="00133798" w:rsidP="00451BC7">
      <w:pPr>
        <w:pStyle w:val="Puslapioinaostekstas"/>
        <w:jc w:val="both"/>
        <w:rPr>
          <w:lang w:val="lt-LT"/>
        </w:rPr>
      </w:pPr>
      <w:r w:rsidRPr="00B76111">
        <w:rPr>
          <w:rStyle w:val="Puslapioinaosnuoroda"/>
          <w:lang w:val="lt-LT"/>
        </w:rPr>
        <w:footnoteRef/>
      </w:r>
      <w:r w:rsidRPr="00B76111">
        <w:rPr>
          <w:lang w:val="lt-LT"/>
        </w:rPr>
        <w:t xml:space="preserve"> </w:t>
      </w:r>
      <w:r w:rsidRPr="001554CF">
        <w:rPr>
          <w:lang w:val="lt-LT"/>
        </w:rPr>
        <w:t>Energijos efektyvumą/atsinaujinančius energijos išteklius finansuojančios priemonės kaip atskira grupė išskirtos tik 2010 m.</w:t>
      </w:r>
      <w:r w:rsidRPr="00FB240F">
        <w:rPr>
          <w:rFonts w:ascii="Arial" w:hAnsi="Arial" w:cs="Arial"/>
          <w:bCs/>
          <w:lang w:val="lt-LT"/>
        </w:rPr>
        <w:t xml:space="preserve"> </w:t>
      </w:r>
    </w:p>
  </w:footnote>
  <w:footnote w:id="168">
    <w:p w14:paraId="70D2655D"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 xml:space="preserve">2012 m. įsteigta 10 naujų finansinių priemonių. </w:t>
      </w:r>
    </w:p>
  </w:footnote>
  <w:footnote w:id="169">
    <w:p w14:paraId="5287A196" w14:textId="77777777" w:rsidR="00133798" w:rsidRPr="00FB240F" w:rsidRDefault="00133798" w:rsidP="00451BC7">
      <w:pPr>
        <w:pStyle w:val="Puslapioinaostekstas"/>
        <w:rPr>
          <w:lang w:val="lt-LT"/>
        </w:rPr>
      </w:pPr>
      <w:r w:rsidRPr="00B76111">
        <w:rPr>
          <w:rStyle w:val="Puslapioinaosnuoroda"/>
          <w:lang w:val="lt-LT"/>
        </w:rPr>
        <w:footnoteRef/>
      </w:r>
      <w:r w:rsidRPr="00B76111">
        <w:rPr>
          <w:lang w:val="lt-LT"/>
        </w:rPr>
        <w:t xml:space="preserve"> 2010 m. birželio 16 d. Europos Parlamento i</w:t>
      </w:r>
      <w:r w:rsidRPr="001554CF">
        <w:rPr>
          <w:lang w:val="lt-LT"/>
        </w:rPr>
        <w:t>r Tarybos reglamentas (ES) Nr. 539/2010 keičiantis Tarybos reglamentą Nr. 1083/2006 (OL 2010 L 158, p. 1).</w:t>
      </w:r>
    </w:p>
  </w:footnote>
  <w:footnote w:id="170">
    <w:p w14:paraId="384EDAA0"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Financial Instruments: A Stock-taking Exercise in Preparation for the 2014-2020 Programming Period Study, EIB, 2013</w:t>
      </w:r>
    </w:p>
  </w:footnote>
  <w:footnote w:id="171">
    <w:p w14:paraId="4425EB84"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Penki per 2012 metus</w:t>
      </w:r>
    </w:p>
  </w:footnote>
  <w:footnote w:id="172">
    <w:p w14:paraId="7DC8F40D" w14:textId="77777777" w:rsidR="00133798" w:rsidRPr="00B76111" w:rsidRDefault="00133798" w:rsidP="00451BC7">
      <w:pPr>
        <w:pStyle w:val="Puslapioinaostekstas"/>
        <w:rPr>
          <w:lang w:val="lt-LT"/>
        </w:rPr>
      </w:pPr>
      <w:r w:rsidRPr="00E67C77">
        <w:rPr>
          <w:rStyle w:val="Puslapioinaosnuoroda"/>
          <w:lang w:val="lt-LT"/>
        </w:rPr>
        <w:footnoteRef/>
      </w:r>
      <w:r w:rsidRPr="00E67C77">
        <w:rPr>
          <w:lang w:val="lt-LT"/>
        </w:rPr>
        <w:t xml:space="preserve"> European Commission, Summary of data on the progress made in financing and implementing financial engineering instruments co-financed by Structural Funds, Programming period 2007-2013 Situation as at 31 December 2012, September 2013</w:t>
      </w:r>
    </w:p>
  </w:footnote>
  <w:footnote w:id="173">
    <w:p w14:paraId="21479368"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w:t>
      </w:r>
      <w:hyperlink r:id="rId29" w:history="1">
        <w:r w:rsidRPr="00FB240F">
          <w:rPr>
            <w:rStyle w:val="Hipersaitas"/>
            <w:lang w:val="lt-LT"/>
          </w:rPr>
          <w:t>http://www.europarl.europa.eu/meetdocs/2009_2014/documents/cont/dv/ecasr22012_/ecasr22012_en.pdf</w:t>
        </w:r>
      </w:hyperlink>
      <w:r w:rsidRPr="00B76111">
        <w:rPr>
          <w:lang w:val="lt-LT"/>
        </w:rPr>
        <w:t xml:space="preserve"> </w:t>
      </w:r>
    </w:p>
  </w:footnote>
  <w:footnote w:id="174">
    <w:p w14:paraId="51EEB9D9"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w:t>
      </w:r>
      <w:hyperlink r:id="rId30" w:history="1">
        <w:r w:rsidRPr="00FB240F">
          <w:rPr>
            <w:rStyle w:val="Hipersaitas"/>
            <w:lang w:val="lt-LT"/>
          </w:rPr>
          <w:t>http://ec.europa.eu/regional_policy/sources/docoffic/official/communic/financial/financial_instruments_2012_en.pdf</w:t>
        </w:r>
      </w:hyperlink>
      <w:r w:rsidRPr="00B76111">
        <w:rPr>
          <w:lang w:val="lt-LT"/>
        </w:rPr>
        <w:t xml:space="preserve"> </w:t>
      </w:r>
    </w:p>
  </w:footnote>
  <w:footnote w:id="175">
    <w:p w14:paraId="4E5C9518" w14:textId="77777777" w:rsidR="00133798" w:rsidRPr="00B76111" w:rsidRDefault="00133798" w:rsidP="00451BC7">
      <w:pPr>
        <w:pStyle w:val="Puslapioinaostekstas"/>
        <w:rPr>
          <w:lang w:val="lt-LT"/>
        </w:rPr>
      </w:pPr>
      <w:r w:rsidRPr="00B76111">
        <w:rPr>
          <w:rStyle w:val="Puslapioinaosnuoroda"/>
          <w:lang w:val="lt-LT"/>
        </w:rPr>
        <w:footnoteRef/>
      </w:r>
      <w:r w:rsidRPr="00B76111">
        <w:rPr>
          <w:lang w:val="lt-LT"/>
        </w:rPr>
        <w:t xml:space="preserve"> </w:t>
      </w:r>
      <w:hyperlink r:id="rId31" w:history="1">
        <w:r w:rsidRPr="00FB240F">
          <w:rPr>
            <w:rStyle w:val="Hipersaitas"/>
            <w:lang w:val="lt-LT"/>
          </w:rPr>
          <w:t>http://www.eib.org/attachments/documents/jessica_fg_final_report_en.pdf</w:t>
        </w:r>
      </w:hyperlink>
      <w:r w:rsidRPr="00B76111">
        <w:rPr>
          <w:lang w:val="lt-LT"/>
        </w:rPr>
        <w:t xml:space="preserve"> </w:t>
      </w:r>
    </w:p>
  </w:footnote>
  <w:footnote w:id="176">
    <w:p w14:paraId="50D09CB3" w14:textId="77777777" w:rsidR="00133798" w:rsidRPr="00B76111" w:rsidRDefault="00133798" w:rsidP="00451BC7">
      <w:pPr>
        <w:pStyle w:val="Puslapioinaostekstas"/>
        <w:rPr>
          <w:lang w:val="lt-LT"/>
        </w:rPr>
      </w:pPr>
      <w:r w:rsidRPr="00B76111">
        <w:rPr>
          <w:rStyle w:val="Puslapioinaosnuoroda"/>
          <w:lang w:val="lt-LT"/>
        </w:rPr>
        <w:footnoteRef/>
      </w:r>
      <w:r w:rsidRPr="00B76111">
        <w:rPr>
          <w:lang w:val="lt-LT"/>
        </w:rPr>
        <w:t xml:space="preserve"> </w:t>
      </w:r>
      <w:hyperlink r:id="rId32" w:history="1">
        <w:r w:rsidRPr="00FB240F">
          <w:rPr>
            <w:rStyle w:val="Hipersaitas"/>
            <w:lang w:val="lt-LT"/>
          </w:rPr>
          <w:t>http://www.eib.org/attachments/documents/jessica_energy_focused_udf_final_report_en.pdf</w:t>
        </w:r>
      </w:hyperlink>
      <w:r w:rsidRPr="00B76111">
        <w:rPr>
          <w:lang w:val="lt-LT"/>
        </w:rPr>
        <w:t xml:space="preserve"> </w:t>
      </w:r>
    </w:p>
  </w:footnote>
  <w:footnote w:id="177">
    <w:p w14:paraId="6E1856D7" w14:textId="77777777" w:rsidR="00133798" w:rsidRPr="00B76111" w:rsidRDefault="00133798" w:rsidP="00451BC7">
      <w:pPr>
        <w:pStyle w:val="Puslapioinaostekstas"/>
        <w:rPr>
          <w:lang w:val="lt-LT"/>
        </w:rPr>
      </w:pPr>
      <w:r w:rsidRPr="00B76111">
        <w:rPr>
          <w:rStyle w:val="Puslapioinaosnuoroda"/>
          <w:lang w:val="lt-LT"/>
        </w:rPr>
        <w:footnoteRef/>
      </w:r>
      <w:r w:rsidRPr="00B76111">
        <w:rPr>
          <w:lang w:val="lt-LT"/>
        </w:rPr>
        <w:t xml:space="preserve"> </w:t>
      </w:r>
      <w:hyperlink r:id="rId33" w:history="1">
        <w:r w:rsidRPr="00FB240F">
          <w:rPr>
            <w:rStyle w:val="Hipersaitas"/>
            <w:lang w:val="lt-LT"/>
          </w:rPr>
          <w:t>http://www.eib.org/attachments/documents/jessica_housing_study_final_report_en.pdf</w:t>
        </w:r>
      </w:hyperlink>
      <w:r w:rsidRPr="00B76111">
        <w:rPr>
          <w:lang w:val="lt-LT"/>
        </w:rPr>
        <w:t xml:space="preserve"> </w:t>
      </w:r>
    </w:p>
  </w:footnote>
  <w:footnote w:id="178">
    <w:p w14:paraId="36C871D0"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Berlin Energy Saving Partnership model (</w:t>
      </w:r>
      <w:hyperlink r:id="rId34" w:history="1">
        <w:r w:rsidRPr="00FB240F">
          <w:rPr>
            <w:rStyle w:val="Hipersaitas"/>
            <w:lang w:val="lt-LT"/>
          </w:rPr>
          <w:t>http://www.stadtentwicklung.berlin.de/umwelt/klimaschutz/</w:t>
        </w:r>
      </w:hyperlink>
      <w:r w:rsidRPr="00B76111">
        <w:rPr>
          <w:lang w:val="lt-LT"/>
        </w:rPr>
        <w:t xml:space="preserve">) </w:t>
      </w:r>
    </w:p>
  </w:footnote>
  <w:footnote w:id="179">
    <w:p w14:paraId="42C30E35" w14:textId="77777777" w:rsidR="00133798" w:rsidRPr="00B76111" w:rsidRDefault="00133798" w:rsidP="00451BC7">
      <w:pPr>
        <w:pStyle w:val="Puslapioinaostekstas"/>
        <w:rPr>
          <w:lang w:val="lt-LT"/>
        </w:rPr>
      </w:pPr>
      <w:r w:rsidRPr="00E67C77">
        <w:rPr>
          <w:rStyle w:val="Puslapioinaosnuoroda"/>
          <w:lang w:val="lt-LT"/>
        </w:rPr>
        <w:footnoteRef/>
      </w:r>
      <w:r w:rsidRPr="00E67C77">
        <w:rPr>
          <w:lang w:val="lt-LT"/>
        </w:rPr>
        <w:t xml:space="preserve"> angl. fuel poverty</w:t>
      </w:r>
    </w:p>
  </w:footnote>
  <w:footnote w:id="180">
    <w:p w14:paraId="5004D255" w14:textId="77777777" w:rsidR="00133798" w:rsidRPr="001554CF" w:rsidRDefault="00133798" w:rsidP="00451BC7">
      <w:pPr>
        <w:pStyle w:val="Puslapioinaostekstas"/>
        <w:rPr>
          <w:lang w:val="lt-LT"/>
        </w:rPr>
      </w:pPr>
      <w:r w:rsidRPr="00B76111">
        <w:rPr>
          <w:rStyle w:val="Puslapioinaosnuoroda"/>
          <w:lang w:val="lt-LT"/>
        </w:rPr>
        <w:footnoteRef/>
      </w:r>
      <w:r w:rsidRPr="00B76111">
        <w:rPr>
          <w:lang w:val="lt-LT"/>
        </w:rPr>
        <w:t xml:space="preserve"> Angl. mezzanine loans</w:t>
      </w:r>
    </w:p>
  </w:footnote>
  <w:footnote w:id="181">
    <w:p w14:paraId="6405E0DE" w14:textId="77777777" w:rsidR="00133798" w:rsidRPr="00B76111" w:rsidRDefault="00133798" w:rsidP="00451BC7">
      <w:pPr>
        <w:pStyle w:val="Puslapioinaostekstas"/>
        <w:rPr>
          <w:lang w:val="lt-LT"/>
        </w:rPr>
      </w:pPr>
      <w:r w:rsidRPr="00E67C77">
        <w:rPr>
          <w:rStyle w:val="Puslapioinaosnuoroda"/>
          <w:lang w:val="lt-LT"/>
        </w:rPr>
        <w:footnoteRef/>
      </w:r>
      <w:r w:rsidRPr="00E67C77">
        <w:rPr>
          <w:lang w:val="lt-LT"/>
        </w:rPr>
        <w:t xml:space="preserve"> angl. Joint Venture</w:t>
      </w:r>
    </w:p>
  </w:footnote>
  <w:footnote w:id="182">
    <w:p w14:paraId="37251F1F" w14:textId="77777777" w:rsidR="00133798" w:rsidRPr="00EA3C3E" w:rsidRDefault="00133798" w:rsidP="005743FF">
      <w:pPr>
        <w:pStyle w:val="Puslapioinaostekstas"/>
        <w:rPr>
          <w:lang w:val="lt-LT"/>
        </w:rPr>
      </w:pPr>
      <w:r>
        <w:rPr>
          <w:rStyle w:val="Puslapioinaosnuoroda"/>
        </w:rPr>
        <w:footnoteRef/>
      </w:r>
      <w:r>
        <w:t xml:space="preserve"> </w:t>
      </w:r>
      <w:r>
        <w:rPr>
          <w:lang w:val="lt-LT"/>
        </w:rPr>
        <w:t>Gali būti vadovaujamasi sverto, multiplikatoriaus ar kitais argumentuotai pagrįstais kriterijais.</w:t>
      </w:r>
    </w:p>
  </w:footnote>
  <w:footnote w:id="183">
    <w:p w14:paraId="174AE82D" w14:textId="77777777" w:rsidR="00133798" w:rsidRPr="00FB240F" w:rsidRDefault="00133798" w:rsidP="00AA7568">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Sąlyginės paskolos sutartys apibrėžia tiksliai kokiam tiksl</w:t>
      </w:r>
      <w:r w:rsidRPr="001554CF">
        <w:rPr>
          <w:lang w:val="lt-LT"/>
        </w:rPr>
        <w:t xml:space="preserve">ui gali būti naudojami pinigai bei kokiomis sąlygomis. </w:t>
      </w:r>
    </w:p>
  </w:footnote>
  <w:footnote w:id="184">
    <w:p w14:paraId="6E21FE44" w14:textId="05A501DD" w:rsidR="00133798" w:rsidRPr="0063781D" w:rsidRDefault="00133798">
      <w:pPr>
        <w:pStyle w:val="Puslapioinaostekstas"/>
        <w:rPr>
          <w:lang w:val="lt-LT"/>
        </w:rPr>
      </w:pPr>
      <w:r>
        <w:rPr>
          <w:rStyle w:val="Puslapioinaosnuoroda"/>
        </w:rPr>
        <w:footnoteRef/>
      </w:r>
      <w:r>
        <w:t xml:space="preserve"> </w:t>
      </w:r>
      <w:r w:rsidRPr="00841A03">
        <w:t>2017 m. liepos 3 d. Nr. 2017/2 – 1721 “Dėl daugiabučių namų modernizavimo fondo metinės ataskaitos patikslinimo</w:t>
      </w:r>
    </w:p>
  </w:footnote>
  <w:footnote w:id="185">
    <w:p w14:paraId="20B938F4" w14:textId="75C85D53" w:rsidR="00133798" w:rsidRPr="0063781D" w:rsidRDefault="00133798">
      <w:pPr>
        <w:pStyle w:val="Puslapioinaostekstas"/>
        <w:rPr>
          <w:lang w:val="lt-LT"/>
        </w:rPr>
      </w:pPr>
      <w:r>
        <w:rPr>
          <w:rStyle w:val="Puslapioinaosnuoroda"/>
        </w:rPr>
        <w:footnoteRef/>
      </w:r>
      <w:r>
        <w:t xml:space="preserve"> </w:t>
      </w:r>
      <w:r w:rsidRPr="00FF4D79">
        <w:t>kaip tai numatyta Bendrųjų nuostatų reglamento 44 straipsnio 1 dalyje.</w:t>
      </w:r>
    </w:p>
  </w:footnote>
  <w:footnote w:id="186">
    <w:p w14:paraId="2D355F9B" w14:textId="77777777" w:rsidR="00133798" w:rsidRPr="005B31C6" w:rsidRDefault="00133798" w:rsidP="00AB5F7C">
      <w:pPr>
        <w:pStyle w:val="Puslapioinaostekstas"/>
        <w:rPr>
          <w:lang w:val="en-US"/>
        </w:rPr>
      </w:pPr>
      <w:r>
        <w:rPr>
          <w:rStyle w:val="Puslapioinaosnuoroda"/>
        </w:rPr>
        <w:footnoteRef/>
      </w:r>
      <w:r>
        <w:t xml:space="preserve"> </w:t>
      </w:r>
      <w:r>
        <w:rPr>
          <w:lang w:val="lt-LT"/>
        </w:rPr>
        <w:t>Šis atvejis yra tik vienas iš pavyzdžių, kuris atspindi asimetrinį rizikos pasidalijimą tarp investuotojo/finansuotojo ir viešųjų lėšų įnašo ir neriboja finansinės priemonės/fondų fondo valdytojoi ir(ar) ministerijų pasirinkimo kitokios modelio schemos taikymo.</w:t>
      </w:r>
    </w:p>
  </w:footnote>
  <w:footnote w:id="187">
    <w:p w14:paraId="7F533BA7" w14:textId="044C586A" w:rsidR="00133798" w:rsidRPr="007935A3" w:rsidRDefault="00133798">
      <w:pPr>
        <w:pStyle w:val="Puslapioinaostekstas"/>
        <w:rPr>
          <w:lang w:val="lt-LT"/>
        </w:rPr>
      </w:pPr>
      <w:r>
        <w:rPr>
          <w:rStyle w:val="Puslapioinaosnuoroda"/>
        </w:rPr>
        <w:footnoteRef/>
      </w:r>
      <w:r>
        <w:t xml:space="preserve"> </w:t>
      </w:r>
      <w:r w:rsidRPr="009F6112">
        <w:t>http://europa.eu/rapid/press-release_IP-16-2448_lt.htm</w:t>
      </w:r>
    </w:p>
  </w:footnote>
  <w:footnote w:id="188">
    <w:p w14:paraId="2FB9D4A6" w14:textId="77777777" w:rsidR="00133798" w:rsidRPr="00E67C77" w:rsidRDefault="00133798" w:rsidP="00AA7568">
      <w:pPr>
        <w:pStyle w:val="Puslapioinaostekstas"/>
        <w:rPr>
          <w:lang w:val="lt-LT"/>
        </w:rPr>
      </w:pPr>
      <w:r w:rsidRPr="00E67C77">
        <w:rPr>
          <w:rStyle w:val="Puslapioinaosnuoroda"/>
          <w:lang w:val="lt-LT"/>
        </w:rPr>
        <w:footnoteRef/>
      </w:r>
      <w:r w:rsidRPr="00E67C77">
        <w:rPr>
          <w:lang w:val="lt-LT"/>
        </w:rPr>
        <w:t xml:space="preserve"> </w:t>
      </w:r>
      <w:r w:rsidRPr="00E67C77">
        <w:rPr>
          <w:rFonts w:ascii="Calibri" w:eastAsia="Times New Roman" w:hAnsi="Calibri" w:cs="Arial"/>
          <w:color w:val="000000"/>
          <w:lang w:val="lt-LT" w:eastAsia="lt-LT"/>
        </w:rPr>
        <w:t>Tipinė centralizuoto aprūpinimo šiluma taršos faktoriaus reikšmė 0,2330 t CO2e/MWh</w:t>
      </w:r>
    </w:p>
  </w:footnote>
  <w:footnote w:id="189">
    <w:p w14:paraId="57EBCC08" w14:textId="77777777" w:rsidR="00133798" w:rsidRPr="005B31C6" w:rsidRDefault="00133798" w:rsidP="007552F3">
      <w:pPr>
        <w:pStyle w:val="Puslapioinaostekstas"/>
        <w:rPr>
          <w:lang w:val="lt-LT"/>
        </w:rPr>
      </w:pPr>
      <w:r>
        <w:rPr>
          <w:rStyle w:val="Puslapioinaosnuoroda"/>
        </w:rPr>
        <w:footnoteRef/>
      </w:r>
      <w:r>
        <w:t xml:space="preserve"> </w:t>
      </w:r>
      <w:r>
        <w:rPr>
          <w:lang w:val="en-US"/>
        </w:rPr>
        <w:t>Skaičiuojama proporcingai, atsižvelgiant kiek ESI lėšų pasiekia galutinius naudos gavėjus taikant pasirinktas alternatyvas</w:t>
      </w:r>
    </w:p>
  </w:footnote>
  <w:footnote w:id="190">
    <w:p w14:paraId="0BFF46A5" w14:textId="77777777" w:rsidR="00133798" w:rsidRPr="00B76111" w:rsidRDefault="00133798" w:rsidP="007552F3">
      <w:pPr>
        <w:pStyle w:val="Puslapioinaostekstas"/>
        <w:rPr>
          <w:lang w:val="lt-LT"/>
        </w:rPr>
      </w:pPr>
      <w:r w:rsidRPr="00E67C77">
        <w:rPr>
          <w:rStyle w:val="Puslapioinaosnuoroda"/>
          <w:lang w:val="lt-LT"/>
        </w:rPr>
        <w:footnoteRef/>
      </w:r>
      <w:r w:rsidRPr="00E67C77">
        <w:rPr>
          <w:lang w:val="lt-LT"/>
        </w:rPr>
        <w:t xml:space="preserve"> Bendrųjų nuostatų reglamento (ES) Nr. 1303/2013 (angliškosios versijos) 2 straipsnio (12) dalies galutinio naudos gavėjo apibrėžimas – „'final recipient' means a legal or natural person receiving financial support from a financial instrument;“</w:t>
      </w:r>
    </w:p>
  </w:footnote>
  <w:footnote w:id="191">
    <w:p w14:paraId="5B45E575" w14:textId="77777777" w:rsidR="00133798" w:rsidRPr="005B31C6" w:rsidRDefault="00133798" w:rsidP="007552F3">
      <w:pPr>
        <w:pStyle w:val="Puslapioinaostekstas"/>
        <w:rPr>
          <w:lang w:val="en-US"/>
        </w:rPr>
      </w:pPr>
      <w:r>
        <w:rPr>
          <w:rStyle w:val="Puslapioinaosnuoroda"/>
        </w:rPr>
        <w:footnoteRef/>
      </w:r>
      <w:r>
        <w:t xml:space="preserve"> </w:t>
      </w:r>
      <w:r>
        <w:rPr>
          <w:lang w:val="lt-LT"/>
        </w:rPr>
        <w:t xml:space="preserve">Bendrųjų nuostatų reglamento </w:t>
      </w:r>
      <w:r>
        <w:rPr>
          <w:lang w:val="en-US"/>
        </w:rPr>
        <w:t>44 straipsnio 1 dalis</w:t>
      </w:r>
    </w:p>
  </w:footnote>
  <w:footnote w:id="192">
    <w:p w14:paraId="23809837" w14:textId="77777777" w:rsidR="00133798" w:rsidRPr="00B76111" w:rsidRDefault="00133798" w:rsidP="007552F3">
      <w:pPr>
        <w:pStyle w:val="Puslapioinaostekstas"/>
        <w:spacing w:line="276" w:lineRule="auto"/>
        <w:jc w:val="both"/>
        <w:rPr>
          <w:szCs w:val="16"/>
          <w:lang w:val="lt-LT"/>
        </w:rPr>
      </w:pPr>
      <w:r w:rsidRPr="00E67C77">
        <w:rPr>
          <w:rStyle w:val="Puslapioinaosnuoroda"/>
          <w:szCs w:val="16"/>
          <w:lang w:val="lt-LT"/>
        </w:rPr>
        <w:footnoteRef/>
      </w:r>
      <w:r w:rsidRPr="00E67C77">
        <w:rPr>
          <w:szCs w:val="16"/>
          <w:lang w:val="lt-LT"/>
        </w:rPr>
        <w:t xml:space="preserve"> </w:t>
      </w:r>
      <w:r w:rsidRPr="00B76111">
        <w:rPr>
          <w:szCs w:val="16"/>
          <w:lang w:val="lt-LT"/>
        </w:rPr>
        <w:t xml:space="preserve">Kaip tai apibrėžta </w:t>
      </w:r>
      <w:r>
        <w:rPr>
          <w:szCs w:val="16"/>
          <w:lang w:val="lt-LT"/>
        </w:rPr>
        <w:t>Bendrųjų nuostatų reglamente</w:t>
      </w:r>
      <w:r w:rsidRPr="00B76111">
        <w:rPr>
          <w:szCs w:val="16"/>
          <w:lang w:val="lt-LT"/>
        </w:rPr>
        <w:t xml:space="preserve">. </w:t>
      </w:r>
    </w:p>
  </w:footnote>
  <w:footnote w:id="193">
    <w:p w14:paraId="175C403D" w14:textId="77777777" w:rsidR="00133798" w:rsidRPr="005B31C6" w:rsidRDefault="00133798" w:rsidP="007552F3">
      <w:pPr>
        <w:pStyle w:val="Puslapioinaostekstas"/>
        <w:rPr>
          <w:lang w:val="lt-LT"/>
        </w:rPr>
      </w:pPr>
      <w:r>
        <w:rPr>
          <w:rStyle w:val="Puslapioinaosnuoroda"/>
        </w:rPr>
        <w:footnoteRef/>
      </w:r>
      <w:r>
        <w:t xml:space="preserve"> </w:t>
      </w:r>
      <w:r>
        <w:rPr>
          <w:lang w:val="lt-LT"/>
        </w:rPr>
        <w:t xml:space="preserve">Pastebėta </w:t>
      </w:r>
      <w:r>
        <w:rPr>
          <w:lang w:val="en-US"/>
        </w:rPr>
        <w:t>2017 m. gruod</w:t>
      </w:r>
      <w:r>
        <w:rPr>
          <w:lang w:val="lt-LT"/>
        </w:rPr>
        <w:t xml:space="preserve">žio </w:t>
      </w:r>
      <w:r>
        <w:rPr>
          <w:lang w:val="en-US"/>
        </w:rPr>
        <w:t>7 d. interviu su Sveikatos apsaugos ministerijai priklausančių pastat</w:t>
      </w:r>
      <w:r>
        <w:rPr>
          <w:lang w:val="lt-LT"/>
        </w:rPr>
        <w:t xml:space="preserve">ų valdytojais </w:t>
      </w:r>
    </w:p>
  </w:footnote>
  <w:footnote w:id="194">
    <w:p w14:paraId="491917DC" w14:textId="77777777" w:rsidR="00133798" w:rsidRPr="00BC6B82" w:rsidRDefault="00133798" w:rsidP="007552F3">
      <w:pPr>
        <w:pStyle w:val="Puslapioinaostekstas"/>
        <w:rPr>
          <w:lang w:val="lt-LT"/>
        </w:rPr>
      </w:pPr>
      <w:r>
        <w:rPr>
          <w:rStyle w:val="Puslapioinaosnuoroda"/>
        </w:rPr>
        <w:footnoteRef/>
      </w:r>
      <w:r>
        <w:t xml:space="preserve"> European Commission on </w:t>
      </w:r>
      <w:r>
        <w:rPr>
          <w:lang w:val="lt-LT"/>
        </w:rPr>
        <w:t>„Guidance for Memeber States on CPR_</w:t>
      </w:r>
      <w:r>
        <w:rPr>
          <w:lang w:val="en-US"/>
        </w:rPr>
        <w:t>37_7_8_9</w:t>
      </w:r>
      <w:r>
        <w:rPr>
          <w:lang w:val="lt-LT"/>
        </w:rPr>
        <w:t xml:space="preserve"> Combination of support from a financial instrument with other forms of support“</w:t>
      </w:r>
    </w:p>
  </w:footnote>
  <w:footnote w:id="195">
    <w:p w14:paraId="62B5397F" w14:textId="77777777" w:rsidR="00133798" w:rsidRPr="0023783F" w:rsidRDefault="00133798" w:rsidP="007552F3">
      <w:pPr>
        <w:pStyle w:val="Puslapioinaostekstas"/>
        <w:rPr>
          <w:lang w:val="lt-LT"/>
        </w:rPr>
      </w:pPr>
      <w:r>
        <w:rPr>
          <w:rStyle w:val="Puslapioinaosnuoroda"/>
        </w:rPr>
        <w:footnoteRef/>
      </w:r>
      <w:r>
        <w:t xml:space="preserve"> </w:t>
      </w:r>
      <w:r w:rsidRPr="0023783F">
        <w:t>http://eur-lex.europa.eu/legal-content/LT/TXT/HTML/?uri=CELEX:32014R0651&amp;from=EN</w:t>
      </w:r>
    </w:p>
  </w:footnote>
  <w:footnote w:id="196">
    <w:p w14:paraId="5D6BB086" w14:textId="77777777" w:rsidR="00133798" w:rsidRPr="005B31C6" w:rsidRDefault="00133798" w:rsidP="007552F3">
      <w:pPr>
        <w:pStyle w:val="Puslapioinaostekstas"/>
        <w:rPr>
          <w:lang w:val="en-US"/>
        </w:rPr>
      </w:pPr>
      <w:r>
        <w:rPr>
          <w:rStyle w:val="Puslapioinaosnuoroda"/>
        </w:rPr>
        <w:footnoteRef/>
      </w:r>
      <w:r>
        <w:t xml:space="preserve"> </w:t>
      </w:r>
      <w:r>
        <w:rPr>
          <w:lang w:val="lt-LT"/>
        </w:rPr>
        <w:t>Šis atvejis yra tik vienas iš pavyzdžių, kuris atspindi asimetrinį rizikos pasidalijimą tarp investuotojo/finansuotojo ir viešųjų lėšų įnašo ir neriboja finansinės priemonės/fondų fondo valdytojoi ir(ar) ministerijų pasirinkimo kitokios modelio schemos taikymo.</w:t>
      </w:r>
    </w:p>
  </w:footnote>
  <w:footnote w:id="197">
    <w:p w14:paraId="075FFA65" w14:textId="77777777" w:rsidR="00133798" w:rsidRPr="005B31C6" w:rsidRDefault="00133798" w:rsidP="007552F3">
      <w:pPr>
        <w:pStyle w:val="Puslapioinaostekstas"/>
        <w:rPr>
          <w:lang w:val="en-US"/>
        </w:rPr>
      </w:pPr>
      <w:r>
        <w:rPr>
          <w:rStyle w:val="Puslapioinaosnuoroda"/>
        </w:rPr>
        <w:footnoteRef/>
      </w:r>
      <w:r>
        <w:t xml:space="preserve"> </w:t>
      </w:r>
      <w:r>
        <w:rPr>
          <w:lang w:val="lt-LT"/>
        </w:rPr>
        <w:t>Šis atvejis yra tik vienas iš pavyzdžių, kuris atspindi reikalavimo teisių į piniginius srautus perdavimą už atlyg tokiu būdu užtikrinant greitesnį lėšų gražinimą ir neriboja finansinės priemonės/fondų fondo valdytojoi ir(ar) ministerijų pasirinkimo kitokios modelio schemos taikymo (pvz. atskirų paskolų pardavimo, reikalavimų vertimų vertybiniais popieriais ir pan.).</w:t>
      </w:r>
    </w:p>
  </w:footnote>
  <w:footnote w:id="198">
    <w:p w14:paraId="0815B5E2" w14:textId="77777777" w:rsidR="00133798" w:rsidRPr="00EE34B0" w:rsidRDefault="00133798" w:rsidP="007552F3">
      <w:pPr>
        <w:pStyle w:val="Puslapioinaostekstas"/>
        <w:rPr>
          <w:lang w:val="en-US"/>
        </w:rPr>
      </w:pPr>
      <w:r w:rsidRPr="00B76111">
        <w:rPr>
          <w:rStyle w:val="Puslapioinaosnuoroda"/>
          <w:lang w:val="lt-LT"/>
        </w:rPr>
        <w:footnoteRef/>
      </w:r>
      <w:r w:rsidRPr="00B76111">
        <w:rPr>
          <w:lang w:val="lt-LT"/>
        </w:rPr>
        <w:t xml:space="preserve"> </w:t>
      </w:r>
      <w:r w:rsidRPr="00EE34B0">
        <w:rPr>
          <w:lang w:val="en-US"/>
        </w:rPr>
        <w:t>Tipinė centralizuoto aprūpinimo šiluma taršos faktoriaus reikšmė 0,2330 t CO2e/MWh</w:t>
      </w:r>
    </w:p>
  </w:footnote>
  <w:footnote w:id="199">
    <w:p w14:paraId="43EF53A0" w14:textId="77777777" w:rsidR="00133798" w:rsidRPr="005B31C6" w:rsidRDefault="00133798" w:rsidP="007552F3">
      <w:pPr>
        <w:pStyle w:val="Puslapioinaostekstas"/>
        <w:rPr>
          <w:lang w:val="lt-LT"/>
        </w:rPr>
      </w:pPr>
      <w:r>
        <w:rPr>
          <w:rStyle w:val="Puslapioinaosnuoroda"/>
        </w:rPr>
        <w:footnoteRef/>
      </w:r>
      <w:r>
        <w:t xml:space="preserve"> </w:t>
      </w:r>
      <w:r>
        <w:rPr>
          <w:lang w:val="en-US"/>
        </w:rPr>
        <w:t>Remiantis Vilniaus miesto gatvi</w:t>
      </w:r>
      <w:r>
        <w:rPr>
          <w:lang w:val="lt-LT"/>
        </w:rPr>
        <w:t xml:space="preserve">ų apšvietimo projekto planu, renovavus </w:t>
      </w:r>
      <w:r>
        <w:rPr>
          <w:lang w:val="en-US"/>
        </w:rPr>
        <w:t xml:space="preserve">40,605 </w:t>
      </w:r>
      <w:r>
        <w:rPr>
          <w:lang w:val="lt-LT"/>
        </w:rPr>
        <w:t xml:space="preserve">šviestuvus tikimasi sutaupyti </w:t>
      </w:r>
      <w:r>
        <w:rPr>
          <w:lang w:val="en-US"/>
        </w:rPr>
        <w:t>11.420.945 kWh per metus. Tod</w:t>
      </w:r>
      <w:r>
        <w:rPr>
          <w:lang w:val="lt-LT"/>
        </w:rPr>
        <w:t xml:space="preserve">ėl vienas renovuotas šviestuvas padės sutaupyti per </w:t>
      </w:r>
      <w:r>
        <w:rPr>
          <w:lang w:val="en-US"/>
        </w:rPr>
        <w:t>2018-2023 met</w:t>
      </w:r>
      <w:r>
        <w:rPr>
          <w:lang w:val="lt-LT"/>
        </w:rPr>
        <w:t xml:space="preserve">ų periodą </w:t>
      </w:r>
      <w:r>
        <w:rPr>
          <w:lang w:val="en-US"/>
        </w:rPr>
        <w:t xml:space="preserve">1688 kWh, o 61.245 </w:t>
      </w:r>
      <w:r>
        <w:rPr>
          <w:lang w:val="lt-LT"/>
        </w:rPr>
        <w:t xml:space="preserve">šviestuvų – 103.382 MWh  </w:t>
      </w:r>
    </w:p>
  </w:footnote>
  <w:footnote w:id="200">
    <w:p w14:paraId="52681ECE" w14:textId="77777777" w:rsidR="00133798" w:rsidRPr="00B76111" w:rsidRDefault="00133798" w:rsidP="0006117A">
      <w:pPr>
        <w:pStyle w:val="Puslapioinaostekstas"/>
        <w:rPr>
          <w:lang w:val="lt-LT"/>
        </w:rPr>
      </w:pPr>
      <w:r w:rsidRPr="00E67C77">
        <w:rPr>
          <w:rStyle w:val="Puslapioinaosnuoroda"/>
          <w:lang w:val="lt-LT"/>
        </w:rPr>
        <w:footnoteRef/>
      </w:r>
      <w:r w:rsidRPr="00E67C77">
        <w:rPr>
          <w:lang w:val="lt-LT"/>
        </w:rPr>
        <w:t xml:space="preserve"> Bendrųjų nuostatų reglamento (ES) Nr. 1303/2013 (angliškosios versijos) 2 straipsnio (12) dalies galutinio naudos gavėjo apibrėžimas – „'final recipient' means a legal or natural person receiving financial support from a financial instrument;“</w:t>
      </w:r>
    </w:p>
  </w:footnote>
  <w:footnote w:id="201">
    <w:p w14:paraId="7F72B6F3" w14:textId="77777777" w:rsidR="00133798" w:rsidRPr="00B76111" w:rsidRDefault="00133798" w:rsidP="0006117A">
      <w:pPr>
        <w:pStyle w:val="Puslapioinaostekstas"/>
        <w:spacing w:line="276" w:lineRule="auto"/>
        <w:jc w:val="both"/>
        <w:rPr>
          <w:szCs w:val="16"/>
          <w:lang w:val="lt-LT"/>
        </w:rPr>
      </w:pPr>
      <w:r w:rsidRPr="00E67C77">
        <w:rPr>
          <w:rStyle w:val="Puslapioinaosnuoroda"/>
          <w:szCs w:val="16"/>
          <w:lang w:val="lt-LT"/>
        </w:rPr>
        <w:footnoteRef/>
      </w:r>
      <w:r w:rsidRPr="00E67C77">
        <w:rPr>
          <w:szCs w:val="16"/>
          <w:lang w:val="lt-LT"/>
        </w:rPr>
        <w:t xml:space="preserve"> </w:t>
      </w:r>
      <w:r w:rsidRPr="00B76111">
        <w:rPr>
          <w:szCs w:val="16"/>
          <w:lang w:val="lt-LT"/>
        </w:rPr>
        <w:t xml:space="preserve">Kaip tai apibrėžta </w:t>
      </w:r>
      <w:r>
        <w:rPr>
          <w:szCs w:val="16"/>
          <w:lang w:val="lt-LT"/>
        </w:rPr>
        <w:t>Bendrųjų nuostatų reglamente</w:t>
      </w:r>
      <w:r w:rsidRPr="00B76111">
        <w:rPr>
          <w:szCs w:val="16"/>
          <w:lang w:val="lt-LT"/>
        </w:rPr>
        <w:t xml:space="preserve">. </w:t>
      </w:r>
    </w:p>
  </w:footnote>
  <w:footnote w:id="202">
    <w:p w14:paraId="6EE17A9E" w14:textId="77777777" w:rsidR="00133798" w:rsidRPr="002A2E90" w:rsidRDefault="00133798" w:rsidP="0006117A">
      <w:pPr>
        <w:pStyle w:val="Puslapioinaostekstas"/>
        <w:rPr>
          <w:lang w:val="lt-LT"/>
        </w:rPr>
      </w:pPr>
      <w:r>
        <w:rPr>
          <w:rStyle w:val="Puslapioinaosnuoroda"/>
        </w:rPr>
        <w:footnoteRef/>
      </w:r>
      <w:r>
        <w:t xml:space="preserve"> </w:t>
      </w:r>
      <w:r w:rsidRPr="001B1505">
        <w:t>pvz. rizikos pasidalijimo fondas, paskolų išpirkimo fondas ir pan.</w:t>
      </w:r>
    </w:p>
  </w:footnote>
  <w:footnote w:id="203">
    <w:p w14:paraId="5B29E06E" w14:textId="77777777" w:rsidR="00133798" w:rsidRPr="005B31C6" w:rsidRDefault="00133798" w:rsidP="0006117A">
      <w:pPr>
        <w:pStyle w:val="Puslapioinaostekstas"/>
        <w:rPr>
          <w:lang w:val="en-US"/>
        </w:rPr>
      </w:pPr>
      <w:r>
        <w:rPr>
          <w:rStyle w:val="Puslapioinaosnuoroda"/>
        </w:rPr>
        <w:footnoteRef/>
      </w:r>
      <w:r>
        <w:t xml:space="preserve"> </w:t>
      </w:r>
      <w:r>
        <w:rPr>
          <w:lang w:val="lt-LT"/>
        </w:rPr>
        <w:t>Šis atvejis yra tik vienas iš pavyzdžių, kuris atspindi asimetrinį rizikos pasidalijimą tarp investuotojo/finansuotojo ir viešųjų lėšų įnašo ir neriboja finansinės priemonės/fondų fondo valdytojo ir(ar) ministerijų pasirinkimo kitokios modelio schemos taikymo.</w:t>
      </w:r>
    </w:p>
  </w:footnote>
  <w:footnote w:id="204">
    <w:p w14:paraId="7093BE7D" w14:textId="77777777" w:rsidR="00133798" w:rsidRPr="00FB240F" w:rsidRDefault="00133798" w:rsidP="0006117A">
      <w:pPr>
        <w:pStyle w:val="Puslapioinaostekstas"/>
        <w:rPr>
          <w:lang w:val="lt-LT"/>
        </w:rPr>
      </w:pPr>
      <w:r w:rsidRPr="00B76111">
        <w:rPr>
          <w:rStyle w:val="Puslapioinaosnuoroda"/>
          <w:lang w:val="lt-LT"/>
        </w:rPr>
        <w:footnoteRef/>
      </w:r>
      <w:r w:rsidRPr="00B76111">
        <w:rPr>
          <w:lang w:val="lt-LT"/>
        </w:rPr>
        <w:t xml:space="preserve"> </w:t>
      </w:r>
      <w:r w:rsidRPr="001554CF">
        <w:rPr>
          <w:rFonts w:eastAsia="Times New Roman" w:cs="Arial"/>
          <w:color w:val="000000"/>
          <w:lang w:val="lt-LT" w:eastAsia="lt-LT"/>
        </w:rPr>
        <w:t>Tipinė centralizuoto aprūpinimo šilu</w:t>
      </w:r>
      <w:r w:rsidRPr="00FB240F">
        <w:rPr>
          <w:rFonts w:eastAsia="Times New Roman" w:cs="Arial"/>
          <w:color w:val="000000"/>
          <w:lang w:val="lt-LT" w:eastAsia="lt-LT"/>
        </w:rPr>
        <w:t>ma taršos faktoriaus reikšmė 0,2330 t CO2e/MWh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20B1" w14:textId="77777777" w:rsidR="00133798" w:rsidRDefault="00133798">
    <w:pPr>
      <w:pStyle w:val="Antrats"/>
    </w:pPr>
    <w:r w:rsidRPr="003D1E6F">
      <w:rPr>
        <w:noProof/>
        <w:color w:val="FFFFFF" w:themeColor="background1"/>
        <w:lang w:val="lt-LT" w:eastAsia="lt-LT"/>
      </w:rPr>
      <mc:AlternateContent>
        <mc:Choice Requires="wps">
          <w:drawing>
            <wp:anchor distT="0" distB="0" distL="114300" distR="114300" simplePos="0" relativeHeight="251659264" behindDoc="0" locked="0" layoutInCell="0" allowOverlap="1" wp14:anchorId="7F7B68C3" wp14:editId="3C6F0C48">
              <wp:simplePos x="0" y="0"/>
              <wp:positionH relativeFrom="margin">
                <wp:align>left</wp:align>
              </wp:positionH>
              <wp:positionV relativeFrom="topMargin">
                <wp:align>center</wp:align>
              </wp:positionV>
              <wp:extent cx="5943600" cy="170815"/>
              <wp:effectExtent l="0" t="0" r="0" b="1905"/>
              <wp:wrapNone/>
              <wp:docPr id="473"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E76D" w14:textId="1B1C5DB4" w:rsidR="00133798" w:rsidRPr="003D1E6F" w:rsidRDefault="00133798">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73 teksto laukas" o:spid="_x0000_s1210" type="#_x0000_t202" style="position:absolute;margin-left:0;margin-top:0;width:468pt;height:13.45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3IDImbACAACkBQAADgAAAAAA&#10;AAAAAAAAAAAuAgAAZHJzL2Uyb0RvYy54bWxQSwECLQAUAAYACAAAACEAXMz1P9sAAAAEAQAADwAA&#10;AAAAAAAAAAAAAAAKBQAAZHJzL2Rvd25yZXYueG1sUEsFBgAAAAAEAAQA8wAAABIGAAAAAA==&#10;" o:allowincell="f" filled="f" stroked="f">
              <v:textbox style="mso-fit-shape-to-text:t" inset=",0,,0">
                <w:txbxContent>
                  <w:p w14:paraId="79AAE76D" w14:textId="1B1C5DB4" w:rsidR="00133798" w:rsidRPr="003D1E6F" w:rsidRDefault="00133798">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p>
                </w:txbxContent>
              </v:textbox>
              <w10:wrap anchorx="margin" anchory="margin"/>
            </v:shape>
          </w:pict>
        </mc:Fallback>
      </mc:AlternateContent>
    </w:r>
    <w:r w:rsidRPr="003D1E6F">
      <w:rPr>
        <w:noProof/>
        <w:color w:val="FFFFFF" w:themeColor="background1"/>
        <w:lang w:val="lt-LT" w:eastAsia="lt-LT"/>
      </w:rPr>
      <mc:AlternateContent>
        <mc:Choice Requires="wps">
          <w:drawing>
            <wp:anchor distT="0" distB="0" distL="114300" distR="114300" simplePos="0" relativeHeight="251657216" behindDoc="0" locked="0" layoutInCell="0" allowOverlap="1" wp14:anchorId="0B370159" wp14:editId="583B68FB">
              <wp:simplePos x="0" y="0"/>
              <wp:positionH relativeFrom="page">
                <wp:align>left</wp:align>
              </wp:positionH>
              <wp:positionV relativeFrom="topMargin">
                <wp:align>center</wp:align>
              </wp:positionV>
              <wp:extent cx="914400" cy="170815"/>
              <wp:effectExtent l="0" t="0" r="0" b="0"/>
              <wp:wrapNone/>
              <wp:docPr id="474"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5C260A7A" w14:textId="7E16418B" w:rsidR="00133798" w:rsidRDefault="00133798">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E75FE" w:rsidRPr="00CE75FE">
                            <w:rPr>
                              <w:noProof/>
                              <w:color w:val="FFFFFF" w:themeColor="background1"/>
                              <w:lang w:val="lt-LT"/>
                              <w14:numForm w14:val="lining"/>
                            </w:rPr>
                            <w:t>5</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474 teksto laukas" o:spid="_x0000_s1211"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A9roUJBAIAAO4DAAAOAAAAAAAA&#10;AAAAAAAAAC4CAABkcnMvZTJvRG9jLnhtbFBLAQItABQABgAIAAAAIQA0aYEL2wAAAAQBAAAPAAAA&#10;AAAAAAAAAAAAAF4EAABkcnMvZG93bnJldi54bWxQSwUGAAAAAAQABADzAAAAZgUAAAAA&#10;" o:allowincell="f" fillcolor="#4f81bd [3204]" stroked="f">
              <v:textbox style="mso-fit-shape-to-text:t" inset=",0,,0">
                <w:txbxContent>
                  <w:p w14:paraId="5C260A7A" w14:textId="7E16418B" w:rsidR="00133798" w:rsidRDefault="00133798">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E75FE" w:rsidRPr="00CE75FE">
                      <w:rPr>
                        <w:noProof/>
                        <w:color w:val="FFFFFF" w:themeColor="background1"/>
                        <w:lang w:val="lt-LT"/>
                        <w14:numForm w14:val="lining"/>
                      </w:rPr>
                      <w:t>5</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C0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A43587"/>
    <w:multiLevelType w:val="hybridMultilevel"/>
    <w:tmpl w:val="4ED2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61D15"/>
    <w:multiLevelType w:val="hybridMultilevel"/>
    <w:tmpl w:val="7F2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662B3A"/>
    <w:multiLevelType w:val="hybridMultilevel"/>
    <w:tmpl w:val="154689D2"/>
    <w:lvl w:ilvl="0" w:tplc="0D88879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995D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061847"/>
    <w:multiLevelType w:val="hybridMultilevel"/>
    <w:tmpl w:val="00FAE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C5B1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2936B6"/>
    <w:multiLevelType w:val="hybridMultilevel"/>
    <w:tmpl w:val="475E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AC3D5F"/>
    <w:multiLevelType w:val="hybridMultilevel"/>
    <w:tmpl w:val="3082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157D21"/>
    <w:multiLevelType w:val="multilevel"/>
    <w:tmpl w:val="ED2C6E5A"/>
    <w:lvl w:ilvl="0">
      <w:start w:val="1"/>
      <w:numFmt w:val="decimal"/>
      <w:lvlText w:val="%1."/>
      <w:lvlJc w:val="left"/>
      <w:pPr>
        <w:ind w:left="720" w:hanging="360"/>
      </w:pPr>
      <w:rPr>
        <w:rFonts w:cs="Arial"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A576E42"/>
    <w:multiLevelType w:val="hybridMultilevel"/>
    <w:tmpl w:val="4DAC5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2C482D"/>
    <w:multiLevelType w:val="hybridMultilevel"/>
    <w:tmpl w:val="49B03DB0"/>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2">
    <w:nsid w:val="0B963D6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C5411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CF13760"/>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0204592"/>
    <w:multiLevelType w:val="hybridMultilevel"/>
    <w:tmpl w:val="70F6E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327C49"/>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
    <w:nsid w:val="10E96A6F"/>
    <w:multiLevelType w:val="hybridMultilevel"/>
    <w:tmpl w:val="F644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55068B"/>
    <w:multiLevelType w:val="hybridMultilevel"/>
    <w:tmpl w:val="762C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F47590"/>
    <w:multiLevelType w:val="hybridMultilevel"/>
    <w:tmpl w:val="83BE7826"/>
    <w:lvl w:ilvl="0" w:tplc="DBF27E5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CC3EFF"/>
    <w:multiLevelType w:val="hybridMultilevel"/>
    <w:tmpl w:val="EEE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5250CC"/>
    <w:multiLevelType w:val="hybridMultilevel"/>
    <w:tmpl w:val="F1A4E888"/>
    <w:lvl w:ilvl="0" w:tplc="BEE634A4">
      <w:start w:val="2"/>
      <w:numFmt w:val="bullet"/>
      <w:lvlText w:val="-"/>
      <w:lvlJc w:val="left"/>
      <w:pPr>
        <w:ind w:left="720" w:hanging="360"/>
      </w:pPr>
      <w:rPr>
        <w:rFonts w:ascii="Georgia" w:eastAsiaTheme="minorHAnsi" w:hAnsi="Georgia" w:cs="Georgia"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75B2709"/>
    <w:multiLevelType w:val="hybridMultilevel"/>
    <w:tmpl w:val="8DE04D4A"/>
    <w:lvl w:ilvl="0" w:tplc="55E8FCBE">
      <w:start w:val="10"/>
      <w:numFmt w:val="bullet"/>
      <w:lvlText w:val="-"/>
      <w:lvlJc w:val="left"/>
      <w:pPr>
        <w:ind w:left="720" w:hanging="360"/>
      </w:pPr>
      <w:rPr>
        <w:rFonts w:ascii="Georgia" w:eastAsia="Calibri" w:hAnsi="Georg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8150174"/>
    <w:multiLevelType w:val="hybridMultilevel"/>
    <w:tmpl w:val="FC3E6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F23282"/>
    <w:multiLevelType w:val="multilevel"/>
    <w:tmpl w:val="E84AE47A"/>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199806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A3E638F"/>
    <w:multiLevelType w:val="hybridMultilevel"/>
    <w:tmpl w:val="41B8B504"/>
    <w:lvl w:ilvl="0" w:tplc="0427001B">
      <w:start w:val="1"/>
      <w:numFmt w:val="lowerRoman"/>
      <w:lvlText w:val="%1."/>
      <w:lvlJc w:val="right"/>
      <w:pPr>
        <w:ind w:left="1080" w:hanging="360"/>
      </w:pPr>
    </w:lvl>
    <w:lvl w:ilvl="1" w:tplc="0427001B">
      <w:start w:val="1"/>
      <w:numFmt w:val="lowerRoman"/>
      <w:lvlText w:val="%2."/>
      <w:lvlJc w:val="righ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1C07025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CC206BB"/>
    <w:multiLevelType w:val="hybridMultilevel"/>
    <w:tmpl w:val="418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366550"/>
    <w:multiLevelType w:val="hybridMultilevel"/>
    <w:tmpl w:val="DA162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C25710"/>
    <w:multiLevelType w:val="hybridMultilevel"/>
    <w:tmpl w:val="2E92E4BA"/>
    <w:lvl w:ilvl="0" w:tplc="DE108816">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1">
    <w:nsid w:val="1F2868CB"/>
    <w:multiLevelType w:val="multilevel"/>
    <w:tmpl w:val="56C2A8E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12" w:hanging="612"/>
      </w:pPr>
      <w:rPr>
        <w:rFonts w:hint="default"/>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32">
    <w:nsid w:val="1F4B2ABD"/>
    <w:multiLevelType w:val="hybridMultilevel"/>
    <w:tmpl w:val="9A74BFD8"/>
    <w:lvl w:ilvl="0" w:tplc="6404476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211A80"/>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63796B"/>
    <w:multiLevelType w:val="hybridMultilevel"/>
    <w:tmpl w:val="90EC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25B3F0B"/>
    <w:multiLevelType w:val="hybridMultilevel"/>
    <w:tmpl w:val="88A6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856F0F"/>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3177412"/>
    <w:multiLevelType w:val="hybridMultilevel"/>
    <w:tmpl w:val="62D2A9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C4597E"/>
    <w:multiLevelType w:val="hybridMultilevel"/>
    <w:tmpl w:val="97261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BC0165"/>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0">
    <w:nsid w:val="25887F80"/>
    <w:multiLevelType w:val="hybridMultilevel"/>
    <w:tmpl w:val="6F3C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274B53"/>
    <w:multiLevelType w:val="hybridMultilevel"/>
    <w:tmpl w:val="487075AC"/>
    <w:lvl w:ilvl="0" w:tplc="714257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86D23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9654F5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9C23686"/>
    <w:multiLevelType w:val="hybridMultilevel"/>
    <w:tmpl w:val="CB3A0F00"/>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45">
    <w:nsid w:val="29FD190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A0B1113"/>
    <w:multiLevelType w:val="hybridMultilevel"/>
    <w:tmpl w:val="4DB695AC"/>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47">
    <w:nsid w:val="2A46041A"/>
    <w:multiLevelType w:val="multilevel"/>
    <w:tmpl w:val="ED5C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9E1360"/>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D392C06"/>
    <w:multiLevelType w:val="multilevel"/>
    <w:tmpl w:val="24B4770C"/>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2D5305F0"/>
    <w:multiLevelType w:val="hybridMultilevel"/>
    <w:tmpl w:val="70B2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F5A53A1"/>
    <w:multiLevelType w:val="hybridMultilevel"/>
    <w:tmpl w:val="8160B3D4"/>
    <w:lvl w:ilvl="0" w:tplc="3E48DA20">
      <w:start w:val="4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FC312EA"/>
    <w:multiLevelType w:val="hybridMultilevel"/>
    <w:tmpl w:val="B544914A"/>
    <w:lvl w:ilvl="0" w:tplc="0409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3">
    <w:nsid w:val="31B470E3"/>
    <w:multiLevelType w:val="hybridMultilevel"/>
    <w:tmpl w:val="139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28F428F"/>
    <w:multiLevelType w:val="hybridMultilevel"/>
    <w:tmpl w:val="6FEA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3213982"/>
    <w:multiLevelType w:val="multilevel"/>
    <w:tmpl w:val="B9326C8E"/>
    <w:lvl w:ilvl="0">
      <w:start w:val="8"/>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56">
    <w:nsid w:val="335B5F0F"/>
    <w:multiLevelType w:val="hybridMultilevel"/>
    <w:tmpl w:val="1F80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8D3093"/>
    <w:multiLevelType w:val="hybridMultilevel"/>
    <w:tmpl w:val="673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4C06749"/>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35A376BF"/>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25581C"/>
    <w:multiLevelType w:val="hybridMultilevel"/>
    <w:tmpl w:val="03BA4488"/>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86560B"/>
    <w:multiLevelType w:val="hybridMultilevel"/>
    <w:tmpl w:val="9A6210EA"/>
    <w:lvl w:ilvl="0" w:tplc="984865EC">
      <w:start w:val="2014"/>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nsid w:val="37A85A42"/>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37C71506"/>
    <w:multiLevelType w:val="hybridMultilevel"/>
    <w:tmpl w:val="1A127868"/>
    <w:lvl w:ilvl="0" w:tplc="2D68520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4">
    <w:nsid w:val="37E5091F"/>
    <w:multiLevelType w:val="hybridMultilevel"/>
    <w:tmpl w:val="9320BF46"/>
    <w:lvl w:ilvl="0" w:tplc="9A1E0E24">
      <w:start w:val="1"/>
      <w:numFmt w:val="lowerLetter"/>
      <w:lvlText w:val="%1)"/>
      <w:lvlJc w:val="left"/>
      <w:pPr>
        <w:ind w:left="644" w:hanging="360"/>
      </w:pPr>
      <w:rPr>
        <w:rFonts w:hint="default"/>
      </w:rPr>
    </w:lvl>
    <w:lvl w:ilvl="1" w:tplc="0427001B">
      <w:start w:val="1"/>
      <w:numFmt w:val="lowerRoman"/>
      <w:lvlText w:val="%2."/>
      <w:lvlJc w:val="righ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5">
    <w:nsid w:val="387F2BEE"/>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nsid w:val="39D840F0"/>
    <w:multiLevelType w:val="hybridMultilevel"/>
    <w:tmpl w:val="FBB6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9776F9"/>
    <w:multiLevelType w:val="hybridMultilevel"/>
    <w:tmpl w:val="1B88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BBC60AC"/>
    <w:multiLevelType w:val="hybridMultilevel"/>
    <w:tmpl w:val="02F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BEE5112"/>
    <w:multiLevelType w:val="hybridMultilevel"/>
    <w:tmpl w:val="D056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1D5A33"/>
    <w:multiLevelType w:val="multilevel"/>
    <w:tmpl w:val="73CA86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3E3110C2"/>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72">
    <w:nsid w:val="3F5A19BE"/>
    <w:multiLevelType w:val="hybridMultilevel"/>
    <w:tmpl w:val="96C46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F8F17F9"/>
    <w:multiLevelType w:val="hybridMultilevel"/>
    <w:tmpl w:val="374497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3FC52DD7"/>
    <w:multiLevelType w:val="hybridMultilevel"/>
    <w:tmpl w:val="B12EA78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404549BA"/>
    <w:multiLevelType w:val="hybridMultilevel"/>
    <w:tmpl w:val="642E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04A24B3"/>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1050C88"/>
    <w:multiLevelType w:val="hybridMultilevel"/>
    <w:tmpl w:val="A5EA8640"/>
    <w:lvl w:ilvl="0" w:tplc="04270019">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nsid w:val="42296AF7"/>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2AA2BA8"/>
    <w:multiLevelType w:val="hybridMultilevel"/>
    <w:tmpl w:val="1036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3997C06"/>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81">
    <w:nsid w:val="43CE6EF8"/>
    <w:multiLevelType w:val="hybridMultilevel"/>
    <w:tmpl w:val="D03A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440249BC"/>
    <w:multiLevelType w:val="hybridMultilevel"/>
    <w:tmpl w:val="D5328EF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3">
    <w:nsid w:val="448730FA"/>
    <w:multiLevelType w:val="hybridMultilevel"/>
    <w:tmpl w:val="17C43D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B462B6"/>
    <w:multiLevelType w:val="hybridMultilevel"/>
    <w:tmpl w:val="66CC40CE"/>
    <w:lvl w:ilvl="0" w:tplc="313C56E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nsid w:val="44D67979"/>
    <w:multiLevelType w:val="multilevel"/>
    <w:tmpl w:val="15DE2490"/>
    <w:lvl w:ilvl="0">
      <w:start w:val="2"/>
      <w:numFmt w:val="decimal"/>
      <w:lvlText w:val="%1."/>
      <w:lvlJc w:val="left"/>
      <w:pPr>
        <w:ind w:left="720" w:hanging="360"/>
      </w:pPr>
      <w:rPr>
        <w:rFonts w:cs="Arial" w:hint="default"/>
        <w:color w:val="000000"/>
      </w:r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44DC7321"/>
    <w:multiLevelType w:val="hybridMultilevel"/>
    <w:tmpl w:val="E570A2F4"/>
    <w:lvl w:ilvl="0" w:tplc="0054E77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4DC79D9"/>
    <w:multiLevelType w:val="multilevel"/>
    <w:tmpl w:val="957AFAB6"/>
    <w:lvl w:ilvl="0">
      <w:start w:val="2"/>
      <w:numFmt w:val="decimal"/>
      <w:lvlText w:val="%1."/>
      <w:lvlJc w:val="left"/>
      <w:pPr>
        <w:ind w:left="720" w:hanging="360"/>
      </w:pPr>
      <w:rPr>
        <w:rFonts w:cs="Arial" w:hint="default"/>
        <w:b/>
        <w:color w:val="821A1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45580738"/>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89">
    <w:nsid w:val="4875756C"/>
    <w:multiLevelType w:val="hybridMultilevel"/>
    <w:tmpl w:val="60C83BFE"/>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96A20F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49806990"/>
    <w:multiLevelType w:val="hybridMultilevel"/>
    <w:tmpl w:val="FD84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D3694B"/>
    <w:multiLevelType w:val="hybridMultilevel"/>
    <w:tmpl w:val="43B0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F178C3"/>
    <w:multiLevelType w:val="hybridMultilevel"/>
    <w:tmpl w:val="2F58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3C1421"/>
    <w:multiLevelType w:val="hybridMultilevel"/>
    <w:tmpl w:val="CC0C6D3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5">
    <w:nsid w:val="4AC77E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B4D054B"/>
    <w:multiLevelType w:val="hybridMultilevel"/>
    <w:tmpl w:val="A1F6D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07D1EEA"/>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8">
    <w:nsid w:val="50B60D28"/>
    <w:multiLevelType w:val="hybridMultilevel"/>
    <w:tmpl w:val="E31E8908"/>
    <w:lvl w:ilvl="0" w:tplc="D5B40D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1876E9D"/>
    <w:multiLevelType w:val="hybridMultilevel"/>
    <w:tmpl w:val="A45CEE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0">
    <w:nsid w:val="51E4525F"/>
    <w:multiLevelType w:val="multilevel"/>
    <w:tmpl w:val="783E7FF6"/>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102">
    <w:nsid w:val="52695D8B"/>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3">
    <w:nsid w:val="52C81586"/>
    <w:multiLevelType w:val="hybridMultilevel"/>
    <w:tmpl w:val="CDFE0B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3146583"/>
    <w:multiLevelType w:val="hybridMultilevel"/>
    <w:tmpl w:val="59707B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nsid w:val="534004F0"/>
    <w:multiLevelType w:val="hybridMultilevel"/>
    <w:tmpl w:val="1AF6B560"/>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3DD1BA8"/>
    <w:multiLevelType w:val="hybridMultilevel"/>
    <w:tmpl w:val="5C7C5C0A"/>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07">
    <w:nsid w:val="543D65F5"/>
    <w:multiLevelType w:val="hybridMultilevel"/>
    <w:tmpl w:val="4B94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43E10FE"/>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nsid w:val="548132CA"/>
    <w:multiLevelType w:val="hybridMultilevel"/>
    <w:tmpl w:val="43D49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54C425D9"/>
    <w:multiLevelType w:val="hybridMultilevel"/>
    <w:tmpl w:val="1EA0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4E356BA"/>
    <w:multiLevelType w:val="multilevel"/>
    <w:tmpl w:val="DABC014A"/>
    <w:lvl w:ilvl="0">
      <w:start w:val="1"/>
      <w:numFmt w:val="decimal"/>
      <w:pStyle w:val="Sraassunumeriais"/>
      <w:lvlText w:val="%1."/>
      <w:lvlJc w:val="left"/>
      <w:pPr>
        <w:tabs>
          <w:tab w:val="num" w:pos="346"/>
        </w:tabs>
        <w:ind w:left="346" w:hanging="346"/>
      </w:pPr>
      <w:rPr>
        <w:rFonts w:hint="default"/>
      </w:rPr>
    </w:lvl>
    <w:lvl w:ilvl="1">
      <w:start w:val="1"/>
      <w:numFmt w:val="decimal"/>
      <w:pStyle w:val="Sraassunumeriais2"/>
      <w:lvlText w:val="%2."/>
      <w:lvlJc w:val="left"/>
      <w:pPr>
        <w:tabs>
          <w:tab w:val="num" w:pos="691"/>
        </w:tabs>
        <w:ind w:left="691" w:hanging="345"/>
      </w:pPr>
      <w:rPr>
        <w:rFonts w:hint="default"/>
      </w:rPr>
    </w:lvl>
    <w:lvl w:ilvl="2">
      <w:start w:val="1"/>
      <w:numFmt w:val="decimal"/>
      <w:pStyle w:val="Sraassunumeriais3"/>
      <w:lvlText w:val="%3."/>
      <w:lvlJc w:val="left"/>
      <w:pPr>
        <w:tabs>
          <w:tab w:val="num" w:pos="1037"/>
        </w:tabs>
        <w:ind w:left="1037" w:hanging="346"/>
      </w:pPr>
      <w:rPr>
        <w:rFonts w:hint="default"/>
      </w:rPr>
    </w:lvl>
    <w:lvl w:ilvl="3">
      <w:start w:val="1"/>
      <w:numFmt w:val="decimal"/>
      <w:pStyle w:val="Sraassunumeriais4"/>
      <w:lvlText w:val="%4."/>
      <w:lvlJc w:val="left"/>
      <w:pPr>
        <w:tabs>
          <w:tab w:val="num" w:pos="1382"/>
        </w:tabs>
        <w:ind w:left="1382" w:hanging="345"/>
      </w:pPr>
      <w:rPr>
        <w:rFonts w:hint="default"/>
      </w:rPr>
    </w:lvl>
    <w:lvl w:ilvl="4">
      <w:start w:val="1"/>
      <w:numFmt w:val="decimal"/>
      <w:pStyle w:val="Sraassunumeriais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112">
    <w:nsid w:val="56024FB5"/>
    <w:multiLevelType w:val="hybridMultilevel"/>
    <w:tmpl w:val="A5EA8640"/>
    <w:lvl w:ilvl="0" w:tplc="04270019">
      <w:start w:val="1"/>
      <w:numFmt w:val="lowerLetter"/>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3">
    <w:nsid w:val="568A2AC2"/>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69B3B02"/>
    <w:multiLevelType w:val="hybridMultilevel"/>
    <w:tmpl w:val="068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737335E"/>
    <w:multiLevelType w:val="hybridMultilevel"/>
    <w:tmpl w:val="9D5C69F4"/>
    <w:lvl w:ilvl="0" w:tplc="4D84198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75D6170"/>
    <w:multiLevelType w:val="hybridMultilevel"/>
    <w:tmpl w:val="8878D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8557FA8"/>
    <w:multiLevelType w:val="hybridMultilevel"/>
    <w:tmpl w:val="3ACE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8F32F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9A00CBF"/>
    <w:multiLevelType w:val="hybridMultilevel"/>
    <w:tmpl w:val="6EE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9C34E04"/>
    <w:multiLevelType w:val="hybridMultilevel"/>
    <w:tmpl w:val="5DB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122">
    <w:nsid w:val="5A913425"/>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5ACA35A6"/>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24">
    <w:nsid w:val="5AE0058C"/>
    <w:multiLevelType w:val="hybridMultilevel"/>
    <w:tmpl w:val="B02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AE24D29"/>
    <w:multiLevelType w:val="hybridMultilevel"/>
    <w:tmpl w:val="B13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B1E61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5C835CA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CB724BD"/>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29">
    <w:nsid w:val="5CC07C2E"/>
    <w:multiLevelType w:val="hybridMultilevel"/>
    <w:tmpl w:val="26ECAA3C"/>
    <w:lvl w:ilvl="0" w:tplc="F4088D2A">
      <w:start w:val="2014"/>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0">
    <w:nsid w:val="5D525877"/>
    <w:multiLevelType w:val="hybridMultilevel"/>
    <w:tmpl w:val="0E842B30"/>
    <w:lvl w:ilvl="0" w:tplc="9C26CA5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D693FA0"/>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D9D1835"/>
    <w:multiLevelType w:val="hybridMultilevel"/>
    <w:tmpl w:val="42D8D4F8"/>
    <w:lvl w:ilvl="0" w:tplc="9C840402">
      <w:start w:val="100"/>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nsid w:val="5E1F27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5E8D1192"/>
    <w:multiLevelType w:val="hybridMultilevel"/>
    <w:tmpl w:val="92DA2436"/>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F435769"/>
    <w:multiLevelType w:val="hybridMultilevel"/>
    <w:tmpl w:val="79A2994A"/>
    <w:lvl w:ilvl="0" w:tplc="0409000F">
      <w:start w:val="1"/>
      <w:numFmt w:val="decimal"/>
      <w:lvlText w:val="%1."/>
      <w:lvlJc w:val="left"/>
      <w:pPr>
        <w:ind w:left="720" w:hanging="360"/>
      </w:pPr>
      <w:rPr>
        <w:rFont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5F587ADF"/>
    <w:multiLevelType w:val="hybridMultilevel"/>
    <w:tmpl w:val="12A6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FB864C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606B2F64"/>
    <w:multiLevelType w:val="hybridMultilevel"/>
    <w:tmpl w:val="FFDEA91A"/>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0794A54"/>
    <w:multiLevelType w:val="hybridMultilevel"/>
    <w:tmpl w:val="6DB8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60B1372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610C5B40"/>
    <w:multiLevelType w:val="hybridMultilevel"/>
    <w:tmpl w:val="7B1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614B38E4"/>
    <w:multiLevelType w:val="hybridMultilevel"/>
    <w:tmpl w:val="9664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3C0030B"/>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nsid w:val="64AB3E5D"/>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45">
    <w:nsid w:val="64D17EED"/>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65332DE6"/>
    <w:multiLevelType w:val="hybridMultilevel"/>
    <w:tmpl w:val="C7EAF618"/>
    <w:lvl w:ilvl="0" w:tplc="AC5A9E7A">
      <w:start w:val="1"/>
      <w:numFmt w:val="decimal"/>
      <w:lvlText w:val="%1."/>
      <w:lvlJc w:val="left"/>
      <w:pPr>
        <w:ind w:left="720" w:hanging="360"/>
      </w:pPr>
      <w:rPr>
        <w:rFonts w:ascii="Arial" w:hAnsi="Arial" w:cs="Arial" w:hint="default"/>
        <w:color w:val="auto"/>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nsid w:val="662B4978"/>
    <w:multiLevelType w:val="hybridMultilevel"/>
    <w:tmpl w:val="9FCE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63B28E4"/>
    <w:multiLevelType w:val="hybridMultilevel"/>
    <w:tmpl w:val="520CE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6977DEF"/>
    <w:multiLevelType w:val="hybridMultilevel"/>
    <w:tmpl w:val="3662CA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nsid w:val="66A63A24"/>
    <w:multiLevelType w:val="hybridMultilevel"/>
    <w:tmpl w:val="2E92E4BA"/>
    <w:lvl w:ilvl="0" w:tplc="DE108816">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1">
    <w:nsid w:val="670E556A"/>
    <w:multiLevelType w:val="hybridMultilevel"/>
    <w:tmpl w:val="0BD8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7CB1E90"/>
    <w:multiLevelType w:val="hybridMultilevel"/>
    <w:tmpl w:val="44EC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81E16A4"/>
    <w:multiLevelType w:val="hybridMultilevel"/>
    <w:tmpl w:val="CE7C1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294C76"/>
    <w:multiLevelType w:val="hybridMultilevel"/>
    <w:tmpl w:val="3A8E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8B41305"/>
    <w:multiLevelType w:val="hybridMultilevel"/>
    <w:tmpl w:val="00C02AEA"/>
    <w:lvl w:ilvl="0" w:tplc="FC3C1056">
      <w:start w:val="1"/>
      <w:numFmt w:val="decimal"/>
      <w:pStyle w:val="Antra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9FC3324"/>
    <w:multiLevelType w:val="hybridMultilevel"/>
    <w:tmpl w:val="4852F2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7">
    <w:nsid w:val="6A687250"/>
    <w:multiLevelType w:val="hybridMultilevel"/>
    <w:tmpl w:val="4ED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AD65786"/>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nsid w:val="6B95730A"/>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0">
    <w:nsid w:val="6BF611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6D603AF3"/>
    <w:multiLevelType w:val="hybridMultilevel"/>
    <w:tmpl w:val="B77CA8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nsid w:val="6DF0584C"/>
    <w:multiLevelType w:val="multilevel"/>
    <w:tmpl w:val="50A8AE64"/>
    <w:lvl w:ilvl="0">
      <w:start w:val="4"/>
      <w:numFmt w:val="decimal"/>
      <w:lvlText w:val="%1."/>
      <w:lvlJc w:val="left"/>
      <w:pPr>
        <w:ind w:left="630" w:hanging="630"/>
      </w:pPr>
      <w:rPr>
        <w:rFonts w:asciiTheme="majorHAnsi" w:eastAsiaTheme="majorEastAsia" w:hAnsiTheme="majorHAnsi" w:cstheme="majorBidi" w:hint="default"/>
        <w:b/>
        <w:color w:val="4F81BD" w:themeColor="accent1"/>
        <w:sz w:val="26"/>
      </w:rPr>
    </w:lvl>
    <w:lvl w:ilvl="1">
      <w:start w:val="2"/>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163">
    <w:nsid w:val="6E311280"/>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4">
    <w:nsid w:val="6F252EFA"/>
    <w:multiLevelType w:val="hybridMultilevel"/>
    <w:tmpl w:val="CB2C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1021C52"/>
    <w:multiLevelType w:val="hybridMultilevel"/>
    <w:tmpl w:val="8DA0A278"/>
    <w:lvl w:ilvl="0" w:tplc="A9B074B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17B43F2"/>
    <w:multiLevelType w:val="multilevel"/>
    <w:tmpl w:val="20A6E5BC"/>
    <w:lvl w:ilvl="0">
      <w:start w:val="1"/>
      <w:numFmt w:val="bullet"/>
      <w:pStyle w:val="Sraassuenkleliais"/>
      <w:lvlText w:val="•"/>
      <w:lvlJc w:val="left"/>
      <w:pPr>
        <w:tabs>
          <w:tab w:val="num" w:pos="346"/>
        </w:tabs>
        <w:ind w:left="346" w:hanging="346"/>
      </w:pPr>
      <w:rPr>
        <w:rFonts w:ascii="Georgia" w:hAnsi="Georgia" w:hint="default"/>
        <w:color w:val="auto"/>
      </w:rPr>
    </w:lvl>
    <w:lvl w:ilvl="1">
      <w:start w:val="1"/>
      <w:numFmt w:val="bullet"/>
      <w:pStyle w:val="Sraassuenkleliais2"/>
      <w:lvlText w:val="-"/>
      <w:lvlJc w:val="left"/>
      <w:pPr>
        <w:tabs>
          <w:tab w:val="num" w:pos="691"/>
        </w:tabs>
        <w:ind w:left="691" w:hanging="345"/>
      </w:pPr>
      <w:rPr>
        <w:rFonts w:ascii="Arial" w:hAnsi="Arial" w:hint="default"/>
        <w:color w:val="auto"/>
      </w:rPr>
    </w:lvl>
    <w:lvl w:ilvl="2">
      <w:start w:val="1"/>
      <w:numFmt w:val="bullet"/>
      <w:pStyle w:val="Sraassuenkleliais3"/>
      <w:lvlText w:val="◦"/>
      <w:lvlJc w:val="left"/>
      <w:pPr>
        <w:tabs>
          <w:tab w:val="num" w:pos="1037"/>
        </w:tabs>
        <w:ind w:left="1037" w:hanging="346"/>
      </w:pPr>
      <w:rPr>
        <w:rFonts w:ascii="Georgia" w:hAnsi="Georgia" w:hint="default"/>
        <w:color w:val="auto"/>
      </w:rPr>
    </w:lvl>
    <w:lvl w:ilvl="3">
      <w:start w:val="1"/>
      <w:numFmt w:val="bullet"/>
      <w:pStyle w:val="Sraassuenkleliais4"/>
      <w:lvlText w:val="›"/>
      <w:lvlJc w:val="left"/>
      <w:pPr>
        <w:tabs>
          <w:tab w:val="num" w:pos="1382"/>
        </w:tabs>
        <w:ind w:left="1382" w:hanging="345"/>
      </w:pPr>
      <w:rPr>
        <w:rFonts w:ascii="Georgia" w:hAnsi="Georgia" w:hint="default"/>
        <w:color w:val="auto"/>
      </w:rPr>
    </w:lvl>
    <w:lvl w:ilvl="4">
      <w:start w:val="1"/>
      <w:numFmt w:val="bullet"/>
      <w:pStyle w:val="Sraassuenkleliais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167">
    <w:nsid w:val="72643696"/>
    <w:multiLevelType w:val="hybridMultilevel"/>
    <w:tmpl w:val="C234F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5201B92"/>
    <w:multiLevelType w:val="hybridMultilevel"/>
    <w:tmpl w:val="C5F0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692008A"/>
    <w:multiLevelType w:val="hybridMultilevel"/>
    <w:tmpl w:val="79A2994A"/>
    <w:lvl w:ilvl="0" w:tplc="0409000F">
      <w:start w:val="1"/>
      <w:numFmt w:val="decimal"/>
      <w:lvlText w:val="%1."/>
      <w:lvlJc w:val="left"/>
      <w:pPr>
        <w:ind w:left="720" w:hanging="360"/>
      </w:pPr>
      <w:rPr>
        <w:rFont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7B708FE"/>
    <w:multiLevelType w:val="hybridMultilevel"/>
    <w:tmpl w:val="423C5AE2"/>
    <w:lvl w:ilvl="0" w:tplc="96EC41F2">
      <w:start w:val="3"/>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1">
    <w:nsid w:val="78AC26BB"/>
    <w:multiLevelType w:val="hybridMultilevel"/>
    <w:tmpl w:val="E13C5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2">
    <w:nsid w:val="7915655B"/>
    <w:multiLevelType w:val="hybridMultilevel"/>
    <w:tmpl w:val="6684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4">
    <w:nsid w:val="7AE61BEB"/>
    <w:multiLevelType w:val="hybridMultilevel"/>
    <w:tmpl w:val="F798459C"/>
    <w:lvl w:ilvl="0" w:tplc="453EE6B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5">
    <w:nsid w:val="7C731EEA"/>
    <w:multiLevelType w:val="hybridMultilevel"/>
    <w:tmpl w:val="405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EDD3684"/>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8"/>
  </w:num>
  <w:num w:numId="2">
    <w:abstractNumId w:val="87"/>
  </w:num>
  <w:num w:numId="3">
    <w:abstractNumId w:val="8"/>
  </w:num>
  <w:num w:numId="4">
    <w:abstractNumId w:val="168"/>
  </w:num>
  <w:num w:numId="5">
    <w:abstractNumId w:val="50"/>
  </w:num>
  <w:num w:numId="6">
    <w:abstractNumId w:val="105"/>
  </w:num>
  <w:num w:numId="7">
    <w:abstractNumId w:val="22"/>
  </w:num>
  <w:num w:numId="8">
    <w:abstractNumId w:val="115"/>
  </w:num>
  <w:num w:numId="9">
    <w:abstractNumId w:val="32"/>
  </w:num>
  <w:num w:numId="10">
    <w:abstractNumId w:val="86"/>
  </w:num>
  <w:num w:numId="11">
    <w:abstractNumId w:val="130"/>
  </w:num>
  <w:num w:numId="12">
    <w:abstractNumId w:val="107"/>
  </w:num>
  <w:num w:numId="13">
    <w:abstractNumId w:val="169"/>
  </w:num>
  <w:num w:numId="14">
    <w:abstractNumId w:val="19"/>
  </w:num>
  <w:num w:numId="15">
    <w:abstractNumId w:val="3"/>
  </w:num>
  <w:num w:numId="16">
    <w:abstractNumId w:val="165"/>
  </w:num>
  <w:num w:numId="17">
    <w:abstractNumId w:val="122"/>
  </w:num>
  <w:num w:numId="18">
    <w:abstractNumId w:val="156"/>
  </w:num>
  <w:num w:numId="19">
    <w:abstractNumId w:val="87"/>
  </w:num>
  <w:num w:numId="20">
    <w:abstractNumId w:val="170"/>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7"/>
  </w:num>
  <w:num w:numId="25">
    <w:abstractNumId w:val="91"/>
  </w:num>
  <w:num w:numId="26">
    <w:abstractNumId w:val="119"/>
  </w:num>
  <w:num w:numId="27">
    <w:abstractNumId w:val="18"/>
  </w:num>
  <w:num w:numId="28">
    <w:abstractNumId w:val="124"/>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num>
  <w:num w:numId="34">
    <w:abstractNumId w:val="167"/>
  </w:num>
  <w:num w:numId="35">
    <w:abstractNumId w:val="75"/>
  </w:num>
  <w:num w:numId="36">
    <w:abstractNumId w:val="59"/>
  </w:num>
  <w:num w:numId="37">
    <w:abstractNumId w:val="49"/>
  </w:num>
  <w:num w:numId="38">
    <w:abstractNumId w:val="56"/>
  </w:num>
  <w:num w:numId="39">
    <w:abstractNumId w:val="48"/>
  </w:num>
  <w:num w:numId="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8"/>
  </w:num>
  <w:num w:numId="43">
    <w:abstractNumId w:val="39"/>
  </w:num>
  <w:num w:numId="44">
    <w:abstractNumId w:val="64"/>
  </w:num>
  <w:num w:numId="45">
    <w:abstractNumId w:val="158"/>
  </w:num>
  <w:num w:numId="46">
    <w:abstractNumId w:val="30"/>
  </w:num>
  <w:num w:numId="47">
    <w:abstractNumId w:val="129"/>
  </w:num>
  <w:num w:numId="48">
    <w:abstractNumId w:val="20"/>
  </w:num>
  <w:num w:numId="49">
    <w:abstractNumId w:val="23"/>
  </w:num>
  <w:num w:numId="50">
    <w:abstractNumId w:val="114"/>
  </w:num>
  <w:num w:numId="51">
    <w:abstractNumId w:val="68"/>
  </w:num>
  <w:num w:numId="52">
    <w:abstractNumId w:val="1"/>
  </w:num>
  <w:num w:numId="53">
    <w:abstractNumId w:val="17"/>
  </w:num>
  <w:num w:numId="54">
    <w:abstractNumId w:val="95"/>
  </w:num>
  <w:num w:numId="55">
    <w:abstractNumId w:val="160"/>
  </w:num>
  <w:num w:numId="56">
    <w:abstractNumId w:val="137"/>
  </w:num>
  <w:num w:numId="57">
    <w:abstractNumId w:val="43"/>
  </w:num>
  <w:num w:numId="58">
    <w:abstractNumId w:val="4"/>
  </w:num>
  <w:num w:numId="59">
    <w:abstractNumId w:val="123"/>
  </w:num>
  <w:num w:numId="60">
    <w:abstractNumId w:val="163"/>
  </w:num>
  <w:num w:numId="61">
    <w:abstractNumId w:val="13"/>
  </w:num>
  <w:num w:numId="62">
    <w:abstractNumId w:val="27"/>
  </w:num>
  <w:num w:numId="63">
    <w:abstractNumId w:val="31"/>
  </w:num>
  <w:num w:numId="64">
    <w:abstractNumId w:val="173"/>
  </w:num>
  <w:num w:numId="65">
    <w:abstractNumId w:val="121"/>
  </w:num>
  <w:num w:numId="66">
    <w:abstractNumId w:val="166"/>
  </w:num>
  <w:num w:numId="67">
    <w:abstractNumId w:val="111"/>
  </w:num>
  <w:num w:numId="68">
    <w:abstractNumId w:val="101"/>
  </w:num>
  <w:num w:numId="69">
    <w:abstractNumId w:val="85"/>
  </w:num>
  <w:num w:numId="70">
    <w:abstractNumId w:val="74"/>
  </w:num>
  <w:num w:numId="71">
    <w:abstractNumId w:val="24"/>
  </w:num>
  <w:num w:numId="72">
    <w:abstractNumId w:val="171"/>
  </w:num>
  <w:num w:numId="73">
    <w:abstractNumId w:val="125"/>
  </w:num>
  <w:num w:numId="74">
    <w:abstractNumId w:val="155"/>
  </w:num>
  <w:num w:numId="75">
    <w:abstractNumId w:val="99"/>
  </w:num>
  <w:num w:numId="76">
    <w:abstractNumId w:val="155"/>
    <w:lvlOverride w:ilvl="0">
      <w:startOverride w:val="2"/>
    </w:lvlOverride>
  </w:num>
  <w:num w:numId="77">
    <w:abstractNumId w:val="135"/>
  </w:num>
  <w:num w:numId="78">
    <w:abstractNumId w:val="98"/>
  </w:num>
  <w:num w:numId="79">
    <w:abstractNumId w:val="83"/>
  </w:num>
  <w:num w:numId="80">
    <w:abstractNumId w:val="151"/>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num>
  <w:num w:numId="83">
    <w:abstractNumId w:val="33"/>
  </w:num>
  <w:num w:numId="84">
    <w:abstractNumId w:val="66"/>
  </w:num>
  <w:num w:numId="85">
    <w:abstractNumId w:val="7"/>
  </w:num>
  <w:num w:numId="86">
    <w:abstractNumId w:val="15"/>
  </w:num>
  <w:num w:numId="87">
    <w:abstractNumId w:val="153"/>
  </w:num>
  <w:num w:numId="88">
    <w:abstractNumId w:val="116"/>
  </w:num>
  <w:num w:numId="89">
    <w:abstractNumId w:val="37"/>
  </w:num>
  <w:num w:numId="90">
    <w:abstractNumId w:val="10"/>
  </w:num>
  <w:num w:numId="91">
    <w:abstractNumId w:val="103"/>
  </w:num>
  <w:num w:numId="92">
    <w:abstractNumId w:val="94"/>
  </w:num>
  <w:num w:numId="93">
    <w:abstractNumId w:val="44"/>
  </w:num>
  <w:num w:numId="94">
    <w:abstractNumId w:val="46"/>
  </w:num>
  <w:num w:numId="95">
    <w:abstractNumId w:val="155"/>
  </w:num>
  <w:num w:numId="96">
    <w:abstractNumId w:val="38"/>
  </w:num>
  <w:num w:numId="97">
    <w:abstractNumId w:val="29"/>
  </w:num>
  <w:num w:numId="98">
    <w:abstractNumId w:val="25"/>
  </w:num>
  <w:num w:numId="99">
    <w:abstractNumId w:val="0"/>
  </w:num>
  <w:num w:numId="100">
    <w:abstractNumId w:val="97"/>
  </w:num>
  <w:num w:numId="101">
    <w:abstractNumId w:val="65"/>
  </w:num>
  <w:num w:numId="102">
    <w:abstractNumId w:val="140"/>
  </w:num>
  <w:num w:numId="103">
    <w:abstractNumId w:val="161"/>
  </w:num>
  <w:num w:numId="104">
    <w:abstractNumId w:val="12"/>
  </w:num>
  <w:num w:numId="105">
    <w:abstractNumId w:val="45"/>
  </w:num>
  <w:num w:numId="106">
    <w:abstractNumId w:val="73"/>
  </w:num>
  <w:num w:numId="107">
    <w:abstractNumId w:val="112"/>
  </w:num>
  <w:num w:numId="108">
    <w:abstractNumId w:val="77"/>
  </w:num>
  <w:num w:numId="109">
    <w:abstractNumId w:val="96"/>
  </w:num>
  <w:num w:numId="110">
    <w:abstractNumId w:val="34"/>
  </w:num>
  <w:num w:numId="111">
    <w:abstractNumId w:val="81"/>
  </w:num>
  <w:num w:numId="112">
    <w:abstractNumId w:val="109"/>
  </w:num>
  <w:num w:numId="113">
    <w:abstractNumId w:val="138"/>
  </w:num>
  <w:num w:numId="114">
    <w:abstractNumId w:val="142"/>
  </w:num>
  <w:num w:numId="115">
    <w:abstractNumId w:val="79"/>
  </w:num>
  <w:num w:numId="116">
    <w:abstractNumId w:val="28"/>
  </w:num>
  <w:num w:numId="117">
    <w:abstractNumId w:val="117"/>
  </w:num>
  <w:num w:numId="118">
    <w:abstractNumId w:val="51"/>
  </w:num>
  <w:num w:numId="119">
    <w:abstractNumId w:val="141"/>
  </w:num>
  <w:num w:numId="120">
    <w:abstractNumId w:val="41"/>
  </w:num>
  <w:num w:numId="121">
    <w:abstractNumId w:val="2"/>
  </w:num>
  <w:num w:numId="122">
    <w:abstractNumId w:val="53"/>
  </w:num>
  <w:num w:numId="123">
    <w:abstractNumId w:val="157"/>
  </w:num>
  <w:num w:numId="124">
    <w:abstractNumId w:val="40"/>
  </w:num>
  <w:num w:numId="125">
    <w:abstractNumId w:val="139"/>
  </w:num>
  <w:num w:numId="126">
    <w:abstractNumId w:val="67"/>
  </w:num>
  <w:num w:numId="127">
    <w:abstractNumId w:val="57"/>
  </w:num>
  <w:num w:numId="128">
    <w:abstractNumId w:val="54"/>
  </w:num>
  <w:num w:numId="129">
    <w:abstractNumId w:val="132"/>
  </w:num>
  <w:num w:numId="130">
    <w:abstractNumId w:val="100"/>
  </w:num>
  <w:num w:numId="131">
    <w:abstractNumId w:val="72"/>
  </w:num>
  <w:num w:numId="132">
    <w:abstractNumId w:val="172"/>
  </w:num>
  <w:num w:numId="13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
  </w:num>
  <w:num w:numId="137">
    <w:abstractNumId w:val="88"/>
  </w:num>
  <w:num w:numId="138">
    <w:abstractNumId w:val="11"/>
  </w:num>
  <w:num w:numId="139">
    <w:abstractNumId w:val="71"/>
  </w:num>
  <w:num w:numId="140">
    <w:abstractNumId w:val="144"/>
  </w:num>
  <w:num w:numId="141">
    <w:abstractNumId w:val="106"/>
  </w:num>
  <w:num w:numId="142">
    <w:abstractNumId w:val="84"/>
  </w:num>
  <w:num w:numId="143">
    <w:abstractNumId w:val="80"/>
  </w:num>
  <w:num w:numId="144">
    <w:abstractNumId w:val="21"/>
  </w:num>
  <w:num w:numId="145">
    <w:abstractNumId w:val="70"/>
  </w:num>
  <w:num w:numId="146">
    <w:abstractNumId w:val="136"/>
  </w:num>
  <w:num w:numId="147">
    <w:abstractNumId w:val="152"/>
  </w:num>
  <w:num w:numId="148">
    <w:abstractNumId w:val="82"/>
  </w:num>
  <w:num w:numId="149">
    <w:abstractNumId w:val="154"/>
  </w:num>
  <w:num w:numId="150">
    <w:abstractNumId w:val="120"/>
  </w:num>
  <w:num w:numId="151">
    <w:abstractNumId w:val="93"/>
  </w:num>
  <w:num w:numId="152">
    <w:abstractNumId w:val="175"/>
  </w:num>
  <w:num w:numId="153">
    <w:abstractNumId w:val="69"/>
  </w:num>
  <w:num w:numId="154">
    <w:abstractNumId w:val="35"/>
  </w:num>
  <w:num w:numId="155">
    <w:abstractNumId w:val="16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2"/>
    <w:lvlOverride w:ilvl="0">
      <w:startOverride w:val="1"/>
    </w:lvlOverride>
    <w:lvlOverride w:ilvl="1"/>
    <w:lvlOverride w:ilvl="2"/>
    <w:lvlOverride w:ilvl="3"/>
    <w:lvlOverride w:ilvl="4"/>
    <w:lvlOverride w:ilvl="5"/>
    <w:lvlOverride w:ilvl="6"/>
    <w:lvlOverride w:ilvl="7"/>
    <w:lvlOverride w:ilvl="8"/>
  </w:num>
  <w:num w:numId="157">
    <w:abstractNumId w:val="174"/>
  </w:num>
  <w:num w:numId="158">
    <w:abstractNumId w:val="16"/>
  </w:num>
  <w:num w:numId="159">
    <w:abstractNumId w:val="128"/>
  </w:num>
  <w:num w:numId="160">
    <w:abstractNumId w:val="63"/>
  </w:num>
  <w:num w:numId="161">
    <w:abstractNumId w:val="145"/>
  </w:num>
  <w:num w:numId="162">
    <w:abstractNumId w:val="127"/>
  </w:num>
  <w:num w:numId="163">
    <w:abstractNumId w:val="42"/>
  </w:num>
  <w:num w:numId="164">
    <w:abstractNumId w:val="133"/>
  </w:num>
  <w:num w:numId="165">
    <w:abstractNumId w:val="126"/>
  </w:num>
  <w:num w:numId="166">
    <w:abstractNumId w:val="149"/>
  </w:num>
  <w:num w:numId="167">
    <w:abstractNumId w:val="61"/>
  </w:num>
  <w:num w:numId="168">
    <w:abstractNumId w:val="146"/>
  </w:num>
  <w:num w:numId="169">
    <w:abstractNumId w:val="148"/>
  </w:num>
  <w:num w:numId="170">
    <w:abstractNumId w:val="6"/>
  </w:num>
  <w:num w:numId="171">
    <w:abstractNumId w:val="90"/>
  </w:num>
  <w:num w:numId="172">
    <w:abstractNumId w:val="159"/>
  </w:num>
  <w:num w:numId="173">
    <w:abstractNumId w:val="104"/>
  </w:num>
  <w:num w:numId="174">
    <w:abstractNumId w:val="176"/>
  </w:num>
  <w:num w:numId="175">
    <w:abstractNumId w:val="102"/>
  </w:num>
  <w:num w:numId="176">
    <w:abstractNumId w:val="36"/>
  </w:num>
  <w:num w:numId="177">
    <w:abstractNumId w:val="14"/>
  </w:num>
  <w:num w:numId="178">
    <w:abstractNumId w:val="155"/>
  </w:num>
  <w:num w:numId="179">
    <w:abstractNumId w:val="58"/>
  </w:num>
  <w:num w:numId="180">
    <w:abstractNumId w:val="62"/>
  </w:num>
  <w:num w:numId="181">
    <w:abstractNumId w:val="60"/>
  </w:num>
  <w:num w:numId="182">
    <w:abstractNumId w:val="150"/>
  </w:num>
  <w:num w:numId="183">
    <w:abstractNumId w:val="164"/>
  </w:num>
  <w:num w:numId="184">
    <w:abstractNumId w:val="47"/>
  </w:num>
  <w:num w:numId="185">
    <w:abstractNumId w:val="131"/>
  </w:num>
  <w:num w:numId="186">
    <w:abstractNumId w:val="113"/>
  </w:num>
  <w:num w:numId="187">
    <w:abstractNumId w:val="55"/>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hyphenationZone w:val="396"/>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AD"/>
    <w:rsid w:val="00000CC9"/>
    <w:rsid w:val="00000D8F"/>
    <w:rsid w:val="00000F86"/>
    <w:rsid w:val="00002019"/>
    <w:rsid w:val="00002662"/>
    <w:rsid w:val="00004814"/>
    <w:rsid w:val="00004EB1"/>
    <w:rsid w:val="00005B85"/>
    <w:rsid w:val="00005D32"/>
    <w:rsid w:val="0000684F"/>
    <w:rsid w:val="00006883"/>
    <w:rsid w:val="00006C17"/>
    <w:rsid w:val="00006C33"/>
    <w:rsid w:val="0000706D"/>
    <w:rsid w:val="000070AA"/>
    <w:rsid w:val="000074A6"/>
    <w:rsid w:val="00007728"/>
    <w:rsid w:val="00007761"/>
    <w:rsid w:val="00007F1E"/>
    <w:rsid w:val="00011364"/>
    <w:rsid w:val="00012064"/>
    <w:rsid w:val="000135F1"/>
    <w:rsid w:val="0001364B"/>
    <w:rsid w:val="000139C5"/>
    <w:rsid w:val="00013A48"/>
    <w:rsid w:val="00014099"/>
    <w:rsid w:val="0001424A"/>
    <w:rsid w:val="00016CFF"/>
    <w:rsid w:val="000203BA"/>
    <w:rsid w:val="00020D20"/>
    <w:rsid w:val="00020E0D"/>
    <w:rsid w:val="000212A0"/>
    <w:rsid w:val="00021379"/>
    <w:rsid w:val="00021535"/>
    <w:rsid w:val="00021F53"/>
    <w:rsid w:val="00022769"/>
    <w:rsid w:val="000231F4"/>
    <w:rsid w:val="00024187"/>
    <w:rsid w:val="000245DA"/>
    <w:rsid w:val="0002498C"/>
    <w:rsid w:val="00024E2B"/>
    <w:rsid w:val="000264DA"/>
    <w:rsid w:val="0003086F"/>
    <w:rsid w:val="0003111A"/>
    <w:rsid w:val="00031237"/>
    <w:rsid w:val="00032456"/>
    <w:rsid w:val="00032BA6"/>
    <w:rsid w:val="0003414F"/>
    <w:rsid w:val="000344AE"/>
    <w:rsid w:val="00034504"/>
    <w:rsid w:val="00034C53"/>
    <w:rsid w:val="00035974"/>
    <w:rsid w:val="00036AB8"/>
    <w:rsid w:val="00036C4B"/>
    <w:rsid w:val="00037033"/>
    <w:rsid w:val="000376E9"/>
    <w:rsid w:val="00037FD3"/>
    <w:rsid w:val="00040115"/>
    <w:rsid w:val="0004224C"/>
    <w:rsid w:val="00042A42"/>
    <w:rsid w:val="000430BE"/>
    <w:rsid w:val="000470B4"/>
    <w:rsid w:val="000471E9"/>
    <w:rsid w:val="000473A9"/>
    <w:rsid w:val="00047C41"/>
    <w:rsid w:val="0005008F"/>
    <w:rsid w:val="0005013B"/>
    <w:rsid w:val="000519AE"/>
    <w:rsid w:val="00051C41"/>
    <w:rsid w:val="0005367D"/>
    <w:rsid w:val="00054831"/>
    <w:rsid w:val="00054968"/>
    <w:rsid w:val="0005533E"/>
    <w:rsid w:val="000556A1"/>
    <w:rsid w:val="00056681"/>
    <w:rsid w:val="000567E6"/>
    <w:rsid w:val="0005727B"/>
    <w:rsid w:val="00057748"/>
    <w:rsid w:val="000600EA"/>
    <w:rsid w:val="0006067E"/>
    <w:rsid w:val="0006117A"/>
    <w:rsid w:val="00061839"/>
    <w:rsid w:val="000619E8"/>
    <w:rsid w:val="00061A8D"/>
    <w:rsid w:val="00061AD3"/>
    <w:rsid w:val="000631BF"/>
    <w:rsid w:val="00063F36"/>
    <w:rsid w:val="0006419A"/>
    <w:rsid w:val="000641DA"/>
    <w:rsid w:val="0006428E"/>
    <w:rsid w:val="000642E6"/>
    <w:rsid w:val="00064481"/>
    <w:rsid w:val="000645D8"/>
    <w:rsid w:val="00064A8C"/>
    <w:rsid w:val="00064B64"/>
    <w:rsid w:val="00065DEA"/>
    <w:rsid w:val="00065F2F"/>
    <w:rsid w:val="00066631"/>
    <w:rsid w:val="000666AD"/>
    <w:rsid w:val="00066940"/>
    <w:rsid w:val="000678F1"/>
    <w:rsid w:val="00067B48"/>
    <w:rsid w:val="00067D49"/>
    <w:rsid w:val="00067F55"/>
    <w:rsid w:val="00071F87"/>
    <w:rsid w:val="00073363"/>
    <w:rsid w:val="00073608"/>
    <w:rsid w:val="00073F96"/>
    <w:rsid w:val="00074273"/>
    <w:rsid w:val="000749FE"/>
    <w:rsid w:val="00074FA6"/>
    <w:rsid w:val="000755AB"/>
    <w:rsid w:val="000755F8"/>
    <w:rsid w:val="00075AA1"/>
    <w:rsid w:val="00076A04"/>
    <w:rsid w:val="000774BC"/>
    <w:rsid w:val="000777A6"/>
    <w:rsid w:val="000803C0"/>
    <w:rsid w:val="000805C8"/>
    <w:rsid w:val="00080FD5"/>
    <w:rsid w:val="0008139E"/>
    <w:rsid w:val="00082440"/>
    <w:rsid w:val="00082E94"/>
    <w:rsid w:val="000833F4"/>
    <w:rsid w:val="0008420A"/>
    <w:rsid w:val="00084249"/>
    <w:rsid w:val="000846FC"/>
    <w:rsid w:val="00084A1A"/>
    <w:rsid w:val="0008519A"/>
    <w:rsid w:val="00085943"/>
    <w:rsid w:val="00085DBF"/>
    <w:rsid w:val="000869EA"/>
    <w:rsid w:val="00086D38"/>
    <w:rsid w:val="00086FC2"/>
    <w:rsid w:val="00087026"/>
    <w:rsid w:val="0008758E"/>
    <w:rsid w:val="000876D4"/>
    <w:rsid w:val="00090D53"/>
    <w:rsid w:val="00091A85"/>
    <w:rsid w:val="00091E92"/>
    <w:rsid w:val="00092DFB"/>
    <w:rsid w:val="00093B65"/>
    <w:rsid w:val="00093CDB"/>
    <w:rsid w:val="00094500"/>
    <w:rsid w:val="00095FBA"/>
    <w:rsid w:val="000961FB"/>
    <w:rsid w:val="00096740"/>
    <w:rsid w:val="000968AC"/>
    <w:rsid w:val="000968EE"/>
    <w:rsid w:val="00096C5A"/>
    <w:rsid w:val="00096FB5"/>
    <w:rsid w:val="000978A1"/>
    <w:rsid w:val="00097A34"/>
    <w:rsid w:val="000A1145"/>
    <w:rsid w:val="000A1408"/>
    <w:rsid w:val="000A15DE"/>
    <w:rsid w:val="000A1A3F"/>
    <w:rsid w:val="000A335A"/>
    <w:rsid w:val="000A36C0"/>
    <w:rsid w:val="000A3E5B"/>
    <w:rsid w:val="000A4AB0"/>
    <w:rsid w:val="000A566C"/>
    <w:rsid w:val="000A60BA"/>
    <w:rsid w:val="000A61DA"/>
    <w:rsid w:val="000A75FA"/>
    <w:rsid w:val="000B168C"/>
    <w:rsid w:val="000B2277"/>
    <w:rsid w:val="000B278F"/>
    <w:rsid w:val="000B28FE"/>
    <w:rsid w:val="000B2C92"/>
    <w:rsid w:val="000B4929"/>
    <w:rsid w:val="000B4D51"/>
    <w:rsid w:val="000B50CC"/>
    <w:rsid w:val="000B602C"/>
    <w:rsid w:val="000B6F3F"/>
    <w:rsid w:val="000B792D"/>
    <w:rsid w:val="000C035D"/>
    <w:rsid w:val="000C21B9"/>
    <w:rsid w:val="000C3F28"/>
    <w:rsid w:val="000C40A8"/>
    <w:rsid w:val="000C433F"/>
    <w:rsid w:val="000C4574"/>
    <w:rsid w:val="000C5B2D"/>
    <w:rsid w:val="000C5C2A"/>
    <w:rsid w:val="000C740B"/>
    <w:rsid w:val="000C761A"/>
    <w:rsid w:val="000C768B"/>
    <w:rsid w:val="000D0F73"/>
    <w:rsid w:val="000D10FC"/>
    <w:rsid w:val="000D1327"/>
    <w:rsid w:val="000D2689"/>
    <w:rsid w:val="000D318F"/>
    <w:rsid w:val="000D3530"/>
    <w:rsid w:val="000D3B22"/>
    <w:rsid w:val="000D43FF"/>
    <w:rsid w:val="000D4D15"/>
    <w:rsid w:val="000D54A5"/>
    <w:rsid w:val="000D5B6D"/>
    <w:rsid w:val="000D6CA0"/>
    <w:rsid w:val="000D71A1"/>
    <w:rsid w:val="000E00FC"/>
    <w:rsid w:val="000E02AE"/>
    <w:rsid w:val="000E0822"/>
    <w:rsid w:val="000E109F"/>
    <w:rsid w:val="000E2287"/>
    <w:rsid w:val="000E3422"/>
    <w:rsid w:val="000E3601"/>
    <w:rsid w:val="000E4371"/>
    <w:rsid w:val="000E47BF"/>
    <w:rsid w:val="000E490D"/>
    <w:rsid w:val="000E4BA5"/>
    <w:rsid w:val="000E5569"/>
    <w:rsid w:val="000E59DF"/>
    <w:rsid w:val="000E66DF"/>
    <w:rsid w:val="000E68CC"/>
    <w:rsid w:val="000E6F4A"/>
    <w:rsid w:val="000E704F"/>
    <w:rsid w:val="000E78FE"/>
    <w:rsid w:val="000E79F0"/>
    <w:rsid w:val="000E7A41"/>
    <w:rsid w:val="000E7BAA"/>
    <w:rsid w:val="000F0CDB"/>
    <w:rsid w:val="000F16FF"/>
    <w:rsid w:val="000F189A"/>
    <w:rsid w:val="000F1B68"/>
    <w:rsid w:val="000F1CF6"/>
    <w:rsid w:val="000F206B"/>
    <w:rsid w:val="000F2086"/>
    <w:rsid w:val="000F2378"/>
    <w:rsid w:val="000F27BB"/>
    <w:rsid w:val="000F30CF"/>
    <w:rsid w:val="000F3C32"/>
    <w:rsid w:val="000F4083"/>
    <w:rsid w:val="000F49C6"/>
    <w:rsid w:val="000F5189"/>
    <w:rsid w:val="000F5239"/>
    <w:rsid w:val="000F56A4"/>
    <w:rsid w:val="000F589D"/>
    <w:rsid w:val="00100995"/>
    <w:rsid w:val="00100B18"/>
    <w:rsid w:val="00100EF9"/>
    <w:rsid w:val="001013E9"/>
    <w:rsid w:val="00102228"/>
    <w:rsid w:val="001023CB"/>
    <w:rsid w:val="001029C2"/>
    <w:rsid w:val="00103461"/>
    <w:rsid w:val="001035F5"/>
    <w:rsid w:val="00103657"/>
    <w:rsid w:val="00104B42"/>
    <w:rsid w:val="00105627"/>
    <w:rsid w:val="00105B94"/>
    <w:rsid w:val="00105CED"/>
    <w:rsid w:val="00107264"/>
    <w:rsid w:val="0010799D"/>
    <w:rsid w:val="00107D1D"/>
    <w:rsid w:val="0011082B"/>
    <w:rsid w:val="001109AF"/>
    <w:rsid w:val="001109F9"/>
    <w:rsid w:val="00111AF4"/>
    <w:rsid w:val="00111EB2"/>
    <w:rsid w:val="00113838"/>
    <w:rsid w:val="001140C9"/>
    <w:rsid w:val="001142B2"/>
    <w:rsid w:val="001152E4"/>
    <w:rsid w:val="0011549E"/>
    <w:rsid w:val="001174EB"/>
    <w:rsid w:val="00117C46"/>
    <w:rsid w:val="00120DC4"/>
    <w:rsid w:val="00121072"/>
    <w:rsid w:val="0012159F"/>
    <w:rsid w:val="00121CFF"/>
    <w:rsid w:val="0012210C"/>
    <w:rsid w:val="0012248F"/>
    <w:rsid w:val="001234D7"/>
    <w:rsid w:val="0012438E"/>
    <w:rsid w:val="0012485D"/>
    <w:rsid w:val="001251A5"/>
    <w:rsid w:val="00126646"/>
    <w:rsid w:val="00126F0B"/>
    <w:rsid w:val="00126F81"/>
    <w:rsid w:val="0012775D"/>
    <w:rsid w:val="0013067E"/>
    <w:rsid w:val="00130776"/>
    <w:rsid w:val="00130CA0"/>
    <w:rsid w:val="00131276"/>
    <w:rsid w:val="001312E3"/>
    <w:rsid w:val="00131467"/>
    <w:rsid w:val="00131688"/>
    <w:rsid w:val="00131DBD"/>
    <w:rsid w:val="00132166"/>
    <w:rsid w:val="00132394"/>
    <w:rsid w:val="00132D6F"/>
    <w:rsid w:val="00133798"/>
    <w:rsid w:val="00134B04"/>
    <w:rsid w:val="00134BF1"/>
    <w:rsid w:val="00134CCB"/>
    <w:rsid w:val="00135030"/>
    <w:rsid w:val="00135920"/>
    <w:rsid w:val="001361A4"/>
    <w:rsid w:val="00136415"/>
    <w:rsid w:val="0013731C"/>
    <w:rsid w:val="001403A2"/>
    <w:rsid w:val="001406F6"/>
    <w:rsid w:val="001407F0"/>
    <w:rsid w:val="00142E41"/>
    <w:rsid w:val="00142FFB"/>
    <w:rsid w:val="0014336F"/>
    <w:rsid w:val="00143CF4"/>
    <w:rsid w:val="00144171"/>
    <w:rsid w:val="00144175"/>
    <w:rsid w:val="00144349"/>
    <w:rsid w:val="00144A39"/>
    <w:rsid w:val="00144C44"/>
    <w:rsid w:val="001450DB"/>
    <w:rsid w:val="00145BA8"/>
    <w:rsid w:val="00145C21"/>
    <w:rsid w:val="00146317"/>
    <w:rsid w:val="001470D3"/>
    <w:rsid w:val="00150010"/>
    <w:rsid w:val="001509CD"/>
    <w:rsid w:val="00151543"/>
    <w:rsid w:val="00151E16"/>
    <w:rsid w:val="001520F9"/>
    <w:rsid w:val="00152930"/>
    <w:rsid w:val="001539F0"/>
    <w:rsid w:val="001551F2"/>
    <w:rsid w:val="001554CF"/>
    <w:rsid w:val="001558C1"/>
    <w:rsid w:val="001577DE"/>
    <w:rsid w:val="001579BA"/>
    <w:rsid w:val="00160C44"/>
    <w:rsid w:val="001624AE"/>
    <w:rsid w:val="00162BF5"/>
    <w:rsid w:val="00163947"/>
    <w:rsid w:val="00163CB9"/>
    <w:rsid w:val="00164C88"/>
    <w:rsid w:val="0016625D"/>
    <w:rsid w:val="00167325"/>
    <w:rsid w:val="001673B6"/>
    <w:rsid w:val="00167700"/>
    <w:rsid w:val="0017040A"/>
    <w:rsid w:val="00170904"/>
    <w:rsid w:val="00170A38"/>
    <w:rsid w:val="00170EF5"/>
    <w:rsid w:val="001716B3"/>
    <w:rsid w:val="00171AB3"/>
    <w:rsid w:val="0017265C"/>
    <w:rsid w:val="001731D4"/>
    <w:rsid w:val="00174A8F"/>
    <w:rsid w:val="00175E09"/>
    <w:rsid w:val="001760F8"/>
    <w:rsid w:val="00176533"/>
    <w:rsid w:val="0018041C"/>
    <w:rsid w:val="00181123"/>
    <w:rsid w:val="00181329"/>
    <w:rsid w:val="00181772"/>
    <w:rsid w:val="00181C0E"/>
    <w:rsid w:val="0018202E"/>
    <w:rsid w:val="00182346"/>
    <w:rsid w:val="00182F64"/>
    <w:rsid w:val="00183754"/>
    <w:rsid w:val="001839D0"/>
    <w:rsid w:val="00183ED3"/>
    <w:rsid w:val="0018584E"/>
    <w:rsid w:val="00190AA0"/>
    <w:rsid w:val="00191105"/>
    <w:rsid w:val="00191963"/>
    <w:rsid w:val="001923DD"/>
    <w:rsid w:val="00192663"/>
    <w:rsid w:val="00193A8F"/>
    <w:rsid w:val="00193A90"/>
    <w:rsid w:val="001940A6"/>
    <w:rsid w:val="00194E46"/>
    <w:rsid w:val="0019505D"/>
    <w:rsid w:val="0019652E"/>
    <w:rsid w:val="00196CC6"/>
    <w:rsid w:val="001971B6"/>
    <w:rsid w:val="001A0947"/>
    <w:rsid w:val="001A1E3E"/>
    <w:rsid w:val="001A2225"/>
    <w:rsid w:val="001A2299"/>
    <w:rsid w:val="001A24E6"/>
    <w:rsid w:val="001A3A8F"/>
    <w:rsid w:val="001A3F0A"/>
    <w:rsid w:val="001A44B3"/>
    <w:rsid w:val="001A5AF6"/>
    <w:rsid w:val="001A5C84"/>
    <w:rsid w:val="001A6D55"/>
    <w:rsid w:val="001A7951"/>
    <w:rsid w:val="001A7F41"/>
    <w:rsid w:val="001B0469"/>
    <w:rsid w:val="001B06D8"/>
    <w:rsid w:val="001B0FE9"/>
    <w:rsid w:val="001B13C0"/>
    <w:rsid w:val="001B1701"/>
    <w:rsid w:val="001B17B7"/>
    <w:rsid w:val="001B3A89"/>
    <w:rsid w:val="001B3CD0"/>
    <w:rsid w:val="001B41DF"/>
    <w:rsid w:val="001B49BA"/>
    <w:rsid w:val="001B4AF5"/>
    <w:rsid w:val="001B4BB2"/>
    <w:rsid w:val="001B607D"/>
    <w:rsid w:val="001B651C"/>
    <w:rsid w:val="001B6A40"/>
    <w:rsid w:val="001C0469"/>
    <w:rsid w:val="001C0725"/>
    <w:rsid w:val="001C13B5"/>
    <w:rsid w:val="001C20A9"/>
    <w:rsid w:val="001C2764"/>
    <w:rsid w:val="001C2822"/>
    <w:rsid w:val="001C3072"/>
    <w:rsid w:val="001C375E"/>
    <w:rsid w:val="001C3856"/>
    <w:rsid w:val="001C3C24"/>
    <w:rsid w:val="001C3C6A"/>
    <w:rsid w:val="001C3D24"/>
    <w:rsid w:val="001C4182"/>
    <w:rsid w:val="001C4C8D"/>
    <w:rsid w:val="001C4EC0"/>
    <w:rsid w:val="001C5C68"/>
    <w:rsid w:val="001C5DEC"/>
    <w:rsid w:val="001C60B6"/>
    <w:rsid w:val="001C63DB"/>
    <w:rsid w:val="001C7183"/>
    <w:rsid w:val="001C7AEC"/>
    <w:rsid w:val="001D03E5"/>
    <w:rsid w:val="001D0C6A"/>
    <w:rsid w:val="001D175C"/>
    <w:rsid w:val="001D284B"/>
    <w:rsid w:val="001D30E3"/>
    <w:rsid w:val="001D480B"/>
    <w:rsid w:val="001D4A0D"/>
    <w:rsid w:val="001D5183"/>
    <w:rsid w:val="001D52E5"/>
    <w:rsid w:val="001D54C7"/>
    <w:rsid w:val="001D5836"/>
    <w:rsid w:val="001D6B2C"/>
    <w:rsid w:val="001D6DC4"/>
    <w:rsid w:val="001D735D"/>
    <w:rsid w:val="001E0D9E"/>
    <w:rsid w:val="001E106B"/>
    <w:rsid w:val="001E13B9"/>
    <w:rsid w:val="001E419B"/>
    <w:rsid w:val="001E465C"/>
    <w:rsid w:val="001E49D3"/>
    <w:rsid w:val="001E4B4F"/>
    <w:rsid w:val="001E4D05"/>
    <w:rsid w:val="001E4F10"/>
    <w:rsid w:val="001E5999"/>
    <w:rsid w:val="001E5E58"/>
    <w:rsid w:val="001E639C"/>
    <w:rsid w:val="001E6EFD"/>
    <w:rsid w:val="001E7ABA"/>
    <w:rsid w:val="001E7BA2"/>
    <w:rsid w:val="001E7FD8"/>
    <w:rsid w:val="001F00A0"/>
    <w:rsid w:val="001F044D"/>
    <w:rsid w:val="001F06EC"/>
    <w:rsid w:val="001F1785"/>
    <w:rsid w:val="001F1860"/>
    <w:rsid w:val="001F2227"/>
    <w:rsid w:val="001F3300"/>
    <w:rsid w:val="001F36BC"/>
    <w:rsid w:val="001F37D5"/>
    <w:rsid w:val="001F3E9F"/>
    <w:rsid w:val="001F41DE"/>
    <w:rsid w:val="001F51FD"/>
    <w:rsid w:val="001F5677"/>
    <w:rsid w:val="001F59D9"/>
    <w:rsid w:val="001F5C99"/>
    <w:rsid w:val="001F5FE9"/>
    <w:rsid w:val="001F6092"/>
    <w:rsid w:val="001F61B2"/>
    <w:rsid w:val="001F643E"/>
    <w:rsid w:val="001F6984"/>
    <w:rsid w:val="001F6F57"/>
    <w:rsid w:val="001F77D4"/>
    <w:rsid w:val="001F784A"/>
    <w:rsid w:val="001F7D0D"/>
    <w:rsid w:val="0020039A"/>
    <w:rsid w:val="00200B3F"/>
    <w:rsid w:val="0020130A"/>
    <w:rsid w:val="00202033"/>
    <w:rsid w:val="00204442"/>
    <w:rsid w:val="0020452C"/>
    <w:rsid w:val="00205ACC"/>
    <w:rsid w:val="00205D40"/>
    <w:rsid w:val="00206511"/>
    <w:rsid w:val="00206567"/>
    <w:rsid w:val="00206B18"/>
    <w:rsid w:val="00207A16"/>
    <w:rsid w:val="00207DE6"/>
    <w:rsid w:val="00210522"/>
    <w:rsid w:val="00210E4E"/>
    <w:rsid w:val="00210E9F"/>
    <w:rsid w:val="00211526"/>
    <w:rsid w:val="0021225B"/>
    <w:rsid w:val="0021260B"/>
    <w:rsid w:val="002131A3"/>
    <w:rsid w:val="002135DA"/>
    <w:rsid w:val="00213788"/>
    <w:rsid w:val="002142B8"/>
    <w:rsid w:val="0021497C"/>
    <w:rsid w:val="00214DC9"/>
    <w:rsid w:val="00215A56"/>
    <w:rsid w:val="00215FC7"/>
    <w:rsid w:val="002164A6"/>
    <w:rsid w:val="00216B9C"/>
    <w:rsid w:val="002178C2"/>
    <w:rsid w:val="00217A8E"/>
    <w:rsid w:val="00220B64"/>
    <w:rsid w:val="002210FB"/>
    <w:rsid w:val="0022230B"/>
    <w:rsid w:val="002237D8"/>
    <w:rsid w:val="002238EE"/>
    <w:rsid w:val="00223E9F"/>
    <w:rsid w:val="002248D1"/>
    <w:rsid w:val="00224A07"/>
    <w:rsid w:val="00224B73"/>
    <w:rsid w:val="00224F19"/>
    <w:rsid w:val="002257F2"/>
    <w:rsid w:val="00225F64"/>
    <w:rsid w:val="002263C7"/>
    <w:rsid w:val="0022663D"/>
    <w:rsid w:val="002268D8"/>
    <w:rsid w:val="00227060"/>
    <w:rsid w:val="00230209"/>
    <w:rsid w:val="00230443"/>
    <w:rsid w:val="00230898"/>
    <w:rsid w:val="0023094F"/>
    <w:rsid w:val="00230E5C"/>
    <w:rsid w:val="00231758"/>
    <w:rsid w:val="00231994"/>
    <w:rsid w:val="0023259F"/>
    <w:rsid w:val="00232A85"/>
    <w:rsid w:val="00232B70"/>
    <w:rsid w:val="00233C59"/>
    <w:rsid w:val="00233DDB"/>
    <w:rsid w:val="00234582"/>
    <w:rsid w:val="002345A2"/>
    <w:rsid w:val="00234F83"/>
    <w:rsid w:val="00235614"/>
    <w:rsid w:val="002356E9"/>
    <w:rsid w:val="002358D0"/>
    <w:rsid w:val="002359C1"/>
    <w:rsid w:val="00235F8D"/>
    <w:rsid w:val="00236FA1"/>
    <w:rsid w:val="00237835"/>
    <w:rsid w:val="0023783F"/>
    <w:rsid w:val="002401E8"/>
    <w:rsid w:val="002409A2"/>
    <w:rsid w:val="00240C56"/>
    <w:rsid w:val="00240E39"/>
    <w:rsid w:val="002418A3"/>
    <w:rsid w:val="00241C54"/>
    <w:rsid w:val="00241FB9"/>
    <w:rsid w:val="00242D25"/>
    <w:rsid w:val="00242F76"/>
    <w:rsid w:val="00243DCC"/>
    <w:rsid w:val="00244115"/>
    <w:rsid w:val="00244412"/>
    <w:rsid w:val="002458C7"/>
    <w:rsid w:val="00245D4D"/>
    <w:rsid w:val="0024650D"/>
    <w:rsid w:val="00247C5A"/>
    <w:rsid w:val="00247D53"/>
    <w:rsid w:val="0025047F"/>
    <w:rsid w:val="00251119"/>
    <w:rsid w:val="00251301"/>
    <w:rsid w:val="002519C8"/>
    <w:rsid w:val="002523D4"/>
    <w:rsid w:val="00252570"/>
    <w:rsid w:val="00252A54"/>
    <w:rsid w:val="00253CB3"/>
    <w:rsid w:val="00254881"/>
    <w:rsid w:val="00255212"/>
    <w:rsid w:val="002556CC"/>
    <w:rsid w:val="00255903"/>
    <w:rsid w:val="002563F5"/>
    <w:rsid w:val="00256613"/>
    <w:rsid w:val="00256875"/>
    <w:rsid w:val="00256C31"/>
    <w:rsid w:val="00260838"/>
    <w:rsid w:val="00260840"/>
    <w:rsid w:val="00260862"/>
    <w:rsid w:val="00260BFE"/>
    <w:rsid w:val="0026307F"/>
    <w:rsid w:val="00263603"/>
    <w:rsid w:val="0026391D"/>
    <w:rsid w:val="00263D0C"/>
    <w:rsid w:val="002651B6"/>
    <w:rsid w:val="002656C2"/>
    <w:rsid w:val="00265B69"/>
    <w:rsid w:val="00267476"/>
    <w:rsid w:val="002674A0"/>
    <w:rsid w:val="002701C0"/>
    <w:rsid w:val="0027027D"/>
    <w:rsid w:val="00270C7B"/>
    <w:rsid w:val="00270DAE"/>
    <w:rsid w:val="00270EAF"/>
    <w:rsid w:val="002716F4"/>
    <w:rsid w:val="00272058"/>
    <w:rsid w:val="00272315"/>
    <w:rsid w:val="00272C16"/>
    <w:rsid w:val="00272CC8"/>
    <w:rsid w:val="0027348B"/>
    <w:rsid w:val="0027411F"/>
    <w:rsid w:val="00274553"/>
    <w:rsid w:val="00274FDA"/>
    <w:rsid w:val="00275B63"/>
    <w:rsid w:val="00275D8D"/>
    <w:rsid w:val="00276405"/>
    <w:rsid w:val="00276D53"/>
    <w:rsid w:val="00276EEF"/>
    <w:rsid w:val="00277A32"/>
    <w:rsid w:val="00280016"/>
    <w:rsid w:val="00280058"/>
    <w:rsid w:val="00280127"/>
    <w:rsid w:val="00280A4C"/>
    <w:rsid w:val="00280FFC"/>
    <w:rsid w:val="002811A4"/>
    <w:rsid w:val="002813FD"/>
    <w:rsid w:val="002818A4"/>
    <w:rsid w:val="002838B1"/>
    <w:rsid w:val="00283BE3"/>
    <w:rsid w:val="002840CD"/>
    <w:rsid w:val="00284772"/>
    <w:rsid w:val="00285BA4"/>
    <w:rsid w:val="00285CE9"/>
    <w:rsid w:val="002866CF"/>
    <w:rsid w:val="0028713F"/>
    <w:rsid w:val="002878F6"/>
    <w:rsid w:val="00287BC0"/>
    <w:rsid w:val="00290376"/>
    <w:rsid w:val="00290689"/>
    <w:rsid w:val="00290EB8"/>
    <w:rsid w:val="00290F9F"/>
    <w:rsid w:val="0029139E"/>
    <w:rsid w:val="0029157D"/>
    <w:rsid w:val="0029181F"/>
    <w:rsid w:val="00292041"/>
    <w:rsid w:val="00292BC6"/>
    <w:rsid w:val="00293204"/>
    <w:rsid w:val="0029321A"/>
    <w:rsid w:val="00293654"/>
    <w:rsid w:val="00294638"/>
    <w:rsid w:val="0029552A"/>
    <w:rsid w:val="002A1569"/>
    <w:rsid w:val="002A1F04"/>
    <w:rsid w:val="002A2536"/>
    <w:rsid w:val="002A2BE4"/>
    <w:rsid w:val="002A32CA"/>
    <w:rsid w:val="002A3886"/>
    <w:rsid w:val="002A3C61"/>
    <w:rsid w:val="002A4D75"/>
    <w:rsid w:val="002A53E7"/>
    <w:rsid w:val="002A576D"/>
    <w:rsid w:val="002A606D"/>
    <w:rsid w:val="002A6510"/>
    <w:rsid w:val="002A6BA9"/>
    <w:rsid w:val="002A70C3"/>
    <w:rsid w:val="002A7A53"/>
    <w:rsid w:val="002B09C9"/>
    <w:rsid w:val="002B0A10"/>
    <w:rsid w:val="002B0C63"/>
    <w:rsid w:val="002B0DD9"/>
    <w:rsid w:val="002B1E77"/>
    <w:rsid w:val="002B1F52"/>
    <w:rsid w:val="002B204F"/>
    <w:rsid w:val="002B400B"/>
    <w:rsid w:val="002B4E42"/>
    <w:rsid w:val="002B594C"/>
    <w:rsid w:val="002B60A9"/>
    <w:rsid w:val="002B6108"/>
    <w:rsid w:val="002B6470"/>
    <w:rsid w:val="002C025E"/>
    <w:rsid w:val="002C04DD"/>
    <w:rsid w:val="002C12CB"/>
    <w:rsid w:val="002C1601"/>
    <w:rsid w:val="002C20EB"/>
    <w:rsid w:val="002C256F"/>
    <w:rsid w:val="002C2968"/>
    <w:rsid w:val="002C3B82"/>
    <w:rsid w:val="002C47A2"/>
    <w:rsid w:val="002C49E5"/>
    <w:rsid w:val="002C6024"/>
    <w:rsid w:val="002C6638"/>
    <w:rsid w:val="002C67CE"/>
    <w:rsid w:val="002C7030"/>
    <w:rsid w:val="002C7AE0"/>
    <w:rsid w:val="002D0446"/>
    <w:rsid w:val="002D088D"/>
    <w:rsid w:val="002D188F"/>
    <w:rsid w:val="002D1F31"/>
    <w:rsid w:val="002D1FD0"/>
    <w:rsid w:val="002D244B"/>
    <w:rsid w:val="002D37FB"/>
    <w:rsid w:val="002D46ED"/>
    <w:rsid w:val="002D474F"/>
    <w:rsid w:val="002D4CC1"/>
    <w:rsid w:val="002D4CDE"/>
    <w:rsid w:val="002D7697"/>
    <w:rsid w:val="002D7ED0"/>
    <w:rsid w:val="002D7F83"/>
    <w:rsid w:val="002E14FC"/>
    <w:rsid w:val="002E1966"/>
    <w:rsid w:val="002E2081"/>
    <w:rsid w:val="002E21E7"/>
    <w:rsid w:val="002E3C01"/>
    <w:rsid w:val="002E535B"/>
    <w:rsid w:val="002E5596"/>
    <w:rsid w:val="002E61A1"/>
    <w:rsid w:val="002E629E"/>
    <w:rsid w:val="002E68BF"/>
    <w:rsid w:val="002E6909"/>
    <w:rsid w:val="002E72EF"/>
    <w:rsid w:val="002E74A2"/>
    <w:rsid w:val="002E7A5C"/>
    <w:rsid w:val="002F06CB"/>
    <w:rsid w:val="002F0E7B"/>
    <w:rsid w:val="002F2BAF"/>
    <w:rsid w:val="002F380F"/>
    <w:rsid w:val="002F5127"/>
    <w:rsid w:val="002F5B26"/>
    <w:rsid w:val="002F60CA"/>
    <w:rsid w:val="002F6682"/>
    <w:rsid w:val="002F6B98"/>
    <w:rsid w:val="002F7380"/>
    <w:rsid w:val="002F752F"/>
    <w:rsid w:val="00300FF4"/>
    <w:rsid w:val="003017F7"/>
    <w:rsid w:val="00302148"/>
    <w:rsid w:val="003028C4"/>
    <w:rsid w:val="00302BD1"/>
    <w:rsid w:val="00302F74"/>
    <w:rsid w:val="00303868"/>
    <w:rsid w:val="00303D27"/>
    <w:rsid w:val="003043A9"/>
    <w:rsid w:val="003044F9"/>
    <w:rsid w:val="0030515E"/>
    <w:rsid w:val="003051B1"/>
    <w:rsid w:val="00305A6F"/>
    <w:rsid w:val="003066FD"/>
    <w:rsid w:val="00306810"/>
    <w:rsid w:val="0030734E"/>
    <w:rsid w:val="00307465"/>
    <w:rsid w:val="0030769D"/>
    <w:rsid w:val="00307D8D"/>
    <w:rsid w:val="00307FA1"/>
    <w:rsid w:val="00310381"/>
    <w:rsid w:val="003105D7"/>
    <w:rsid w:val="00310788"/>
    <w:rsid w:val="003112C5"/>
    <w:rsid w:val="00311EE9"/>
    <w:rsid w:val="003128C5"/>
    <w:rsid w:val="00313A41"/>
    <w:rsid w:val="00313F07"/>
    <w:rsid w:val="003144BA"/>
    <w:rsid w:val="003203E9"/>
    <w:rsid w:val="003204A9"/>
    <w:rsid w:val="0032057B"/>
    <w:rsid w:val="00320BE8"/>
    <w:rsid w:val="00320E9D"/>
    <w:rsid w:val="0032111C"/>
    <w:rsid w:val="00321838"/>
    <w:rsid w:val="00322648"/>
    <w:rsid w:val="003231EF"/>
    <w:rsid w:val="00323252"/>
    <w:rsid w:val="00324831"/>
    <w:rsid w:val="00324A27"/>
    <w:rsid w:val="00325AEC"/>
    <w:rsid w:val="00325FB1"/>
    <w:rsid w:val="003265AA"/>
    <w:rsid w:val="0032669C"/>
    <w:rsid w:val="00327745"/>
    <w:rsid w:val="00330295"/>
    <w:rsid w:val="0033068E"/>
    <w:rsid w:val="00330B74"/>
    <w:rsid w:val="003311E3"/>
    <w:rsid w:val="00332757"/>
    <w:rsid w:val="00332C26"/>
    <w:rsid w:val="00332DBD"/>
    <w:rsid w:val="00332E3E"/>
    <w:rsid w:val="003333A4"/>
    <w:rsid w:val="003337C3"/>
    <w:rsid w:val="00333C07"/>
    <w:rsid w:val="00333C84"/>
    <w:rsid w:val="00335B55"/>
    <w:rsid w:val="003367EE"/>
    <w:rsid w:val="00336C16"/>
    <w:rsid w:val="00336DC1"/>
    <w:rsid w:val="00337064"/>
    <w:rsid w:val="003372A3"/>
    <w:rsid w:val="00337A68"/>
    <w:rsid w:val="00337DA7"/>
    <w:rsid w:val="00341747"/>
    <w:rsid w:val="00341F0F"/>
    <w:rsid w:val="00342BFB"/>
    <w:rsid w:val="00343038"/>
    <w:rsid w:val="00343665"/>
    <w:rsid w:val="00343824"/>
    <w:rsid w:val="00345C31"/>
    <w:rsid w:val="0034745A"/>
    <w:rsid w:val="00347623"/>
    <w:rsid w:val="0034796F"/>
    <w:rsid w:val="00347D22"/>
    <w:rsid w:val="00350C27"/>
    <w:rsid w:val="00350C5B"/>
    <w:rsid w:val="00351DC3"/>
    <w:rsid w:val="00352AC6"/>
    <w:rsid w:val="00352DDF"/>
    <w:rsid w:val="00352E8A"/>
    <w:rsid w:val="00353242"/>
    <w:rsid w:val="0035358E"/>
    <w:rsid w:val="00353E18"/>
    <w:rsid w:val="00354704"/>
    <w:rsid w:val="00354FB3"/>
    <w:rsid w:val="003556B1"/>
    <w:rsid w:val="003560CE"/>
    <w:rsid w:val="003564CF"/>
    <w:rsid w:val="003574B9"/>
    <w:rsid w:val="00357DDF"/>
    <w:rsid w:val="00360E4A"/>
    <w:rsid w:val="003617A8"/>
    <w:rsid w:val="00361835"/>
    <w:rsid w:val="00361850"/>
    <w:rsid w:val="0036191D"/>
    <w:rsid w:val="00361F6D"/>
    <w:rsid w:val="0036297B"/>
    <w:rsid w:val="00362FA8"/>
    <w:rsid w:val="0036390E"/>
    <w:rsid w:val="003640CE"/>
    <w:rsid w:val="0036438C"/>
    <w:rsid w:val="00364397"/>
    <w:rsid w:val="003652F3"/>
    <w:rsid w:val="003659B7"/>
    <w:rsid w:val="00365B93"/>
    <w:rsid w:val="003661E1"/>
    <w:rsid w:val="0037028F"/>
    <w:rsid w:val="00370E6D"/>
    <w:rsid w:val="0037266E"/>
    <w:rsid w:val="00372767"/>
    <w:rsid w:val="00373145"/>
    <w:rsid w:val="0037323F"/>
    <w:rsid w:val="0037332F"/>
    <w:rsid w:val="003736DD"/>
    <w:rsid w:val="00374200"/>
    <w:rsid w:val="003744F0"/>
    <w:rsid w:val="00375BA0"/>
    <w:rsid w:val="00376196"/>
    <w:rsid w:val="00376E87"/>
    <w:rsid w:val="00377EBA"/>
    <w:rsid w:val="00380C4D"/>
    <w:rsid w:val="00381237"/>
    <w:rsid w:val="00381BAC"/>
    <w:rsid w:val="0038288C"/>
    <w:rsid w:val="003835E8"/>
    <w:rsid w:val="00383B9E"/>
    <w:rsid w:val="00383C2C"/>
    <w:rsid w:val="003840D2"/>
    <w:rsid w:val="00384869"/>
    <w:rsid w:val="003849D3"/>
    <w:rsid w:val="00384EE7"/>
    <w:rsid w:val="00386440"/>
    <w:rsid w:val="00386C76"/>
    <w:rsid w:val="00390087"/>
    <w:rsid w:val="00390E64"/>
    <w:rsid w:val="00391AF8"/>
    <w:rsid w:val="00391CE6"/>
    <w:rsid w:val="00391E5A"/>
    <w:rsid w:val="0039247F"/>
    <w:rsid w:val="00392701"/>
    <w:rsid w:val="00392908"/>
    <w:rsid w:val="00393B1A"/>
    <w:rsid w:val="00394EBB"/>
    <w:rsid w:val="00395495"/>
    <w:rsid w:val="00395646"/>
    <w:rsid w:val="00397955"/>
    <w:rsid w:val="003A0189"/>
    <w:rsid w:val="003A0690"/>
    <w:rsid w:val="003A06D0"/>
    <w:rsid w:val="003A1581"/>
    <w:rsid w:val="003A1AA1"/>
    <w:rsid w:val="003A2453"/>
    <w:rsid w:val="003A377A"/>
    <w:rsid w:val="003A3DA3"/>
    <w:rsid w:val="003A3E4F"/>
    <w:rsid w:val="003A415D"/>
    <w:rsid w:val="003A43B0"/>
    <w:rsid w:val="003A67EA"/>
    <w:rsid w:val="003A6D60"/>
    <w:rsid w:val="003A73FC"/>
    <w:rsid w:val="003B0189"/>
    <w:rsid w:val="003B1015"/>
    <w:rsid w:val="003B14D8"/>
    <w:rsid w:val="003B165A"/>
    <w:rsid w:val="003B183B"/>
    <w:rsid w:val="003B242C"/>
    <w:rsid w:val="003B26D6"/>
    <w:rsid w:val="003B50ED"/>
    <w:rsid w:val="003B53C4"/>
    <w:rsid w:val="003B5D8E"/>
    <w:rsid w:val="003B6539"/>
    <w:rsid w:val="003B7BB2"/>
    <w:rsid w:val="003C0878"/>
    <w:rsid w:val="003C0B0D"/>
    <w:rsid w:val="003C0F55"/>
    <w:rsid w:val="003C27A6"/>
    <w:rsid w:val="003C45BF"/>
    <w:rsid w:val="003C5DAD"/>
    <w:rsid w:val="003C5DFE"/>
    <w:rsid w:val="003C69AC"/>
    <w:rsid w:val="003C6E00"/>
    <w:rsid w:val="003C6EB5"/>
    <w:rsid w:val="003C6ED8"/>
    <w:rsid w:val="003C7AA1"/>
    <w:rsid w:val="003C7B84"/>
    <w:rsid w:val="003D0F15"/>
    <w:rsid w:val="003D15DE"/>
    <w:rsid w:val="003D1A3A"/>
    <w:rsid w:val="003D1A96"/>
    <w:rsid w:val="003D1E6F"/>
    <w:rsid w:val="003D2247"/>
    <w:rsid w:val="003D2A3C"/>
    <w:rsid w:val="003D3348"/>
    <w:rsid w:val="003D3EC5"/>
    <w:rsid w:val="003D4197"/>
    <w:rsid w:val="003D4F58"/>
    <w:rsid w:val="003D55FC"/>
    <w:rsid w:val="003D59AE"/>
    <w:rsid w:val="003D5B40"/>
    <w:rsid w:val="003D6309"/>
    <w:rsid w:val="003D63FC"/>
    <w:rsid w:val="003D6E8A"/>
    <w:rsid w:val="003D7208"/>
    <w:rsid w:val="003E0D3C"/>
    <w:rsid w:val="003E1BAF"/>
    <w:rsid w:val="003E1E7C"/>
    <w:rsid w:val="003E2438"/>
    <w:rsid w:val="003E3A3B"/>
    <w:rsid w:val="003E4432"/>
    <w:rsid w:val="003E470D"/>
    <w:rsid w:val="003E4E3B"/>
    <w:rsid w:val="003E5BA2"/>
    <w:rsid w:val="003E5FC4"/>
    <w:rsid w:val="003E6664"/>
    <w:rsid w:val="003E68D4"/>
    <w:rsid w:val="003E691C"/>
    <w:rsid w:val="003E7034"/>
    <w:rsid w:val="003E7AE1"/>
    <w:rsid w:val="003F020C"/>
    <w:rsid w:val="003F2144"/>
    <w:rsid w:val="003F2183"/>
    <w:rsid w:val="003F2D79"/>
    <w:rsid w:val="003F3389"/>
    <w:rsid w:val="003F33B5"/>
    <w:rsid w:val="003F380F"/>
    <w:rsid w:val="003F381B"/>
    <w:rsid w:val="003F3AA6"/>
    <w:rsid w:val="003F46D5"/>
    <w:rsid w:val="003F4BF7"/>
    <w:rsid w:val="003F690B"/>
    <w:rsid w:val="003F6B20"/>
    <w:rsid w:val="003F74A4"/>
    <w:rsid w:val="003F7B94"/>
    <w:rsid w:val="00400E38"/>
    <w:rsid w:val="004012BA"/>
    <w:rsid w:val="00401506"/>
    <w:rsid w:val="00402379"/>
    <w:rsid w:val="004023FF"/>
    <w:rsid w:val="00403C00"/>
    <w:rsid w:val="00403DD4"/>
    <w:rsid w:val="004040AF"/>
    <w:rsid w:val="004054A1"/>
    <w:rsid w:val="004060D3"/>
    <w:rsid w:val="00406B8D"/>
    <w:rsid w:val="00407EB4"/>
    <w:rsid w:val="0041075A"/>
    <w:rsid w:val="004110D8"/>
    <w:rsid w:val="00411776"/>
    <w:rsid w:val="00412266"/>
    <w:rsid w:val="00412C7F"/>
    <w:rsid w:val="0041535C"/>
    <w:rsid w:val="00415ADA"/>
    <w:rsid w:val="004164C4"/>
    <w:rsid w:val="00416993"/>
    <w:rsid w:val="00416D80"/>
    <w:rsid w:val="00417349"/>
    <w:rsid w:val="004174A5"/>
    <w:rsid w:val="004202B3"/>
    <w:rsid w:val="00421311"/>
    <w:rsid w:val="00421574"/>
    <w:rsid w:val="00422141"/>
    <w:rsid w:val="00422F7C"/>
    <w:rsid w:val="004231CE"/>
    <w:rsid w:val="004235CF"/>
    <w:rsid w:val="00423FB2"/>
    <w:rsid w:val="0042455A"/>
    <w:rsid w:val="00424E53"/>
    <w:rsid w:val="004255D8"/>
    <w:rsid w:val="0042581D"/>
    <w:rsid w:val="004258D3"/>
    <w:rsid w:val="00426E3C"/>
    <w:rsid w:val="0042786A"/>
    <w:rsid w:val="00430159"/>
    <w:rsid w:val="0043034C"/>
    <w:rsid w:val="0043040C"/>
    <w:rsid w:val="004329A3"/>
    <w:rsid w:val="004329EE"/>
    <w:rsid w:val="004333AD"/>
    <w:rsid w:val="00434148"/>
    <w:rsid w:val="00434C94"/>
    <w:rsid w:val="00434ED1"/>
    <w:rsid w:val="00434EE8"/>
    <w:rsid w:val="00435CE6"/>
    <w:rsid w:val="00436E30"/>
    <w:rsid w:val="00436FDC"/>
    <w:rsid w:val="00437AC4"/>
    <w:rsid w:val="004408A4"/>
    <w:rsid w:val="00440ED7"/>
    <w:rsid w:val="00440FFF"/>
    <w:rsid w:val="00441606"/>
    <w:rsid w:val="0044180E"/>
    <w:rsid w:val="0044207F"/>
    <w:rsid w:val="0044356A"/>
    <w:rsid w:val="00443DDD"/>
    <w:rsid w:val="00444375"/>
    <w:rsid w:val="00444AE6"/>
    <w:rsid w:val="00444F0B"/>
    <w:rsid w:val="004456F5"/>
    <w:rsid w:val="00445E51"/>
    <w:rsid w:val="00446A41"/>
    <w:rsid w:val="00446A6A"/>
    <w:rsid w:val="00446BD3"/>
    <w:rsid w:val="00447111"/>
    <w:rsid w:val="00447E9E"/>
    <w:rsid w:val="00447EB9"/>
    <w:rsid w:val="004512CA"/>
    <w:rsid w:val="004517DE"/>
    <w:rsid w:val="00451BC7"/>
    <w:rsid w:val="004521B7"/>
    <w:rsid w:val="00452726"/>
    <w:rsid w:val="004527AD"/>
    <w:rsid w:val="00452A08"/>
    <w:rsid w:val="00452B9E"/>
    <w:rsid w:val="00452BC7"/>
    <w:rsid w:val="00452EAD"/>
    <w:rsid w:val="004530C1"/>
    <w:rsid w:val="00453D8D"/>
    <w:rsid w:val="00453F15"/>
    <w:rsid w:val="00454050"/>
    <w:rsid w:val="00454AD7"/>
    <w:rsid w:val="00454E2F"/>
    <w:rsid w:val="00455941"/>
    <w:rsid w:val="004569E3"/>
    <w:rsid w:val="00460265"/>
    <w:rsid w:val="004623B7"/>
    <w:rsid w:val="00462E8B"/>
    <w:rsid w:val="00463020"/>
    <w:rsid w:val="00463247"/>
    <w:rsid w:val="00463674"/>
    <w:rsid w:val="0046377D"/>
    <w:rsid w:val="00464B1C"/>
    <w:rsid w:val="00465277"/>
    <w:rsid w:val="004659B5"/>
    <w:rsid w:val="00465E52"/>
    <w:rsid w:val="00466057"/>
    <w:rsid w:val="004667DC"/>
    <w:rsid w:val="00466A70"/>
    <w:rsid w:val="00467B8E"/>
    <w:rsid w:val="00467D71"/>
    <w:rsid w:val="004700B3"/>
    <w:rsid w:val="0047088B"/>
    <w:rsid w:val="00470AB9"/>
    <w:rsid w:val="00471B2C"/>
    <w:rsid w:val="00473309"/>
    <w:rsid w:val="004733EA"/>
    <w:rsid w:val="00473859"/>
    <w:rsid w:val="004739C8"/>
    <w:rsid w:val="0047468E"/>
    <w:rsid w:val="004756CD"/>
    <w:rsid w:val="004756D1"/>
    <w:rsid w:val="004756DC"/>
    <w:rsid w:val="004762A5"/>
    <w:rsid w:val="00477468"/>
    <w:rsid w:val="00482A82"/>
    <w:rsid w:val="004830E7"/>
    <w:rsid w:val="00483690"/>
    <w:rsid w:val="004838BF"/>
    <w:rsid w:val="004841C7"/>
    <w:rsid w:val="00484327"/>
    <w:rsid w:val="004848F6"/>
    <w:rsid w:val="00484932"/>
    <w:rsid w:val="00484C8D"/>
    <w:rsid w:val="00484CAC"/>
    <w:rsid w:val="00484FFB"/>
    <w:rsid w:val="004856D9"/>
    <w:rsid w:val="00485E21"/>
    <w:rsid w:val="00486F4A"/>
    <w:rsid w:val="004872A4"/>
    <w:rsid w:val="0049016D"/>
    <w:rsid w:val="00490235"/>
    <w:rsid w:val="004902E7"/>
    <w:rsid w:val="0049073E"/>
    <w:rsid w:val="00490E89"/>
    <w:rsid w:val="0049155C"/>
    <w:rsid w:val="004920C0"/>
    <w:rsid w:val="00492193"/>
    <w:rsid w:val="004926C3"/>
    <w:rsid w:val="00492A9B"/>
    <w:rsid w:val="0049316B"/>
    <w:rsid w:val="00493FCD"/>
    <w:rsid w:val="0049481D"/>
    <w:rsid w:val="00494D1D"/>
    <w:rsid w:val="00494DA1"/>
    <w:rsid w:val="00495057"/>
    <w:rsid w:val="004951AB"/>
    <w:rsid w:val="00496433"/>
    <w:rsid w:val="00496AF7"/>
    <w:rsid w:val="004A00F8"/>
    <w:rsid w:val="004A014B"/>
    <w:rsid w:val="004A0A6B"/>
    <w:rsid w:val="004A1595"/>
    <w:rsid w:val="004A2480"/>
    <w:rsid w:val="004A263A"/>
    <w:rsid w:val="004A37BC"/>
    <w:rsid w:val="004A3C5D"/>
    <w:rsid w:val="004A5C4C"/>
    <w:rsid w:val="004A6653"/>
    <w:rsid w:val="004A7E25"/>
    <w:rsid w:val="004B014F"/>
    <w:rsid w:val="004B053B"/>
    <w:rsid w:val="004B09E0"/>
    <w:rsid w:val="004B109C"/>
    <w:rsid w:val="004B21E6"/>
    <w:rsid w:val="004B2E74"/>
    <w:rsid w:val="004B3BBF"/>
    <w:rsid w:val="004B3D22"/>
    <w:rsid w:val="004B3D85"/>
    <w:rsid w:val="004B43E6"/>
    <w:rsid w:val="004B5341"/>
    <w:rsid w:val="004B5E13"/>
    <w:rsid w:val="004B6350"/>
    <w:rsid w:val="004B6D30"/>
    <w:rsid w:val="004B75FE"/>
    <w:rsid w:val="004B7B63"/>
    <w:rsid w:val="004C054B"/>
    <w:rsid w:val="004C0BB8"/>
    <w:rsid w:val="004C13F5"/>
    <w:rsid w:val="004C1BB5"/>
    <w:rsid w:val="004C1C3C"/>
    <w:rsid w:val="004C1CFA"/>
    <w:rsid w:val="004C2001"/>
    <w:rsid w:val="004C2EB2"/>
    <w:rsid w:val="004C31BA"/>
    <w:rsid w:val="004C3717"/>
    <w:rsid w:val="004C3E40"/>
    <w:rsid w:val="004C4604"/>
    <w:rsid w:val="004C46A8"/>
    <w:rsid w:val="004C4F8D"/>
    <w:rsid w:val="004C583F"/>
    <w:rsid w:val="004C6009"/>
    <w:rsid w:val="004C6EEA"/>
    <w:rsid w:val="004D1FC7"/>
    <w:rsid w:val="004D20FD"/>
    <w:rsid w:val="004D32B6"/>
    <w:rsid w:val="004D45B4"/>
    <w:rsid w:val="004D4678"/>
    <w:rsid w:val="004D4726"/>
    <w:rsid w:val="004D48BC"/>
    <w:rsid w:val="004D5019"/>
    <w:rsid w:val="004D6574"/>
    <w:rsid w:val="004D682B"/>
    <w:rsid w:val="004D6DF4"/>
    <w:rsid w:val="004D7D62"/>
    <w:rsid w:val="004E1240"/>
    <w:rsid w:val="004E141A"/>
    <w:rsid w:val="004E31A8"/>
    <w:rsid w:val="004E3624"/>
    <w:rsid w:val="004E3657"/>
    <w:rsid w:val="004E3FB1"/>
    <w:rsid w:val="004E48C5"/>
    <w:rsid w:val="004E4B87"/>
    <w:rsid w:val="004E6F0B"/>
    <w:rsid w:val="004E7AD5"/>
    <w:rsid w:val="004E7C25"/>
    <w:rsid w:val="004F0CC9"/>
    <w:rsid w:val="004F2649"/>
    <w:rsid w:val="004F374D"/>
    <w:rsid w:val="004F3A7E"/>
    <w:rsid w:val="004F5571"/>
    <w:rsid w:val="004F5AD0"/>
    <w:rsid w:val="004F7025"/>
    <w:rsid w:val="004F732A"/>
    <w:rsid w:val="004F7783"/>
    <w:rsid w:val="00501286"/>
    <w:rsid w:val="00501658"/>
    <w:rsid w:val="00502597"/>
    <w:rsid w:val="0050274C"/>
    <w:rsid w:val="005038C1"/>
    <w:rsid w:val="00503B8D"/>
    <w:rsid w:val="00503D99"/>
    <w:rsid w:val="0050414C"/>
    <w:rsid w:val="005041D3"/>
    <w:rsid w:val="005041F4"/>
    <w:rsid w:val="00505F82"/>
    <w:rsid w:val="0050613B"/>
    <w:rsid w:val="00506FE0"/>
    <w:rsid w:val="00507148"/>
    <w:rsid w:val="005071E7"/>
    <w:rsid w:val="005075A3"/>
    <w:rsid w:val="00507A48"/>
    <w:rsid w:val="00507C7A"/>
    <w:rsid w:val="00510258"/>
    <w:rsid w:val="005103AC"/>
    <w:rsid w:val="0051111D"/>
    <w:rsid w:val="0051166B"/>
    <w:rsid w:val="00511C75"/>
    <w:rsid w:val="0051289E"/>
    <w:rsid w:val="00512A69"/>
    <w:rsid w:val="00512B6B"/>
    <w:rsid w:val="00513E18"/>
    <w:rsid w:val="00514FA5"/>
    <w:rsid w:val="0051536F"/>
    <w:rsid w:val="00515F52"/>
    <w:rsid w:val="005168E5"/>
    <w:rsid w:val="00516F84"/>
    <w:rsid w:val="00517099"/>
    <w:rsid w:val="005170BD"/>
    <w:rsid w:val="0051751A"/>
    <w:rsid w:val="00517619"/>
    <w:rsid w:val="00517E65"/>
    <w:rsid w:val="00520021"/>
    <w:rsid w:val="005222DA"/>
    <w:rsid w:val="005225B2"/>
    <w:rsid w:val="00522C86"/>
    <w:rsid w:val="00524091"/>
    <w:rsid w:val="005257DC"/>
    <w:rsid w:val="00526F8A"/>
    <w:rsid w:val="00527059"/>
    <w:rsid w:val="005271EB"/>
    <w:rsid w:val="005271F8"/>
    <w:rsid w:val="00530723"/>
    <w:rsid w:val="00532FD3"/>
    <w:rsid w:val="00533727"/>
    <w:rsid w:val="00533EA3"/>
    <w:rsid w:val="005340FB"/>
    <w:rsid w:val="00534790"/>
    <w:rsid w:val="005349A7"/>
    <w:rsid w:val="0053513F"/>
    <w:rsid w:val="00535C12"/>
    <w:rsid w:val="005367CC"/>
    <w:rsid w:val="0053708C"/>
    <w:rsid w:val="0053719D"/>
    <w:rsid w:val="005373FF"/>
    <w:rsid w:val="005376EE"/>
    <w:rsid w:val="00541073"/>
    <w:rsid w:val="005410F8"/>
    <w:rsid w:val="00541674"/>
    <w:rsid w:val="005422D8"/>
    <w:rsid w:val="005436B2"/>
    <w:rsid w:val="00543761"/>
    <w:rsid w:val="00543796"/>
    <w:rsid w:val="00545CB1"/>
    <w:rsid w:val="0054662E"/>
    <w:rsid w:val="00546927"/>
    <w:rsid w:val="00547132"/>
    <w:rsid w:val="0054716E"/>
    <w:rsid w:val="00547662"/>
    <w:rsid w:val="005477F1"/>
    <w:rsid w:val="005479F3"/>
    <w:rsid w:val="00547DFE"/>
    <w:rsid w:val="0055028B"/>
    <w:rsid w:val="0055077D"/>
    <w:rsid w:val="00550D9B"/>
    <w:rsid w:val="00551291"/>
    <w:rsid w:val="00551691"/>
    <w:rsid w:val="00552343"/>
    <w:rsid w:val="00552BCE"/>
    <w:rsid w:val="00552C2C"/>
    <w:rsid w:val="00553854"/>
    <w:rsid w:val="00553C35"/>
    <w:rsid w:val="005545F2"/>
    <w:rsid w:val="005546F7"/>
    <w:rsid w:val="005553E6"/>
    <w:rsid w:val="00555750"/>
    <w:rsid w:val="00555882"/>
    <w:rsid w:val="00555B55"/>
    <w:rsid w:val="00556F15"/>
    <w:rsid w:val="00557736"/>
    <w:rsid w:val="005606CE"/>
    <w:rsid w:val="005608C0"/>
    <w:rsid w:val="0056099B"/>
    <w:rsid w:val="00561CE4"/>
    <w:rsid w:val="00561ECA"/>
    <w:rsid w:val="005624C3"/>
    <w:rsid w:val="00562EF0"/>
    <w:rsid w:val="00562FAA"/>
    <w:rsid w:val="00564A13"/>
    <w:rsid w:val="00565333"/>
    <w:rsid w:val="0056546F"/>
    <w:rsid w:val="0056771B"/>
    <w:rsid w:val="00570CB2"/>
    <w:rsid w:val="00571034"/>
    <w:rsid w:val="00571E05"/>
    <w:rsid w:val="00572C44"/>
    <w:rsid w:val="00573849"/>
    <w:rsid w:val="005743FF"/>
    <w:rsid w:val="005755D3"/>
    <w:rsid w:val="00575FB0"/>
    <w:rsid w:val="005762FE"/>
    <w:rsid w:val="005764F4"/>
    <w:rsid w:val="00580C15"/>
    <w:rsid w:val="005816CE"/>
    <w:rsid w:val="00582143"/>
    <w:rsid w:val="00582D38"/>
    <w:rsid w:val="00583EB1"/>
    <w:rsid w:val="0058421A"/>
    <w:rsid w:val="0058437E"/>
    <w:rsid w:val="00584D99"/>
    <w:rsid w:val="005854FE"/>
    <w:rsid w:val="00585A05"/>
    <w:rsid w:val="00585E78"/>
    <w:rsid w:val="00586181"/>
    <w:rsid w:val="00586DB4"/>
    <w:rsid w:val="00587146"/>
    <w:rsid w:val="00587A9E"/>
    <w:rsid w:val="00587E8D"/>
    <w:rsid w:val="00590AFD"/>
    <w:rsid w:val="00590B57"/>
    <w:rsid w:val="00591644"/>
    <w:rsid w:val="005918F6"/>
    <w:rsid w:val="00591E4C"/>
    <w:rsid w:val="00591F98"/>
    <w:rsid w:val="005924F7"/>
    <w:rsid w:val="00592775"/>
    <w:rsid w:val="00592921"/>
    <w:rsid w:val="00592E49"/>
    <w:rsid w:val="00593443"/>
    <w:rsid w:val="00593556"/>
    <w:rsid w:val="005948D3"/>
    <w:rsid w:val="00594D44"/>
    <w:rsid w:val="00595C38"/>
    <w:rsid w:val="005968BF"/>
    <w:rsid w:val="00596CFC"/>
    <w:rsid w:val="005A0219"/>
    <w:rsid w:val="005A0765"/>
    <w:rsid w:val="005A0C26"/>
    <w:rsid w:val="005A10AB"/>
    <w:rsid w:val="005A110E"/>
    <w:rsid w:val="005A15CD"/>
    <w:rsid w:val="005A1A99"/>
    <w:rsid w:val="005A206F"/>
    <w:rsid w:val="005A21CE"/>
    <w:rsid w:val="005A2F0E"/>
    <w:rsid w:val="005A3125"/>
    <w:rsid w:val="005A3366"/>
    <w:rsid w:val="005A432A"/>
    <w:rsid w:val="005A6B5F"/>
    <w:rsid w:val="005B0359"/>
    <w:rsid w:val="005B0C29"/>
    <w:rsid w:val="005B104A"/>
    <w:rsid w:val="005B1405"/>
    <w:rsid w:val="005B20F3"/>
    <w:rsid w:val="005B23DD"/>
    <w:rsid w:val="005B31C6"/>
    <w:rsid w:val="005B353C"/>
    <w:rsid w:val="005B40F0"/>
    <w:rsid w:val="005B4195"/>
    <w:rsid w:val="005B49C7"/>
    <w:rsid w:val="005B4F18"/>
    <w:rsid w:val="005B58FC"/>
    <w:rsid w:val="005B69FE"/>
    <w:rsid w:val="005B6C13"/>
    <w:rsid w:val="005B7FD3"/>
    <w:rsid w:val="005C0239"/>
    <w:rsid w:val="005C0324"/>
    <w:rsid w:val="005C0C50"/>
    <w:rsid w:val="005C0CB4"/>
    <w:rsid w:val="005C11C4"/>
    <w:rsid w:val="005C1F29"/>
    <w:rsid w:val="005C296F"/>
    <w:rsid w:val="005C3139"/>
    <w:rsid w:val="005C32B0"/>
    <w:rsid w:val="005C419F"/>
    <w:rsid w:val="005C4343"/>
    <w:rsid w:val="005C45AC"/>
    <w:rsid w:val="005C47F2"/>
    <w:rsid w:val="005C552B"/>
    <w:rsid w:val="005C562D"/>
    <w:rsid w:val="005C622E"/>
    <w:rsid w:val="005C670E"/>
    <w:rsid w:val="005C6CCD"/>
    <w:rsid w:val="005D0268"/>
    <w:rsid w:val="005D15A9"/>
    <w:rsid w:val="005D34EE"/>
    <w:rsid w:val="005D4222"/>
    <w:rsid w:val="005D499A"/>
    <w:rsid w:val="005D5116"/>
    <w:rsid w:val="005D5D30"/>
    <w:rsid w:val="005D62ED"/>
    <w:rsid w:val="005D6811"/>
    <w:rsid w:val="005D745D"/>
    <w:rsid w:val="005D7E32"/>
    <w:rsid w:val="005E0388"/>
    <w:rsid w:val="005E063B"/>
    <w:rsid w:val="005E14CC"/>
    <w:rsid w:val="005E190C"/>
    <w:rsid w:val="005E22EE"/>
    <w:rsid w:val="005E23FC"/>
    <w:rsid w:val="005E26E0"/>
    <w:rsid w:val="005E2B5D"/>
    <w:rsid w:val="005E2FDA"/>
    <w:rsid w:val="005E3818"/>
    <w:rsid w:val="005E386D"/>
    <w:rsid w:val="005E3EAC"/>
    <w:rsid w:val="005E5765"/>
    <w:rsid w:val="005E5944"/>
    <w:rsid w:val="005E59E9"/>
    <w:rsid w:val="005E5FB6"/>
    <w:rsid w:val="005E622C"/>
    <w:rsid w:val="005E62FB"/>
    <w:rsid w:val="005E6417"/>
    <w:rsid w:val="005E68F7"/>
    <w:rsid w:val="005E77FF"/>
    <w:rsid w:val="005F0536"/>
    <w:rsid w:val="005F0598"/>
    <w:rsid w:val="005F1190"/>
    <w:rsid w:val="005F1A94"/>
    <w:rsid w:val="005F1BCF"/>
    <w:rsid w:val="005F1D8E"/>
    <w:rsid w:val="005F22E0"/>
    <w:rsid w:val="005F2969"/>
    <w:rsid w:val="005F2FC2"/>
    <w:rsid w:val="005F36F9"/>
    <w:rsid w:val="005F54DA"/>
    <w:rsid w:val="005F7073"/>
    <w:rsid w:val="005F7F46"/>
    <w:rsid w:val="00600074"/>
    <w:rsid w:val="00600359"/>
    <w:rsid w:val="00600440"/>
    <w:rsid w:val="00600C58"/>
    <w:rsid w:val="00602167"/>
    <w:rsid w:val="0060276A"/>
    <w:rsid w:val="00603343"/>
    <w:rsid w:val="00603E2B"/>
    <w:rsid w:val="00603EA5"/>
    <w:rsid w:val="00604B1A"/>
    <w:rsid w:val="00604B71"/>
    <w:rsid w:val="00604DAF"/>
    <w:rsid w:val="006051D5"/>
    <w:rsid w:val="006055CB"/>
    <w:rsid w:val="006061BA"/>
    <w:rsid w:val="0060678B"/>
    <w:rsid w:val="006078B9"/>
    <w:rsid w:val="00607C98"/>
    <w:rsid w:val="00607D37"/>
    <w:rsid w:val="006103A3"/>
    <w:rsid w:val="0061042F"/>
    <w:rsid w:val="0061061B"/>
    <w:rsid w:val="00610CEB"/>
    <w:rsid w:val="00611004"/>
    <w:rsid w:val="0061114F"/>
    <w:rsid w:val="006123C8"/>
    <w:rsid w:val="00612BE4"/>
    <w:rsid w:val="0061441D"/>
    <w:rsid w:val="006146D8"/>
    <w:rsid w:val="00614A12"/>
    <w:rsid w:val="00614E55"/>
    <w:rsid w:val="00614FFF"/>
    <w:rsid w:val="0061566A"/>
    <w:rsid w:val="006163E3"/>
    <w:rsid w:val="006167C8"/>
    <w:rsid w:val="006171DC"/>
    <w:rsid w:val="00617800"/>
    <w:rsid w:val="006179E2"/>
    <w:rsid w:val="00617D8B"/>
    <w:rsid w:val="0062054E"/>
    <w:rsid w:val="0062087D"/>
    <w:rsid w:val="00620AB2"/>
    <w:rsid w:val="00620C13"/>
    <w:rsid w:val="00620F3A"/>
    <w:rsid w:val="00621306"/>
    <w:rsid w:val="00622C34"/>
    <w:rsid w:val="00622D44"/>
    <w:rsid w:val="006232F8"/>
    <w:rsid w:val="00623A17"/>
    <w:rsid w:val="00624F9F"/>
    <w:rsid w:val="0062504A"/>
    <w:rsid w:val="006255A1"/>
    <w:rsid w:val="00625F82"/>
    <w:rsid w:val="0062724A"/>
    <w:rsid w:val="00627E51"/>
    <w:rsid w:val="00630933"/>
    <w:rsid w:val="00630E4B"/>
    <w:rsid w:val="00630F8C"/>
    <w:rsid w:val="00631203"/>
    <w:rsid w:val="00631328"/>
    <w:rsid w:val="00631962"/>
    <w:rsid w:val="0063236C"/>
    <w:rsid w:val="00632BFA"/>
    <w:rsid w:val="00632E9A"/>
    <w:rsid w:val="006332E6"/>
    <w:rsid w:val="0063390D"/>
    <w:rsid w:val="00633A60"/>
    <w:rsid w:val="00633B10"/>
    <w:rsid w:val="00633FDB"/>
    <w:rsid w:val="00634104"/>
    <w:rsid w:val="00634DF6"/>
    <w:rsid w:val="0063563D"/>
    <w:rsid w:val="00635781"/>
    <w:rsid w:val="00635BE7"/>
    <w:rsid w:val="006360E8"/>
    <w:rsid w:val="0063653E"/>
    <w:rsid w:val="00637559"/>
    <w:rsid w:val="0063781D"/>
    <w:rsid w:val="00637EC8"/>
    <w:rsid w:val="006402AA"/>
    <w:rsid w:val="0064057B"/>
    <w:rsid w:val="00640711"/>
    <w:rsid w:val="00640AE3"/>
    <w:rsid w:val="00640C92"/>
    <w:rsid w:val="00640DEC"/>
    <w:rsid w:val="0064135E"/>
    <w:rsid w:val="006420B1"/>
    <w:rsid w:val="0064285C"/>
    <w:rsid w:val="00642CCB"/>
    <w:rsid w:val="00643D85"/>
    <w:rsid w:val="00644C63"/>
    <w:rsid w:val="00645AAD"/>
    <w:rsid w:val="00645FE9"/>
    <w:rsid w:val="006461F2"/>
    <w:rsid w:val="00646DA6"/>
    <w:rsid w:val="00647D22"/>
    <w:rsid w:val="00650348"/>
    <w:rsid w:val="00651031"/>
    <w:rsid w:val="0065163D"/>
    <w:rsid w:val="00652226"/>
    <w:rsid w:val="00652347"/>
    <w:rsid w:val="00653947"/>
    <w:rsid w:val="00653EB5"/>
    <w:rsid w:val="00653FAF"/>
    <w:rsid w:val="00654F2F"/>
    <w:rsid w:val="00655668"/>
    <w:rsid w:val="006558E1"/>
    <w:rsid w:val="00655A48"/>
    <w:rsid w:val="00655F81"/>
    <w:rsid w:val="006563FA"/>
    <w:rsid w:val="006566FA"/>
    <w:rsid w:val="00656C0A"/>
    <w:rsid w:val="006571E5"/>
    <w:rsid w:val="006575E4"/>
    <w:rsid w:val="00657DED"/>
    <w:rsid w:val="00660101"/>
    <w:rsid w:val="00660FB3"/>
    <w:rsid w:val="0066126B"/>
    <w:rsid w:val="006615FC"/>
    <w:rsid w:val="00661682"/>
    <w:rsid w:val="00662169"/>
    <w:rsid w:val="006622A8"/>
    <w:rsid w:val="0066232C"/>
    <w:rsid w:val="00662878"/>
    <w:rsid w:val="00664EBB"/>
    <w:rsid w:val="0066598D"/>
    <w:rsid w:val="00665A54"/>
    <w:rsid w:val="006669B7"/>
    <w:rsid w:val="00666C18"/>
    <w:rsid w:val="00666C71"/>
    <w:rsid w:val="00667115"/>
    <w:rsid w:val="00667973"/>
    <w:rsid w:val="00667EEE"/>
    <w:rsid w:val="00670221"/>
    <w:rsid w:val="00670652"/>
    <w:rsid w:val="006716C9"/>
    <w:rsid w:val="00671910"/>
    <w:rsid w:val="00671ABF"/>
    <w:rsid w:val="00671E72"/>
    <w:rsid w:val="00673B7B"/>
    <w:rsid w:val="00674091"/>
    <w:rsid w:val="0067431F"/>
    <w:rsid w:val="0067492B"/>
    <w:rsid w:val="00674E02"/>
    <w:rsid w:val="00675D91"/>
    <w:rsid w:val="00675F80"/>
    <w:rsid w:val="00676EA7"/>
    <w:rsid w:val="0067757D"/>
    <w:rsid w:val="00680258"/>
    <w:rsid w:val="006802BC"/>
    <w:rsid w:val="00680662"/>
    <w:rsid w:val="00680674"/>
    <w:rsid w:val="00681225"/>
    <w:rsid w:val="0068162C"/>
    <w:rsid w:val="006818F4"/>
    <w:rsid w:val="0068192D"/>
    <w:rsid w:val="00682BD4"/>
    <w:rsid w:val="006842FB"/>
    <w:rsid w:val="00684DED"/>
    <w:rsid w:val="006851A4"/>
    <w:rsid w:val="00687E0A"/>
    <w:rsid w:val="00690B2B"/>
    <w:rsid w:val="00690BFB"/>
    <w:rsid w:val="00691207"/>
    <w:rsid w:val="00691E4D"/>
    <w:rsid w:val="00692491"/>
    <w:rsid w:val="00692650"/>
    <w:rsid w:val="00693484"/>
    <w:rsid w:val="00694009"/>
    <w:rsid w:val="00694765"/>
    <w:rsid w:val="00695278"/>
    <w:rsid w:val="00695A12"/>
    <w:rsid w:val="006960A8"/>
    <w:rsid w:val="006977C2"/>
    <w:rsid w:val="006A10A5"/>
    <w:rsid w:val="006A348F"/>
    <w:rsid w:val="006A38B4"/>
    <w:rsid w:val="006A3B80"/>
    <w:rsid w:val="006A415A"/>
    <w:rsid w:val="006A4D23"/>
    <w:rsid w:val="006A51D5"/>
    <w:rsid w:val="006A520B"/>
    <w:rsid w:val="006A52DA"/>
    <w:rsid w:val="006A5943"/>
    <w:rsid w:val="006A63A1"/>
    <w:rsid w:val="006A6E34"/>
    <w:rsid w:val="006A7380"/>
    <w:rsid w:val="006B09E7"/>
    <w:rsid w:val="006B0B34"/>
    <w:rsid w:val="006B1ADC"/>
    <w:rsid w:val="006B1B88"/>
    <w:rsid w:val="006B217E"/>
    <w:rsid w:val="006B2BCC"/>
    <w:rsid w:val="006B3B6E"/>
    <w:rsid w:val="006B3DB6"/>
    <w:rsid w:val="006B3F25"/>
    <w:rsid w:val="006B4F57"/>
    <w:rsid w:val="006B605F"/>
    <w:rsid w:val="006B736D"/>
    <w:rsid w:val="006C01FB"/>
    <w:rsid w:val="006C0713"/>
    <w:rsid w:val="006C07C5"/>
    <w:rsid w:val="006C09D6"/>
    <w:rsid w:val="006C0CDA"/>
    <w:rsid w:val="006C36CE"/>
    <w:rsid w:val="006C3CAF"/>
    <w:rsid w:val="006C3D55"/>
    <w:rsid w:val="006C3D76"/>
    <w:rsid w:val="006C4556"/>
    <w:rsid w:val="006C5A2A"/>
    <w:rsid w:val="006C6C90"/>
    <w:rsid w:val="006C75FE"/>
    <w:rsid w:val="006C788B"/>
    <w:rsid w:val="006D0097"/>
    <w:rsid w:val="006D0493"/>
    <w:rsid w:val="006D0D42"/>
    <w:rsid w:val="006D0D7F"/>
    <w:rsid w:val="006D0E48"/>
    <w:rsid w:val="006D13C5"/>
    <w:rsid w:val="006D13F3"/>
    <w:rsid w:val="006D140E"/>
    <w:rsid w:val="006D21E5"/>
    <w:rsid w:val="006D3781"/>
    <w:rsid w:val="006D41CA"/>
    <w:rsid w:val="006D4450"/>
    <w:rsid w:val="006D462B"/>
    <w:rsid w:val="006D46DC"/>
    <w:rsid w:val="006D51E6"/>
    <w:rsid w:val="006D530C"/>
    <w:rsid w:val="006D6CAB"/>
    <w:rsid w:val="006D794C"/>
    <w:rsid w:val="006D7B66"/>
    <w:rsid w:val="006D7C76"/>
    <w:rsid w:val="006D7DCC"/>
    <w:rsid w:val="006E04C9"/>
    <w:rsid w:val="006E0671"/>
    <w:rsid w:val="006E0CD7"/>
    <w:rsid w:val="006E17B8"/>
    <w:rsid w:val="006E1AED"/>
    <w:rsid w:val="006E22A5"/>
    <w:rsid w:val="006E2EA8"/>
    <w:rsid w:val="006E3692"/>
    <w:rsid w:val="006E3931"/>
    <w:rsid w:val="006E45D0"/>
    <w:rsid w:val="006E477E"/>
    <w:rsid w:val="006E5A9C"/>
    <w:rsid w:val="006E7508"/>
    <w:rsid w:val="006E7899"/>
    <w:rsid w:val="006F09C4"/>
    <w:rsid w:val="006F0D22"/>
    <w:rsid w:val="006F1100"/>
    <w:rsid w:val="006F15EA"/>
    <w:rsid w:val="006F30EE"/>
    <w:rsid w:val="006F3B5F"/>
    <w:rsid w:val="006F40DD"/>
    <w:rsid w:val="006F4A32"/>
    <w:rsid w:val="006F4E6E"/>
    <w:rsid w:val="006F5322"/>
    <w:rsid w:val="006F5A41"/>
    <w:rsid w:val="006F5D4F"/>
    <w:rsid w:val="006F6A1B"/>
    <w:rsid w:val="006F7230"/>
    <w:rsid w:val="006F77EB"/>
    <w:rsid w:val="00700BF7"/>
    <w:rsid w:val="00701A10"/>
    <w:rsid w:val="00701BE5"/>
    <w:rsid w:val="00702724"/>
    <w:rsid w:val="00703044"/>
    <w:rsid w:val="00703216"/>
    <w:rsid w:val="0070352D"/>
    <w:rsid w:val="00703C24"/>
    <w:rsid w:val="0070440B"/>
    <w:rsid w:val="00704C3B"/>
    <w:rsid w:val="00704E77"/>
    <w:rsid w:val="00706619"/>
    <w:rsid w:val="00706C09"/>
    <w:rsid w:val="0070792F"/>
    <w:rsid w:val="00707CB7"/>
    <w:rsid w:val="00707D65"/>
    <w:rsid w:val="00707DEC"/>
    <w:rsid w:val="007102DA"/>
    <w:rsid w:val="00710362"/>
    <w:rsid w:val="007103F9"/>
    <w:rsid w:val="0071105C"/>
    <w:rsid w:val="00712190"/>
    <w:rsid w:val="00713038"/>
    <w:rsid w:val="007137CA"/>
    <w:rsid w:val="0071393C"/>
    <w:rsid w:val="00714494"/>
    <w:rsid w:val="00714B29"/>
    <w:rsid w:val="00714E80"/>
    <w:rsid w:val="007158B9"/>
    <w:rsid w:val="00715A0F"/>
    <w:rsid w:val="00715E52"/>
    <w:rsid w:val="00720C43"/>
    <w:rsid w:val="00720E6F"/>
    <w:rsid w:val="00721175"/>
    <w:rsid w:val="0072139F"/>
    <w:rsid w:val="0072319B"/>
    <w:rsid w:val="007236CD"/>
    <w:rsid w:val="00724A2A"/>
    <w:rsid w:val="00725F9F"/>
    <w:rsid w:val="007261A8"/>
    <w:rsid w:val="007274A5"/>
    <w:rsid w:val="0072786C"/>
    <w:rsid w:val="00730403"/>
    <w:rsid w:val="0073073F"/>
    <w:rsid w:val="00730DDF"/>
    <w:rsid w:val="00731024"/>
    <w:rsid w:val="00731158"/>
    <w:rsid w:val="00731246"/>
    <w:rsid w:val="00731FB6"/>
    <w:rsid w:val="0073216E"/>
    <w:rsid w:val="00732563"/>
    <w:rsid w:val="00732768"/>
    <w:rsid w:val="007330A4"/>
    <w:rsid w:val="00734601"/>
    <w:rsid w:val="00735707"/>
    <w:rsid w:val="0073615A"/>
    <w:rsid w:val="0073622E"/>
    <w:rsid w:val="00736291"/>
    <w:rsid w:val="00736AAB"/>
    <w:rsid w:val="00736DAD"/>
    <w:rsid w:val="00737630"/>
    <w:rsid w:val="0074005A"/>
    <w:rsid w:val="00740966"/>
    <w:rsid w:val="00740E7F"/>
    <w:rsid w:val="00741317"/>
    <w:rsid w:val="007420C6"/>
    <w:rsid w:val="00742176"/>
    <w:rsid w:val="00742247"/>
    <w:rsid w:val="00742339"/>
    <w:rsid w:val="0074256C"/>
    <w:rsid w:val="00743266"/>
    <w:rsid w:val="00743421"/>
    <w:rsid w:val="007435EC"/>
    <w:rsid w:val="007440C4"/>
    <w:rsid w:val="007449B3"/>
    <w:rsid w:val="00744CC5"/>
    <w:rsid w:val="00745D28"/>
    <w:rsid w:val="00745E6C"/>
    <w:rsid w:val="00746078"/>
    <w:rsid w:val="00746F32"/>
    <w:rsid w:val="00747655"/>
    <w:rsid w:val="00750587"/>
    <w:rsid w:val="00751989"/>
    <w:rsid w:val="00751A20"/>
    <w:rsid w:val="007527BD"/>
    <w:rsid w:val="00752CDB"/>
    <w:rsid w:val="00753522"/>
    <w:rsid w:val="007538E7"/>
    <w:rsid w:val="00754937"/>
    <w:rsid w:val="00754A92"/>
    <w:rsid w:val="007552F3"/>
    <w:rsid w:val="00755743"/>
    <w:rsid w:val="00756F4C"/>
    <w:rsid w:val="0075725A"/>
    <w:rsid w:val="00757FF3"/>
    <w:rsid w:val="007609E7"/>
    <w:rsid w:val="00760B0B"/>
    <w:rsid w:val="00760FFB"/>
    <w:rsid w:val="0076115C"/>
    <w:rsid w:val="007616FD"/>
    <w:rsid w:val="00761FB5"/>
    <w:rsid w:val="00762242"/>
    <w:rsid w:val="00762C68"/>
    <w:rsid w:val="00763259"/>
    <w:rsid w:val="00763758"/>
    <w:rsid w:val="00764447"/>
    <w:rsid w:val="007644FB"/>
    <w:rsid w:val="00764AA1"/>
    <w:rsid w:val="00765447"/>
    <w:rsid w:val="007659BD"/>
    <w:rsid w:val="00765A39"/>
    <w:rsid w:val="00765F40"/>
    <w:rsid w:val="0076713A"/>
    <w:rsid w:val="00767521"/>
    <w:rsid w:val="00767596"/>
    <w:rsid w:val="00767930"/>
    <w:rsid w:val="00767BAF"/>
    <w:rsid w:val="0077117B"/>
    <w:rsid w:val="0077217E"/>
    <w:rsid w:val="007724AA"/>
    <w:rsid w:val="00772818"/>
    <w:rsid w:val="00772984"/>
    <w:rsid w:val="00773258"/>
    <w:rsid w:val="00773E5C"/>
    <w:rsid w:val="00774024"/>
    <w:rsid w:val="00774802"/>
    <w:rsid w:val="00775904"/>
    <w:rsid w:val="00775B14"/>
    <w:rsid w:val="00775C3D"/>
    <w:rsid w:val="00775E32"/>
    <w:rsid w:val="00776C46"/>
    <w:rsid w:val="00776D82"/>
    <w:rsid w:val="007772AB"/>
    <w:rsid w:val="007777B8"/>
    <w:rsid w:val="0078047C"/>
    <w:rsid w:val="00780631"/>
    <w:rsid w:val="00780B60"/>
    <w:rsid w:val="00781824"/>
    <w:rsid w:val="00782014"/>
    <w:rsid w:val="00782018"/>
    <w:rsid w:val="00782898"/>
    <w:rsid w:val="007835ED"/>
    <w:rsid w:val="007838F9"/>
    <w:rsid w:val="00783E04"/>
    <w:rsid w:val="007841B1"/>
    <w:rsid w:val="0078448E"/>
    <w:rsid w:val="007847AA"/>
    <w:rsid w:val="00784FA1"/>
    <w:rsid w:val="007859A8"/>
    <w:rsid w:val="00786585"/>
    <w:rsid w:val="0078681E"/>
    <w:rsid w:val="0078692C"/>
    <w:rsid w:val="0079044C"/>
    <w:rsid w:val="00790D3D"/>
    <w:rsid w:val="0079206D"/>
    <w:rsid w:val="0079297C"/>
    <w:rsid w:val="0079319B"/>
    <w:rsid w:val="0079348D"/>
    <w:rsid w:val="007935A3"/>
    <w:rsid w:val="00793ADC"/>
    <w:rsid w:val="007945A7"/>
    <w:rsid w:val="00794E15"/>
    <w:rsid w:val="0079578D"/>
    <w:rsid w:val="00796384"/>
    <w:rsid w:val="0079678D"/>
    <w:rsid w:val="00796F72"/>
    <w:rsid w:val="0079716D"/>
    <w:rsid w:val="007978AD"/>
    <w:rsid w:val="00797BC1"/>
    <w:rsid w:val="00797C59"/>
    <w:rsid w:val="007A06B2"/>
    <w:rsid w:val="007A0E07"/>
    <w:rsid w:val="007A20CE"/>
    <w:rsid w:val="007A24E0"/>
    <w:rsid w:val="007A2ACA"/>
    <w:rsid w:val="007A3739"/>
    <w:rsid w:val="007A4102"/>
    <w:rsid w:val="007A4263"/>
    <w:rsid w:val="007A49C1"/>
    <w:rsid w:val="007A547D"/>
    <w:rsid w:val="007A69BF"/>
    <w:rsid w:val="007A7009"/>
    <w:rsid w:val="007A7740"/>
    <w:rsid w:val="007A7B4D"/>
    <w:rsid w:val="007A7EF5"/>
    <w:rsid w:val="007B0005"/>
    <w:rsid w:val="007B0067"/>
    <w:rsid w:val="007B05C1"/>
    <w:rsid w:val="007B0844"/>
    <w:rsid w:val="007B1BB7"/>
    <w:rsid w:val="007B20D7"/>
    <w:rsid w:val="007B254D"/>
    <w:rsid w:val="007B305E"/>
    <w:rsid w:val="007B36D8"/>
    <w:rsid w:val="007B3C1F"/>
    <w:rsid w:val="007B3C20"/>
    <w:rsid w:val="007B3E05"/>
    <w:rsid w:val="007B4CB3"/>
    <w:rsid w:val="007B55E7"/>
    <w:rsid w:val="007B7398"/>
    <w:rsid w:val="007B7AFC"/>
    <w:rsid w:val="007B7CD4"/>
    <w:rsid w:val="007C1F55"/>
    <w:rsid w:val="007C22AB"/>
    <w:rsid w:val="007C2A52"/>
    <w:rsid w:val="007C3790"/>
    <w:rsid w:val="007C3988"/>
    <w:rsid w:val="007C3B17"/>
    <w:rsid w:val="007C4891"/>
    <w:rsid w:val="007C508A"/>
    <w:rsid w:val="007C52FA"/>
    <w:rsid w:val="007C54B4"/>
    <w:rsid w:val="007C6757"/>
    <w:rsid w:val="007C7633"/>
    <w:rsid w:val="007D0263"/>
    <w:rsid w:val="007D2AEC"/>
    <w:rsid w:val="007D2D58"/>
    <w:rsid w:val="007D46C3"/>
    <w:rsid w:val="007D567C"/>
    <w:rsid w:val="007D6653"/>
    <w:rsid w:val="007D66EE"/>
    <w:rsid w:val="007D6945"/>
    <w:rsid w:val="007D6F41"/>
    <w:rsid w:val="007D6F99"/>
    <w:rsid w:val="007D78B3"/>
    <w:rsid w:val="007E1195"/>
    <w:rsid w:val="007E1ECB"/>
    <w:rsid w:val="007E2877"/>
    <w:rsid w:val="007E2C23"/>
    <w:rsid w:val="007E32AE"/>
    <w:rsid w:val="007E38FC"/>
    <w:rsid w:val="007E3BE6"/>
    <w:rsid w:val="007E4114"/>
    <w:rsid w:val="007E4CD3"/>
    <w:rsid w:val="007E5BEF"/>
    <w:rsid w:val="007E6337"/>
    <w:rsid w:val="007E64DB"/>
    <w:rsid w:val="007E7C58"/>
    <w:rsid w:val="007E7CE4"/>
    <w:rsid w:val="007F16AE"/>
    <w:rsid w:val="007F2012"/>
    <w:rsid w:val="007F2DE5"/>
    <w:rsid w:val="007F3B00"/>
    <w:rsid w:val="007F452B"/>
    <w:rsid w:val="007F47AB"/>
    <w:rsid w:val="007F4C4B"/>
    <w:rsid w:val="007F5417"/>
    <w:rsid w:val="007F5E19"/>
    <w:rsid w:val="007F6C5A"/>
    <w:rsid w:val="007F6F52"/>
    <w:rsid w:val="007F7145"/>
    <w:rsid w:val="0080050B"/>
    <w:rsid w:val="00801198"/>
    <w:rsid w:val="00801243"/>
    <w:rsid w:val="00803156"/>
    <w:rsid w:val="008034DF"/>
    <w:rsid w:val="00805ACB"/>
    <w:rsid w:val="00805E99"/>
    <w:rsid w:val="00806DBC"/>
    <w:rsid w:val="00807238"/>
    <w:rsid w:val="0080741F"/>
    <w:rsid w:val="00807B2D"/>
    <w:rsid w:val="00807B3C"/>
    <w:rsid w:val="0081064D"/>
    <w:rsid w:val="008114DE"/>
    <w:rsid w:val="00811EC6"/>
    <w:rsid w:val="008120A2"/>
    <w:rsid w:val="00812B9C"/>
    <w:rsid w:val="0081348A"/>
    <w:rsid w:val="008134B7"/>
    <w:rsid w:val="00814263"/>
    <w:rsid w:val="00814A80"/>
    <w:rsid w:val="00815C69"/>
    <w:rsid w:val="008172F4"/>
    <w:rsid w:val="0081733A"/>
    <w:rsid w:val="008177A6"/>
    <w:rsid w:val="00817984"/>
    <w:rsid w:val="00820849"/>
    <w:rsid w:val="00820B49"/>
    <w:rsid w:val="0082152E"/>
    <w:rsid w:val="00822D9C"/>
    <w:rsid w:val="008235B8"/>
    <w:rsid w:val="008263A8"/>
    <w:rsid w:val="00826466"/>
    <w:rsid w:val="00826507"/>
    <w:rsid w:val="0082682D"/>
    <w:rsid w:val="00826892"/>
    <w:rsid w:val="0082696B"/>
    <w:rsid w:val="00826A9D"/>
    <w:rsid w:val="00827726"/>
    <w:rsid w:val="008278D4"/>
    <w:rsid w:val="00830281"/>
    <w:rsid w:val="00830DBF"/>
    <w:rsid w:val="00830E36"/>
    <w:rsid w:val="008315B1"/>
    <w:rsid w:val="00831E09"/>
    <w:rsid w:val="008330A3"/>
    <w:rsid w:val="00833815"/>
    <w:rsid w:val="00833EEC"/>
    <w:rsid w:val="00833F44"/>
    <w:rsid w:val="008341DB"/>
    <w:rsid w:val="0083461E"/>
    <w:rsid w:val="00834B11"/>
    <w:rsid w:val="00834DFE"/>
    <w:rsid w:val="008358C6"/>
    <w:rsid w:val="00835F39"/>
    <w:rsid w:val="00836DA9"/>
    <w:rsid w:val="008377C9"/>
    <w:rsid w:val="00837AFE"/>
    <w:rsid w:val="00840251"/>
    <w:rsid w:val="00840C40"/>
    <w:rsid w:val="00840F41"/>
    <w:rsid w:val="00840FC8"/>
    <w:rsid w:val="00841A03"/>
    <w:rsid w:val="00841C4F"/>
    <w:rsid w:val="0084246B"/>
    <w:rsid w:val="00843869"/>
    <w:rsid w:val="00843F1B"/>
    <w:rsid w:val="00844403"/>
    <w:rsid w:val="00845997"/>
    <w:rsid w:val="00846EAC"/>
    <w:rsid w:val="00847E71"/>
    <w:rsid w:val="00850371"/>
    <w:rsid w:val="00850D99"/>
    <w:rsid w:val="0085103A"/>
    <w:rsid w:val="00851285"/>
    <w:rsid w:val="00852456"/>
    <w:rsid w:val="008525EF"/>
    <w:rsid w:val="008530F6"/>
    <w:rsid w:val="00853D43"/>
    <w:rsid w:val="008547A1"/>
    <w:rsid w:val="00855713"/>
    <w:rsid w:val="00855CAB"/>
    <w:rsid w:val="00855E44"/>
    <w:rsid w:val="00856093"/>
    <w:rsid w:val="00856941"/>
    <w:rsid w:val="00857E3D"/>
    <w:rsid w:val="00860402"/>
    <w:rsid w:val="00860D7C"/>
    <w:rsid w:val="00860DE5"/>
    <w:rsid w:val="00861D55"/>
    <w:rsid w:val="008627E1"/>
    <w:rsid w:val="00864279"/>
    <w:rsid w:val="008642B2"/>
    <w:rsid w:val="008645AB"/>
    <w:rsid w:val="008649F7"/>
    <w:rsid w:val="00865A23"/>
    <w:rsid w:val="00867433"/>
    <w:rsid w:val="008704D8"/>
    <w:rsid w:val="008713EE"/>
    <w:rsid w:val="0087146E"/>
    <w:rsid w:val="0087175A"/>
    <w:rsid w:val="00872767"/>
    <w:rsid w:val="008736FE"/>
    <w:rsid w:val="00873719"/>
    <w:rsid w:val="00873858"/>
    <w:rsid w:val="00873D7C"/>
    <w:rsid w:val="008749C5"/>
    <w:rsid w:val="00875B0F"/>
    <w:rsid w:val="00876410"/>
    <w:rsid w:val="00877F7B"/>
    <w:rsid w:val="0088001E"/>
    <w:rsid w:val="00880493"/>
    <w:rsid w:val="0088058C"/>
    <w:rsid w:val="008818F7"/>
    <w:rsid w:val="00881BFE"/>
    <w:rsid w:val="00881E2B"/>
    <w:rsid w:val="0088219E"/>
    <w:rsid w:val="00882FF3"/>
    <w:rsid w:val="008831CE"/>
    <w:rsid w:val="008834A4"/>
    <w:rsid w:val="0088355D"/>
    <w:rsid w:val="00883EC4"/>
    <w:rsid w:val="0088418D"/>
    <w:rsid w:val="00884319"/>
    <w:rsid w:val="00884B93"/>
    <w:rsid w:val="00885951"/>
    <w:rsid w:val="00885CE3"/>
    <w:rsid w:val="00885FD7"/>
    <w:rsid w:val="00886939"/>
    <w:rsid w:val="008903A9"/>
    <w:rsid w:val="008905B5"/>
    <w:rsid w:val="00890820"/>
    <w:rsid w:val="008914CC"/>
    <w:rsid w:val="0089296F"/>
    <w:rsid w:val="00892C87"/>
    <w:rsid w:val="0089342F"/>
    <w:rsid w:val="00893929"/>
    <w:rsid w:val="00893945"/>
    <w:rsid w:val="00893A57"/>
    <w:rsid w:val="008959D0"/>
    <w:rsid w:val="00895C53"/>
    <w:rsid w:val="00895F5D"/>
    <w:rsid w:val="00896004"/>
    <w:rsid w:val="0089727D"/>
    <w:rsid w:val="00897B2C"/>
    <w:rsid w:val="008A0A09"/>
    <w:rsid w:val="008A0F26"/>
    <w:rsid w:val="008A17B0"/>
    <w:rsid w:val="008A187C"/>
    <w:rsid w:val="008A2BFA"/>
    <w:rsid w:val="008A3BE9"/>
    <w:rsid w:val="008A4729"/>
    <w:rsid w:val="008A4CC0"/>
    <w:rsid w:val="008A509A"/>
    <w:rsid w:val="008A6D04"/>
    <w:rsid w:val="008A7148"/>
    <w:rsid w:val="008A7985"/>
    <w:rsid w:val="008B02C6"/>
    <w:rsid w:val="008B08C0"/>
    <w:rsid w:val="008B2CF9"/>
    <w:rsid w:val="008B3C84"/>
    <w:rsid w:val="008B4DD6"/>
    <w:rsid w:val="008B4FF6"/>
    <w:rsid w:val="008B5027"/>
    <w:rsid w:val="008B57EC"/>
    <w:rsid w:val="008B59C8"/>
    <w:rsid w:val="008B6689"/>
    <w:rsid w:val="008B68BD"/>
    <w:rsid w:val="008B6AD0"/>
    <w:rsid w:val="008B7A58"/>
    <w:rsid w:val="008B7D10"/>
    <w:rsid w:val="008C091B"/>
    <w:rsid w:val="008C0A16"/>
    <w:rsid w:val="008C1458"/>
    <w:rsid w:val="008C15C6"/>
    <w:rsid w:val="008C1C0D"/>
    <w:rsid w:val="008C214F"/>
    <w:rsid w:val="008C26C2"/>
    <w:rsid w:val="008C2FF6"/>
    <w:rsid w:val="008C3D0C"/>
    <w:rsid w:val="008C5F0B"/>
    <w:rsid w:val="008C6C25"/>
    <w:rsid w:val="008C793B"/>
    <w:rsid w:val="008D0FB9"/>
    <w:rsid w:val="008D1284"/>
    <w:rsid w:val="008D155F"/>
    <w:rsid w:val="008D15C2"/>
    <w:rsid w:val="008D1D67"/>
    <w:rsid w:val="008D5323"/>
    <w:rsid w:val="008D5ACE"/>
    <w:rsid w:val="008D5EBC"/>
    <w:rsid w:val="008D6291"/>
    <w:rsid w:val="008D7228"/>
    <w:rsid w:val="008E06A6"/>
    <w:rsid w:val="008E0DCE"/>
    <w:rsid w:val="008E185F"/>
    <w:rsid w:val="008E1BAD"/>
    <w:rsid w:val="008E225B"/>
    <w:rsid w:val="008E345B"/>
    <w:rsid w:val="008E34EA"/>
    <w:rsid w:val="008E38F9"/>
    <w:rsid w:val="008E477E"/>
    <w:rsid w:val="008E4D25"/>
    <w:rsid w:val="008E5393"/>
    <w:rsid w:val="008E53D8"/>
    <w:rsid w:val="008E599D"/>
    <w:rsid w:val="008E59D5"/>
    <w:rsid w:val="008E5CC9"/>
    <w:rsid w:val="008E5FF8"/>
    <w:rsid w:val="008E6454"/>
    <w:rsid w:val="008E6592"/>
    <w:rsid w:val="008E65CB"/>
    <w:rsid w:val="008E66E4"/>
    <w:rsid w:val="008E6CA7"/>
    <w:rsid w:val="008E6DE4"/>
    <w:rsid w:val="008E6FE5"/>
    <w:rsid w:val="008E7CD2"/>
    <w:rsid w:val="008F0F03"/>
    <w:rsid w:val="008F1075"/>
    <w:rsid w:val="008F18AD"/>
    <w:rsid w:val="008F1AD8"/>
    <w:rsid w:val="008F2463"/>
    <w:rsid w:val="008F2A4F"/>
    <w:rsid w:val="008F31DF"/>
    <w:rsid w:val="008F3B35"/>
    <w:rsid w:val="008F4620"/>
    <w:rsid w:val="008F5315"/>
    <w:rsid w:val="008F5394"/>
    <w:rsid w:val="008F5811"/>
    <w:rsid w:val="008F5E56"/>
    <w:rsid w:val="008F65CF"/>
    <w:rsid w:val="008F6DA3"/>
    <w:rsid w:val="008F6FD1"/>
    <w:rsid w:val="008F712D"/>
    <w:rsid w:val="008F73C3"/>
    <w:rsid w:val="008F7463"/>
    <w:rsid w:val="008F7625"/>
    <w:rsid w:val="008F79EF"/>
    <w:rsid w:val="00900E83"/>
    <w:rsid w:val="0090120E"/>
    <w:rsid w:val="00901478"/>
    <w:rsid w:val="00901BB2"/>
    <w:rsid w:val="00902BAC"/>
    <w:rsid w:val="009036C4"/>
    <w:rsid w:val="00904A7F"/>
    <w:rsid w:val="00904F12"/>
    <w:rsid w:val="00905797"/>
    <w:rsid w:val="00906337"/>
    <w:rsid w:val="009064B6"/>
    <w:rsid w:val="00907435"/>
    <w:rsid w:val="009079A6"/>
    <w:rsid w:val="00907A71"/>
    <w:rsid w:val="00907C87"/>
    <w:rsid w:val="00907FC5"/>
    <w:rsid w:val="00907FE7"/>
    <w:rsid w:val="00910B6E"/>
    <w:rsid w:val="009111B9"/>
    <w:rsid w:val="00911277"/>
    <w:rsid w:val="00911B4C"/>
    <w:rsid w:val="00911CCD"/>
    <w:rsid w:val="009134CC"/>
    <w:rsid w:val="00913D9B"/>
    <w:rsid w:val="00914262"/>
    <w:rsid w:val="00914BE8"/>
    <w:rsid w:val="00916538"/>
    <w:rsid w:val="009167EA"/>
    <w:rsid w:val="00916BAF"/>
    <w:rsid w:val="00917572"/>
    <w:rsid w:val="00917895"/>
    <w:rsid w:val="00917DB0"/>
    <w:rsid w:val="0092109A"/>
    <w:rsid w:val="00921E85"/>
    <w:rsid w:val="009231AA"/>
    <w:rsid w:val="0092379A"/>
    <w:rsid w:val="00923FA6"/>
    <w:rsid w:val="009244B2"/>
    <w:rsid w:val="009245BD"/>
    <w:rsid w:val="00924ED7"/>
    <w:rsid w:val="00925979"/>
    <w:rsid w:val="00925D82"/>
    <w:rsid w:val="0092650C"/>
    <w:rsid w:val="00926551"/>
    <w:rsid w:val="00927238"/>
    <w:rsid w:val="00927480"/>
    <w:rsid w:val="00927881"/>
    <w:rsid w:val="00927A94"/>
    <w:rsid w:val="00931796"/>
    <w:rsid w:val="00931B15"/>
    <w:rsid w:val="00931CA6"/>
    <w:rsid w:val="00931CAF"/>
    <w:rsid w:val="00931D4D"/>
    <w:rsid w:val="00931E47"/>
    <w:rsid w:val="00932B67"/>
    <w:rsid w:val="00932E77"/>
    <w:rsid w:val="00932EB1"/>
    <w:rsid w:val="0093327B"/>
    <w:rsid w:val="00933D48"/>
    <w:rsid w:val="00934257"/>
    <w:rsid w:val="00934757"/>
    <w:rsid w:val="00934BBB"/>
    <w:rsid w:val="00934F2D"/>
    <w:rsid w:val="00935054"/>
    <w:rsid w:val="00935DC7"/>
    <w:rsid w:val="00936224"/>
    <w:rsid w:val="009366DB"/>
    <w:rsid w:val="00936C64"/>
    <w:rsid w:val="00940524"/>
    <w:rsid w:val="0094112A"/>
    <w:rsid w:val="00943479"/>
    <w:rsid w:val="009436D1"/>
    <w:rsid w:val="00943E21"/>
    <w:rsid w:val="00944972"/>
    <w:rsid w:val="00944AF2"/>
    <w:rsid w:val="00944CA1"/>
    <w:rsid w:val="00944EEF"/>
    <w:rsid w:val="00944FF8"/>
    <w:rsid w:val="00945C7A"/>
    <w:rsid w:val="00946794"/>
    <w:rsid w:val="00946821"/>
    <w:rsid w:val="00946D99"/>
    <w:rsid w:val="00947136"/>
    <w:rsid w:val="00947650"/>
    <w:rsid w:val="009477FC"/>
    <w:rsid w:val="00951FB3"/>
    <w:rsid w:val="009520C9"/>
    <w:rsid w:val="0095334B"/>
    <w:rsid w:val="009546CC"/>
    <w:rsid w:val="00954C5A"/>
    <w:rsid w:val="00954FD3"/>
    <w:rsid w:val="00955298"/>
    <w:rsid w:val="009608B7"/>
    <w:rsid w:val="00962A77"/>
    <w:rsid w:val="00962D8E"/>
    <w:rsid w:val="009647A2"/>
    <w:rsid w:val="009648EB"/>
    <w:rsid w:val="009652A6"/>
    <w:rsid w:val="0096533A"/>
    <w:rsid w:val="00965A5B"/>
    <w:rsid w:val="00966C2A"/>
    <w:rsid w:val="00966D5E"/>
    <w:rsid w:val="00966F54"/>
    <w:rsid w:val="00967199"/>
    <w:rsid w:val="009671B7"/>
    <w:rsid w:val="009675E2"/>
    <w:rsid w:val="00967F3B"/>
    <w:rsid w:val="00970135"/>
    <w:rsid w:val="0097022D"/>
    <w:rsid w:val="00970308"/>
    <w:rsid w:val="00970CCE"/>
    <w:rsid w:val="00971206"/>
    <w:rsid w:val="009718DC"/>
    <w:rsid w:val="0097251F"/>
    <w:rsid w:val="009726D1"/>
    <w:rsid w:val="00972C1F"/>
    <w:rsid w:val="00972C33"/>
    <w:rsid w:val="009731B9"/>
    <w:rsid w:val="00973FD2"/>
    <w:rsid w:val="0097428D"/>
    <w:rsid w:val="009742F9"/>
    <w:rsid w:val="00975CDA"/>
    <w:rsid w:val="00975DB0"/>
    <w:rsid w:val="00975EF2"/>
    <w:rsid w:val="00975FC4"/>
    <w:rsid w:val="0097618D"/>
    <w:rsid w:val="00980B1C"/>
    <w:rsid w:val="00980F75"/>
    <w:rsid w:val="00980F9A"/>
    <w:rsid w:val="009816FF"/>
    <w:rsid w:val="00981DFF"/>
    <w:rsid w:val="00982548"/>
    <w:rsid w:val="0098287C"/>
    <w:rsid w:val="00982988"/>
    <w:rsid w:val="0098329C"/>
    <w:rsid w:val="00983412"/>
    <w:rsid w:val="0098376F"/>
    <w:rsid w:val="00983875"/>
    <w:rsid w:val="00983D68"/>
    <w:rsid w:val="00984ACE"/>
    <w:rsid w:val="00984FB1"/>
    <w:rsid w:val="00985A07"/>
    <w:rsid w:val="00986114"/>
    <w:rsid w:val="009861FA"/>
    <w:rsid w:val="009866ED"/>
    <w:rsid w:val="0098678B"/>
    <w:rsid w:val="00986C23"/>
    <w:rsid w:val="00987400"/>
    <w:rsid w:val="009901F2"/>
    <w:rsid w:val="0099041E"/>
    <w:rsid w:val="00991EC2"/>
    <w:rsid w:val="0099271A"/>
    <w:rsid w:val="009928AE"/>
    <w:rsid w:val="0099296C"/>
    <w:rsid w:val="00993F96"/>
    <w:rsid w:val="00995EB0"/>
    <w:rsid w:val="00995FCE"/>
    <w:rsid w:val="009974D0"/>
    <w:rsid w:val="009A1633"/>
    <w:rsid w:val="009A1904"/>
    <w:rsid w:val="009A2195"/>
    <w:rsid w:val="009A3268"/>
    <w:rsid w:val="009A3A62"/>
    <w:rsid w:val="009A3B64"/>
    <w:rsid w:val="009A3E9F"/>
    <w:rsid w:val="009A466E"/>
    <w:rsid w:val="009A4833"/>
    <w:rsid w:val="009A48DB"/>
    <w:rsid w:val="009B048F"/>
    <w:rsid w:val="009B17FE"/>
    <w:rsid w:val="009B1B43"/>
    <w:rsid w:val="009B290D"/>
    <w:rsid w:val="009B2CAB"/>
    <w:rsid w:val="009B313D"/>
    <w:rsid w:val="009B365D"/>
    <w:rsid w:val="009B3EB4"/>
    <w:rsid w:val="009B4587"/>
    <w:rsid w:val="009B4D12"/>
    <w:rsid w:val="009B55B2"/>
    <w:rsid w:val="009B63C4"/>
    <w:rsid w:val="009B64D1"/>
    <w:rsid w:val="009B6C36"/>
    <w:rsid w:val="009B6EE0"/>
    <w:rsid w:val="009B7758"/>
    <w:rsid w:val="009B7A0D"/>
    <w:rsid w:val="009C0272"/>
    <w:rsid w:val="009C0723"/>
    <w:rsid w:val="009C0F04"/>
    <w:rsid w:val="009C1B09"/>
    <w:rsid w:val="009C1DE0"/>
    <w:rsid w:val="009C2E64"/>
    <w:rsid w:val="009C3D7D"/>
    <w:rsid w:val="009C3FE4"/>
    <w:rsid w:val="009C49B0"/>
    <w:rsid w:val="009C4AEE"/>
    <w:rsid w:val="009C52C7"/>
    <w:rsid w:val="009C5533"/>
    <w:rsid w:val="009C68B5"/>
    <w:rsid w:val="009C7B5E"/>
    <w:rsid w:val="009C7E97"/>
    <w:rsid w:val="009D0193"/>
    <w:rsid w:val="009D0EC9"/>
    <w:rsid w:val="009D289E"/>
    <w:rsid w:val="009D38FA"/>
    <w:rsid w:val="009D3D7C"/>
    <w:rsid w:val="009D411B"/>
    <w:rsid w:val="009D5427"/>
    <w:rsid w:val="009D611E"/>
    <w:rsid w:val="009D644B"/>
    <w:rsid w:val="009D6C03"/>
    <w:rsid w:val="009D6D90"/>
    <w:rsid w:val="009D745D"/>
    <w:rsid w:val="009D75AC"/>
    <w:rsid w:val="009D772F"/>
    <w:rsid w:val="009D7924"/>
    <w:rsid w:val="009E0674"/>
    <w:rsid w:val="009E09B2"/>
    <w:rsid w:val="009E0FF6"/>
    <w:rsid w:val="009E2A1A"/>
    <w:rsid w:val="009E2C65"/>
    <w:rsid w:val="009E2E51"/>
    <w:rsid w:val="009E32A0"/>
    <w:rsid w:val="009E33B2"/>
    <w:rsid w:val="009E3962"/>
    <w:rsid w:val="009E500F"/>
    <w:rsid w:val="009E5C05"/>
    <w:rsid w:val="009E6096"/>
    <w:rsid w:val="009E6616"/>
    <w:rsid w:val="009E7636"/>
    <w:rsid w:val="009F002F"/>
    <w:rsid w:val="009F03A9"/>
    <w:rsid w:val="009F0D5C"/>
    <w:rsid w:val="009F18FC"/>
    <w:rsid w:val="009F1AE2"/>
    <w:rsid w:val="009F2024"/>
    <w:rsid w:val="009F2192"/>
    <w:rsid w:val="009F2B6C"/>
    <w:rsid w:val="009F3537"/>
    <w:rsid w:val="009F38CC"/>
    <w:rsid w:val="009F3ECA"/>
    <w:rsid w:val="009F4D7C"/>
    <w:rsid w:val="009F55BB"/>
    <w:rsid w:val="009F6014"/>
    <w:rsid w:val="009F6112"/>
    <w:rsid w:val="009F745C"/>
    <w:rsid w:val="009F7825"/>
    <w:rsid w:val="00A00383"/>
    <w:rsid w:val="00A007CF"/>
    <w:rsid w:val="00A00BFA"/>
    <w:rsid w:val="00A0110F"/>
    <w:rsid w:val="00A02C9A"/>
    <w:rsid w:val="00A02DA0"/>
    <w:rsid w:val="00A03C4D"/>
    <w:rsid w:val="00A03FCF"/>
    <w:rsid w:val="00A04C05"/>
    <w:rsid w:val="00A04F4E"/>
    <w:rsid w:val="00A0505B"/>
    <w:rsid w:val="00A05E4F"/>
    <w:rsid w:val="00A06147"/>
    <w:rsid w:val="00A06708"/>
    <w:rsid w:val="00A0745C"/>
    <w:rsid w:val="00A074B2"/>
    <w:rsid w:val="00A0768D"/>
    <w:rsid w:val="00A07762"/>
    <w:rsid w:val="00A10CED"/>
    <w:rsid w:val="00A10E5E"/>
    <w:rsid w:val="00A113BA"/>
    <w:rsid w:val="00A1181E"/>
    <w:rsid w:val="00A11AA7"/>
    <w:rsid w:val="00A1200D"/>
    <w:rsid w:val="00A1226A"/>
    <w:rsid w:val="00A12855"/>
    <w:rsid w:val="00A136CD"/>
    <w:rsid w:val="00A143E8"/>
    <w:rsid w:val="00A14F5A"/>
    <w:rsid w:val="00A15406"/>
    <w:rsid w:val="00A15822"/>
    <w:rsid w:val="00A15BAF"/>
    <w:rsid w:val="00A15D1B"/>
    <w:rsid w:val="00A16505"/>
    <w:rsid w:val="00A1670D"/>
    <w:rsid w:val="00A167AD"/>
    <w:rsid w:val="00A172E6"/>
    <w:rsid w:val="00A17E1B"/>
    <w:rsid w:val="00A2031A"/>
    <w:rsid w:val="00A20353"/>
    <w:rsid w:val="00A208A0"/>
    <w:rsid w:val="00A2090D"/>
    <w:rsid w:val="00A20CDB"/>
    <w:rsid w:val="00A20F47"/>
    <w:rsid w:val="00A20FF9"/>
    <w:rsid w:val="00A21AD4"/>
    <w:rsid w:val="00A22C58"/>
    <w:rsid w:val="00A23B09"/>
    <w:rsid w:val="00A23E59"/>
    <w:rsid w:val="00A24159"/>
    <w:rsid w:val="00A26492"/>
    <w:rsid w:val="00A26924"/>
    <w:rsid w:val="00A26BF6"/>
    <w:rsid w:val="00A27A99"/>
    <w:rsid w:val="00A27CDB"/>
    <w:rsid w:val="00A27CDD"/>
    <w:rsid w:val="00A27D63"/>
    <w:rsid w:val="00A309A0"/>
    <w:rsid w:val="00A30F89"/>
    <w:rsid w:val="00A310BD"/>
    <w:rsid w:val="00A31561"/>
    <w:rsid w:val="00A31A06"/>
    <w:rsid w:val="00A3268D"/>
    <w:rsid w:val="00A32C03"/>
    <w:rsid w:val="00A32C34"/>
    <w:rsid w:val="00A3326F"/>
    <w:rsid w:val="00A332C0"/>
    <w:rsid w:val="00A33B71"/>
    <w:rsid w:val="00A3558B"/>
    <w:rsid w:val="00A355B1"/>
    <w:rsid w:val="00A364D8"/>
    <w:rsid w:val="00A36634"/>
    <w:rsid w:val="00A36B00"/>
    <w:rsid w:val="00A36B11"/>
    <w:rsid w:val="00A36D29"/>
    <w:rsid w:val="00A36D3A"/>
    <w:rsid w:val="00A378E6"/>
    <w:rsid w:val="00A37F85"/>
    <w:rsid w:val="00A40B8D"/>
    <w:rsid w:val="00A41801"/>
    <w:rsid w:val="00A41995"/>
    <w:rsid w:val="00A42808"/>
    <w:rsid w:val="00A43868"/>
    <w:rsid w:val="00A43985"/>
    <w:rsid w:val="00A43CD7"/>
    <w:rsid w:val="00A44264"/>
    <w:rsid w:val="00A4530A"/>
    <w:rsid w:val="00A45805"/>
    <w:rsid w:val="00A46287"/>
    <w:rsid w:val="00A502D4"/>
    <w:rsid w:val="00A50F73"/>
    <w:rsid w:val="00A52FC9"/>
    <w:rsid w:val="00A530EB"/>
    <w:rsid w:val="00A532C8"/>
    <w:rsid w:val="00A54057"/>
    <w:rsid w:val="00A5440B"/>
    <w:rsid w:val="00A54DDA"/>
    <w:rsid w:val="00A555CA"/>
    <w:rsid w:val="00A57A16"/>
    <w:rsid w:val="00A604FC"/>
    <w:rsid w:val="00A60AF6"/>
    <w:rsid w:val="00A6130D"/>
    <w:rsid w:val="00A63609"/>
    <w:rsid w:val="00A646BC"/>
    <w:rsid w:val="00A652EE"/>
    <w:rsid w:val="00A65A0A"/>
    <w:rsid w:val="00A65D05"/>
    <w:rsid w:val="00A65D38"/>
    <w:rsid w:val="00A66D78"/>
    <w:rsid w:val="00A673B4"/>
    <w:rsid w:val="00A679FF"/>
    <w:rsid w:val="00A67DBD"/>
    <w:rsid w:val="00A7090D"/>
    <w:rsid w:val="00A7129A"/>
    <w:rsid w:val="00A7138A"/>
    <w:rsid w:val="00A71EA8"/>
    <w:rsid w:val="00A72B3E"/>
    <w:rsid w:val="00A7332E"/>
    <w:rsid w:val="00A73399"/>
    <w:rsid w:val="00A734A4"/>
    <w:rsid w:val="00A7367C"/>
    <w:rsid w:val="00A736B7"/>
    <w:rsid w:val="00A73D0A"/>
    <w:rsid w:val="00A73D8E"/>
    <w:rsid w:val="00A7415B"/>
    <w:rsid w:val="00A742A3"/>
    <w:rsid w:val="00A7463E"/>
    <w:rsid w:val="00A747B5"/>
    <w:rsid w:val="00A74FA5"/>
    <w:rsid w:val="00A75FE4"/>
    <w:rsid w:val="00A767C8"/>
    <w:rsid w:val="00A770A8"/>
    <w:rsid w:val="00A777F0"/>
    <w:rsid w:val="00A77872"/>
    <w:rsid w:val="00A77F03"/>
    <w:rsid w:val="00A80C23"/>
    <w:rsid w:val="00A82373"/>
    <w:rsid w:val="00A82909"/>
    <w:rsid w:val="00A82C12"/>
    <w:rsid w:val="00A82DCE"/>
    <w:rsid w:val="00A8397D"/>
    <w:rsid w:val="00A84491"/>
    <w:rsid w:val="00A84FBE"/>
    <w:rsid w:val="00A861C7"/>
    <w:rsid w:val="00A866E7"/>
    <w:rsid w:val="00A8682C"/>
    <w:rsid w:val="00A868F7"/>
    <w:rsid w:val="00A90741"/>
    <w:rsid w:val="00A9076E"/>
    <w:rsid w:val="00A90CB3"/>
    <w:rsid w:val="00A91F58"/>
    <w:rsid w:val="00A9255E"/>
    <w:rsid w:val="00A93855"/>
    <w:rsid w:val="00A9390E"/>
    <w:rsid w:val="00A93D12"/>
    <w:rsid w:val="00A93E24"/>
    <w:rsid w:val="00A948AA"/>
    <w:rsid w:val="00A9513E"/>
    <w:rsid w:val="00A9548E"/>
    <w:rsid w:val="00A95818"/>
    <w:rsid w:val="00A95A7F"/>
    <w:rsid w:val="00A95CBE"/>
    <w:rsid w:val="00A969C5"/>
    <w:rsid w:val="00A9729F"/>
    <w:rsid w:val="00A977CE"/>
    <w:rsid w:val="00AA0918"/>
    <w:rsid w:val="00AA1207"/>
    <w:rsid w:val="00AA12A4"/>
    <w:rsid w:val="00AA1DCF"/>
    <w:rsid w:val="00AA2341"/>
    <w:rsid w:val="00AA2B16"/>
    <w:rsid w:val="00AA32C1"/>
    <w:rsid w:val="00AA352A"/>
    <w:rsid w:val="00AA3FEF"/>
    <w:rsid w:val="00AA4BFA"/>
    <w:rsid w:val="00AA5CC6"/>
    <w:rsid w:val="00AA6BBF"/>
    <w:rsid w:val="00AA72C8"/>
    <w:rsid w:val="00AA7568"/>
    <w:rsid w:val="00AB1E39"/>
    <w:rsid w:val="00AB1FC0"/>
    <w:rsid w:val="00AB204A"/>
    <w:rsid w:val="00AB269B"/>
    <w:rsid w:val="00AB326D"/>
    <w:rsid w:val="00AB34B1"/>
    <w:rsid w:val="00AB35B9"/>
    <w:rsid w:val="00AB3781"/>
    <w:rsid w:val="00AB5BBF"/>
    <w:rsid w:val="00AB5F7C"/>
    <w:rsid w:val="00AB7C4C"/>
    <w:rsid w:val="00AC005E"/>
    <w:rsid w:val="00AC0119"/>
    <w:rsid w:val="00AC0A17"/>
    <w:rsid w:val="00AC10DB"/>
    <w:rsid w:val="00AC115A"/>
    <w:rsid w:val="00AC21E4"/>
    <w:rsid w:val="00AC237A"/>
    <w:rsid w:val="00AC26A9"/>
    <w:rsid w:val="00AC284E"/>
    <w:rsid w:val="00AC2CE1"/>
    <w:rsid w:val="00AC3318"/>
    <w:rsid w:val="00AC37A6"/>
    <w:rsid w:val="00AC395E"/>
    <w:rsid w:val="00AC3B24"/>
    <w:rsid w:val="00AC59CC"/>
    <w:rsid w:val="00AC695C"/>
    <w:rsid w:val="00AC6ECC"/>
    <w:rsid w:val="00AC7D8F"/>
    <w:rsid w:val="00AC7DAF"/>
    <w:rsid w:val="00AD11DB"/>
    <w:rsid w:val="00AD21DF"/>
    <w:rsid w:val="00AD2639"/>
    <w:rsid w:val="00AD2F10"/>
    <w:rsid w:val="00AD356C"/>
    <w:rsid w:val="00AD3749"/>
    <w:rsid w:val="00AD3A3C"/>
    <w:rsid w:val="00AD3EEB"/>
    <w:rsid w:val="00AD42C1"/>
    <w:rsid w:val="00AD65FF"/>
    <w:rsid w:val="00AD6A90"/>
    <w:rsid w:val="00AD7E1C"/>
    <w:rsid w:val="00AD7FCE"/>
    <w:rsid w:val="00AE0262"/>
    <w:rsid w:val="00AE0975"/>
    <w:rsid w:val="00AE1892"/>
    <w:rsid w:val="00AE1E09"/>
    <w:rsid w:val="00AE1EF0"/>
    <w:rsid w:val="00AE2576"/>
    <w:rsid w:val="00AE2821"/>
    <w:rsid w:val="00AE2BDD"/>
    <w:rsid w:val="00AE322C"/>
    <w:rsid w:val="00AE3D0C"/>
    <w:rsid w:val="00AE3FB5"/>
    <w:rsid w:val="00AE46E8"/>
    <w:rsid w:val="00AE5625"/>
    <w:rsid w:val="00AE7DC9"/>
    <w:rsid w:val="00AE7E91"/>
    <w:rsid w:val="00AF03CA"/>
    <w:rsid w:val="00AF07AB"/>
    <w:rsid w:val="00AF0ACF"/>
    <w:rsid w:val="00AF10F6"/>
    <w:rsid w:val="00AF1768"/>
    <w:rsid w:val="00AF32E9"/>
    <w:rsid w:val="00AF3400"/>
    <w:rsid w:val="00AF4D5E"/>
    <w:rsid w:val="00AF57C8"/>
    <w:rsid w:val="00AF5CAD"/>
    <w:rsid w:val="00AF6CAB"/>
    <w:rsid w:val="00AF6D99"/>
    <w:rsid w:val="00AF76FF"/>
    <w:rsid w:val="00B0018A"/>
    <w:rsid w:val="00B00889"/>
    <w:rsid w:val="00B00F21"/>
    <w:rsid w:val="00B014A7"/>
    <w:rsid w:val="00B0192F"/>
    <w:rsid w:val="00B03408"/>
    <w:rsid w:val="00B0385D"/>
    <w:rsid w:val="00B03E98"/>
    <w:rsid w:val="00B04178"/>
    <w:rsid w:val="00B042D4"/>
    <w:rsid w:val="00B045AF"/>
    <w:rsid w:val="00B05955"/>
    <w:rsid w:val="00B05A30"/>
    <w:rsid w:val="00B0641F"/>
    <w:rsid w:val="00B06D77"/>
    <w:rsid w:val="00B07C81"/>
    <w:rsid w:val="00B07DD8"/>
    <w:rsid w:val="00B103B9"/>
    <w:rsid w:val="00B12A56"/>
    <w:rsid w:val="00B12DCD"/>
    <w:rsid w:val="00B136E3"/>
    <w:rsid w:val="00B13CA3"/>
    <w:rsid w:val="00B13E78"/>
    <w:rsid w:val="00B16297"/>
    <w:rsid w:val="00B16CE0"/>
    <w:rsid w:val="00B16EC6"/>
    <w:rsid w:val="00B172D6"/>
    <w:rsid w:val="00B177DE"/>
    <w:rsid w:val="00B17FBF"/>
    <w:rsid w:val="00B20410"/>
    <w:rsid w:val="00B20421"/>
    <w:rsid w:val="00B204BC"/>
    <w:rsid w:val="00B21367"/>
    <w:rsid w:val="00B2141F"/>
    <w:rsid w:val="00B21E86"/>
    <w:rsid w:val="00B229FE"/>
    <w:rsid w:val="00B22E77"/>
    <w:rsid w:val="00B23A70"/>
    <w:rsid w:val="00B25BB6"/>
    <w:rsid w:val="00B25D9D"/>
    <w:rsid w:val="00B2600C"/>
    <w:rsid w:val="00B2617B"/>
    <w:rsid w:val="00B2693D"/>
    <w:rsid w:val="00B27446"/>
    <w:rsid w:val="00B277FD"/>
    <w:rsid w:val="00B279A0"/>
    <w:rsid w:val="00B3012C"/>
    <w:rsid w:val="00B30965"/>
    <w:rsid w:val="00B30B3B"/>
    <w:rsid w:val="00B31690"/>
    <w:rsid w:val="00B31AD8"/>
    <w:rsid w:val="00B32512"/>
    <w:rsid w:val="00B32B6D"/>
    <w:rsid w:val="00B33C5C"/>
    <w:rsid w:val="00B34B72"/>
    <w:rsid w:val="00B34CBE"/>
    <w:rsid w:val="00B35144"/>
    <w:rsid w:val="00B36271"/>
    <w:rsid w:val="00B36FB1"/>
    <w:rsid w:val="00B378B1"/>
    <w:rsid w:val="00B40F08"/>
    <w:rsid w:val="00B411E7"/>
    <w:rsid w:val="00B41229"/>
    <w:rsid w:val="00B42F7B"/>
    <w:rsid w:val="00B4349B"/>
    <w:rsid w:val="00B43A53"/>
    <w:rsid w:val="00B44D6C"/>
    <w:rsid w:val="00B459D5"/>
    <w:rsid w:val="00B466D2"/>
    <w:rsid w:val="00B47197"/>
    <w:rsid w:val="00B5066C"/>
    <w:rsid w:val="00B50AE9"/>
    <w:rsid w:val="00B516BF"/>
    <w:rsid w:val="00B517E5"/>
    <w:rsid w:val="00B51CAE"/>
    <w:rsid w:val="00B527B8"/>
    <w:rsid w:val="00B527DC"/>
    <w:rsid w:val="00B5394B"/>
    <w:rsid w:val="00B545A2"/>
    <w:rsid w:val="00B551C2"/>
    <w:rsid w:val="00B55B2F"/>
    <w:rsid w:val="00B567C5"/>
    <w:rsid w:val="00B56D02"/>
    <w:rsid w:val="00B60948"/>
    <w:rsid w:val="00B60E46"/>
    <w:rsid w:val="00B613B7"/>
    <w:rsid w:val="00B62812"/>
    <w:rsid w:val="00B629C3"/>
    <w:rsid w:val="00B62D03"/>
    <w:rsid w:val="00B62D23"/>
    <w:rsid w:val="00B62EEF"/>
    <w:rsid w:val="00B63098"/>
    <w:rsid w:val="00B6352E"/>
    <w:rsid w:val="00B63B92"/>
    <w:rsid w:val="00B64833"/>
    <w:rsid w:val="00B64A15"/>
    <w:rsid w:val="00B66574"/>
    <w:rsid w:val="00B66F6A"/>
    <w:rsid w:val="00B674D2"/>
    <w:rsid w:val="00B67A8E"/>
    <w:rsid w:val="00B67DDA"/>
    <w:rsid w:val="00B67E82"/>
    <w:rsid w:val="00B70309"/>
    <w:rsid w:val="00B70C59"/>
    <w:rsid w:val="00B718B4"/>
    <w:rsid w:val="00B71EB5"/>
    <w:rsid w:val="00B7244D"/>
    <w:rsid w:val="00B72551"/>
    <w:rsid w:val="00B728D6"/>
    <w:rsid w:val="00B73C20"/>
    <w:rsid w:val="00B75C53"/>
    <w:rsid w:val="00B76111"/>
    <w:rsid w:val="00B77876"/>
    <w:rsid w:val="00B8020C"/>
    <w:rsid w:val="00B80331"/>
    <w:rsid w:val="00B80731"/>
    <w:rsid w:val="00B80E6A"/>
    <w:rsid w:val="00B8187F"/>
    <w:rsid w:val="00B81B15"/>
    <w:rsid w:val="00B826D6"/>
    <w:rsid w:val="00B83031"/>
    <w:rsid w:val="00B8370D"/>
    <w:rsid w:val="00B83AA2"/>
    <w:rsid w:val="00B83B3E"/>
    <w:rsid w:val="00B851AE"/>
    <w:rsid w:val="00B86CD9"/>
    <w:rsid w:val="00B86DF9"/>
    <w:rsid w:val="00B9064A"/>
    <w:rsid w:val="00B90794"/>
    <w:rsid w:val="00B90F83"/>
    <w:rsid w:val="00B91262"/>
    <w:rsid w:val="00B926DD"/>
    <w:rsid w:val="00B92936"/>
    <w:rsid w:val="00B93A44"/>
    <w:rsid w:val="00B93A67"/>
    <w:rsid w:val="00B951B8"/>
    <w:rsid w:val="00B956F8"/>
    <w:rsid w:val="00B95E03"/>
    <w:rsid w:val="00B965CC"/>
    <w:rsid w:val="00B97113"/>
    <w:rsid w:val="00BA0060"/>
    <w:rsid w:val="00BA0AA7"/>
    <w:rsid w:val="00BA30A9"/>
    <w:rsid w:val="00BA3E45"/>
    <w:rsid w:val="00BA4193"/>
    <w:rsid w:val="00BA4B46"/>
    <w:rsid w:val="00BA6A0F"/>
    <w:rsid w:val="00BA6FE4"/>
    <w:rsid w:val="00BA71F4"/>
    <w:rsid w:val="00BA7570"/>
    <w:rsid w:val="00BA7CAB"/>
    <w:rsid w:val="00BB058D"/>
    <w:rsid w:val="00BB0C35"/>
    <w:rsid w:val="00BB0E0E"/>
    <w:rsid w:val="00BB10ED"/>
    <w:rsid w:val="00BB18F6"/>
    <w:rsid w:val="00BB2BD0"/>
    <w:rsid w:val="00BB3C86"/>
    <w:rsid w:val="00BB442E"/>
    <w:rsid w:val="00BB46D6"/>
    <w:rsid w:val="00BB4D32"/>
    <w:rsid w:val="00BB4E35"/>
    <w:rsid w:val="00BB54BF"/>
    <w:rsid w:val="00BB5B25"/>
    <w:rsid w:val="00BB6F28"/>
    <w:rsid w:val="00BB7165"/>
    <w:rsid w:val="00BB79B7"/>
    <w:rsid w:val="00BB7AE9"/>
    <w:rsid w:val="00BB7F6E"/>
    <w:rsid w:val="00BC00A3"/>
    <w:rsid w:val="00BC0C08"/>
    <w:rsid w:val="00BC0C67"/>
    <w:rsid w:val="00BC1134"/>
    <w:rsid w:val="00BC232B"/>
    <w:rsid w:val="00BC24A3"/>
    <w:rsid w:val="00BC2D48"/>
    <w:rsid w:val="00BC32BA"/>
    <w:rsid w:val="00BC3EA8"/>
    <w:rsid w:val="00BC49DD"/>
    <w:rsid w:val="00BC49EF"/>
    <w:rsid w:val="00BC4B59"/>
    <w:rsid w:val="00BC562B"/>
    <w:rsid w:val="00BC5B4B"/>
    <w:rsid w:val="00BC5F12"/>
    <w:rsid w:val="00BC67D3"/>
    <w:rsid w:val="00BC6B82"/>
    <w:rsid w:val="00BC6D6D"/>
    <w:rsid w:val="00BD165D"/>
    <w:rsid w:val="00BD28E9"/>
    <w:rsid w:val="00BD3004"/>
    <w:rsid w:val="00BD4B70"/>
    <w:rsid w:val="00BD4DEA"/>
    <w:rsid w:val="00BD5931"/>
    <w:rsid w:val="00BD6168"/>
    <w:rsid w:val="00BD6231"/>
    <w:rsid w:val="00BD7BE2"/>
    <w:rsid w:val="00BE09FB"/>
    <w:rsid w:val="00BE0EF9"/>
    <w:rsid w:val="00BE11CD"/>
    <w:rsid w:val="00BE141E"/>
    <w:rsid w:val="00BE1651"/>
    <w:rsid w:val="00BE2221"/>
    <w:rsid w:val="00BE3070"/>
    <w:rsid w:val="00BE31B2"/>
    <w:rsid w:val="00BE35D7"/>
    <w:rsid w:val="00BE363E"/>
    <w:rsid w:val="00BE4C0E"/>
    <w:rsid w:val="00BE4D36"/>
    <w:rsid w:val="00BE5A85"/>
    <w:rsid w:val="00BE63D2"/>
    <w:rsid w:val="00BE7647"/>
    <w:rsid w:val="00BE7E6D"/>
    <w:rsid w:val="00BF0197"/>
    <w:rsid w:val="00BF06C3"/>
    <w:rsid w:val="00BF0D20"/>
    <w:rsid w:val="00BF0D63"/>
    <w:rsid w:val="00BF10B7"/>
    <w:rsid w:val="00BF1805"/>
    <w:rsid w:val="00BF29D1"/>
    <w:rsid w:val="00BF33C4"/>
    <w:rsid w:val="00BF3563"/>
    <w:rsid w:val="00BF3698"/>
    <w:rsid w:val="00BF3BFA"/>
    <w:rsid w:val="00BF3E12"/>
    <w:rsid w:val="00BF3EBD"/>
    <w:rsid w:val="00BF4402"/>
    <w:rsid w:val="00BF4936"/>
    <w:rsid w:val="00BF522F"/>
    <w:rsid w:val="00BF610B"/>
    <w:rsid w:val="00BF653F"/>
    <w:rsid w:val="00BF68CC"/>
    <w:rsid w:val="00BF6CDF"/>
    <w:rsid w:val="00BF6EC7"/>
    <w:rsid w:val="00C003D1"/>
    <w:rsid w:val="00C0045E"/>
    <w:rsid w:val="00C00585"/>
    <w:rsid w:val="00C007B6"/>
    <w:rsid w:val="00C007FE"/>
    <w:rsid w:val="00C02B9B"/>
    <w:rsid w:val="00C02C72"/>
    <w:rsid w:val="00C03122"/>
    <w:rsid w:val="00C03507"/>
    <w:rsid w:val="00C03F26"/>
    <w:rsid w:val="00C04C47"/>
    <w:rsid w:val="00C05686"/>
    <w:rsid w:val="00C0604D"/>
    <w:rsid w:val="00C06178"/>
    <w:rsid w:val="00C06472"/>
    <w:rsid w:val="00C066BB"/>
    <w:rsid w:val="00C06C7A"/>
    <w:rsid w:val="00C07CA4"/>
    <w:rsid w:val="00C07D9F"/>
    <w:rsid w:val="00C10743"/>
    <w:rsid w:val="00C10BA7"/>
    <w:rsid w:val="00C125A4"/>
    <w:rsid w:val="00C126E1"/>
    <w:rsid w:val="00C15153"/>
    <w:rsid w:val="00C15225"/>
    <w:rsid w:val="00C15C81"/>
    <w:rsid w:val="00C163DB"/>
    <w:rsid w:val="00C16595"/>
    <w:rsid w:val="00C16CCF"/>
    <w:rsid w:val="00C16EE6"/>
    <w:rsid w:val="00C16F22"/>
    <w:rsid w:val="00C175FC"/>
    <w:rsid w:val="00C17625"/>
    <w:rsid w:val="00C212B6"/>
    <w:rsid w:val="00C21A19"/>
    <w:rsid w:val="00C21B88"/>
    <w:rsid w:val="00C220FF"/>
    <w:rsid w:val="00C229F5"/>
    <w:rsid w:val="00C238E8"/>
    <w:rsid w:val="00C24766"/>
    <w:rsid w:val="00C26C41"/>
    <w:rsid w:val="00C27103"/>
    <w:rsid w:val="00C27241"/>
    <w:rsid w:val="00C278F2"/>
    <w:rsid w:val="00C307BC"/>
    <w:rsid w:val="00C30855"/>
    <w:rsid w:val="00C30956"/>
    <w:rsid w:val="00C30A45"/>
    <w:rsid w:val="00C319C3"/>
    <w:rsid w:val="00C31CD5"/>
    <w:rsid w:val="00C32EC2"/>
    <w:rsid w:val="00C331B4"/>
    <w:rsid w:val="00C33CA0"/>
    <w:rsid w:val="00C3403D"/>
    <w:rsid w:val="00C34650"/>
    <w:rsid w:val="00C34B4C"/>
    <w:rsid w:val="00C34BFC"/>
    <w:rsid w:val="00C3713C"/>
    <w:rsid w:val="00C408B0"/>
    <w:rsid w:val="00C413C6"/>
    <w:rsid w:val="00C4146C"/>
    <w:rsid w:val="00C41AA1"/>
    <w:rsid w:val="00C41D3C"/>
    <w:rsid w:val="00C427B7"/>
    <w:rsid w:val="00C42A3E"/>
    <w:rsid w:val="00C42D86"/>
    <w:rsid w:val="00C4364F"/>
    <w:rsid w:val="00C43A42"/>
    <w:rsid w:val="00C450C0"/>
    <w:rsid w:val="00C45616"/>
    <w:rsid w:val="00C47852"/>
    <w:rsid w:val="00C47A63"/>
    <w:rsid w:val="00C47CDA"/>
    <w:rsid w:val="00C50605"/>
    <w:rsid w:val="00C50917"/>
    <w:rsid w:val="00C519FD"/>
    <w:rsid w:val="00C52039"/>
    <w:rsid w:val="00C5226A"/>
    <w:rsid w:val="00C523C0"/>
    <w:rsid w:val="00C52ACA"/>
    <w:rsid w:val="00C5311A"/>
    <w:rsid w:val="00C535BD"/>
    <w:rsid w:val="00C53ADB"/>
    <w:rsid w:val="00C53CE6"/>
    <w:rsid w:val="00C54BD3"/>
    <w:rsid w:val="00C54F5F"/>
    <w:rsid w:val="00C55B01"/>
    <w:rsid w:val="00C55C6F"/>
    <w:rsid w:val="00C56D1E"/>
    <w:rsid w:val="00C56E56"/>
    <w:rsid w:val="00C57355"/>
    <w:rsid w:val="00C57721"/>
    <w:rsid w:val="00C57902"/>
    <w:rsid w:val="00C60487"/>
    <w:rsid w:val="00C613B5"/>
    <w:rsid w:val="00C625C4"/>
    <w:rsid w:val="00C631B0"/>
    <w:rsid w:val="00C63436"/>
    <w:rsid w:val="00C634B9"/>
    <w:rsid w:val="00C63521"/>
    <w:rsid w:val="00C6372C"/>
    <w:rsid w:val="00C63A10"/>
    <w:rsid w:val="00C63CC1"/>
    <w:rsid w:val="00C645B6"/>
    <w:rsid w:val="00C648A7"/>
    <w:rsid w:val="00C6495D"/>
    <w:rsid w:val="00C652A0"/>
    <w:rsid w:val="00C660CC"/>
    <w:rsid w:val="00C66B9D"/>
    <w:rsid w:val="00C66C28"/>
    <w:rsid w:val="00C712CD"/>
    <w:rsid w:val="00C71F31"/>
    <w:rsid w:val="00C73D56"/>
    <w:rsid w:val="00C73DD5"/>
    <w:rsid w:val="00C741EC"/>
    <w:rsid w:val="00C75C01"/>
    <w:rsid w:val="00C76074"/>
    <w:rsid w:val="00C7628F"/>
    <w:rsid w:val="00C77CF5"/>
    <w:rsid w:val="00C80317"/>
    <w:rsid w:val="00C80380"/>
    <w:rsid w:val="00C80681"/>
    <w:rsid w:val="00C807D3"/>
    <w:rsid w:val="00C80E76"/>
    <w:rsid w:val="00C812CA"/>
    <w:rsid w:val="00C81944"/>
    <w:rsid w:val="00C821AE"/>
    <w:rsid w:val="00C83411"/>
    <w:rsid w:val="00C83DB2"/>
    <w:rsid w:val="00C83F1B"/>
    <w:rsid w:val="00C83FF7"/>
    <w:rsid w:val="00C845C3"/>
    <w:rsid w:val="00C846D6"/>
    <w:rsid w:val="00C86502"/>
    <w:rsid w:val="00C86588"/>
    <w:rsid w:val="00C8740B"/>
    <w:rsid w:val="00C90067"/>
    <w:rsid w:val="00C90A1E"/>
    <w:rsid w:val="00C90B88"/>
    <w:rsid w:val="00C90F04"/>
    <w:rsid w:val="00C9172B"/>
    <w:rsid w:val="00C9334B"/>
    <w:rsid w:val="00C93691"/>
    <w:rsid w:val="00C93BAE"/>
    <w:rsid w:val="00C94A0E"/>
    <w:rsid w:val="00C94D06"/>
    <w:rsid w:val="00C95047"/>
    <w:rsid w:val="00C9586A"/>
    <w:rsid w:val="00C971CF"/>
    <w:rsid w:val="00C97494"/>
    <w:rsid w:val="00C97BE2"/>
    <w:rsid w:val="00CA0192"/>
    <w:rsid w:val="00CA250A"/>
    <w:rsid w:val="00CA2B5D"/>
    <w:rsid w:val="00CA3032"/>
    <w:rsid w:val="00CA41B6"/>
    <w:rsid w:val="00CA457D"/>
    <w:rsid w:val="00CA4726"/>
    <w:rsid w:val="00CA5497"/>
    <w:rsid w:val="00CA5BAA"/>
    <w:rsid w:val="00CA5DA6"/>
    <w:rsid w:val="00CA68B4"/>
    <w:rsid w:val="00CA6CEE"/>
    <w:rsid w:val="00CA70A6"/>
    <w:rsid w:val="00CA72C0"/>
    <w:rsid w:val="00CB0800"/>
    <w:rsid w:val="00CB0D45"/>
    <w:rsid w:val="00CB1424"/>
    <w:rsid w:val="00CB2994"/>
    <w:rsid w:val="00CB320D"/>
    <w:rsid w:val="00CB3B8D"/>
    <w:rsid w:val="00CB466E"/>
    <w:rsid w:val="00CB4D9D"/>
    <w:rsid w:val="00CB70D4"/>
    <w:rsid w:val="00CB7BAC"/>
    <w:rsid w:val="00CB7E33"/>
    <w:rsid w:val="00CC12B8"/>
    <w:rsid w:val="00CC243F"/>
    <w:rsid w:val="00CC2E6F"/>
    <w:rsid w:val="00CC2F77"/>
    <w:rsid w:val="00CC2FF1"/>
    <w:rsid w:val="00CC3A15"/>
    <w:rsid w:val="00CC415A"/>
    <w:rsid w:val="00CC4468"/>
    <w:rsid w:val="00CC475A"/>
    <w:rsid w:val="00CC5222"/>
    <w:rsid w:val="00CC5D1F"/>
    <w:rsid w:val="00CC6008"/>
    <w:rsid w:val="00CC621E"/>
    <w:rsid w:val="00CC6487"/>
    <w:rsid w:val="00CC6B05"/>
    <w:rsid w:val="00CD0DBE"/>
    <w:rsid w:val="00CD0EC9"/>
    <w:rsid w:val="00CD13E4"/>
    <w:rsid w:val="00CD5113"/>
    <w:rsid w:val="00CD5CE8"/>
    <w:rsid w:val="00CD5FB1"/>
    <w:rsid w:val="00CD63D2"/>
    <w:rsid w:val="00CD742D"/>
    <w:rsid w:val="00CD794D"/>
    <w:rsid w:val="00CD7FE5"/>
    <w:rsid w:val="00CE0059"/>
    <w:rsid w:val="00CE0098"/>
    <w:rsid w:val="00CE0337"/>
    <w:rsid w:val="00CE0CC9"/>
    <w:rsid w:val="00CE12DA"/>
    <w:rsid w:val="00CE1699"/>
    <w:rsid w:val="00CE343B"/>
    <w:rsid w:val="00CE3F77"/>
    <w:rsid w:val="00CE43B8"/>
    <w:rsid w:val="00CE4D7B"/>
    <w:rsid w:val="00CE506B"/>
    <w:rsid w:val="00CE53CB"/>
    <w:rsid w:val="00CE551A"/>
    <w:rsid w:val="00CE5A01"/>
    <w:rsid w:val="00CE5C6E"/>
    <w:rsid w:val="00CE62A8"/>
    <w:rsid w:val="00CE6E2F"/>
    <w:rsid w:val="00CE7321"/>
    <w:rsid w:val="00CE75FE"/>
    <w:rsid w:val="00CE794C"/>
    <w:rsid w:val="00CE7E63"/>
    <w:rsid w:val="00CF0178"/>
    <w:rsid w:val="00CF01C1"/>
    <w:rsid w:val="00CF0EE5"/>
    <w:rsid w:val="00CF1717"/>
    <w:rsid w:val="00CF4D5D"/>
    <w:rsid w:val="00CF50DF"/>
    <w:rsid w:val="00CF551A"/>
    <w:rsid w:val="00CF62D5"/>
    <w:rsid w:val="00CF6E71"/>
    <w:rsid w:val="00D002D8"/>
    <w:rsid w:val="00D00F74"/>
    <w:rsid w:val="00D01E43"/>
    <w:rsid w:val="00D01FDB"/>
    <w:rsid w:val="00D03092"/>
    <w:rsid w:val="00D043C3"/>
    <w:rsid w:val="00D04D30"/>
    <w:rsid w:val="00D061EB"/>
    <w:rsid w:val="00D07194"/>
    <w:rsid w:val="00D0756D"/>
    <w:rsid w:val="00D0788D"/>
    <w:rsid w:val="00D10017"/>
    <w:rsid w:val="00D10284"/>
    <w:rsid w:val="00D10C2E"/>
    <w:rsid w:val="00D11D24"/>
    <w:rsid w:val="00D11DE2"/>
    <w:rsid w:val="00D12A57"/>
    <w:rsid w:val="00D145FE"/>
    <w:rsid w:val="00D1469A"/>
    <w:rsid w:val="00D15257"/>
    <w:rsid w:val="00D156A5"/>
    <w:rsid w:val="00D16351"/>
    <w:rsid w:val="00D16D2A"/>
    <w:rsid w:val="00D171AD"/>
    <w:rsid w:val="00D172E1"/>
    <w:rsid w:val="00D17A57"/>
    <w:rsid w:val="00D17B85"/>
    <w:rsid w:val="00D2065D"/>
    <w:rsid w:val="00D211A3"/>
    <w:rsid w:val="00D219AD"/>
    <w:rsid w:val="00D22239"/>
    <w:rsid w:val="00D22577"/>
    <w:rsid w:val="00D22911"/>
    <w:rsid w:val="00D22A62"/>
    <w:rsid w:val="00D22C89"/>
    <w:rsid w:val="00D23037"/>
    <w:rsid w:val="00D2424D"/>
    <w:rsid w:val="00D255FF"/>
    <w:rsid w:val="00D259FC"/>
    <w:rsid w:val="00D26082"/>
    <w:rsid w:val="00D260C8"/>
    <w:rsid w:val="00D26653"/>
    <w:rsid w:val="00D26E4F"/>
    <w:rsid w:val="00D2735B"/>
    <w:rsid w:val="00D27628"/>
    <w:rsid w:val="00D312F0"/>
    <w:rsid w:val="00D3175A"/>
    <w:rsid w:val="00D319A0"/>
    <w:rsid w:val="00D33537"/>
    <w:rsid w:val="00D33DBF"/>
    <w:rsid w:val="00D33E5C"/>
    <w:rsid w:val="00D35187"/>
    <w:rsid w:val="00D3691B"/>
    <w:rsid w:val="00D36C02"/>
    <w:rsid w:val="00D376F9"/>
    <w:rsid w:val="00D37880"/>
    <w:rsid w:val="00D405B6"/>
    <w:rsid w:val="00D40FF2"/>
    <w:rsid w:val="00D40FF3"/>
    <w:rsid w:val="00D420EA"/>
    <w:rsid w:val="00D4248B"/>
    <w:rsid w:val="00D4264C"/>
    <w:rsid w:val="00D42BF6"/>
    <w:rsid w:val="00D42E17"/>
    <w:rsid w:val="00D4329D"/>
    <w:rsid w:val="00D47333"/>
    <w:rsid w:val="00D4766A"/>
    <w:rsid w:val="00D47E5A"/>
    <w:rsid w:val="00D503F7"/>
    <w:rsid w:val="00D50963"/>
    <w:rsid w:val="00D5192F"/>
    <w:rsid w:val="00D51D20"/>
    <w:rsid w:val="00D51F4C"/>
    <w:rsid w:val="00D52068"/>
    <w:rsid w:val="00D52327"/>
    <w:rsid w:val="00D52E5C"/>
    <w:rsid w:val="00D53804"/>
    <w:rsid w:val="00D53ABF"/>
    <w:rsid w:val="00D54526"/>
    <w:rsid w:val="00D545C4"/>
    <w:rsid w:val="00D553D5"/>
    <w:rsid w:val="00D555C1"/>
    <w:rsid w:val="00D55D03"/>
    <w:rsid w:val="00D55D2D"/>
    <w:rsid w:val="00D55D5A"/>
    <w:rsid w:val="00D56235"/>
    <w:rsid w:val="00D5798F"/>
    <w:rsid w:val="00D57F2C"/>
    <w:rsid w:val="00D61FAD"/>
    <w:rsid w:val="00D62CC9"/>
    <w:rsid w:val="00D62D9E"/>
    <w:rsid w:val="00D6498A"/>
    <w:rsid w:val="00D653AF"/>
    <w:rsid w:val="00D65772"/>
    <w:rsid w:val="00D65E7C"/>
    <w:rsid w:val="00D674FE"/>
    <w:rsid w:val="00D67984"/>
    <w:rsid w:val="00D67DDD"/>
    <w:rsid w:val="00D704C4"/>
    <w:rsid w:val="00D70F95"/>
    <w:rsid w:val="00D71458"/>
    <w:rsid w:val="00D714E5"/>
    <w:rsid w:val="00D71716"/>
    <w:rsid w:val="00D720A3"/>
    <w:rsid w:val="00D721F3"/>
    <w:rsid w:val="00D723B0"/>
    <w:rsid w:val="00D72A01"/>
    <w:rsid w:val="00D7347A"/>
    <w:rsid w:val="00D73687"/>
    <w:rsid w:val="00D73A81"/>
    <w:rsid w:val="00D73FE5"/>
    <w:rsid w:val="00D74100"/>
    <w:rsid w:val="00D7431A"/>
    <w:rsid w:val="00D74674"/>
    <w:rsid w:val="00D76965"/>
    <w:rsid w:val="00D773A8"/>
    <w:rsid w:val="00D80906"/>
    <w:rsid w:val="00D81B68"/>
    <w:rsid w:val="00D827F8"/>
    <w:rsid w:val="00D82904"/>
    <w:rsid w:val="00D83C24"/>
    <w:rsid w:val="00D840AF"/>
    <w:rsid w:val="00D84B1D"/>
    <w:rsid w:val="00D85295"/>
    <w:rsid w:val="00D85651"/>
    <w:rsid w:val="00D85B81"/>
    <w:rsid w:val="00D8610A"/>
    <w:rsid w:val="00D869D7"/>
    <w:rsid w:val="00D86F63"/>
    <w:rsid w:val="00D876D9"/>
    <w:rsid w:val="00D87C6F"/>
    <w:rsid w:val="00D87D0F"/>
    <w:rsid w:val="00D90267"/>
    <w:rsid w:val="00D90D1D"/>
    <w:rsid w:val="00D90DD9"/>
    <w:rsid w:val="00D9122D"/>
    <w:rsid w:val="00D9139B"/>
    <w:rsid w:val="00D91720"/>
    <w:rsid w:val="00D91A49"/>
    <w:rsid w:val="00D9331E"/>
    <w:rsid w:val="00D9394C"/>
    <w:rsid w:val="00D939CA"/>
    <w:rsid w:val="00D95009"/>
    <w:rsid w:val="00D95041"/>
    <w:rsid w:val="00D954C8"/>
    <w:rsid w:val="00D95F6B"/>
    <w:rsid w:val="00D96620"/>
    <w:rsid w:val="00D96817"/>
    <w:rsid w:val="00D97307"/>
    <w:rsid w:val="00D97820"/>
    <w:rsid w:val="00D97A57"/>
    <w:rsid w:val="00DA09FC"/>
    <w:rsid w:val="00DA1E22"/>
    <w:rsid w:val="00DA2110"/>
    <w:rsid w:val="00DA2137"/>
    <w:rsid w:val="00DA3577"/>
    <w:rsid w:val="00DA36ED"/>
    <w:rsid w:val="00DA40CC"/>
    <w:rsid w:val="00DA496E"/>
    <w:rsid w:val="00DA55BB"/>
    <w:rsid w:val="00DA59DB"/>
    <w:rsid w:val="00DA65C2"/>
    <w:rsid w:val="00DA6728"/>
    <w:rsid w:val="00DA6A3B"/>
    <w:rsid w:val="00DA6BF7"/>
    <w:rsid w:val="00DA6D01"/>
    <w:rsid w:val="00DA71B7"/>
    <w:rsid w:val="00DA7DD8"/>
    <w:rsid w:val="00DB09AF"/>
    <w:rsid w:val="00DB1713"/>
    <w:rsid w:val="00DB1A83"/>
    <w:rsid w:val="00DB1F27"/>
    <w:rsid w:val="00DB253D"/>
    <w:rsid w:val="00DB2573"/>
    <w:rsid w:val="00DB268A"/>
    <w:rsid w:val="00DB27B8"/>
    <w:rsid w:val="00DB2AF6"/>
    <w:rsid w:val="00DB560A"/>
    <w:rsid w:val="00DB5CF8"/>
    <w:rsid w:val="00DB5F4B"/>
    <w:rsid w:val="00DB6074"/>
    <w:rsid w:val="00DB7098"/>
    <w:rsid w:val="00DB787D"/>
    <w:rsid w:val="00DB7B53"/>
    <w:rsid w:val="00DB7D53"/>
    <w:rsid w:val="00DC0038"/>
    <w:rsid w:val="00DC052E"/>
    <w:rsid w:val="00DC06FB"/>
    <w:rsid w:val="00DC084F"/>
    <w:rsid w:val="00DC1299"/>
    <w:rsid w:val="00DC1561"/>
    <w:rsid w:val="00DC1A38"/>
    <w:rsid w:val="00DC1B27"/>
    <w:rsid w:val="00DC1B54"/>
    <w:rsid w:val="00DC1BDC"/>
    <w:rsid w:val="00DC1DCE"/>
    <w:rsid w:val="00DC2479"/>
    <w:rsid w:val="00DC3006"/>
    <w:rsid w:val="00DC3EB6"/>
    <w:rsid w:val="00DC430F"/>
    <w:rsid w:val="00DC5D31"/>
    <w:rsid w:val="00DC6825"/>
    <w:rsid w:val="00DC70F0"/>
    <w:rsid w:val="00DC73CD"/>
    <w:rsid w:val="00DD17FC"/>
    <w:rsid w:val="00DD1911"/>
    <w:rsid w:val="00DD1AE0"/>
    <w:rsid w:val="00DD1B61"/>
    <w:rsid w:val="00DD23F6"/>
    <w:rsid w:val="00DD2BD6"/>
    <w:rsid w:val="00DD3EA1"/>
    <w:rsid w:val="00DD4CCF"/>
    <w:rsid w:val="00DD5D45"/>
    <w:rsid w:val="00DD767B"/>
    <w:rsid w:val="00DD7EAD"/>
    <w:rsid w:val="00DE06A4"/>
    <w:rsid w:val="00DE12D3"/>
    <w:rsid w:val="00DE194B"/>
    <w:rsid w:val="00DE1A34"/>
    <w:rsid w:val="00DE277E"/>
    <w:rsid w:val="00DE30EC"/>
    <w:rsid w:val="00DE390F"/>
    <w:rsid w:val="00DE3E4D"/>
    <w:rsid w:val="00DE40D5"/>
    <w:rsid w:val="00DE415F"/>
    <w:rsid w:val="00DE417F"/>
    <w:rsid w:val="00DE43AF"/>
    <w:rsid w:val="00DE453B"/>
    <w:rsid w:val="00DE54F5"/>
    <w:rsid w:val="00DE6429"/>
    <w:rsid w:val="00DE6A5E"/>
    <w:rsid w:val="00DE7CED"/>
    <w:rsid w:val="00DE7E0F"/>
    <w:rsid w:val="00DF0329"/>
    <w:rsid w:val="00DF0BA3"/>
    <w:rsid w:val="00DF152E"/>
    <w:rsid w:val="00DF193D"/>
    <w:rsid w:val="00DF1C62"/>
    <w:rsid w:val="00DF2411"/>
    <w:rsid w:val="00DF263A"/>
    <w:rsid w:val="00DF347A"/>
    <w:rsid w:val="00DF38BD"/>
    <w:rsid w:val="00DF3A8E"/>
    <w:rsid w:val="00DF3D1D"/>
    <w:rsid w:val="00DF42CC"/>
    <w:rsid w:val="00DF4AD1"/>
    <w:rsid w:val="00DF52F4"/>
    <w:rsid w:val="00DF5823"/>
    <w:rsid w:val="00DF5CA5"/>
    <w:rsid w:val="00DF637A"/>
    <w:rsid w:val="00E00040"/>
    <w:rsid w:val="00E00767"/>
    <w:rsid w:val="00E00A8E"/>
    <w:rsid w:val="00E0113A"/>
    <w:rsid w:val="00E013D8"/>
    <w:rsid w:val="00E015A6"/>
    <w:rsid w:val="00E022E4"/>
    <w:rsid w:val="00E03010"/>
    <w:rsid w:val="00E0446A"/>
    <w:rsid w:val="00E044B9"/>
    <w:rsid w:val="00E0468B"/>
    <w:rsid w:val="00E046A9"/>
    <w:rsid w:val="00E0492D"/>
    <w:rsid w:val="00E05515"/>
    <w:rsid w:val="00E05DE3"/>
    <w:rsid w:val="00E0608B"/>
    <w:rsid w:val="00E062B7"/>
    <w:rsid w:val="00E066AF"/>
    <w:rsid w:val="00E07E35"/>
    <w:rsid w:val="00E107EE"/>
    <w:rsid w:val="00E1169F"/>
    <w:rsid w:val="00E117C0"/>
    <w:rsid w:val="00E128B6"/>
    <w:rsid w:val="00E133BD"/>
    <w:rsid w:val="00E1518A"/>
    <w:rsid w:val="00E15A8D"/>
    <w:rsid w:val="00E164EA"/>
    <w:rsid w:val="00E16798"/>
    <w:rsid w:val="00E17374"/>
    <w:rsid w:val="00E20137"/>
    <w:rsid w:val="00E20DE3"/>
    <w:rsid w:val="00E21029"/>
    <w:rsid w:val="00E21F1D"/>
    <w:rsid w:val="00E21F43"/>
    <w:rsid w:val="00E22181"/>
    <w:rsid w:val="00E22457"/>
    <w:rsid w:val="00E225AD"/>
    <w:rsid w:val="00E233C4"/>
    <w:rsid w:val="00E23406"/>
    <w:rsid w:val="00E23841"/>
    <w:rsid w:val="00E23BAB"/>
    <w:rsid w:val="00E24D0D"/>
    <w:rsid w:val="00E24EA8"/>
    <w:rsid w:val="00E24FC0"/>
    <w:rsid w:val="00E25816"/>
    <w:rsid w:val="00E25D18"/>
    <w:rsid w:val="00E26244"/>
    <w:rsid w:val="00E2686E"/>
    <w:rsid w:val="00E3014F"/>
    <w:rsid w:val="00E318F9"/>
    <w:rsid w:val="00E31CDC"/>
    <w:rsid w:val="00E325E9"/>
    <w:rsid w:val="00E3344C"/>
    <w:rsid w:val="00E33BE9"/>
    <w:rsid w:val="00E35E1F"/>
    <w:rsid w:val="00E35ED3"/>
    <w:rsid w:val="00E36FAE"/>
    <w:rsid w:val="00E37214"/>
    <w:rsid w:val="00E40443"/>
    <w:rsid w:val="00E40BC8"/>
    <w:rsid w:val="00E4242D"/>
    <w:rsid w:val="00E42539"/>
    <w:rsid w:val="00E42FB6"/>
    <w:rsid w:val="00E43128"/>
    <w:rsid w:val="00E4375C"/>
    <w:rsid w:val="00E45F75"/>
    <w:rsid w:val="00E46A9C"/>
    <w:rsid w:val="00E479B2"/>
    <w:rsid w:val="00E502A5"/>
    <w:rsid w:val="00E50748"/>
    <w:rsid w:val="00E50F31"/>
    <w:rsid w:val="00E51100"/>
    <w:rsid w:val="00E513F0"/>
    <w:rsid w:val="00E51EB2"/>
    <w:rsid w:val="00E52E1C"/>
    <w:rsid w:val="00E53190"/>
    <w:rsid w:val="00E535B4"/>
    <w:rsid w:val="00E5361F"/>
    <w:rsid w:val="00E540A6"/>
    <w:rsid w:val="00E547D4"/>
    <w:rsid w:val="00E55DDB"/>
    <w:rsid w:val="00E60F37"/>
    <w:rsid w:val="00E61C34"/>
    <w:rsid w:val="00E624FF"/>
    <w:rsid w:val="00E626D0"/>
    <w:rsid w:val="00E63445"/>
    <w:rsid w:val="00E6354D"/>
    <w:rsid w:val="00E636DA"/>
    <w:rsid w:val="00E63DB1"/>
    <w:rsid w:val="00E649A6"/>
    <w:rsid w:val="00E64B0E"/>
    <w:rsid w:val="00E65460"/>
    <w:rsid w:val="00E66F85"/>
    <w:rsid w:val="00E67C77"/>
    <w:rsid w:val="00E700F9"/>
    <w:rsid w:val="00E70C06"/>
    <w:rsid w:val="00E70FA2"/>
    <w:rsid w:val="00E718A5"/>
    <w:rsid w:val="00E71B77"/>
    <w:rsid w:val="00E72770"/>
    <w:rsid w:val="00E72E75"/>
    <w:rsid w:val="00E7316C"/>
    <w:rsid w:val="00E731B2"/>
    <w:rsid w:val="00E73394"/>
    <w:rsid w:val="00E734B4"/>
    <w:rsid w:val="00E73F53"/>
    <w:rsid w:val="00E741D2"/>
    <w:rsid w:val="00E74298"/>
    <w:rsid w:val="00E74B65"/>
    <w:rsid w:val="00E74EA2"/>
    <w:rsid w:val="00E752E2"/>
    <w:rsid w:val="00E753A0"/>
    <w:rsid w:val="00E75CB4"/>
    <w:rsid w:val="00E761D9"/>
    <w:rsid w:val="00E7742A"/>
    <w:rsid w:val="00E7754C"/>
    <w:rsid w:val="00E8066D"/>
    <w:rsid w:val="00E80DDE"/>
    <w:rsid w:val="00E81E8F"/>
    <w:rsid w:val="00E82820"/>
    <w:rsid w:val="00E8284A"/>
    <w:rsid w:val="00E8360C"/>
    <w:rsid w:val="00E83894"/>
    <w:rsid w:val="00E839AE"/>
    <w:rsid w:val="00E84094"/>
    <w:rsid w:val="00E841C3"/>
    <w:rsid w:val="00E84A38"/>
    <w:rsid w:val="00E857BF"/>
    <w:rsid w:val="00E8585D"/>
    <w:rsid w:val="00E8613A"/>
    <w:rsid w:val="00E86864"/>
    <w:rsid w:val="00E870B7"/>
    <w:rsid w:val="00E879C5"/>
    <w:rsid w:val="00E87EEB"/>
    <w:rsid w:val="00E9031A"/>
    <w:rsid w:val="00E90587"/>
    <w:rsid w:val="00E90D9B"/>
    <w:rsid w:val="00E90FDC"/>
    <w:rsid w:val="00E91288"/>
    <w:rsid w:val="00E91499"/>
    <w:rsid w:val="00E91778"/>
    <w:rsid w:val="00E9190E"/>
    <w:rsid w:val="00E9238D"/>
    <w:rsid w:val="00E92799"/>
    <w:rsid w:val="00E930BB"/>
    <w:rsid w:val="00E93BD2"/>
    <w:rsid w:val="00E95099"/>
    <w:rsid w:val="00E95578"/>
    <w:rsid w:val="00E960B7"/>
    <w:rsid w:val="00E972EE"/>
    <w:rsid w:val="00E97549"/>
    <w:rsid w:val="00E97712"/>
    <w:rsid w:val="00E979CA"/>
    <w:rsid w:val="00E97AC0"/>
    <w:rsid w:val="00E97B5D"/>
    <w:rsid w:val="00E97D41"/>
    <w:rsid w:val="00EA05EC"/>
    <w:rsid w:val="00EA06CE"/>
    <w:rsid w:val="00EA0B24"/>
    <w:rsid w:val="00EA16CD"/>
    <w:rsid w:val="00EA1C94"/>
    <w:rsid w:val="00EA2D8C"/>
    <w:rsid w:val="00EA341D"/>
    <w:rsid w:val="00EA3FB7"/>
    <w:rsid w:val="00EA498B"/>
    <w:rsid w:val="00EA4DE9"/>
    <w:rsid w:val="00EA58E4"/>
    <w:rsid w:val="00EA5FE8"/>
    <w:rsid w:val="00EA6ACC"/>
    <w:rsid w:val="00EA70E7"/>
    <w:rsid w:val="00EA7A6C"/>
    <w:rsid w:val="00EB04CD"/>
    <w:rsid w:val="00EB075F"/>
    <w:rsid w:val="00EB0DF5"/>
    <w:rsid w:val="00EB0E47"/>
    <w:rsid w:val="00EB0FE9"/>
    <w:rsid w:val="00EB2227"/>
    <w:rsid w:val="00EB24DE"/>
    <w:rsid w:val="00EB252A"/>
    <w:rsid w:val="00EB2995"/>
    <w:rsid w:val="00EB2BEE"/>
    <w:rsid w:val="00EB3C05"/>
    <w:rsid w:val="00EB3D2A"/>
    <w:rsid w:val="00EB3D81"/>
    <w:rsid w:val="00EB42C4"/>
    <w:rsid w:val="00EB4440"/>
    <w:rsid w:val="00EB5254"/>
    <w:rsid w:val="00EB54D4"/>
    <w:rsid w:val="00EB5C97"/>
    <w:rsid w:val="00EB5E5F"/>
    <w:rsid w:val="00EB5FD2"/>
    <w:rsid w:val="00EB6310"/>
    <w:rsid w:val="00EB6CAA"/>
    <w:rsid w:val="00EB6FA9"/>
    <w:rsid w:val="00EB76AE"/>
    <w:rsid w:val="00EC0337"/>
    <w:rsid w:val="00EC0E98"/>
    <w:rsid w:val="00EC16C6"/>
    <w:rsid w:val="00EC1DD1"/>
    <w:rsid w:val="00EC2811"/>
    <w:rsid w:val="00EC2DCC"/>
    <w:rsid w:val="00EC3DBE"/>
    <w:rsid w:val="00EC472F"/>
    <w:rsid w:val="00EC4BE6"/>
    <w:rsid w:val="00EC59C5"/>
    <w:rsid w:val="00EC5CFD"/>
    <w:rsid w:val="00EC60CE"/>
    <w:rsid w:val="00EC6257"/>
    <w:rsid w:val="00EC693C"/>
    <w:rsid w:val="00EC6FDF"/>
    <w:rsid w:val="00ED1309"/>
    <w:rsid w:val="00ED1AC8"/>
    <w:rsid w:val="00ED1C74"/>
    <w:rsid w:val="00ED3EFC"/>
    <w:rsid w:val="00ED4ADE"/>
    <w:rsid w:val="00ED4F4B"/>
    <w:rsid w:val="00ED54A4"/>
    <w:rsid w:val="00ED5553"/>
    <w:rsid w:val="00ED5B37"/>
    <w:rsid w:val="00ED628E"/>
    <w:rsid w:val="00ED7B22"/>
    <w:rsid w:val="00EE119C"/>
    <w:rsid w:val="00EE11DE"/>
    <w:rsid w:val="00EE14AD"/>
    <w:rsid w:val="00EE1570"/>
    <w:rsid w:val="00EE15A2"/>
    <w:rsid w:val="00EE2862"/>
    <w:rsid w:val="00EE2A26"/>
    <w:rsid w:val="00EE2A65"/>
    <w:rsid w:val="00EE2E60"/>
    <w:rsid w:val="00EE330D"/>
    <w:rsid w:val="00EE340D"/>
    <w:rsid w:val="00EE34B0"/>
    <w:rsid w:val="00EE3EE5"/>
    <w:rsid w:val="00EE477F"/>
    <w:rsid w:val="00EE50D0"/>
    <w:rsid w:val="00EE58F0"/>
    <w:rsid w:val="00EE5CB8"/>
    <w:rsid w:val="00EE728D"/>
    <w:rsid w:val="00EE7885"/>
    <w:rsid w:val="00EF02B1"/>
    <w:rsid w:val="00EF0BFD"/>
    <w:rsid w:val="00EF12CC"/>
    <w:rsid w:val="00EF1C91"/>
    <w:rsid w:val="00EF4197"/>
    <w:rsid w:val="00EF41BB"/>
    <w:rsid w:val="00EF4804"/>
    <w:rsid w:val="00EF4C30"/>
    <w:rsid w:val="00EF4E71"/>
    <w:rsid w:val="00EF50FC"/>
    <w:rsid w:val="00EF6FC0"/>
    <w:rsid w:val="00F007C1"/>
    <w:rsid w:val="00F00915"/>
    <w:rsid w:val="00F02973"/>
    <w:rsid w:val="00F02C65"/>
    <w:rsid w:val="00F03136"/>
    <w:rsid w:val="00F0432F"/>
    <w:rsid w:val="00F047C1"/>
    <w:rsid w:val="00F04F80"/>
    <w:rsid w:val="00F051E6"/>
    <w:rsid w:val="00F053C2"/>
    <w:rsid w:val="00F06806"/>
    <w:rsid w:val="00F10156"/>
    <w:rsid w:val="00F1026C"/>
    <w:rsid w:val="00F10AF6"/>
    <w:rsid w:val="00F11CEB"/>
    <w:rsid w:val="00F11DB2"/>
    <w:rsid w:val="00F1290F"/>
    <w:rsid w:val="00F13377"/>
    <w:rsid w:val="00F13E62"/>
    <w:rsid w:val="00F143FD"/>
    <w:rsid w:val="00F14A64"/>
    <w:rsid w:val="00F15371"/>
    <w:rsid w:val="00F1654B"/>
    <w:rsid w:val="00F16643"/>
    <w:rsid w:val="00F16C69"/>
    <w:rsid w:val="00F1744D"/>
    <w:rsid w:val="00F17875"/>
    <w:rsid w:val="00F2074A"/>
    <w:rsid w:val="00F20933"/>
    <w:rsid w:val="00F20BAE"/>
    <w:rsid w:val="00F20D34"/>
    <w:rsid w:val="00F214B9"/>
    <w:rsid w:val="00F225D1"/>
    <w:rsid w:val="00F229C4"/>
    <w:rsid w:val="00F233B0"/>
    <w:rsid w:val="00F25582"/>
    <w:rsid w:val="00F273C2"/>
    <w:rsid w:val="00F27409"/>
    <w:rsid w:val="00F27C18"/>
    <w:rsid w:val="00F31090"/>
    <w:rsid w:val="00F3167A"/>
    <w:rsid w:val="00F31E76"/>
    <w:rsid w:val="00F32988"/>
    <w:rsid w:val="00F33583"/>
    <w:rsid w:val="00F338B2"/>
    <w:rsid w:val="00F352FB"/>
    <w:rsid w:val="00F35FFC"/>
    <w:rsid w:val="00F36051"/>
    <w:rsid w:val="00F361D8"/>
    <w:rsid w:val="00F368B7"/>
    <w:rsid w:val="00F3780B"/>
    <w:rsid w:val="00F40185"/>
    <w:rsid w:val="00F401F6"/>
    <w:rsid w:val="00F40572"/>
    <w:rsid w:val="00F40BB1"/>
    <w:rsid w:val="00F40BD0"/>
    <w:rsid w:val="00F40EFD"/>
    <w:rsid w:val="00F41B5A"/>
    <w:rsid w:val="00F41F6B"/>
    <w:rsid w:val="00F42132"/>
    <w:rsid w:val="00F42AB5"/>
    <w:rsid w:val="00F42B06"/>
    <w:rsid w:val="00F42EB1"/>
    <w:rsid w:val="00F42F19"/>
    <w:rsid w:val="00F434B3"/>
    <w:rsid w:val="00F435CE"/>
    <w:rsid w:val="00F43818"/>
    <w:rsid w:val="00F4466A"/>
    <w:rsid w:val="00F462AA"/>
    <w:rsid w:val="00F46C41"/>
    <w:rsid w:val="00F4719E"/>
    <w:rsid w:val="00F4763C"/>
    <w:rsid w:val="00F47822"/>
    <w:rsid w:val="00F5047B"/>
    <w:rsid w:val="00F504D0"/>
    <w:rsid w:val="00F50A4E"/>
    <w:rsid w:val="00F50F53"/>
    <w:rsid w:val="00F512B1"/>
    <w:rsid w:val="00F517E7"/>
    <w:rsid w:val="00F51C80"/>
    <w:rsid w:val="00F52F0D"/>
    <w:rsid w:val="00F53A76"/>
    <w:rsid w:val="00F53EEF"/>
    <w:rsid w:val="00F5519C"/>
    <w:rsid w:val="00F55A2A"/>
    <w:rsid w:val="00F55BB6"/>
    <w:rsid w:val="00F562D9"/>
    <w:rsid w:val="00F565AE"/>
    <w:rsid w:val="00F5674D"/>
    <w:rsid w:val="00F57539"/>
    <w:rsid w:val="00F57ECC"/>
    <w:rsid w:val="00F603DA"/>
    <w:rsid w:val="00F60754"/>
    <w:rsid w:val="00F6079F"/>
    <w:rsid w:val="00F61ACE"/>
    <w:rsid w:val="00F61B5B"/>
    <w:rsid w:val="00F62289"/>
    <w:rsid w:val="00F62AFE"/>
    <w:rsid w:val="00F636BA"/>
    <w:rsid w:val="00F648EF"/>
    <w:rsid w:val="00F64A5B"/>
    <w:rsid w:val="00F64B7D"/>
    <w:rsid w:val="00F650B9"/>
    <w:rsid w:val="00F6513D"/>
    <w:rsid w:val="00F65508"/>
    <w:rsid w:val="00F657FD"/>
    <w:rsid w:val="00F65890"/>
    <w:rsid w:val="00F659F6"/>
    <w:rsid w:val="00F6630B"/>
    <w:rsid w:val="00F6652E"/>
    <w:rsid w:val="00F66D2C"/>
    <w:rsid w:val="00F6761C"/>
    <w:rsid w:val="00F70089"/>
    <w:rsid w:val="00F70886"/>
    <w:rsid w:val="00F70C37"/>
    <w:rsid w:val="00F716D6"/>
    <w:rsid w:val="00F73CC1"/>
    <w:rsid w:val="00F74A6C"/>
    <w:rsid w:val="00F75417"/>
    <w:rsid w:val="00F75A72"/>
    <w:rsid w:val="00F76DE2"/>
    <w:rsid w:val="00F77038"/>
    <w:rsid w:val="00F77154"/>
    <w:rsid w:val="00F7739C"/>
    <w:rsid w:val="00F7741F"/>
    <w:rsid w:val="00F80A66"/>
    <w:rsid w:val="00F80E1D"/>
    <w:rsid w:val="00F81167"/>
    <w:rsid w:val="00F819FC"/>
    <w:rsid w:val="00F8217E"/>
    <w:rsid w:val="00F83739"/>
    <w:rsid w:val="00F850DD"/>
    <w:rsid w:val="00F85C49"/>
    <w:rsid w:val="00F86A1D"/>
    <w:rsid w:val="00F86DDB"/>
    <w:rsid w:val="00F8724F"/>
    <w:rsid w:val="00F87D13"/>
    <w:rsid w:val="00F90A3B"/>
    <w:rsid w:val="00F90A4B"/>
    <w:rsid w:val="00F90C05"/>
    <w:rsid w:val="00F91570"/>
    <w:rsid w:val="00F918A0"/>
    <w:rsid w:val="00F91954"/>
    <w:rsid w:val="00F9216D"/>
    <w:rsid w:val="00F92C25"/>
    <w:rsid w:val="00F9357D"/>
    <w:rsid w:val="00F939A5"/>
    <w:rsid w:val="00F94727"/>
    <w:rsid w:val="00F948E4"/>
    <w:rsid w:val="00F95035"/>
    <w:rsid w:val="00F9639E"/>
    <w:rsid w:val="00F9670E"/>
    <w:rsid w:val="00F96862"/>
    <w:rsid w:val="00F96867"/>
    <w:rsid w:val="00F97FAE"/>
    <w:rsid w:val="00FA00F4"/>
    <w:rsid w:val="00FA09DB"/>
    <w:rsid w:val="00FA23FB"/>
    <w:rsid w:val="00FA25EC"/>
    <w:rsid w:val="00FA4D0B"/>
    <w:rsid w:val="00FA4F44"/>
    <w:rsid w:val="00FA51CB"/>
    <w:rsid w:val="00FA5C6F"/>
    <w:rsid w:val="00FA5E7B"/>
    <w:rsid w:val="00FA6E6D"/>
    <w:rsid w:val="00FA737A"/>
    <w:rsid w:val="00FB050C"/>
    <w:rsid w:val="00FB1432"/>
    <w:rsid w:val="00FB1DAD"/>
    <w:rsid w:val="00FB1E85"/>
    <w:rsid w:val="00FB240F"/>
    <w:rsid w:val="00FB2554"/>
    <w:rsid w:val="00FB328C"/>
    <w:rsid w:val="00FB3323"/>
    <w:rsid w:val="00FB38C1"/>
    <w:rsid w:val="00FB435C"/>
    <w:rsid w:val="00FB47F5"/>
    <w:rsid w:val="00FB4A58"/>
    <w:rsid w:val="00FB53F7"/>
    <w:rsid w:val="00FB5774"/>
    <w:rsid w:val="00FB5D92"/>
    <w:rsid w:val="00FB6CA2"/>
    <w:rsid w:val="00FB6F18"/>
    <w:rsid w:val="00FC0211"/>
    <w:rsid w:val="00FC1119"/>
    <w:rsid w:val="00FC26F5"/>
    <w:rsid w:val="00FC2763"/>
    <w:rsid w:val="00FC2CF2"/>
    <w:rsid w:val="00FC2E80"/>
    <w:rsid w:val="00FC4318"/>
    <w:rsid w:val="00FC44DA"/>
    <w:rsid w:val="00FC4DB3"/>
    <w:rsid w:val="00FC4F4A"/>
    <w:rsid w:val="00FC50FA"/>
    <w:rsid w:val="00FC52EA"/>
    <w:rsid w:val="00FC5416"/>
    <w:rsid w:val="00FC5A45"/>
    <w:rsid w:val="00FC71A1"/>
    <w:rsid w:val="00FC7C11"/>
    <w:rsid w:val="00FD0F93"/>
    <w:rsid w:val="00FD11CF"/>
    <w:rsid w:val="00FD137F"/>
    <w:rsid w:val="00FD2347"/>
    <w:rsid w:val="00FD2539"/>
    <w:rsid w:val="00FD2D4A"/>
    <w:rsid w:val="00FD35A8"/>
    <w:rsid w:val="00FD35CB"/>
    <w:rsid w:val="00FD3C97"/>
    <w:rsid w:val="00FD4CD3"/>
    <w:rsid w:val="00FD5FAE"/>
    <w:rsid w:val="00FD613B"/>
    <w:rsid w:val="00FD6C0E"/>
    <w:rsid w:val="00FE04E1"/>
    <w:rsid w:val="00FE13DC"/>
    <w:rsid w:val="00FE218F"/>
    <w:rsid w:val="00FE2754"/>
    <w:rsid w:val="00FE2F96"/>
    <w:rsid w:val="00FE2FA7"/>
    <w:rsid w:val="00FE31F2"/>
    <w:rsid w:val="00FE45A8"/>
    <w:rsid w:val="00FE5176"/>
    <w:rsid w:val="00FE55C3"/>
    <w:rsid w:val="00FE617D"/>
    <w:rsid w:val="00FE6564"/>
    <w:rsid w:val="00FE679C"/>
    <w:rsid w:val="00FE6AF7"/>
    <w:rsid w:val="00FE6F97"/>
    <w:rsid w:val="00FE705A"/>
    <w:rsid w:val="00FE78A7"/>
    <w:rsid w:val="00FF2A70"/>
    <w:rsid w:val="00FF3316"/>
    <w:rsid w:val="00FF4ADC"/>
    <w:rsid w:val="00FF4D79"/>
    <w:rsid w:val="00FF50C1"/>
    <w:rsid w:val="00FF5462"/>
    <w:rsid w:val="00FF5654"/>
    <w:rsid w:val="00FF5744"/>
    <w:rsid w:val="00FF6345"/>
    <w:rsid w:val="00FF654E"/>
    <w:rsid w:val="00FF73C5"/>
    <w:rsid w:val="00FF7BFF"/>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84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954C5A"/>
    <w:pPr>
      <w:keepNext/>
      <w:keepLines/>
      <w:numPr>
        <w:numId w:val="74"/>
      </w:numPr>
      <w:spacing w:before="480" w:after="0"/>
      <w:outlineLvl w:val="0"/>
    </w:pPr>
    <w:rPr>
      <w:rFonts w:ascii="Georgia" w:eastAsiaTheme="majorEastAsia" w:hAnsi="Georgia" w:cstheme="majorBidi"/>
      <w:b/>
      <w:bCs/>
      <w:color w:val="821A1A"/>
      <w:sz w:val="40"/>
      <w:szCs w:val="28"/>
    </w:rPr>
  </w:style>
  <w:style w:type="paragraph" w:styleId="Antrat2">
    <w:name w:val="heading 2"/>
    <w:basedOn w:val="prastasis"/>
    <w:next w:val="prastasis"/>
    <w:link w:val="Antrat2Diagrama"/>
    <w:uiPriority w:val="9"/>
    <w:unhideWhenUsed/>
    <w:qFormat/>
    <w:rsid w:val="005A0219"/>
    <w:pPr>
      <w:keepNext/>
      <w:keepLines/>
      <w:spacing w:before="200" w:after="0"/>
      <w:outlineLvl w:val="1"/>
    </w:pPr>
    <w:rPr>
      <w:rFonts w:asciiTheme="majorHAnsi" w:eastAsiaTheme="majorEastAsia" w:hAnsiTheme="majorHAnsi" w:cstheme="majorBidi"/>
      <w:b/>
      <w:bCs/>
      <w:color w:val="821A1A"/>
      <w:sz w:val="32"/>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5A0219"/>
    <w:pPr>
      <w:keepNext/>
      <w:keepLines/>
      <w:spacing w:before="40" w:after="0"/>
      <w:outlineLvl w:val="4"/>
    </w:pPr>
    <w:rPr>
      <w:rFonts w:ascii="Georgia" w:eastAsia="Times New Roman" w:hAnsi="Georgia" w:cs="Arial Unicode MS"/>
      <w:i/>
      <w:color w:val="821A1A"/>
      <w:sz w:val="24"/>
    </w:rPr>
  </w:style>
  <w:style w:type="paragraph" w:styleId="Antrat6">
    <w:name w:val="heading 6"/>
    <w:basedOn w:val="prastasis"/>
    <w:next w:val="prastasis"/>
    <w:link w:val="Antrat6Diagrama"/>
    <w:uiPriority w:val="9"/>
    <w:semiHidden/>
    <w:unhideWhenUsed/>
    <w:qFormat/>
    <w:rsid w:val="005A0219"/>
    <w:pPr>
      <w:keepNext/>
      <w:keepLines/>
      <w:spacing w:before="40" w:after="0"/>
      <w:outlineLvl w:val="5"/>
    </w:pPr>
    <w:rPr>
      <w:rFonts w:ascii="Georgia" w:eastAsia="Times New Roman" w:hAnsi="Georgia" w:cs="Arial Unicode MS"/>
      <w:color w:val="821A1A"/>
      <w:sz w:val="24"/>
    </w:rPr>
  </w:style>
  <w:style w:type="paragraph" w:styleId="Antrat7">
    <w:name w:val="heading 7"/>
    <w:basedOn w:val="prastasis"/>
    <w:next w:val="prastasis"/>
    <w:link w:val="Antrat7Diagrama"/>
    <w:uiPriority w:val="9"/>
    <w:semiHidden/>
    <w:unhideWhenUsed/>
    <w:qFormat/>
    <w:rsid w:val="005A0219"/>
    <w:pPr>
      <w:keepNext/>
      <w:keepLines/>
      <w:spacing w:before="40" w:after="0"/>
      <w:outlineLvl w:val="6"/>
    </w:pPr>
    <w:rPr>
      <w:rFonts w:ascii="Georgia" w:eastAsia="Times New Roman" w:hAnsi="Georgia" w:cs="Arial Unicode MS"/>
      <w:i/>
      <w:iCs/>
      <w:color w:val="400D0D"/>
    </w:rPr>
  </w:style>
  <w:style w:type="paragraph" w:styleId="Antrat8">
    <w:name w:val="heading 8"/>
    <w:basedOn w:val="prastasis"/>
    <w:next w:val="prastasis"/>
    <w:link w:val="Antrat8Diagrama"/>
    <w:uiPriority w:val="9"/>
    <w:semiHidden/>
    <w:unhideWhenUsed/>
    <w:qFormat/>
    <w:rsid w:val="005A0219"/>
    <w:pPr>
      <w:keepNext/>
      <w:keepLines/>
      <w:spacing w:before="40" w:after="0"/>
      <w:outlineLvl w:val="7"/>
    </w:pPr>
    <w:rPr>
      <w:rFonts w:ascii="Georgia" w:eastAsia="Times New Roman" w:hAnsi="Georgia" w:cs="Arial Unicode MS"/>
      <w:color w:val="272727"/>
      <w:sz w:val="21"/>
      <w:szCs w:val="21"/>
    </w:rPr>
  </w:style>
  <w:style w:type="paragraph" w:styleId="Antrat9">
    <w:name w:val="heading 9"/>
    <w:basedOn w:val="prastasis"/>
    <w:next w:val="prastasis"/>
    <w:link w:val="Antrat9Diagrama"/>
    <w:uiPriority w:val="9"/>
    <w:semiHidden/>
    <w:unhideWhenUsed/>
    <w:qFormat/>
    <w:rsid w:val="005A0219"/>
    <w:pPr>
      <w:keepNext/>
      <w:keepLines/>
      <w:spacing w:before="40" w:after="0"/>
      <w:outlineLvl w:val="8"/>
    </w:pPr>
    <w:rPr>
      <w:rFonts w:ascii="Georgia" w:eastAsia="Times New Roman" w:hAnsi="Georgia" w:cs="Arial Unicode MS"/>
      <w:i/>
      <w:iCs/>
      <w:color w:val="272727"/>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54C5A"/>
    <w:rPr>
      <w:rFonts w:ascii="Georgia" w:eastAsiaTheme="majorEastAsia" w:hAnsi="Georgia" w:cstheme="majorBidi"/>
      <w:b/>
      <w:bCs/>
      <w:color w:val="821A1A"/>
      <w:sz w:val="40"/>
      <w:szCs w:val="28"/>
    </w:rPr>
  </w:style>
  <w:style w:type="character" w:customStyle="1" w:styleId="Antrat2Diagrama">
    <w:name w:val="Antraštė 2 Diagrama"/>
    <w:basedOn w:val="Numatytasispastraiposriftas"/>
    <w:link w:val="Antrat2"/>
    <w:uiPriority w:val="9"/>
    <w:rsid w:val="005A0219"/>
    <w:rPr>
      <w:rFonts w:asciiTheme="majorHAnsi" w:eastAsiaTheme="majorEastAsia" w:hAnsiTheme="majorHAnsi" w:cstheme="majorBidi"/>
      <w:b/>
      <w:bCs/>
      <w:color w:val="821A1A"/>
      <w:sz w:val="32"/>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aliases w:val="lentelių turinys"/>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aliases w:val="|| 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aliases w:val="|| Footer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1parykinimas">
    <w:name w:val="Medium Shading 1 Accent 1"/>
    <w:basedOn w:val="prastojilentel"/>
    <w:uiPriority w:val="63"/>
    <w:rsid w:val="006A520B"/>
    <w:pPr>
      <w:spacing w:after="0" w:line="240" w:lineRule="auto"/>
    </w:pPr>
    <w:rPr>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kumentoinaostekstas">
    <w:name w:val="endnote text"/>
    <w:basedOn w:val="prastasis"/>
    <w:link w:val="DokumentoinaostekstasDiagrama"/>
    <w:uiPriority w:val="99"/>
    <w:semiHidden/>
    <w:unhideWhenUsed/>
    <w:rsid w:val="006A520B"/>
    <w:pPr>
      <w:spacing w:after="0" w:line="240" w:lineRule="auto"/>
    </w:pPr>
    <w:rPr>
      <w:sz w:val="20"/>
      <w:szCs w:val="20"/>
      <w:lang w:val="lt-LT"/>
    </w:rPr>
  </w:style>
  <w:style w:type="character" w:customStyle="1" w:styleId="DokumentoinaostekstasDiagrama">
    <w:name w:val="Dokumento išnašos tekstas Diagrama"/>
    <w:basedOn w:val="Numatytasispastraiposriftas"/>
    <w:link w:val="Dokumentoinaostekstas"/>
    <w:uiPriority w:val="99"/>
    <w:semiHidden/>
    <w:rsid w:val="006A520B"/>
    <w:rPr>
      <w:sz w:val="20"/>
      <w:szCs w:val="20"/>
      <w:lang w:val="lt-LT"/>
    </w:rPr>
  </w:style>
  <w:style w:type="character" w:styleId="Dokumentoinaosnumeris">
    <w:name w:val="endnote reference"/>
    <w:basedOn w:val="Numatytasispastraiposriftas"/>
    <w:uiPriority w:val="99"/>
    <w:semiHidden/>
    <w:unhideWhenUsed/>
    <w:rsid w:val="006A520B"/>
    <w:rPr>
      <w:vertAlign w:val="superscript"/>
    </w:rPr>
  </w:style>
  <w:style w:type="paragraph" w:customStyle="1" w:styleId="Heading51">
    <w:name w:val="Heading 51"/>
    <w:basedOn w:val="prastasis"/>
    <w:next w:val="Pagrindinistekstas"/>
    <w:uiPriority w:val="9"/>
    <w:unhideWhenUsed/>
    <w:rsid w:val="005A0219"/>
    <w:pPr>
      <w:keepNext/>
      <w:spacing w:after="160" w:line="0" w:lineRule="atLeast"/>
      <w:ind w:left="3600" w:hanging="360"/>
      <w:outlineLvl w:val="4"/>
    </w:pPr>
    <w:rPr>
      <w:rFonts w:ascii="Georgia" w:eastAsia="Times New Roman" w:hAnsi="Georgia" w:cs="Arial Unicode MS"/>
      <w:i/>
      <w:color w:val="821A1A"/>
      <w:sz w:val="24"/>
      <w:szCs w:val="20"/>
    </w:rPr>
  </w:style>
  <w:style w:type="paragraph" w:customStyle="1" w:styleId="Heading61">
    <w:name w:val="Heading 61"/>
    <w:basedOn w:val="prastasis"/>
    <w:next w:val="prastasis"/>
    <w:uiPriority w:val="9"/>
    <w:semiHidden/>
    <w:unhideWhenUsed/>
    <w:rsid w:val="005A0219"/>
    <w:pPr>
      <w:keepNext/>
      <w:spacing w:after="160" w:line="0" w:lineRule="atLeast"/>
      <w:outlineLvl w:val="5"/>
    </w:pPr>
    <w:rPr>
      <w:rFonts w:ascii="Georgia" w:eastAsia="Times New Roman" w:hAnsi="Georgia" w:cs="Arial Unicode MS"/>
      <w:color w:val="821A1A"/>
      <w:sz w:val="24"/>
      <w:szCs w:val="20"/>
    </w:rPr>
  </w:style>
  <w:style w:type="paragraph" w:customStyle="1" w:styleId="Heading71">
    <w:name w:val="Heading 71"/>
    <w:basedOn w:val="prastasis"/>
    <w:next w:val="prastasis"/>
    <w:uiPriority w:val="9"/>
    <w:semiHidden/>
    <w:unhideWhenUsed/>
    <w:rsid w:val="005A0219"/>
    <w:pPr>
      <w:keepNext/>
      <w:spacing w:before="40" w:after="0" w:line="240" w:lineRule="auto"/>
      <w:outlineLvl w:val="6"/>
    </w:pPr>
    <w:rPr>
      <w:rFonts w:ascii="Georgia" w:eastAsia="Times New Roman" w:hAnsi="Georgia" w:cs="Arial Unicode MS"/>
      <w:i/>
      <w:iCs/>
      <w:color w:val="400D0D"/>
      <w:sz w:val="20"/>
      <w:szCs w:val="20"/>
    </w:rPr>
  </w:style>
  <w:style w:type="paragraph" w:customStyle="1" w:styleId="Heading81">
    <w:name w:val="Heading 81"/>
    <w:basedOn w:val="prastasis"/>
    <w:next w:val="Pagrindinistekstas"/>
    <w:uiPriority w:val="9"/>
    <w:semiHidden/>
    <w:unhideWhenUsed/>
    <w:rsid w:val="005A0219"/>
    <w:pPr>
      <w:keepNext/>
      <w:spacing w:after="240" w:line="240" w:lineRule="auto"/>
      <w:outlineLvl w:val="7"/>
    </w:pPr>
    <w:rPr>
      <w:rFonts w:ascii="Georgia" w:eastAsia="Times New Roman" w:hAnsi="Georgia" w:cs="Arial Unicode MS"/>
      <w:color w:val="272727"/>
      <w:sz w:val="21"/>
      <w:szCs w:val="21"/>
    </w:rPr>
  </w:style>
  <w:style w:type="paragraph" w:customStyle="1" w:styleId="Heading91">
    <w:name w:val="Heading 91"/>
    <w:basedOn w:val="prastasis"/>
    <w:next w:val="Pagrindinistekstas"/>
    <w:uiPriority w:val="9"/>
    <w:semiHidden/>
    <w:unhideWhenUsed/>
    <w:rsid w:val="005A0219"/>
    <w:pPr>
      <w:keepNext/>
      <w:spacing w:after="240" w:line="240" w:lineRule="auto"/>
      <w:outlineLvl w:val="8"/>
    </w:pPr>
    <w:rPr>
      <w:rFonts w:ascii="Georgia" w:eastAsia="Times New Roman" w:hAnsi="Georgia" w:cs="Arial Unicode MS"/>
      <w:i/>
      <w:iCs/>
      <w:color w:val="272727"/>
      <w:sz w:val="20"/>
      <w:szCs w:val="21"/>
    </w:rPr>
  </w:style>
  <w:style w:type="numbering" w:customStyle="1" w:styleId="NoList1">
    <w:name w:val="No List1"/>
    <w:next w:val="Sraonra"/>
    <w:uiPriority w:val="99"/>
    <w:semiHidden/>
    <w:unhideWhenUsed/>
    <w:rsid w:val="005A0219"/>
  </w:style>
  <w:style w:type="paragraph" w:customStyle="1" w:styleId="Address">
    <w:name w:val="Address"/>
    <w:basedOn w:val="prastasis"/>
    <w:link w:val="AddressChar"/>
    <w:qFormat/>
    <w:rsid w:val="005A0219"/>
    <w:pPr>
      <w:spacing w:after="0" w:line="200" w:lineRule="atLeast"/>
    </w:pPr>
    <w:rPr>
      <w:i/>
      <w:sz w:val="18"/>
      <w:szCs w:val="20"/>
    </w:rPr>
  </w:style>
  <w:style w:type="character" w:customStyle="1" w:styleId="Antrat5Diagrama">
    <w:name w:val="Antraštė 5 Diagrama"/>
    <w:basedOn w:val="Numatytasispastraiposriftas"/>
    <w:link w:val="Antrat5"/>
    <w:uiPriority w:val="9"/>
    <w:rsid w:val="005A0219"/>
    <w:rPr>
      <w:rFonts w:ascii="Georgia" w:eastAsia="Times New Roman" w:hAnsi="Georgia" w:cs="Arial Unicode MS"/>
      <w:i/>
      <w:color w:val="821A1A"/>
      <w:sz w:val="24"/>
    </w:rPr>
  </w:style>
  <w:style w:type="character" w:customStyle="1" w:styleId="Antrat6Diagrama">
    <w:name w:val="Antraštė 6 Diagrama"/>
    <w:basedOn w:val="Numatytasispastraiposriftas"/>
    <w:link w:val="Antrat6"/>
    <w:uiPriority w:val="9"/>
    <w:semiHidden/>
    <w:rsid w:val="005A0219"/>
    <w:rPr>
      <w:rFonts w:ascii="Georgia" w:eastAsia="Times New Roman" w:hAnsi="Georgia" w:cs="Arial Unicode MS"/>
      <w:color w:val="821A1A"/>
      <w:sz w:val="24"/>
    </w:rPr>
  </w:style>
  <w:style w:type="character" w:customStyle="1" w:styleId="Antrat7Diagrama">
    <w:name w:val="Antraštė 7 Diagrama"/>
    <w:basedOn w:val="Numatytasispastraiposriftas"/>
    <w:link w:val="Antrat7"/>
    <w:uiPriority w:val="9"/>
    <w:semiHidden/>
    <w:rsid w:val="005A0219"/>
    <w:rPr>
      <w:rFonts w:ascii="Georgia" w:eastAsia="Times New Roman" w:hAnsi="Georgia" w:cs="Arial Unicode MS"/>
      <w:i/>
      <w:iCs/>
      <w:color w:val="400D0D"/>
    </w:rPr>
  </w:style>
  <w:style w:type="character" w:customStyle="1" w:styleId="Antrat8Diagrama">
    <w:name w:val="Antraštė 8 Diagrama"/>
    <w:basedOn w:val="Numatytasispastraiposriftas"/>
    <w:link w:val="Antrat8"/>
    <w:uiPriority w:val="9"/>
    <w:semiHidden/>
    <w:rsid w:val="005A0219"/>
    <w:rPr>
      <w:rFonts w:ascii="Georgia" w:eastAsia="Times New Roman" w:hAnsi="Georgia" w:cs="Arial Unicode MS"/>
      <w:color w:val="272727"/>
      <w:sz w:val="21"/>
      <w:szCs w:val="21"/>
    </w:rPr>
  </w:style>
  <w:style w:type="character" w:customStyle="1" w:styleId="Antrat9Diagrama">
    <w:name w:val="Antraštė 9 Diagrama"/>
    <w:basedOn w:val="Numatytasispastraiposriftas"/>
    <w:link w:val="Antrat9"/>
    <w:uiPriority w:val="9"/>
    <w:semiHidden/>
    <w:rsid w:val="005A0219"/>
    <w:rPr>
      <w:rFonts w:ascii="Georgia" w:eastAsia="Times New Roman" w:hAnsi="Georgia" w:cs="Arial Unicode MS"/>
      <w:i/>
      <w:iCs/>
      <w:color w:val="272727"/>
      <w:szCs w:val="21"/>
    </w:rPr>
  </w:style>
  <w:style w:type="paragraph" w:customStyle="1" w:styleId="BlockText1">
    <w:name w:val="Block Text1"/>
    <w:basedOn w:val="Pagrindinistekstas"/>
    <w:next w:val="Tekstoblokas"/>
    <w:uiPriority w:val="99"/>
    <w:unhideWhenUsed/>
    <w:rsid w:val="005A0219"/>
    <w:pPr>
      <w:pBdr>
        <w:top w:val="single" w:sz="2" w:space="10" w:color="821A1A" w:shadow="1"/>
        <w:left w:val="single" w:sz="2" w:space="10" w:color="821A1A" w:shadow="1"/>
        <w:bottom w:val="single" w:sz="2" w:space="10" w:color="821A1A" w:shadow="1"/>
        <w:right w:val="single" w:sz="2" w:space="10" w:color="821A1A" w:shadow="1"/>
      </w:pBdr>
      <w:spacing w:after="160" w:line="240" w:lineRule="auto"/>
      <w:ind w:left="230" w:right="230"/>
    </w:pPr>
    <w:rPr>
      <w:rFonts w:eastAsia="Times New Roman" w:cs="Arial Unicode MS"/>
      <w:i/>
      <w:iCs/>
      <w:color w:val="821A1A"/>
      <w:sz w:val="22"/>
      <w:lang w:val="en-US"/>
    </w:rPr>
  </w:style>
  <w:style w:type="paragraph" w:customStyle="1" w:styleId="BlockText2">
    <w:name w:val="Block Text 2"/>
    <w:basedOn w:val="Tekstoblokas"/>
    <w:rsid w:val="005A0219"/>
    <w:pPr>
      <w:pBdr>
        <w:top w:val="single" w:sz="8" w:space="10" w:color="F2F2F2"/>
        <w:left w:val="single" w:sz="8" w:space="10" w:color="F2F2F2"/>
        <w:bottom w:val="single" w:sz="8" w:space="10" w:color="F2F2F2"/>
        <w:right w:val="single" w:sz="8" w:space="10" w:color="F2F2F2"/>
      </w:pBdr>
      <w:shd w:val="clear" w:color="auto" w:fill="D9D9D9"/>
      <w:spacing w:after="160" w:line="240" w:lineRule="auto"/>
      <w:ind w:left="230" w:right="230"/>
    </w:pPr>
    <w:rPr>
      <w:szCs w:val="20"/>
    </w:rPr>
  </w:style>
  <w:style w:type="paragraph" w:customStyle="1" w:styleId="Callout">
    <w:name w:val="Callout"/>
    <w:basedOn w:val="Pagrindinistekstas"/>
    <w:next w:val="Pagrindinistekstas"/>
    <w:rsid w:val="005A0219"/>
    <w:pPr>
      <w:framePr w:w="2102" w:hSpace="230" w:wrap="around" w:vAnchor="text" w:hAnchor="page" w:x="1023" w:y="203"/>
      <w:spacing w:after="160" w:line="240" w:lineRule="auto"/>
    </w:pPr>
    <w:rPr>
      <w:rFonts w:eastAsia="Georgia" w:cs="Arial Unicode MS"/>
      <w:i/>
      <w:color w:val="821A1A"/>
      <w:sz w:val="16"/>
      <w:lang w:val="en-US"/>
    </w:rPr>
  </w:style>
  <w:style w:type="paragraph" w:styleId="Data">
    <w:name w:val="Date"/>
    <w:basedOn w:val="prastasis"/>
    <w:next w:val="Pagrindinistekstas"/>
    <w:link w:val="DataDiagrama"/>
    <w:uiPriority w:val="99"/>
    <w:unhideWhenUsed/>
    <w:rsid w:val="005A0219"/>
    <w:pPr>
      <w:spacing w:after="160"/>
      <w:ind w:left="2376"/>
    </w:pPr>
    <w:rPr>
      <w:sz w:val="28"/>
      <w:szCs w:val="20"/>
    </w:rPr>
  </w:style>
  <w:style w:type="character" w:customStyle="1" w:styleId="DataDiagrama">
    <w:name w:val="Data Diagrama"/>
    <w:basedOn w:val="Numatytasispastraiposriftas"/>
    <w:link w:val="Data"/>
    <w:uiPriority w:val="99"/>
    <w:rsid w:val="005A0219"/>
    <w:rPr>
      <w:sz w:val="28"/>
      <w:szCs w:val="20"/>
    </w:rPr>
  </w:style>
  <w:style w:type="paragraph" w:customStyle="1" w:styleId="Disclaimer">
    <w:name w:val="Disclaimer"/>
    <w:basedOn w:val="Pagrindinistekstas"/>
    <w:link w:val="DisclaimerChar"/>
    <w:qFormat/>
    <w:rsid w:val="005A0219"/>
    <w:pPr>
      <w:spacing w:after="0" w:line="140" w:lineRule="atLeast"/>
    </w:pPr>
    <w:rPr>
      <w:rFonts w:eastAsia="Georgia" w:cs="Arial Unicode MS"/>
      <w:sz w:val="16"/>
      <w:lang w:val="en-US"/>
    </w:rPr>
  </w:style>
  <w:style w:type="paragraph" w:customStyle="1" w:styleId="DividerHeader">
    <w:name w:val="Divider Header"/>
    <w:rsid w:val="005A0219"/>
    <w:pPr>
      <w:spacing w:after="240" w:line="240" w:lineRule="atLeast"/>
    </w:pPr>
    <w:rPr>
      <w:rFonts w:ascii="Georgia" w:hAnsi="Georgia"/>
      <w:i/>
      <w:color w:val="000000"/>
      <w:sz w:val="64"/>
      <w:szCs w:val="20"/>
    </w:rPr>
  </w:style>
  <w:style w:type="paragraph" w:customStyle="1" w:styleId="ExhibitHeading1">
    <w:name w:val="Exhibit Heading 1"/>
    <w:basedOn w:val="Pagrindinistekstas"/>
    <w:next w:val="Pagrindinistekstas"/>
    <w:rsid w:val="005A0219"/>
    <w:pPr>
      <w:keepNext/>
      <w:pageBreakBefore/>
      <w:numPr>
        <w:numId w:val="64"/>
      </w:numPr>
      <w:spacing w:after="480" w:line="0" w:lineRule="atLeast"/>
      <w:outlineLvl w:val="0"/>
    </w:pPr>
    <w:rPr>
      <w:rFonts w:eastAsia="Georgia" w:cs="Arial Unicode MS"/>
      <w:b/>
      <w:i/>
      <w:sz w:val="48"/>
      <w:lang w:val="en-US"/>
    </w:rPr>
  </w:style>
  <w:style w:type="paragraph" w:customStyle="1" w:styleId="ExhibitHeading2">
    <w:name w:val="Exhibit Heading 2"/>
    <w:basedOn w:val="ExhibitHeading1"/>
    <w:next w:val="Pagrindinistekstas"/>
    <w:rsid w:val="005A0219"/>
    <w:pPr>
      <w:pageBreakBefore w:val="0"/>
      <w:numPr>
        <w:ilvl w:val="1"/>
      </w:numPr>
      <w:spacing w:after="160"/>
      <w:outlineLvl w:val="1"/>
    </w:pPr>
    <w:rPr>
      <w:color w:val="821A1A"/>
      <w:sz w:val="32"/>
    </w:rPr>
  </w:style>
  <w:style w:type="paragraph" w:customStyle="1" w:styleId="ExhibitHeading3">
    <w:name w:val="Exhibit Heading 3"/>
    <w:basedOn w:val="ExhibitHeading2"/>
    <w:next w:val="Pagrindinistekstas"/>
    <w:rsid w:val="005A0219"/>
    <w:pPr>
      <w:numPr>
        <w:ilvl w:val="2"/>
      </w:numPr>
      <w:outlineLvl w:val="2"/>
    </w:pPr>
    <w:rPr>
      <w:sz w:val="28"/>
    </w:rPr>
  </w:style>
  <w:style w:type="paragraph" w:customStyle="1" w:styleId="ExhibitHeading4">
    <w:name w:val="Exhibit Heading 4"/>
    <w:basedOn w:val="ExhibitHeading3"/>
    <w:next w:val="Pagrindinistekstas"/>
    <w:rsid w:val="005A0219"/>
    <w:pPr>
      <w:numPr>
        <w:ilvl w:val="3"/>
      </w:numPr>
      <w:outlineLvl w:val="3"/>
    </w:pPr>
    <w:rPr>
      <w:b w:val="0"/>
    </w:rPr>
  </w:style>
  <w:style w:type="paragraph" w:customStyle="1" w:styleId="ExhibitHeading5">
    <w:name w:val="Exhibit Heading 5"/>
    <w:basedOn w:val="ExhibitHeading4"/>
    <w:next w:val="Pagrindinistekstas"/>
    <w:rsid w:val="005A0219"/>
    <w:pPr>
      <w:numPr>
        <w:ilvl w:val="4"/>
      </w:numPr>
      <w:ind w:left="1800" w:hanging="1440"/>
      <w:outlineLvl w:val="4"/>
    </w:pPr>
    <w:rPr>
      <w:sz w:val="24"/>
    </w:rPr>
  </w:style>
  <w:style w:type="paragraph" w:customStyle="1" w:styleId="Guidance">
    <w:name w:val="Guidance"/>
    <w:basedOn w:val="prastasis"/>
    <w:link w:val="GuidanceChar"/>
    <w:uiPriority w:val="99"/>
    <w:qFormat/>
    <w:rsid w:val="005A0219"/>
    <w:pPr>
      <w:spacing w:after="100" w:afterAutospacing="1"/>
    </w:pPr>
    <w:rPr>
      <w:rFonts w:ascii="Arial" w:hAnsi="Arial"/>
      <w:color w:val="00A5FF"/>
      <w:sz w:val="16"/>
      <w:szCs w:val="20"/>
    </w:rPr>
  </w:style>
  <w:style w:type="character" w:customStyle="1" w:styleId="HTMLAcronym1">
    <w:name w:val="HTML Acronym1"/>
    <w:basedOn w:val="Numatytasispastraiposriftas"/>
    <w:uiPriority w:val="99"/>
    <w:semiHidden/>
    <w:unhideWhenUsed/>
    <w:rsid w:val="005A0219"/>
    <w:rPr>
      <w:color w:val="000000"/>
    </w:rPr>
  </w:style>
  <w:style w:type="paragraph" w:styleId="Indeksas1">
    <w:name w:val="index 1"/>
    <w:basedOn w:val="prastasis"/>
    <w:next w:val="prastasis"/>
    <w:autoRedefine/>
    <w:uiPriority w:val="99"/>
    <w:unhideWhenUsed/>
    <w:rsid w:val="005A0219"/>
    <w:pPr>
      <w:spacing w:after="120" w:line="240" w:lineRule="auto"/>
      <w:ind w:left="202" w:hanging="202"/>
    </w:pPr>
    <w:rPr>
      <w:sz w:val="20"/>
      <w:szCs w:val="20"/>
    </w:rPr>
  </w:style>
  <w:style w:type="paragraph" w:styleId="Indeksas2">
    <w:name w:val="index 2"/>
    <w:basedOn w:val="prastasis"/>
    <w:next w:val="prastasis"/>
    <w:autoRedefine/>
    <w:uiPriority w:val="99"/>
    <w:unhideWhenUsed/>
    <w:rsid w:val="005A0219"/>
    <w:pPr>
      <w:spacing w:after="120" w:line="240" w:lineRule="auto"/>
      <w:ind w:left="404" w:hanging="202"/>
    </w:pPr>
    <w:rPr>
      <w:sz w:val="20"/>
      <w:szCs w:val="20"/>
    </w:rPr>
  </w:style>
  <w:style w:type="paragraph" w:styleId="Indeksas3">
    <w:name w:val="index 3"/>
    <w:basedOn w:val="prastasis"/>
    <w:next w:val="prastasis"/>
    <w:autoRedefine/>
    <w:uiPriority w:val="99"/>
    <w:unhideWhenUsed/>
    <w:rsid w:val="005A0219"/>
    <w:pPr>
      <w:spacing w:after="120" w:line="240" w:lineRule="auto"/>
      <w:ind w:left="605" w:hanging="202"/>
    </w:pPr>
    <w:rPr>
      <w:sz w:val="20"/>
      <w:szCs w:val="20"/>
    </w:rPr>
  </w:style>
  <w:style w:type="paragraph" w:styleId="Indeksas4">
    <w:name w:val="index 4"/>
    <w:basedOn w:val="prastasis"/>
    <w:next w:val="prastasis"/>
    <w:autoRedefine/>
    <w:uiPriority w:val="99"/>
    <w:unhideWhenUsed/>
    <w:rsid w:val="005A0219"/>
    <w:pPr>
      <w:spacing w:after="0" w:line="240" w:lineRule="auto"/>
      <w:ind w:left="800" w:hanging="200"/>
    </w:pPr>
    <w:rPr>
      <w:sz w:val="20"/>
      <w:szCs w:val="20"/>
    </w:rPr>
  </w:style>
  <w:style w:type="paragraph" w:styleId="Indeksas5">
    <w:name w:val="index 5"/>
    <w:basedOn w:val="prastasis"/>
    <w:next w:val="prastasis"/>
    <w:autoRedefine/>
    <w:uiPriority w:val="99"/>
    <w:unhideWhenUsed/>
    <w:rsid w:val="005A0219"/>
    <w:pPr>
      <w:spacing w:after="120" w:line="240" w:lineRule="auto"/>
      <w:ind w:left="1008" w:hanging="202"/>
    </w:pPr>
    <w:rPr>
      <w:sz w:val="20"/>
      <w:szCs w:val="20"/>
    </w:rPr>
  </w:style>
  <w:style w:type="paragraph" w:styleId="Indeksas6">
    <w:name w:val="index 6"/>
    <w:basedOn w:val="prastasis"/>
    <w:next w:val="prastasis"/>
    <w:autoRedefine/>
    <w:uiPriority w:val="99"/>
    <w:unhideWhenUsed/>
    <w:rsid w:val="005A0219"/>
    <w:pPr>
      <w:spacing w:after="120" w:line="240" w:lineRule="auto"/>
      <w:ind w:left="1196" w:hanging="202"/>
    </w:pPr>
    <w:rPr>
      <w:sz w:val="20"/>
      <w:szCs w:val="20"/>
    </w:rPr>
  </w:style>
  <w:style w:type="paragraph" w:styleId="Indeksas7">
    <w:name w:val="index 7"/>
    <w:basedOn w:val="prastasis"/>
    <w:next w:val="prastasis"/>
    <w:autoRedefine/>
    <w:uiPriority w:val="99"/>
    <w:unhideWhenUsed/>
    <w:rsid w:val="005A0219"/>
    <w:pPr>
      <w:spacing w:after="120" w:line="240" w:lineRule="auto"/>
      <w:ind w:left="1397" w:hanging="202"/>
    </w:pPr>
    <w:rPr>
      <w:sz w:val="20"/>
      <w:szCs w:val="20"/>
    </w:rPr>
  </w:style>
  <w:style w:type="paragraph" w:styleId="Indeksas8">
    <w:name w:val="index 8"/>
    <w:basedOn w:val="prastasis"/>
    <w:next w:val="prastasis"/>
    <w:autoRedefine/>
    <w:uiPriority w:val="99"/>
    <w:unhideWhenUsed/>
    <w:rsid w:val="005A0219"/>
    <w:pPr>
      <w:spacing w:after="120" w:line="240" w:lineRule="auto"/>
      <w:ind w:left="1599" w:hanging="202"/>
    </w:pPr>
    <w:rPr>
      <w:sz w:val="20"/>
      <w:szCs w:val="20"/>
    </w:rPr>
  </w:style>
  <w:style w:type="paragraph" w:styleId="Indeksas9">
    <w:name w:val="index 9"/>
    <w:basedOn w:val="prastasis"/>
    <w:next w:val="prastasis"/>
    <w:autoRedefine/>
    <w:uiPriority w:val="99"/>
    <w:unhideWhenUsed/>
    <w:rsid w:val="005A0219"/>
    <w:pPr>
      <w:spacing w:after="120" w:line="240" w:lineRule="auto"/>
      <w:ind w:left="1800" w:hanging="202"/>
    </w:pPr>
    <w:rPr>
      <w:sz w:val="20"/>
      <w:szCs w:val="20"/>
    </w:rPr>
  </w:style>
  <w:style w:type="paragraph" w:customStyle="1" w:styleId="IndexHeading1">
    <w:name w:val="Index Heading1"/>
    <w:basedOn w:val="prastasis"/>
    <w:next w:val="Indeksas1"/>
    <w:uiPriority w:val="99"/>
    <w:unhideWhenUsed/>
    <w:rsid w:val="005A0219"/>
    <w:pPr>
      <w:spacing w:after="160" w:line="240" w:lineRule="auto"/>
    </w:pPr>
    <w:rPr>
      <w:rFonts w:ascii="Georgia" w:eastAsia="Times New Roman" w:hAnsi="Georgia" w:cs="Arial Unicode MS"/>
      <w:b/>
      <w:bCs/>
      <w:sz w:val="20"/>
      <w:szCs w:val="20"/>
    </w:rPr>
  </w:style>
  <w:style w:type="character" w:customStyle="1" w:styleId="IntenseEmphasis1">
    <w:name w:val="Intense Emphasis1"/>
    <w:basedOn w:val="Numatytasispastraiposriftas"/>
    <w:uiPriority w:val="21"/>
    <w:rsid w:val="005A0219"/>
    <w:rPr>
      <w:i/>
      <w:iCs/>
      <w:color w:val="821A1A"/>
    </w:rPr>
  </w:style>
  <w:style w:type="paragraph" w:customStyle="1" w:styleId="HeadingText">
    <w:name w:val="Heading Text"/>
    <w:basedOn w:val="Pagrindinistekstas"/>
    <w:next w:val="Pagrindinistekstas"/>
    <w:qFormat/>
    <w:rsid w:val="005A0219"/>
    <w:pPr>
      <w:spacing w:after="80" w:line="240" w:lineRule="auto"/>
    </w:pPr>
    <w:rPr>
      <w:rFonts w:eastAsia="Georgia" w:cs="Arial Unicode MS"/>
      <w:b/>
      <w:color w:val="821A1A"/>
      <w:lang w:val="en-US"/>
    </w:rPr>
  </w:style>
  <w:style w:type="character" w:customStyle="1" w:styleId="IntenseReference1">
    <w:name w:val="Intense Reference1"/>
    <w:basedOn w:val="Numatytasispastraiposriftas"/>
    <w:uiPriority w:val="32"/>
    <w:rsid w:val="005A0219"/>
    <w:rPr>
      <w:b/>
      <w:bCs/>
      <w:smallCaps/>
      <w:color w:val="821A1A"/>
      <w:spacing w:val="5"/>
    </w:rPr>
  </w:style>
  <w:style w:type="paragraph" w:customStyle="1" w:styleId="IntenseQuote1">
    <w:name w:val="Intense Quote1"/>
    <w:basedOn w:val="prastasis"/>
    <w:next w:val="prastasis"/>
    <w:uiPriority w:val="30"/>
    <w:rsid w:val="005A0219"/>
    <w:pPr>
      <w:pBdr>
        <w:bottom w:val="single" w:sz="4" w:space="10" w:color="821A1A"/>
      </w:pBdr>
      <w:spacing w:before="200" w:after="280"/>
      <w:ind w:left="936" w:right="936"/>
    </w:pPr>
    <w:rPr>
      <w:b/>
      <w:i/>
      <w:iCs/>
      <w:color w:val="821A1A"/>
      <w:sz w:val="20"/>
      <w:szCs w:val="20"/>
    </w:rPr>
  </w:style>
  <w:style w:type="character" w:customStyle="1" w:styleId="IskirtacitataDiagrama">
    <w:name w:val="Išskirta citata Diagrama"/>
    <w:basedOn w:val="Numatytasispastraiposriftas"/>
    <w:link w:val="Iskirtacitata"/>
    <w:uiPriority w:val="30"/>
    <w:rsid w:val="005A0219"/>
    <w:rPr>
      <w:b/>
      <w:i/>
      <w:iCs/>
      <w:color w:val="821A1A"/>
    </w:rPr>
  </w:style>
  <w:style w:type="character" w:styleId="Eilutsnumeris">
    <w:name w:val="line number"/>
    <w:basedOn w:val="Numatytasispastraiposriftas"/>
    <w:uiPriority w:val="99"/>
    <w:unhideWhenUsed/>
    <w:rsid w:val="005A0219"/>
  </w:style>
  <w:style w:type="paragraph" w:styleId="Sraas">
    <w:name w:val="List"/>
    <w:basedOn w:val="prastasis"/>
    <w:uiPriority w:val="99"/>
    <w:unhideWhenUsed/>
    <w:rsid w:val="005A0219"/>
    <w:pPr>
      <w:spacing w:after="120" w:line="240" w:lineRule="auto"/>
      <w:ind w:left="346"/>
    </w:pPr>
    <w:rPr>
      <w:sz w:val="20"/>
      <w:szCs w:val="20"/>
    </w:rPr>
  </w:style>
  <w:style w:type="paragraph" w:styleId="Sraas2">
    <w:name w:val="List 2"/>
    <w:basedOn w:val="Sraas"/>
    <w:uiPriority w:val="99"/>
    <w:unhideWhenUsed/>
    <w:rsid w:val="005A0219"/>
    <w:pPr>
      <w:ind w:left="691"/>
    </w:pPr>
  </w:style>
  <w:style w:type="paragraph" w:styleId="Sraas4">
    <w:name w:val="List 4"/>
    <w:basedOn w:val="Sraas3"/>
    <w:uiPriority w:val="99"/>
    <w:unhideWhenUsed/>
    <w:rsid w:val="005A0219"/>
    <w:pPr>
      <w:ind w:left="1382" w:firstLine="0"/>
    </w:pPr>
  </w:style>
  <w:style w:type="paragraph" w:styleId="Sraas3">
    <w:name w:val="List 3"/>
    <w:basedOn w:val="Sraas2"/>
    <w:uiPriority w:val="99"/>
    <w:unhideWhenUsed/>
    <w:rsid w:val="005A0219"/>
    <w:pPr>
      <w:ind w:left="2232" w:hanging="1195"/>
    </w:pPr>
  </w:style>
  <w:style w:type="paragraph" w:styleId="Sraas5">
    <w:name w:val="List 5"/>
    <w:basedOn w:val="prastasis"/>
    <w:uiPriority w:val="99"/>
    <w:unhideWhenUsed/>
    <w:rsid w:val="005A0219"/>
    <w:pPr>
      <w:spacing w:after="120" w:line="240" w:lineRule="auto"/>
      <w:ind w:left="1728"/>
    </w:pPr>
    <w:rPr>
      <w:sz w:val="20"/>
      <w:szCs w:val="20"/>
    </w:rPr>
  </w:style>
  <w:style w:type="paragraph" w:customStyle="1" w:styleId="ListAlpha">
    <w:name w:val="List Alpha"/>
    <w:basedOn w:val="prastasis"/>
    <w:qFormat/>
    <w:rsid w:val="005A0219"/>
    <w:pPr>
      <w:numPr>
        <w:numId w:val="65"/>
      </w:numPr>
      <w:spacing w:after="120" w:line="240" w:lineRule="auto"/>
    </w:pPr>
    <w:rPr>
      <w:sz w:val="20"/>
      <w:szCs w:val="20"/>
    </w:rPr>
  </w:style>
  <w:style w:type="paragraph" w:customStyle="1" w:styleId="ListAlpha2">
    <w:name w:val="List Alpha 2"/>
    <w:basedOn w:val="ListAlpha"/>
    <w:qFormat/>
    <w:rsid w:val="005A0219"/>
    <w:pPr>
      <w:numPr>
        <w:ilvl w:val="1"/>
      </w:numPr>
      <w:tabs>
        <w:tab w:val="clear" w:pos="691"/>
      </w:tabs>
      <w:ind w:left="1440" w:hanging="360"/>
    </w:pPr>
  </w:style>
  <w:style w:type="paragraph" w:customStyle="1" w:styleId="ListAlpha3">
    <w:name w:val="List Alpha 3"/>
    <w:basedOn w:val="ListAlpha"/>
    <w:qFormat/>
    <w:rsid w:val="005A0219"/>
    <w:pPr>
      <w:numPr>
        <w:ilvl w:val="2"/>
      </w:numPr>
    </w:pPr>
  </w:style>
  <w:style w:type="paragraph" w:customStyle="1" w:styleId="ListAlpha4">
    <w:name w:val="List Alpha 4"/>
    <w:basedOn w:val="ListAlpha3"/>
    <w:qFormat/>
    <w:rsid w:val="005A0219"/>
    <w:pPr>
      <w:numPr>
        <w:ilvl w:val="3"/>
      </w:numPr>
      <w:tabs>
        <w:tab w:val="clear" w:pos="1382"/>
        <w:tab w:val="num" w:pos="1037"/>
      </w:tabs>
      <w:ind w:left="1037" w:hanging="346"/>
    </w:pPr>
  </w:style>
  <w:style w:type="paragraph" w:customStyle="1" w:styleId="ListAlpha5">
    <w:name w:val="List Alpha 5"/>
    <w:basedOn w:val="ListAlpha4"/>
    <w:rsid w:val="005A0219"/>
    <w:pPr>
      <w:numPr>
        <w:ilvl w:val="4"/>
      </w:numPr>
      <w:tabs>
        <w:tab w:val="clear" w:pos="1728"/>
        <w:tab w:val="num" w:pos="1037"/>
      </w:tabs>
      <w:ind w:left="1037"/>
    </w:pPr>
  </w:style>
  <w:style w:type="paragraph" w:styleId="Sraassuenkleliais">
    <w:name w:val="List Bullet"/>
    <w:basedOn w:val="prastasis"/>
    <w:uiPriority w:val="99"/>
    <w:unhideWhenUsed/>
    <w:qFormat/>
    <w:rsid w:val="005A0219"/>
    <w:pPr>
      <w:numPr>
        <w:numId w:val="66"/>
      </w:numPr>
      <w:tabs>
        <w:tab w:val="clear" w:pos="346"/>
      </w:tabs>
      <w:spacing w:after="120" w:line="240" w:lineRule="auto"/>
      <w:ind w:left="720" w:hanging="360"/>
    </w:pPr>
    <w:rPr>
      <w:sz w:val="20"/>
      <w:szCs w:val="20"/>
    </w:rPr>
  </w:style>
  <w:style w:type="paragraph" w:styleId="Sraassuenkleliais2">
    <w:name w:val="List Bullet 2"/>
    <w:basedOn w:val="prastasis"/>
    <w:uiPriority w:val="99"/>
    <w:unhideWhenUsed/>
    <w:qFormat/>
    <w:rsid w:val="005A0219"/>
    <w:pPr>
      <w:numPr>
        <w:ilvl w:val="1"/>
        <w:numId w:val="66"/>
      </w:numPr>
      <w:tabs>
        <w:tab w:val="clear" w:pos="691"/>
      </w:tabs>
      <w:spacing w:after="120" w:line="240" w:lineRule="auto"/>
      <w:ind w:left="1440" w:hanging="360"/>
    </w:pPr>
    <w:rPr>
      <w:sz w:val="20"/>
      <w:szCs w:val="20"/>
    </w:rPr>
  </w:style>
  <w:style w:type="paragraph" w:styleId="Sraassuenkleliais3">
    <w:name w:val="List Bullet 3"/>
    <w:basedOn w:val="prastasis"/>
    <w:uiPriority w:val="99"/>
    <w:unhideWhenUsed/>
    <w:qFormat/>
    <w:rsid w:val="005A0219"/>
    <w:pPr>
      <w:numPr>
        <w:ilvl w:val="2"/>
        <w:numId w:val="66"/>
      </w:numPr>
      <w:tabs>
        <w:tab w:val="clear" w:pos="1037"/>
      </w:tabs>
      <w:spacing w:after="120" w:line="240" w:lineRule="auto"/>
      <w:ind w:left="2160" w:hanging="360"/>
    </w:pPr>
    <w:rPr>
      <w:sz w:val="20"/>
      <w:szCs w:val="20"/>
    </w:rPr>
  </w:style>
  <w:style w:type="paragraph" w:styleId="Sraassuenkleliais4">
    <w:name w:val="List Bullet 4"/>
    <w:basedOn w:val="prastasis"/>
    <w:uiPriority w:val="99"/>
    <w:unhideWhenUsed/>
    <w:qFormat/>
    <w:rsid w:val="005A0219"/>
    <w:pPr>
      <w:numPr>
        <w:ilvl w:val="3"/>
        <w:numId w:val="66"/>
      </w:numPr>
      <w:tabs>
        <w:tab w:val="clear" w:pos="1382"/>
      </w:tabs>
      <w:spacing w:after="120" w:line="240" w:lineRule="auto"/>
      <w:ind w:left="2880" w:hanging="360"/>
    </w:pPr>
    <w:rPr>
      <w:sz w:val="20"/>
      <w:szCs w:val="20"/>
    </w:rPr>
  </w:style>
  <w:style w:type="paragraph" w:styleId="Sraassuenkleliais5">
    <w:name w:val="List Bullet 5"/>
    <w:basedOn w:val="prastasis"/>
    <w:uiPriority w:val="99"/>
    <w:unhideWhenUsed/>
    <w:rsid w:val="005A0219"/>
    <w:pPr>
      <w:numPr>
        <w:ilvl w:val="4"/>
        <w:numId w:val="66"/>
      </w:numPr>
      <w:spacing w:after="120" w:line="240" w:lineRule="auto"/>
    </w:pPr>
    <w:rPr>
      <w:sz w:val="20"/>
      <w:szCs w:val="20"/>
    </w:rPr>
  </w:style>
  <w:style w:type="paragraph" w:customStyle="1" w:styleId="ListBullet6">
    <w:name w:val="List Bullet 6"/>
    <w:basedOn w:val="Sraassuenkleliais5"/>
    <w:rsid w:val="005A0219"/>
    <w:pPr>
      <w:numPr>
        <w:ilvl w:val="5"/>
      </w:numPr>
    </w:pPr>
  </w:style>
  <w:style w:type="paragraph" w:customStyle="1" w:styleId="ListBullet7">
    <w:name w:val="List Bullet 7"/>
    <w:basedOn w:val="ListBullet6"/>
    <w:rsid w:val="005A0219"/>
    <w:pPr>
      <w:numPr>
        <w:ilvl w:val="6"/>
      </w:numPr>
      <w:tabs>
        <w:tab w:val="clear" w:pos="2419"/>
        <w:tab w:val="num" w:pos="2074"/>
      </w:tabs>
      <w:ind w:left="2074" w:hanging="346"/>
    </w:pPr>
  </w:style>
  <w:style w:type="paragraph" w:customStyle="1" w:styleId="ListBullet8">
    <w:name w:val="List Bullet 8"/>
    <w:basedOn w:val="ListBullet7"/>
    <w:rsid w:val="005A0219"/>
    <w:pPr>
      <w:numPr>
        <w:ilvl w:val="7"/>
      </w:numPr>
      <w:tabs>
        <w:tab w:val="clear" w:pos="2765"/>
        <w:tab w:val="num" w:pos="2074"/>
      </w:tabs>
      <w:ind w:left="2074"/>
    </w:pPr>
  </w:style>
  <w:style w:type="paragraph" w:customStyle="1" w:styleId="ListBullet9">
    <w:name w:val="List Bullet 9"/>
    <w:basedOn w:val="ListBullet8"/>
    <w:rsid w:val="005A0219"/>
    <w:pPr>
      <w:numPr>
        <w:ilvl w:val="8"/>
      </w:numPr>
      <w:tabs>
        <w:tab w:val="clear" w:pos="3110"/>
        <w:tab w:val="num" w:pos="2074"/>
      </w:tabs>
      <w:ind w:left="2074" w:hanging="346"/>
    </w:pPr>
  </w:style>
  <w:style w:type="paragraph" w:styleId="Sraassunumeriais">
    <w:name w:val="List Number"/>
    <w:basedOn w:val="prastasis"/>
    <w:uiPriority w:val="99"/>
    <w:unhideWhenUsed/>
    <w:qFormat/>
    <w:rsid w:val="005A0219"/>
    <w:pPr>
      <w:numPr>
        <w:numId w:val="67"/>
      </w:numPr>
      <w:spacing w:after="120" w:line="240" w:lineRule="auto"/>
    </w:pPr>
    <w:rPr>
      <w:sz w:val="20"/>
      <w:szCs w:val="20"/>
    </w:rPr>
  </w:style>
  <w:style w:type="paragraph" w:styleId="Sraassunumeriais2">
    <w:name w:val="List Number 2"/>
    <w:basedOn w:val="Sraassunumeriais"/>
    <w:uiPriority w:val="99"/>
    <w:unhideWhenUsed/>
    <w:qFormat/>
    <w:rsid w:val="005A0219"/>
    <w:pPr>
      <w:numPr>
        <w:ilvl w:val="1"/>
      </w:numPr>
      <w:tabs>
        <w:tab w:val="left" w:pos="792"/>
      </w:tabs>
    </w:pPr>
  </w:style>
  <w:style w:type="paragraph" w:styleId="Sraassunumeriais3">
    <w:name w:val="List Number 3"/>
    <w:basedOn w:val="Sraassunumeriais2"/>
    <w:uiPriority w:val="99"/>
    <w:unhideWhenUsed/>
    <w:qFormat/>
    <w:rsid w:val="005A0219"/>
    <w:pPr>
      <w:numPr>
        <w:ilvl w:val="2"/>
      </w:numPr>
      <w:tabs>
        <w:tab w:val="clear" w:pos="792"/>
        <w:tab w:val="left" w:pos="1195"/>
      </w:tabs>
    </w:pPr>
  </w:style>
  <w:style w:type="paragraph" w:styleId="Sraassunumeriais4">
    <w:name w:val="List Number 4"/>
    <w:basedOn w:val="Sraassunumeriais3"/>
    <w:uiPriority w:val="99"/>
    <w:unhideWhenUsed/>
    <w:qFormat/>
    <w:rsid w:val="005A0219"/>
    <w:pPr>
      <w:numPr>
        <w:ilvl w:val="3"/>
      </w:numPr>
      <w:tabs>
        <w:tab w:val="clear" w:pos="1195"/>
        <w:tab w:val="left" w:pos="1642"/>
      </w:tabs>
    </w:pPr>
  </w:style>
  <w:style w:type="paragraph" w:styleId="Sraassunumeriais5">
    <w:name w:val="List Number 5"/>
    <w:basedOn w:val="Sraassunumeriais4"/>
    <w:uiPriority w:val="99"/>
    <w:unhideWhenUsed/>
    <w:rsid w:val="005A0219"/>
    <w:pPr>
      <w:numPr>
        <w:ilvl w:val="4"/>
      </w:numPr>
      <w:tabs>
        <w:tab w:val="clear" w:pos="1642"/>
        <w:tab w:val="clear" w:pos="1728"/>
        <w:tab w:val="left" w:pos="1987"/>
      </w:tabs>
      <w:ind w:left="3600" w:hanging="360"/>
    </w:pPr>
  </w:style>
  <w:style w:type="paragraph" w:styleId="Sraotsinys">
    <w:name w:val="List Continue"/>
    <w:basedOn w:val="prastasis"/>
    <w:uiPriority w:val="99"/>
    <w:unhideWhenUsed/>
    <w:qFormat/>
    <w:rsid w:val="005A0219"/>
    <w:pPr>
      <w:spacing w:after="120" w:line="240" w:lineRule="auto"/>
      <w:ind w:left="346"/>
    </w:pPr>
    <w:rPr>
      <w:sz w:val="20"/>
      <w:szCs w:val="20"/>
    </w:rPr>
  </w:style>
  <w:style w:type="paragraph" w:styleId="Sraotsinys2">
    <w:name w:val="List Continue 2"/>
    <w:basedOn w:val="Sraotsinys"/>
    <w:uiPriority w:val="99"/>
    <w:unhideWhenUsed/>
    <w:qFormat/>
    <w:rsid w:val="005A0219"/>
    <w:pPr>
      <w:ind w:left="691"/>
    </w:pPr>
  </w:style>
  <w:style w:type="paragraph" w:styleId="Sraotsinys3">
    <w:name w:val="List Continue 3"/>
    <w:basedOn w:val="Sraassunumeriais2"/>
    <w:uiPriority w:val="99"/>
    <w:unhideWhenUsed/>
    <w:qFormat/>
    <w:rsid w:val="005A0219"/>
    <w:pPr>
      <w:numPr>
        <w:ilvl w:val="0"/>
        <w:numId w:val="0"/>
      </w:numPr>
      <w:ind w:left="1037"/>
    </w:pPr>
  </w:style>
  <w:style w:type="paragraph" w:styleId="Sraotsinys4">
    <w:name w:val="List Continue 4"/>
    <w:basedOn w:val="Sraotsinys3"/>
    <w:uiPriority w:val="99"/>
    <w:unhideWhenUsed/>
    <w:qFormat/>
    <w:rsid w:val="005A0219"/>
    <w:pPr>
      <w:ind w:left="1382"/>
    </w:pPr>
  </w:style>
  <w:style w:type="paragraph" w:styleId="Sraotsinys5">
    <w:name w:val="List Continue 5"/>
    <w:basedOn w:val="Sraotsinys4"/>
    <w:uiPriority w:val="99"/>
    <w:unhideWhenUsed/>
    <w:rsid w:val="005A0219"/>
    <w:pPr>
      <w:ind w:left="1728"/>
    </w:pPr>
  </w:style>
  <w:style w:type="paragraph" w:styleId="Makrokomandostekstas">
    <w:name w:val="macro"/>
    <w:link w:val="MakrokomandostekstasDiagrama"/>
    <w:uiPriority w:val="99"/>
    <w:unhideWhenUsed/>
    <w:rsid w:val="005A0219"/>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rsid w:val="005A0219"/>
    <w:rPr>
      <w:rFonts w:ascii="Consolas" w:hAnsi="Consolas"/>
      <w:sz w:val="20"/>
      <w:szCs w:val="20"/>
    </w:rPr>
  </w:style>
  <w:style w:type="paragraph" w:customStyle="1" w:styleId="MessageHeader1">
    <w:name w:val="Message Header1"/>
    <w:basedOn w:val="prastasis"/>
    <w:next w:val="inutsantrat"/>
    <w:link w:val="MessageHeaderChar"/>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Arial Unicode MS"/>
      <w:sz w:val="24"/>
      <w:szCs w:val="24"/>
    </w:rPr>
  </w:style>
  <w:style w:type="character" w:customStyle="1" w:styleId="MessageHeaderChar">
    <w:name w:val="Message Header Char"/>
    <w:basedOn w:val="Numatytasispastraiposriftas"/>
    <w:link w:val="MessageHeader1"/>
    <w:uiPriority w:val="99"/>
    <w:semiHidden/>
    <w:rsid w:val="005A0219"/>
    <w:rPr>
      <w:rFonts w:eastAsia="Times New Roman" w:cs="Arial Unicode MS"/>
      <w:sz w:val="24"/>
      <w:szCs w:val="24"/>
      <w:shd w:val="pct20" w:color="auto" w:fill="auto"/>
    </w:rPr>
  </w:style>
  <w:style w:type="paragraph" w:customStyle="1" w:styleId="Non-numberedHeading1">
    <w:name w:val="Non-numbered Heading 1"/>
    <w:basedOn w:val="prastasis"/>
    <w:next w:val="Pagrindinistekstas"/>
    <w:qFormat/>
    <w:rsid w:val="005A0219"/>
    <w:pPr>
      <w:keepNext/>
      <w:pageBreakBefore/>
      <w:spacing w:after="480" w:line="240" w:lineRule="auto"/>
      <w:outlineLvl w:val="0"/>
    </w:pPr>
    <w:rPr>
      <w:rFonts w:ascii="Georgia" w:eastAsia="Times New Roman" w:hAnsi="Georgia" w:cs="Arial Unicode MS"/>
      <w:b/>
      <w:i/>
      <w:color w:val="000000"/>
      <w:sz w:val="48"/>
      <w:szCs w:val="32"/>
    </w:rPr>
  </w:style>
  <w:style w:type="paragraph" w:customStyle="1" w:styleId="Non-numberedHeading2">
    <w:name w:val="Non-numbered Heading 2"/>
    <w:basedOn w:val="Non-numberedHeading1"/>
    <w:next w:val="Pagrindinistekstas"/>
    <w:qFormat/>
    <w:rsid w:val="005A0219"/>
    <w:pPr>
      <w:pageBreakBefore w:val="0"/>
      <w:spacing w:after="160"/>
      <w:outlineLvl w:val="1"/>
    </w:pPr>
    <w:rPr>
      <w:color w:val="821A1A"/>
      <w:sz w:val="32"/>
    </w:rPr>
  </w:style>
  <w:style w:type="paragraph" w:customStyle="1" w:styleId="Non-numberedHeading3">
    <w:name w:val="Non-numbered Heading 3"/>
    <w:basedOn w:val="Non-numberedHeading2"/>
    <w:next w:val="Pagrindinistekstas"/>
    <w:qFormat/>
    <w:rsid w:val="005A0219"/>
    <w:pPr>
      <w:outlineLvl w:val="2"/>
    </w:pPr>
    <w:rPr>
      <w:sz w:val="28"/>
    </w:rPr>
  </w:style>
  <w:style w:type="paragraph" w:customStyle="1" w:styleId="Non-numberedHeading4">
    <w:name w:val="Non-numbered Heading 4"/>
    <w:basedOn w:val="Non-numberedHeading3"/>
    <w:next w:val="Pagrindinistekstas"/>
    <w:qFormat/>
    <w:rsid w:val="005A0219"/>
    <w:pPr>
      <w:outlineLvl w:val="3"/>
    </w:pPr>
    <w:rPr>
      <w:b w:val="0"/>
    </w:rPr>
  </w:style>
  <w:style w:type="paragraph" w:customStyle="1" w:styleId="Non-numberedHeading5">
    <w:name w:val="Non-numbered Heading 5"/>
    <w:basedOn w:val="Non-numberedHeading4"/>
    <w:next w:val="Pagrindinistekstas"/>
    <w:rsid w:val="005A0219"/>
    <w:pPr>
      <w:outlineLvl w:val="4"/>
    </w:pPr>
    <w:rPr>
      <w:sz w:val="24"/>
    </w:rPr>
  </w:style>
  <w:style w:type="paragraph" w:customStyle="1" w:styleId="PwCAddress">
    <w:name w:val="PwC Address"/>
    <w:basedOn w:val="Pagrindinistekstas"/>
    <w:qFormat/>
    <w:rsid w:val="005A0219"/>
    <w:pPr>
      <w:spacing w:after="0" w:line="200" w:lineRule="atLeast"/>
    </w:pPr>
    <w:rPr>
      <w:rFonts w:eastAsia="Georgia" w:cs="Arial Unicode MS"/>
      <w:i/>
      <w:sz w:val="18"/>
      <w:lang w:val="en-US"/>
    </w:rPr>
  </w:style>
  <w:style w:type="paragraph" w:customStyle="1" w:styleId="Quote1">
    <w:name w:val="Quote1"/>
    <w:basedOn w:val="prastasis"/>
    <w:next w:val="prastasis"/>
    <w:uiPriority w:val="29"/>
    <w:rsid w:val="005A0219"/>
    <w:pPr>
      <w:spacing w:after="160"/>
      <w:jc w:val="center"/>
    </w:pPr>
    <w:rPr>
      <w:i/>
      <w:iCs/>
      <w:color w:val="404040"/>
      <w:sz w:val="20"/>
      <w:szCs w:val="20"/>
    </w:rPr>
  </w:style>
  <w:style w:type="character" w:customStyle="1" w:styleId="CitataDiagrama">
    <w:name w:val="Citata Diagrama"/>
    <w:basedOn w:val="Numatytasispastraiposriftas"/>
    <w:link w:val="Citata"/>
    <w:uiPriority w:val="29"/>
    <w:rsid w:val="005A0219"/>
    <w:rPr>
      <w:i/>
      <w:iCs/>
      <w:color w:val="404040"/>
    </w:rPr>
  </w:style>
  <w:style w:type="paragraph" w:customStyle="1" w:styleId="Subtitle1">
    <w:name w:val="Subtitle1"/>
    <w:basedOn w:val="prastasis"/>
    <w:next w:val="prastasis"/>
    <w:uiPriority w:val="11"/>
    <w:rsid w:val="005A0219"/>
    <w:pPr>
      <w:numPr>
        <w:ilvl w:val="1"/>
      </w:numPr>
      <w:spacing w:after="1200" w:line="240" w:lineRule="auto"/>
      <w:ind w:left="2376"/>
    </w:pPr>
    <w:rPr>
      <w:rFonts w:ascii="Georgia" w:eastAsia="Times New Roman" w:hAnsi="Georgia"/>
      <w:spacing w:val="15"/>
      <w:sz w:val="64"/>
      <w:szCs w:val="20"/>
    </w:rPr>
  </w:style>
  <w:style w:type="character" w:customStyle="1" w:styleId="AntrinispavadinimasDiagrama">
    <w:name w:val="Antrinis pavadinimas Diagrama"/>
    <w:aliases w:val="lentelės Diagrama"/>
    <w:basedOn w:val="Numatytasispastraiposriftas"/>
    <w:link w:val="Antrinispavadinimas"/>
    <w:uiPriority w:val="11"/>
    <w:rsid w:val="005A0219"/>
    <w:rPr>
      <w:rFonts w:ascii="Georgia" w:eastAsia="Times New Roman" w:hAnsi="Georgia"/>
      <w:spacing w:val="15"/>
      <w:sz w:val="64"/>
    </w:rPr>
  </w:style>
  <w:style w:type="character" w:customStyle="1" w:styleId="SubtleEmphasis1">
    <w:name w:val="Subtle Emphasis1"/>
    <w:basedOn w:val="Numatytasispastraiposriftas"/>
    <w:uiPriority w:val="19"/>
    <w:rsid w:val="005A0219"/>
    <w:rPr>
      <w:i/>
      <w:iCs/>
      <w:color w:val="7F7F7F"/>
    </w:rPr>
  </w:style>
  <w:style w:type="paragraph" w:customStyle="1" w:styleId="Title1">
    <w:name w:val="Title1"/>
    <w:basedOn w:val="prastasis"/>
    <w:next w:val="prastasis"/>
    <w:uiPriority w:val="10"/>
    <w:rsid w:val="005A0219"/>
    <w:pPr>
      <w:spacing w:after="0" w:line="240" w:lineRule="auto"/>
      <w:ind w:left="2376"/>
      <w:contextualSpacing/>
    </w:pPr>
    <w:rPr>
      <w:rFonts w:ascii="Georgia" w:eastAsia="Times New Roman" w:hAnsi="Georgia" w:cs="Arial Unicode MS"/>
      <w:b/>
      <w:i/>
      <w:spacing w:val="-10"/>
      <w:kern w:val="28"/>
      <w:sz w:val="64"/>
      <w:szCs w:val="56"/>
    </w:rPr>
  </w:style>
  <w:style w:type="character" w:customStyle="1" w:styleId="PavadinimasDiagrama">
    <w:name w:val="Pavadinimas Diagrama"/>
    <w:basedOn w:val="Numatytasispastraiposriftas"/>
    <w:link w:val="Pavadinimas"/>
    <w:uiPriority w:val="10"/>
    <w:rsid w:val="005A0219"/>
    <w:rPr>
      <w:rFonts w:ascii="Georgia" w:eastAsia="Times New Roman" w:hAnsi="Georgia" w:cs="Arial Unicode MS"/>
      <w:b/>
      <w:i/>
      <w:spacing w:val="-10"/>
      <w:kern w:val="28"/>
      <w:sz w:val="64"/>
      <w:szCs w:val="56"/>
    </w:rPr>
  </w:style>
  <w:style w:type="paragraph" w:customStyle="1" w:styleId="ListRoman">
    <w:name w:val="List Roman"/>
    <w:basedOn w:val="Pagrindinistekstas"/>
    <w:qFormat/>
    <w:rsid w:val="005A0219"/>
    <w:pPr>
      <w:numPr>
        <w:numId w:val="68"/>
      </w:numPr>
      <w:spacing w:after="120" w:line="240" w:lineRule="auto"/>
    </w:pPr>
    <w:rPr>
      <w:rFonts w:eastAsia="Georgia" w:cs="Arial Unicode MS"/>
      <w:lang w:val="en-US"/>
    </w:rPr>
  </w:style>
  <w:style w:type="paragraph" w:customStyle="1" w:styleId="ListRoman2">
    <w:name w:val="List Roman 2"/>
    <w:basedOn w:val="ListRoman"/>
    <w:qFormat/>
    <w:rsid w:val="005A0219"/>
    <w:pPr>
      <w:numPr>
        <w:ilvl w:val="1"/>
      </w:numPr>
      <w:tabs>
        <w:tab w:val="left" w:pos="792"/>
      </w:tabs>
    </w:pPr>
  </w:style>
  <w:style w:type="paragraph" w:customStyle="1" w:styleId="ListRoman3">
    <w:name w:val="List Roman 3"/>
    <w:basedOn w:val="ListRoman2"/>
    <w:qFormat/>
    <w:rsid w:val="005A0219"/>
    <w:pPr>
      <w:numPr>
        <w:ilvl w:val="2"/>
      </w:numPr>
      <w:tabs>
        <w:tab w:val="clear" w:pos="792"/>
        <w:tab w:val="left" w:pos="1195"/>
      </w:tabs>
    </w:pPr>
  </w:style>
  <w:style w:type="paragraph" w:customStyle="1" w:styleId="ListRoman4">
    <w:name w:val="List Roman 4"/>
    <w:basedOn w:val="ListRoman3"/>
    <w:qFormat/>
    <w:rsid w:val="005A0219"/>
    <w:pPr>
      <w:numPr>
        <w:ilvl w:val="3"/>
      </w:numPr>
      <w:tabs>
        <w:tab w:val="clear" w:pos="1195"/>
        <w:tab w:val="left" w:pos="1584"/>
      </w:tabs>
    </w:pPr>
  </w:style>
  <w:style w:type="paragraph" w:customStyle="1" w:styleId="ListRoman5">
    <w:name w:val="List Roman 5"/>
    <w:basedOn w:val="ListRoman4"/>
    <w:rsid w:val="005A0219"/>
    <w:pPr>
      <w:numPr>
        <w:ilvl w:val="4"/>
      </w:numPr>
      <w:tabs>
        <w:tab w:val="clear" w:pos="1584"/>
        <w:tab w:val="clear" w:pos="1728"/>
        <w:tab w:val="left" w:pos="1987"/>
      </w:tabs>
      <w:ind w:left="3600" w:hanging="360"/>
    </w:pPr>
  </w:style>
  <w:style w:type="table" w:customStyle="1" w:styleId="SmartTextTable1">
    <w:name w:val="Smart Text Table1"/>
    <w:basedOn w:val="prastojilentel"/>
    <w:next w:val="Lentelstinklelis"/>
    <w:uiPriority w:val="59"/>
    <w:rsid w:val="005A02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5A0219"/>
    <w:rPr>
      <w:color w:val="808080"/>
    </w:rPr>
  </w:style>
  <w:style w:type="table" w:customStyle="1" w:styleId="PwCTableText">
    <w:name w:val="PwC Table Text"/>
    <w:basedOn w:val="prastojilentel"/>
    <w:uiPriority w:val="99"/>
    <w:rsid w:val="005A0219"/>
    <w:pPr>
      <w:spacing w:before="100" w:beforeAutospacing="1" w:after="100" w:afterAutospacing="1" w:line="240" w:lineRule="auto"/>
    </w:pPr>
    <w:rPr>
      <w:rFonts w:ascii="Georgia" w:hAnsi="Georgia"/>
      <w:sz w:val="18"/>
      <w:szCs w:val="20"/>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
    <w:name w:val="PwC Table of Figures"/>
    <w:basedOn w:val="PwCTableText"/>
    <w:uiPriority w:val="99"/>
    <w:rsid w:val="005A0219"/>
    <w:pPr>
      <w:spacing w:after="0"/>
      <w:jc w:val="right"/>
    </w:pPr>
    <w:rPr>
      <w:rFonts w:ascii="Arial" w:hAnsi="Arial"/>
    </w:rPr>
    <w:tblPr/>
    <w:tblStylePr w:type="firstRow">
      <w:pPr>
        <w:jc w:val="righ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tyle1">
    <w:name w:val="Style1"/>
    <w:basedOn w:val="PwCTableText"/>
    <w:uiPriority w:val="99"/>
    <w:rsid w:val="005A0219"/>
    <w:pPr>
      <w:spacing w:after="0"/>
    </w:pPr>
    <w:tblPr>
      <w:tblBorders>
        <w:top w:val="single" w:sz="4" w:space="0" w:color="821A1A"/>
        <w:left w:val="single" w:sz="4" w:space="0" w:color="821A1A"/>
        <w:bottom w:val="single" w:sz="4" w:space="0" w:color="821A1A"/>
        <w:right w:val="single" w:sz="4" w:space="0" w:color="821A1A"/>
        <w:insideH w:val="single" w:sz="4" w:space="0" w:color="821A1A"/>
        <w:insideV w:val="single" w:sz="4" w:space="0" w:color="821A1A"/>
      </w:tblBorders>
    </w:tblPr>
    <w:tblStylePr w:type="firstRow">
      <w:pPr>
        <w:jc w:val="left"/>
      </w:pPr>
      <w:rPr>
        <w:rFonts w:ascii="@Malgun Gothic Semilight" w:hAnsi="@Malgun Gothic Semilight"/>
        <w:b/>
        <w:color w:val="821A1A"/>
        <w:sz w:val="18"/>
      </w:rPr>
      <w:tblPr/>
      <w:tcPr>
        <w:tcBorders>
          <w:top w:val="single" w:sz="4" w:space="0" w:color="821A1A"/>
          <w:left w:val="single" w:sz="4" w:space="0" w:color="821A1A"/>
          <w:bottom w:val="single" w:sz="4" w:space="0" w:color="821A1A"/>
          <w:right w:val="single" w:sz="4" w:space="0" w:color="821A1A"/>
          <w:insideH w:val="nil"/>
          <w:insideV w:val="single" w:sz="4" w:space="0" w:color="821A1A"/>
          <w:tl2br w:val="nil"/>
          <w:tr2bl w:val="nil"/>
        </w:tcBorders>
      </w:tcPr>
    </w:tblStylePr>
  </w:style>
  <w:style w:type="table" w:customStyle="1" w:styleId="SmartTextListTable">
    <w:name w:val="Smart Text List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
    <w:name w:val="Smart Basic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Pagrindiniotekstotrauka">
    <w:name w:val="Body Text Indent"/>
    <w:basedOn w:val="prastasis"/>
    <w:link w:val="PagrindiniotekstotraukaDiagrama"/>
    <w:uiPriority w:val="99"/>
    <w:semiHidden/>
    <w:unhideWhenUsed/>
    <w:rsid w:val="005A0219"/>
    <w:pPr>
      <w:spacing w:after="120" w:line="240" w:lineRule="auto"/>
      <w:ind w:left="360"/>
    </w:pPr>
    <w:rPr>
      <w:sz w:val="20"/>
      <w:szCs w:val="20"/>
    </w:rPr>
  </w:style>
  <w:style w:type="character" w:customStyle="1" w:styleId="PagrindiniotekstotraukaDiagrama">
    <w:name w:val="Pagrindinio teksto įtrauka Diagrama"/>
    <w:basedOn w:val="Numatytasispastraiposriftas"/>
    <w:link w:val="Pagrindiniotekstotrauka"/>
    <w:uiPriority w:val="99"/>
    <w:semiHidden/>
    <w:rsid w:val="005A0219"/>
    <w:rPr>
      <w:sz w:val="20"/>
      <w:szCs w:val="20"/>
    </w:rPr>
  </w:style>
  <w:style w:type="character" w:styleId="Knygospavadinimas">
    <w:name w:val="Book Title"/>
    <w:basedOn w:val="Numatytasispastraiposriftas"/>
    <w:uiPriority w:val="33"/>
    <w:rsid w:val="005A0219"/>
    <w:rPr>
      <w:b/>
      <w:bCs/>
      <w:i/>
      <w:iCs/>
      <w:spacing w:val="5"/>
    </w:rPr>
  </w:style>
  <w:style w:type="character" w:styleId="Grietas">
    <w:name w:val="Strong"/>
    <w:basedOn w:val="Numatytasispastraiposriftas"/>
    <w:uiPriority w:val="22"/>
    <w:qFormat/>
    <w:rsid w:val="005A0219"/>
    <w:rPr>
      <w:b/>
      <w:bCs/>
    </w:rPr>
  </w:style>
  <w:style w:type="character" w:customStyle="1" w:styleId="SubtleReference1">
    <w:name w:val="Subtle Reference1"/>
    <w:basedOn w:val="Numatytasispastraiposriftas"/>
    <w:uiPriority w:val="31"/>
    <w:rsid w:val="005A0219"/>
    <w:rPr>
      <w:smallCaps/>
      <w:color w:val="5A5A5A"/>
    </w:rPr>
  </w:style>
  <w:style w:type="paragraph" w:customStyle="1" w:styleId="AppendixHeading1">
    <w:name w:val="Appendix Heading 1"/>
    <w:basedOn w:val="Antrat1"/>
    <w:next w:val="AppendixHeading2"/>
    <w:rsid w:val="005A0219"/>
    <w:pPr>
      <w:keepLines w:val="0"/>
      <w:pageBreakBefore/>
      <w:numPr>
        <w:numId w:val="63"/>
      </w:numPr>
      <w:spacing w:before="0" w:after="480" w:line="0" w:lineRule="atLeast"/>
    </w:pPr>
    <w:rPr>
      <w:bCs w:val="0"/>
      <w:i/>
      <w:color w:val="000000"/>
      <w:sz w:val="48"/>
      <w:szCs w:val="32"/>
    </w:rPr>
  </w:style>
  <w:style w:type="paragraph" w:customStyle="1" w:styleId="AppendixHeading2">
    <w:name w:val="Appendix Heading 2"/>
    <w:basedOn w:val="AppendixHeading1"/>
    <w:next w:val="Pagrindinistekstas"/>
    <w:rsid w:val="005A0219"/>
    <w:pPr>
      <w:pageBreakBefore w:val="0"/>
      <w:numPr>
        <w:ilvl w:val="1"/>
      </w:numPr>
      <w:spacing w:after="160"/>
      <w:outlineLvl w:val="1"/>
    </w:pPr>
    <w:rPr>
      <w:color w:val="821A1A"/>
      <w:sz w:val="32"/>
    </w:rPr>
  </w:style>
  <w:style w:type="paragraph" w:customStyle="1" w:styleId="AppendixHeading3">
    <w:name w:val="Appendix Heading 3"/>
    <w:basedOn w:val="AppendixHeading2"/>
    <w:next w:val="Pagrindinistekstas"/>
    <w:rsid w:val="005A0219"/>
    <w:pPr>
      <w:numPr>
        <w:ilvl w:val="2"/>
      </w:numPr>
      <w:outlineLvl w:val="2"/>
    </w:pPr>
    <w:rPr>
      <w:sz w:val="28"/>
    </w:rPr>
  </w:style>
  <w:style w:type="paragraph" w:customStyle="1" w:styleId="AppendixHeading4">
    <w:name w:val="Appendix Heading 4"/>
    <w:basedOn w:val="AppendixHeading3"/>
    <w:next w:val="Pagrindinistekstas"/>
    <w:rsid w:val="005A0219"/>
    <w:pPr>
      <w:numPr>
        <w:ilvl w:val="3"/>
      </w:numPr>
      <w:outlineLvl w:val="3"/>
    </w:pPr>
    <w:rPr>
      <w:b w:val="0"/>
    </w:rPr>
  </w:style>
  <w:style w:type="paragraph" w:customStyle="1" w:styleId="AppendixHeading5">
    <w:name w:val="Appendix Heading 5"/>
    <w:basedOn w:val="AppendixHeading4"/>
    <w:next w:val="Pagrindinistekstas"/>
    <w:rsid w:val="005A0219"/>
    <w:pPr>
      <w:numPr>
        <w:ilvl w:val="4"/>
      </w:numPr>
      <w:ind w:left="1800" w:hanging="1440"/>
      <w:outlineLvl w:val="4"/>
    </w:pPr>
    <w:rPr>
      <w:sz w:val="24"/>
    </w:rPr>
  </w:style>
  <w:style w:type="character" w:customStyle="1" w:styleId="AddressChar">
    <w:name w:val="Address Char"/>
    <w:basedOn w:val="Numatytasispastraiposriftas"/>
    <w:link w:val="Address"/>
    <w:locked/>
    <w:rsid w:val="005A0219"/>
    <w:rPr>
      <w:i/>
      <w:sz w:val="18"/>
      <w:szCs w:val="20"/>
    </w:rPr>
  </w:style>
  <w:style w:type="character" w:customStyle="1" w:styleId="DisclaimerChar">
    <w:name w:val="Disclaimer Char"/>
    <w:basedOn w:val="Numatytasispastraiposriftas"/>
    <w:link w:val="Disclaimer"/>
    <w:locked/>
    <w:rsid w:val="005A0219"/>
    <w:rPr>
      <w:rFonts w:ascii="Georgia" w:eastAsia="Georgia" w:hAnsi="Georgia" w:cs="Arial Unicode MS"/>
      <w:sz w:val="16"/>
      <w:szCs w:val="20"/>
    </w:rPr>
  </w:style>
  <w:style w:type="paragraph" w:customStyle="1" w:styleId="TOAHeading1">
    <w:name w:val="TOA Heading1"/>
    <w:basedOn w:val="prastasis"/>
    <w:next w:val="prastasis"/>
    <w:uiPriority w:val="99"/>
    <w:unhideWhenUsed/>
    <w:rsid w:val="005A0219"/>
    <w:pPr>
      <w:spacing w:before="120" w:after="160" w:line="240" w:lineRule="auto"/>
    </w:pPr>
    <w:rPr>
      <w:rFonts w:ascii="Georgia" w:eastAsia="Times New Roman" w:hAnsi="Georgia" w:cs="Arial Unicode MS"/>
      <w:b/>
      <w:bCs/>
      <w:sz w:val="24"/>
      <w:szCs w:val="24"/>
    </w:rPr>
  </w:style>
  <w:style w:type="paragraph" w:customStyle="1" w:styleId="AppendixHeading1wSubheading">
    <w:name w:val="Appendix Heading 1 w/Subheading"/>
    <w:basedOn w:val="AppendixHeading1"/>
    <w:next w:val="Subheading"/>
    <w:rsid w:val="005A0219"/>
    <w:pPr>
      <w:spacing w:after="0"/>
      <w:ind w:left="0" w:firstLine="0"/>
    </w:pPr>
  </w:style>
  <w:style w:type="paragraph" w:customStyle="1" w:styleId="BlockText3">
    <w:name w:val="Block Text 3"/>
    <w:basedOn w:val="Pagrindinistekstas"/>
    <w:rsid w:val="005A0219"/>
    <w:pPr>
      <w:pBdr>
        <w:top w:val="single" w:sz="8" w:space="10" w:color="821A1A"/>
        <w:left w:val="single" w:sz="8" w:space="10" w:color="821A1A"/>
        <w:bottom w:val="single" w:sz="8" w:space="10" w:color="821A1A"/>
        <w:right w:val="single" w:sz="8" w:space="10" w:color="821A1A"/>
      </w:pBdr>
      <w:shd w:val="clear" w:color="auto" w:fill="821A1A"/>
      <w:spacing w:after="160" w:line="240" w:lineRule="auto"/>
      <w:ind w:left="230" w:right="230"/>
    </w:pPr>
    <w:rPr>
      <w:rFonts w:eastAsia="Georgia" w:cs="Arial Unicode MS"/>
      <w:b/>
      <w:i/>
      <w:color w:val="FFFFFF"/>
      <w:sz w:val="22"/>
      <w:lang w:val="en-US"/>
    </w:rPr>
  </w:style>
  <w:style w:type="paragraph" w:customStyle="1" w:styleId="ExhibitHeading1wSubheading">
    <w:name w:val="Exhibit Heading 1 w/Subheading"/>
    <w:basedOn w:val="ExhibitHeading1"/>
    <w:next w:val="Subheading"/>
    <w:rsid w:val="005A0219"/>
    <w:pPr>
      <w:spacing w:after="0"/>
      <w:ind w:left="0" w:firstLine="0"/>
    </w:pPr>
  </w:style>
  <w:style w:type="paragraph" w:customStyle="1" w:styleId="Heading1wSubheading">
    <w:name w:val="Heading 1 w/Subheading"/>
    <w:basedOn w:val="Antrat1"/>
    <w:next w:val="Subheading"/>
    <w:rsid w:val="005A0219"/>
    <w:pPr>
      <w:keepLines w:val="0"/>
      <w:pageBreakBefore/>
      <w:spacing w:before="0" w:line="0" w:lineRule="atLeast"/>
    </w:pPr>
    <w:rPr>
      <w:bCs w:val="0"/>
      <w:i/>
      <w:color w:val="000000"/>
      <w:sz w:val="48"/>
      <w:szCs w:val="32"/>
    </w:rPr>
  </w:style>
  <w:style w:type="paragraph" w:customStyle="1" w:styleId="Non-numberedHeading1wSubheading">
    <w:name w:val="Non-numbered Heading 1 w/Subheading"/>
    <w:basedOn w:val="Non-numberedHeading1"/>
    <w:next w:val="Subheading"/>
    <w:rsid w:val="005A0219"/>
    <w:pPr>
      <w:spacing w:after="0"/>
    </w:pPr>
  </w:style>
  <w:style w:type="paragraph" w:customStyle="1" w:styleId="Subheading">
    <w:name w:val="Subheading"/>
    <w:basedOn w:val="Heading1wSubheading"/>
    <w:rsid w:val="005A0219"/>
    <w:pPr>
      <w:pageBreakBefore w:val="0"/>
      <w:numPr>
        <w:numId w:val="0"/>
      </w:numPr>
      <w:spacing w:after="480"/>
    </w:pPr>
    <w:rPr>
      <w:b w:val="0"/>
      <w:i w:val="0"/>
      <w:sz w:val="44"/>
    </w:rPr>
  </w:style>
  <w:style w:type="character" w:customStyle="1" w:styleId="GuidanceChar">
    <w:name w:val="Guidance Char"/>
    <w:basedOn w:val="Numatytasispastraiposriftas"/>
    <w:link w:val="Guidance"/>
    <w:uiPriority w:val="99"/>
    <w:rsid w:val="005A0219"/>
    <w:rPr>
      <w:rFonts w:ascii="Arial" w:hAnsi="Arial"/>
      <w:color w:val="00A5FF"/>
      <w:sz w:val="16"/>
      <w:szCs w:val="20"/>
    </w:rPr>
  </w:style>
  <w:style w:type="table" w:customStyle="1" w:styleId="LightList-Accent21">
    <w:name w:val="Light List - Accent 21"/>
    <w:basedOn w:val="prastojilentel"/>
    <w:next w:val="viesussraas2parykinimas"/>
    <w:uiPriority w:val="61"/>
    <w:rsid w:val="005A0219"/>
    <w:pPr>
      <w:spacing w:after="0" w:line="240" w:lineRule="auto"/>
    </w:pPr>
    <w:rPr>
      <w:lang w:val="lt-LT"/>
    </w:r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
    <w:name w:val="Medium Shading 1 - Accent 21"/>
    <w:basedOn w:val="prastojilentel"/>
    <w:next w:val="1vidutinisspalvinimas2parykinimas"/>
    <w:uiPriority w:val="63"/>
    <w:rsid w:val="005A0219"/>
    <w:pPr>
      <w:spacing w:after="0" w:line="240" w:lineRule="auto"/>
    </w:p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character" w:customStyle="1" w:styleId="Heading5Char1">
    <w:name w:val="Heading 5 Char1"/>
    <w:basedOn w:val="Numatytasispastraiposriftas"/>
    <w:uiPriority w:val="9"/>
    <w:semiHidden/>
    <w:rsid w:val="005A0219"/>
    <w:rPr>
      <w:rFonts w:asciiTheme="majorHAnsi" w:eastAsiaTheme="majorEastAsia" w:hAnsiTheme="majorHAnsi" w:cstheme="majorBidi"/>
      <w:color w:val="365F91" w:themeColor="accent1" w:themeShade="BF"/>
    </w:rPr>
  </w:style>
  <w:style w:type="character" w:customStyle="1" w:styleId="Heading6Char1">
    <w:name w:val="Heading 6 Char1"/>
    <w:basedOn w:val="Numatytasispastraiposriftas"/>
    <w:uiPriority w:val="9"/>
    <w:semiHidden/>
    <w:rsid w:val="005A0219"/>
    <w:rPr>
      <w:rFonts w:asciiTheme="majorHAnsi" w:eastAsiaTheme="majorEastAsia" w:hAnsiTheme="majorHAnsi" w:cstheme="majorBidi"/>
      <w:color w:val="243F60" w:themeColor="accent1" w:themeShade="7F"/>
    </w:rPr>
  </w:style>
  <w:style w:type="character" w:customStyle="1" w:styleId="Heading7Char1">
    <w:name w:val="Heading 7 Char1"/>
    <w:basedOn w:val="Numatytasispastraiposriftas"/>
    <w:uiPriority w:val="9"/>
    <w:semiHidden/>
    <w:rsid w:val="005A0219"/>
    <w:rPr>
      <w:rFonts w:asciiTheme="majorHAnsi" w:eastAsiaTheme="majorEastAsia" w:hAnsiTheme="majorHAnsi" w:cstheme="majorBidi"/>
      <w:i/>
      <w:iCs/>
      <w:color w:val="243F60" w:themeColor="accent1" w:themeShade="7F"/>
    </w:rPr>
  </w:style>
  <w:style w:type="character" w:customStyle="1" w:styleId="Heading8Char1">
    <w:name w:val="Heading 8 Char1"/>
    <w:basedOn w:val="Numatytasispastraiposriftas"/>
    <w:uiPriority w:val="9"/>
    <w:semiHidden/>
    <w:rsid w:val="005A02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Numatytasispastraiposriftas"/>
    <w:uiPriority w:val="9"/>
    <w:semiHidden/>
    <w:rsid w:val="005A0219"/>
    <w:rPr>
      <w:rFonts w:asciiTheme="majorHAnsi" w:eastAsiaTheme="majorEastAsia" w:hAnsiTheme="majorHAnsi" w:cstheme="majorBidi"/>
      <w:i/>
      <w:iCs/>
      <w:color w:val="272727" w:themeColor="text1" w:themeTint="D8"/>
      <w:sz w:val="21"/>
      <w:szCs w:val="21"/>
    </w:rPr>
  </w:style>
  <w:style w:type="paragraph" w:styleId="Tekstoblokas">
    <w:name w:val="Block Text"/>
    <w:basedOn w:val="prastasis"/>
    <w:uiPriority w:val="99"/>
    <w:semiHidden/>
    <w:unhideWhenUsed/>
    <w:rsid w:val="005A02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character" w:styleId="HTMLakronimas">
    <w:name w:val="HTML Acronym"/>
    <w:basedOn w:val="Numatytasispastraiposriftas"/>
    <w:uiPriority w:val="99"/>
    <w:semiHidden/>
    <w:unhideWhenUsed/>
    <w:rsid w:val="005A0219"/>
  </w:style>
  <w:style w:type="character" w:styleId="Rykuspabraukimas">
    <w:name w:val="Intense Emphasis"/>
    <w:basedOn w:val="Numatytasispastraiposriftas"/>
    <w:uiPriority w:val="21"/>
    <w:qFormat/>
    <w:rsid w:val="005A0219"/>
    <w:rPr>
      <w:i/>
      <w:iCs/>
      <w:color w:val="4F81BD" w:themeColor="accent1"/>
    </w:rPr>
  </w:style>
  <w:style w:type="character" w:styleId="Rykinuoroda">
    <w:name w:val="Intense Reference"/>
    <w:basedOn w:val="Numatytasispastraiposriftas"/>
    <w:uiPriority w:val="32"/>
    <w:qFormat/>
    <w:rsid w:val="005A0219"/>
    <w:rPr>
      <w:b/>
      <w:bCs/>
      <w:smallCaps/>
      <w:color w:val="4F81BD" w:themeColor="accent1"/>
      <w:spacing w:val="5"/>
    </w:rPr>
  </w:style>
  <w:style w:type="paragraph" w:styleId="Iskirtacitata">
    <w:name w:val="Intense Quote"/>
    <w:basedOn w:val="prastasis"/>
    <w:next w:val="prastasis"/>
    <w:link w:val="IskirtacitataDiagrama"/>
    <w:uiPriority w:val="30"/>
    <w:qFormat/>
    <w:rsid w:val="005A0219"/>
    <w:pPr>
      <w:pBdr>
        <w:top w:val="single" w:sz="4" w:space="10" w:color="4F81BD" w:themeColor="accent1"/>
        <w:bottom w:val="single" w:sz="4" w:space="10" w:color="4F81BD" w:themeColor="accent1"/>
      </w:pBdr>
      <w:spacing w:before="360" w:after="360"/>
      <w:ind w:left="864" w:right="864"/>
      <w:jc w:val="center"/>
    </w:pPr>
    <w:rPr>
      <w:b/>
      <w:i/>
      <w:iCs/>
      <w:color w:val="821A1A"/>
    </w:rPr>
  </w:style>
  <w:style w:type="character" w:customStyle="1" w:styleId="IntenseQuoteChar1">
    <w:name w:val="Intense Quote Char1"/>
    <w:basedOn w:val="Numatytasispastraiposriftas"/>
    <w:uiPriority w:val="30"/>
    <w:rsid w:val="005A0219"/>
    <w:rPr>
      <w:i/>
      <w:iCs/>
      <w:color w:val="4F81BD" w:themeColor="accent1"/>
    </w:rPr>
  </w:style>
  <w:style w:type="paragraph" w:styleId="inutsantrat">
    <w:name w:val="Message Header"/>
    <w:basedOn w:val="prastasis"/>
    <w:link w:val="inutsantratDiagrama"/>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semiHidden/>
    <w:rsid w:val="005A0219"/>
    <w:rPr>
      <w:rFonts w:asciiTheme="majorHAnsi" w:eastAsiaTheme="majorEastAsia" w:hAnsiTheme="majorHAnsi" w:cstheme="majorBidi"/>
      <w:sz w:val="24"/>
      <w:szCs w:val="24"/>
      <w:shd w:val="pct20" w:color="auto" w:fill="auto"/>
    </w:rPr>
  </w:style>
  <w:style w:type="paragraph" w:styleId="Citata">
    <w:name w:val="Quote"/>
    <w:basedOn w:val="prastasis"/>
    <w:next w:val="prastasis"/>
    <w:link w:val="CitataDiagrama"/>
    <w:uiPriority w:val="29"/>
    <w:qFormat/>
    <w:rsid w:val="005A0219"/>
    <w:pPr>
      <w:spacing w:before="200" w:after="160"/>
      <w:ind w:left="864" w:right="864"/>
      <w:jc w:val="center"/>
    </w:pPr>
    <w:rPr>
      <w:i/>
      <w:iCs/>
      <w:color w:val="404040"/>
    </w:rPr>
  </w:style>
  <w:style w:type="character" w:customStyle="1" w:styleId="QuoteChar1">
    <w:name w:val="Quote Char1"/>
    <w:basedOn w:val="Numatytasispastraiposriftas"/>
    <w:uiPriority w:val="29"/>
    <w:rsid w:val="005A0219"/>
    <w:rPr>
      <w:i/>
      <w:iCs/>
      <w:color w:val="404040" w:themeColor="text1" w:themeTint="BF"/>
    </w:rPr>
  </w:style>
  <w:style w:type="paragraph" w:styleId="Antrinispavadinimas">
    <w:name w:val="Subtitle"/>
    <w:aliases w:val="lentelės"/>
    <w:basedOn w:val="prastasis"/>
    <w:next w:val="prastasis"/>
    <w:link w:val="AntrinispavadinimasDiagrama"/>
    <w:uiPriority w:val="11"/>
    <w:qFormat/>
    <w:rsid w:val="005A0219"/>
    <w:pPr>
      <w:numPr>
        <w:ilvl w:val="1"/>
      </w:numPr>
      <w:spacing w:after="160"/>
    </w:pPr>
    <w:rPr>
      <w:rFonts w:ascii="Georgia" w:eastAsia="Times New Roman" w:hAnsi="Georgia"/>
      <w:spacing w:val="15"/>
      <w:sz w:val="64"/>
    </w:rPr>
  </w:style>
  <w:style w:type="character" w:customStyle="1" w:styleId="SubtitleChar1">
    <w:name w:val="Subtitle Char1"/>
    <w:basedOn w:val="Numatytasispastraiposriftas"/>
    <w:uiPriority w:val="11"/>
    <w:rsid w:val="005A0219"/>
    <w:rPr>
      <w:rFonts w:eastAsiaTheme="minorEastAsia"/>
      <w:color w:val="5A5A5A" w:themeColor="text1" w:themeTint="A5"/>
      <w:spacing w:val="15"/>
    </w:rPr>
  </w:style>
  <w:style w:type="character" w:styleId="Nerykuspabraukimas">
    <w:name w:val="Subtle Emphasis"/>
    <w:basedOn w:val="Numatytasispastraiposriftas"/>
    <w:uiPriority w:val="19"/>
    <w:qFormat/>
    <w:rsid w:val="005A0219"/>
    <w:rPr>
      <w:i/>
      <w:iCs/>
      <w:color w:val="404040" w:themeColor="text1" w:themeTint="BF"/>
    </w:rPr>
  </w:style>
  <w:style w:type="paragraph" w:styleId="Pavadinimas">
    <w:name w:val="Title"/>
    <w:basedOn w:val="prastasis"/>
    <w:next w:val="prastasis"/>
    <w:link w:val="PavadinimasDiagrama"/>
    <w:uiPriority w:val="10"/>
    <w:qFormat/>
    <w:rsid w:val="005A0219"/>
    <w:pPr>
      <w:spacing w:after="0" w:line="240" w:lineRule="auto"/>
      <w:contextualSpacing/>
    </w:pPr>
    <w:rPr>
      <w:rFonts w:ascii="Georgia" w:eastAsia="Times New Roman" w:hAnsi="Georgia" w:cs="Arial Unicode MS"/>
      <w:b/>
      <w:i/>
      <w:spacing w:val="-10"/>
      <w:kern w:val="28"/>
      <w:sz w:val="64"/>
      <w:szCs w:val="56"/>
    </w:rPr>
  </w:style>
  <w:style w:type="character" w:customStyle="1" w:styleId="TitleChar1">
    <w:name w:val="Title Char1"/>
    <w:basedOn w:val="Numatytasispastraiposriftas"/>
    <w:uiPriority w:val="10"/>
    <w:rsid w:val="005A0219"/>
    <w:rPr>
      <w:rFonts w:asciiTheme="majorHAnsi" w:eastAsiaTheme="majorEastAsia" w:hAnsiTheme="majorHAnsi" w:cstheme="majorBidi"/>
      <w:spacing w:val="-10"/>
      <w:kern w:val="28"/>
      <w:sz w:val="56"/>
      <w:szCs w:val="56"/>
    </w:rPr>
  </w:style>
  <w:style w:type="character" w:styleId="Nerykinuoroda">
    <w:name w:val="Subtle Reference"/>
    <w:basedOn w:val="Numatytasispastraiposriftas"/>
    <w:uiPriority w:val="31"/>
    <w:qFormat/>
    <w:rsid w:val="005A0219"/>
    <w:rPr>
      <w:smallCaps/>
      <w:color w:val="5A5A5A" w:themeColor="text1" w:themeTint="A5"/>
    </w:rPr>
  </w:style>
  <w:style w:type="table" w:customStyle="1" w:styleId="ListTable4-Accent61">
    <w:name w:val="List Table 4 - Accent 61"/>
    <w:basedOn w:val="prastojilentel"/>
    <w:uiPriority w:val="49"/>
    <w:rsid w:val="00F57EC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MediumGrid3-Accent21">
    <w:name w:val="Medium Grid 3 - Accent 21"/>
    <w:basedOn w:val="prastojilentel"/>
    <w:next w:val="3vidutinistinklelis2parykinimas"/>
    <w:uiPriority w:val="69"/>
    <w:rsid w:val="002D46E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
    <w:name w:val="Grid Table 5 Dark - Accent 111"/>
    <w:basedOn w:val="prastojilentel"/>
    <w:next w:val="GridTable5Dark-Accent112"/>
    <w:uiPriority w:val="50"/>
    <w:rsid w:val="00CB4D9D"/>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
    <w:name w:val="List Table 4 - Accent 62"/>
    <w:basedOn w:val="prastojilentel"/>
    <w:uiPriority w:val="49"/>
    <w:rsid w:val="00CB4D9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prastojilentel"/>
    <w:uiPriority w:val="48"/>
    <w:rsid w:val="0057103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3-Accent21">
    <w:name w:val="List Table 3 - Accent 21"/>
    <w:basedOn w:val="prastojilentel"/>
    <w:uiPriority w:val="48"/>
    <w:rsid w:val="00D82904"/>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CM4">
    <w:name w:val="CM4"/>
    <w:basedOn w:val="Default"/>
    <w:next w:val="Default"/>
    <w:uiPriority w:val="99"/>
    <w:rsid w:val="00354FB3"/>
    <w:rPr>
      <w:rFonts w:ascii="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954C5A"/>
    <w:pPr>
      <w:keepNext/>
      <w:keepLines/>
      <w:numPr>
        <w:numId w:val="74"/>
      </w:numPr>
      <w:spacing w:before="480" w:after="0"/>
      <w:outlineLvl w:val="0"/>
    </w:pPr>
    <w:rPr>
      <w:rFonts w:ascii="Georgia" w:eastAsiaTheme="majorEastAsia" w:hAnsi="Georgia" w:cstheme="majorBidi"/>
      <w:b/>
      <w:bCs/>
      <w:color w:val="821A1A"/>
      <w:sz w:val="40"/>
      <w:szCs w:val="28"/>
    </w:rPr>
  </w:style>
  <w:style w:type="paragraph" w:styleId="Antrat2">
    <w:name w:val="heading 2"/>
    <w:basedOn w:val="prastasis"/>
    <w:next w:val="prastasis"/>
    <w:link w:val="Antrat2Diagrama"/>
    <w:uiPriority w:val="9"/>
    <w:unhideWhenUsed/>
    <w:qFormat/>
    <w:rsid w:val="005A0219"/>
    <w:pPr>
      <w:keepNext/>
      <w:keepLines/>
      <w:spacing w:before="200" w:after="0"/>
      <w:outlineLvl w:val="1"/>
    </w:pPr>
    <w:rPr>
      <w:rFonts w:asciiTheme="majorHAnsi" w:eastAsiaTheme="majorEastAsia" w:hAnsiTheme="majorHAnsi" w:cstheme="majorBidi"/>
      <w:b/>
      <w:bCs/>
      <w:color w:val="821A1A"/>
      <w:sz w:val="32"/>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5A0219"/>
    <w:pPr>
      <w:keepNext/>
      <w:keepLines/>
      <w:spacing w:before="40" w:after="0"/>
      <w:outlineLvl w:val="4"/>
    </w:pPr>
    <w:rPr>
      <w:rFonts w:ascii="Georgia" w:eastAsia="Times New Roman" w:hAnsi="Georgia" w:cs="Arial Unicode MS"/>
      <w:i/>
      <w:color w:val="821A1A"/>
      <w:sz w:val="24"/>
    </w:rPr>
  </w:style>
  <w:style w:type="paragraph" w:styleId="Antrat6">
    <w:name w:val="heading 6"/>
    <w:basedOn w:val="prastasis"/>
    <w:next w:val="prastasis"/>
    <w:link w:val="Antrat6Diagrama"/>
    <w:uiPriority w:val="9"/>
    <w:semiHidden/>
    <w:unhideWhenUsed/>
    <w:qFormat/>
    <w:rsid w:val="005A0219"/>
    <w:pPr>
      <w:keepNext/>
      <w:keepLines/>
      <w:spacing w:before="40" w:after="0"/>
      <w:outlineLvl w:val="5"/>
    </w:pPr>
    <w:rPr>
      <w:rFonts w:ascii="Georgia" w:eastAsia="Times New Roman" w:hAnsi="Georgia" w:cs="Arial Unicode MS"/>
      <w:color w:val="821A1A"/>
      <w:sz w:val="24"/>
    </w:rPr>
  </w:style>
  <w:style w:type="paragraph" w:styleId="Antrat7">
    <w:name w:val="heading 7"/>
    <w:basedOn w:val="prastasis"/>
    <w:next w:val="prastasis"/>
    <w:link w:val="Antrat7Diagrama"/>
    <w:uiPriority w:val="9"/>
    <w:semiHidden/>
    <w:unhideWhenUsed/>
    <w:qFormat/>
    <w:rsid w:val="005A0219"/>
    <w:pPr>
      <w:keepNext/>
      <w:keepLines/>
      <w:spacing w:before="40" w:after="0"/>
      <w:outlineLvl w:val="6"/>
    </w:pPr>
    <w:rPr>
      <w:rFonts w:ascii="Georgia" w:eastAsia="Times New Roman" w:hAnsi="Georgia" w:cs="Arial Unicode MS"/>
      <w:i/>
      <w:iCs/>
      <w:color w:val="400D0D"/>
    </w:rPr>
  </w:style>
  <w:style w:type="paragraph" w:styleId="Antrat8">
    <w:name w:val="heading 8"/>
    <w:basedOn w:val="prastasis"/>
    <w:next w:val="prastasis"/>
    <w:link w:val="Antrat8Diagrama"/>
    <w:uiPriority w:val="9"/>
    <w:semiHidden/>
    <w:unhideWhenUsed/>
    <w:qFormat/>
    <w:rsid w:val="005A0219"/>
    <w:pPr>
      <w:keepNext/>
      <w:keepLines/>
      <w:spacing w:before="40" w:after="0"/>
      <w:outlineLvl w:val="7"/>
    </w:pPr>
    <w:rPr>
      <w:rFonts w:ascii="Georgia" w:eastAsia="Times New Roman" w:hAnsi="Georgia" w:cs="Arial Unicode MS"/>
      <w:color w:val="272727"/>
      <w:sz w:val="21"/>
      <w:szCs w:val="21"/>
    </w:rPr>
  </w:style>
  <w:style w:type="paragraph" w:styleId="Antrat9">
    <w:name w:val="heading 9"/>
    <w:basedOn w:val="prastasis"/>
    <w:next w:val="prastasis"/>
    <w:link w:val="Antrat9Diagrama"/>
    <w:uiPriority w:val="9"/>
    <w:semiHidden/>
    <w:unhideWhenUsed/>
    <w:qFormat/>
    <w:rsid w:val="005A0219"/>
    <w:pPr>
      <w:keepNext/>
      <w:keepLines/>
      <w:spacing w:before="40" w:after="0"/>
      <w:outlineLvl w:val="8"/>
    </w:pPr>
    <w:rPr>
      <w:rFonts w:ascii="Georgia" w:eastAsia="Times New Roman" w:hAnsi="Georgia" w:cs="Arial Unicode MS"/>
      <w:i/>
      <w:iCs/>
      <w:color w:val="272727"/>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54C5A"/>
    <w:rPr>
      <w:rFonts w:ascii="Georgia" w:eastAsiaTheme="majorEastAsia" w:hAnsi="Georgia" w:cstheme="majorBidi"/>
      <w:b/>
      <w:bCs/>
      <w:color w:val="821A1A"/>
      <w:sz w:val="40"/>
      <w:szCs w:val="28"/>
    </w:rPr>
  </w:style>
  <w:style w:type="character" w:customStyle="1" w:styleId="Antrat2Diagrama">
    <w:name w:val="Antraštė 2 Diagrama"/>
    <w:basedOn w:val="Numatytasispastraiposriftas"/>
    <w:link w:val="Antrat2"/>
    <w:uiPriority w:val="9"/>
    <w:rsid w:val="005A0219"/>
    <w:rPr>
      <w:rFonts w:asciiTheme="majorHAnsi" w:eastAsiaTheme="majorEastAsia" w:hAnsiTheme="majorHAnsi" w:cstheme="majorBidi"/>
      <w:b/>
      <w:bCs/>
      <w:color w:val="821A1A"/>
      <w:sz w:val="32"/>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aliases w:val="lentelių turinys"/>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aliases w:val="|| 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aliases w:val="|| Footer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1parykinimas">
    <w:name w:val="Medium Shading 1 Accent 1"/>
    <w:basedOn w:val="prastojilentel"/>
    <w:uiPriority w:val="63"/>
    <w:rsid w:val="006A520B"/>
    <w:pPr>
      <w:spacing w:after="0" w:line="240" w:lineRule="auto"/>
    </w:pPr>
    <w:rPr>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kumentoinaostekstas">
    <w:name w:val="endnote text"/>
    <w:basedOn w:val="prastasis"/>
    <w:link w:val="DokumentoinaostekstasDiagrama"/>
    <w:uiPriority w:val="99"/>
    <w:semiHidden/>
    <w:unhideWhenUsed/>
    <w:rsid w:val="006A520B"/>
    <w:pPr>
      <w:spacing w:after="0" w:line="240" w:lineRule="auto"/>
    </w:pPr>
    <w:rPr>
      <w:sz w:val="20"/>
      <w:szCs w:val="20"/>
      <w:lang w:val="lt-LT"/>
    </w:rPr>
  </w:style>
  <w:style w:type="character" w:customStyle="1" w:styleId="DokumentoinaostekstasDiagrama">
    <w:name w:val="Dokumento išnašos tekstas Diagrama"/>
    <w:basedOn w:val="Numatytasispastraiposriftas"/>
    <w:link w:val="Dokumentoinaostekstas"/>
    <w:uiPriority w:val="99"/>
    <w:semiHidden/>
    <w:rsid w:val="006A520B"/>
    <w:rPr>
      <w:sz w:val="20"/>
      <w:szCs w:val="20"/>
      <w:lang w:val="lt-LT"/>
    </w:rPr>
  </w:style>
  <w:style w:type="character" w:styleId="Dokumentoinaosnumeris">
    <w:name w:val="endnote reference"/>
    <w:basedOn w:val="Numatytasispastraiposriftas"/>
    <w:uiPriority w:val="99"/>
    <w:semiHidden/>
    <w:unhideWhenUsed/>
    <w:rsid w:val="006A520B"/>
    <w:rPr>
      <w:vertAlign w:val="superscript"/>
    </w:rPr>
  </w:style>
  <w:style w:type="paragraph" w:customStyle="1" w:styleId="Heading51">
    <w:name w:val="Heading 51"/>
    <w:basedOn w:val="prastasis"/>
    <w:next w:val="Pagrindinistekstas"/>
    <w:uiPriority w:val="9"/>
    <w:unhideWhenUsed/>
    <w:rsid w:val="005A0219"/>
    <w:pPr>
      <w:keepNext/>
      <w:spacing w:after="160" w:line="0" w:lineRule="atLeast"/>
      <w:ind w:left="3600" w:hanging="360"/>
      <w:outlineLvl w:val="4"/>
    </w:pPr>
    <w:rPr>
      <w:rFonts w:ascii="Georgia" w:eastAsia="Times New Roman" w:hAnsi="Georgia" w:cs="Arial Unicode MS"/>
      <w:i/>
      <w:color w:val="821A1A"/>
      <w:sz w:val="24"/>
      <w:szCs w:val="20"/>
    </w:rPr>
  </w:style>
  <w:style w:type="paragraph" w:customStyle="1" w:styleId="Heading61">
    <w:name w:val="Heading 61"/>
    <w:basedOn w:val="prastasis"/>
    <w:next w:val="prastasis"/>
    <w:uiPriority w:val="9"/>
    <w:semiHidden/>
    <w:unhideWhenUsed/>
    <w:rsid w:val="005A0219"/>
    <w:pPr>
      <w:keepNext/>
      <w:spacing w:after="160" w:line="0" w:lineRule="atLeast"/>
      <w:outlineLvl w:val="5"/>
    </w:pPr>
    <w:rPr>
      <w:rFonts w:ascii="Georgia" w:eastAsia="Times New Roman" w:hAnsi="Georgia" w:cs="Arial Unicode MS"/>
      <w:color w:val="821A1A"/>
      <w:sz w:val="24"/>
      <w:szCs w:val="20"/>
    </w:rPr>
  </w:style>
  <w:style w:type="paragraph" w:customStyle="1" w:styleId="Heading71">
    <w:name w:val="Heading 71"/>
    <w:basedOn w:val="prastasis"/>
    <w:next w:val="prastasis"/>
    <w:uiPriority w:val="9"/>
    <w:semiHidden/>
    <w:unhideWhenUsed/>
    <w:rsid w:val="005A0219"/>
    <w:pPr>
      <w:keepNext/>
      <w:spacing w:before="40" w:after="0" w:line="240" w:lineRule="auto"/>
      <w:outlineLvl w:val="6"/>
    </w:pPr>
    <w:rPr>
      <w:rFonts w:ascii="Georgia" w:eastAsia="Times New Roman" w:hAnsi="Georgia" w:cs="Arial Unicode MS"/>
      <w:i/>
      <w:iCs/>
      <w:color w:val="400D0D"/>
      <w:sz w:val="20"/>
      <w:szCs w:val="20"/>
    </w:rPr>
  </w:style>
  <w:style w:type="paragraph" w:customStyle="1" w:styleId="Heading81">
    <w:name w:val="Heading 81"/>
    <w:basedOn w:val="prastasis"/>
    <w:next w:val="Pagrindinistekstas"/>
    <w:uiPriority w:val="9"/>
    <w:semiHidden/>
    <w:unhideWhenUsed/>
    <w:rsid w:val="005A0219"/>
    <w:pPr>
      <w:keepNext/>
      <w:spacing w:after="240" w:line="240" w:lineRule="auto"/>
      <w:outlineLvl w:val="7"/>
    </w:pPr>
    <w:rPr>
      <w:rFonts w:ascii="Georgia" w:eastAsia="Times New Roman" w:hAnsi="Georgia" w:cs="Arial Unicode MS"/>
      <w:color w:val="272727"/>
      <w:sz w:val="21"/>
      <w:szCs w:val="21"/>
    </w:rPr>
  </w:style>
  <w:style w:type="paragraph" w:customStyle="1" w:styleId="Heading91">
    <w:name w:val="Heading 91"/>
    <w:basedOn w:val="prastasis"/>
    <w:next w:val="Pagrindinistekstas"/>
    <w:uiPriority w:val="9"/>
    <w:semiHidden/>
    <w:unhideWhenUsed/>
    <w:rsid w:val="005A0219"/>
    <w:pPr>
      <w:keepNext/>
      <w:spacing w:after="240" w:line="240" w:lineRule="auto"/>
      <w:outlineLvl w:val="8"/>
    </w:pPr>
    <w:rPr>
      <w:rFonts w:ascii="Georgia" w:eastAsia="Times New Roman" w:hAnsi="Georgia" w:cs="Arial Unicode MS"/>
      <w:i/>
      <w:iCs/>
      <w:color w:val="272727"/>
      <w:sz w:val="20"/>
      <w:szCs w:val="21"/>
    </w:rPr>
  </w:style>
  <w:style w:type="numbering" w:customStyle="1" w:styleId="NoList1">
    <w:name w:val="No List1"/>
    <w:next w:val="Sraonra"/>
    <w:uiPriority w:val="99"/>
    <w:semiHidden/>
    <w:unhideWhenUsed/>
    <w:rsid w:val="005A0219"/>
  </w:style>
  <w:style w:type="paragraph" w:customStyle="1" w:styleId="Address">
    <w:name w:val="Address"/>
    <w:basedOn w:val="prastasis"/>
    <w:link w:val="AddressChar"/>
    <w:qFormat/>
    <w:rsid w:val="005A0219"/>
    <w:pPr>
      <w:spacing w:after="0" w:line="200" w:lineRule="atLeast"/>
    </w:pPr>
    <w:rPr>
      <w:i/>
      <w:sz w:val="18"/>
      <w:szCs w:val="20"/>
    </w:rPr>
  </w:style>
  <w:style w:type="character" w:customStyle="1" w:styleId="Antrat5Diagrama">
    <w:name w:val="Antraštė 5 Diagrama"/>
    <w:basedOn w:val="Numatytasispastraiposriftas"/>
    <w:link w:val="Antrat5"/>
    <w:uiPriority w:val="9"/>
    <w:rsid w:val="005A0219"/>
    <w:rPr>
      <w:rFonts w:ascii="Georgia" w:eastAsia="Times New Roman" w:hAnsi="Georgia" w:cs="Arial Unicode MS"/>
      <w:i/>
      <w:color w:val="821A1A"/>
      <w:sz w:val="24"/>
    </w:rPr>
  </w:style>
  <w:style w:type="character" w:customStyle="1" w:styleId="Antrat6Diagrama">
    <w:name w:val="Antraštė 6 Diagrama"/>
    <w:basedOn w:val="Numatytasispastraiposriftas"/>
    <w:link w:val="Antrat6"/>
    <w:uiPriority w:val="9"/>
    <w:semiHidden/>
    <w:rsid w:val="005A0219"/>
    <w:rPr>
      <w:rFonts w:ascii="Georgia" w:eastAsia="Times New Roman" w:hAnsi="Georgia" w:cs="Arial Unicode MS"/>
      <w:color w:val="821A1A"/>
      <w:sz w:val="24"/>
    </w:rPr>
  </w:style>
  <w:style w:type="character" w:customStyle="1" w:styleId="Antrat7Diagrama">
    <w:name w:val="Antraštė 7 Diagrama"/>
    <w:basedOn w:val="Numatytasispastraiposriftas"/>
    <w:link w:val="Antrat7"/>
    <w:uiPriority w:val="9"/>
    <w:semiHidden/>
    <w:rsid w:val="005A0219"/>
    <w:rPr>
      <w:rFonts w:ascii="Georgia" w:eastAsia="Times New Roman" w:hAnsi="Georgia" w:cs="Arial Unicode MS"/>
      <w:i/>
      <w:iCs/>
      <w:color w:val="400D0D"/>
    </w:rPr>
  </w:style>
  <w:style w:type="character" w:customStyle="1" w:styleId="Antrat8Diagrama">
    <w:name w:val="Antraštė 8 Diagrama"/>
    <w:basedOn w:val="Numatytasispastraiposriftas"/>
    <w:link w:val="Antrat8"/>
    <w:uiPriority w:val="9"/>
    <w:semiHidden/>
    <w:rsid w:val="005A0219"/>
    <w:rPr>
      <w:rFonts w:ascii="Georgia" w:eastAsia="Times New Roman" w:hAnsi="Georgia" w:cs="Arial Unicode MS"/>
      <w:color w:val="272727"/>
      <w:sz w:val="21"/>
      <w:szCs w:val="21"/>
    </w:rPr>
  </w:style>
  <w:style w:type="character" w:customStyle="1" w:styleId="Antrat9Diagrama">
    <w:name w:val="Antraštė 9 Diagrama"/>
    <w:basedOn w:val="Numatytasispastraiposriftas"/>
    <w:link w:val="Antrat9"/>
    <w:uiPriority w:val="9"/>
    <w:semiHidden/>
    <w:rsid w:val="005A0219"/>
    <w:rPr>
      <w:rFonts w:ascii="Georgia" w:eastAsia="Times New Roman" w:hAnsi="Georgia" w:cs="Arial Unicode MS"/>
      <w:i/>
      <w:iCs/>
      <w:color w:val="272727"/>
      <w:szCs w:val="21"/>
    </w:rPr>
  </w:style>
  <w:style w:type="paragraph" w:customStyle="1" w:styleId="BlockText1">
    <w:name w:val="Block Text1"/>
    <w:basedOn w:val="Pagrindinistekstas"/>
    <w:next w:val="Tekstoblokas"/>
    <w:uiPriority w:val="99"/>
    <w:unhideWhenUsed/>
    <w:rsid w:val="005A0219"/>
    <w:pPr>
      <w:pBdr>
        <w:top w:val="single" w:sz="2" w:space="10" w:color="821A1A" w:shadow="1"/>
        <w:left w:val="single" w:sz="2" w:space="10" w:color="821A1A" w:shadow="1"/>
        <w:bottom w:val="single" w:sz="2" w:space="10" w:color="821A1A" w:shadow="1"/>
        <w:right w:val="single" w:sz="2" w:space="10" w:color="821A1A" w:shadow="1"/>
      </w:pBdr>
      <w:spacing w:after="160" w:line="240" w:lineRule="auto"/>
      <w:ind w:left="230" w:right="230"/>
    </w:pPr>
    <w:rPr>
      <w:rFonts w:eastAsia="Times New Roman" w:cs="Arial Unicode MS"/>
      <w:i/>
      <w:iCs/>
      <w:color w:val="821A1A"/>
      <w:sz w:val="22"/>
      <w:lang w:val="en-US"/>
    </w:rPr>
  </w:style>
  <w:style w:type="paragraph" w:customStyle="1" w:styleId="BlockText2">
    <w:name w:val="Block Text 2"/>
    <w:basedOn w:val="Tekstoblokas"/>
    <w:rsid w:val="005A0219"/>
    <w:pPr>
      <w:pBdr>
        <w:top w:val="single" w:sz="8" w:space="10" w:color="F2F2F2"/>
        <w:left w:val="single" w:sz="8" w:space="10" w:color="F2F2F2"/>
        <w:bottom w:val="single" w:sz="8" w:space="10" w:color="F2F2F2"/>
        <w:right w:val="single" w:sz="8" w:space="10" w:color="F2F2F2"/>
      </w:pBdr>
      <w:shd w:val="clear" w:color="auto" w:fill="D9D9D9"/>
      <w:spacing w:after="160" w:line="240" w:lineRule="auto"/>
      <w:ind w:left="230" w:right="230"/>
    </w:pPr>
    <w:rPr>
      <w:szCs w:val="20"/>
    </w:rPr>
  </w:style>
  <w:style w:type="paragraph" w:customStyle="1" w:styleId="Callout">
    <w:name w:val="Callout"/>
    <w:basedOn w:val="Pagrindinistekstas"/>
    <w:next w:val="Pagrindinistekstas"/>
    <w:rsid w:val="005A0219"/>
    <w:pPr>
      <w:framePr w:w="2102" w:hSpace="230" w:wrap="around" w:vAnchor="text" w:hAnchor="page" w:x="1023" w:y="203"/>
      <w:spacing w:after="160" w:line="240" w:lineRule="auto"/>
    </w:pPr>
    <w:rPr>
      <w:rFonts w:eastAsia="Georgia" w:cs="Arial Unicode MS"/>
      <w:i/>
      <w:color w:val="821A1A"/>
      <w:sz w:val="16"/>
      <w:lang w:val="en-US"/>
    </w:rPr>
  </w:style>
  <w:style w:type="paragraph" w:styleId="Data">
    <w:name w:val="Date"/>
    <w:basedOn w:val="prastasis"/>
    <w:next w:val="Pagrindinistekstas"/>
    <w:link w:val="DataDiagrama"/>
    <w:uiPriority w:val="99"/>
    <w:unhideWhenUsed/>
    <w:rsid w:val="005A0219"/>
    <w:pPr>
      <w:spacing w:after="160"/>
      <w:ind w:left="2376"/>
    </w:pPr>
    <w:rPr>
      <w:sz w:val="28"/>
      <w:szCs w:val="20"/>
    </w:rPr>
  </w:style>
  <w:style w:type="character" w:customStyle="1" w:styleId="DataDiagrama">
    <w:name w:val="Data Diagrama"/>
    <w:basedOn w:val="Numatytasispastraiposriftas"/>
    <w:link w:val="Data"/>
    <w:uiPriority w:val="99"/>
    <w:rsid w:val="005A0219"/>
    <w:rPr>
      <w:sz w:val="28"/>
      <w:szCs w:val="20"/>
    </w:rPr>
  </w:style>
  <w:style w:type="paragraph" w:customStyle="1" w:styleId="Disclaimer">
    <w:name w:val="Disclaimer"/>
    <w:basedOn w:val="Pagrindinistekstas"/>
    <w:link w:val="DisclaimerChar"/>
    <w:qFormat/>
    <w:rsid w:val="005A0219"/>
    <w:pPr>
      <w:spacing w:after="0" w:line="140" w:lineRule="atLeast"/>
    </w:pPr>
    <w:rPr>
      <w:rFonts w:eastAsia="Georgia" w:cs="Arial Unicode MS"/>
      <w:sz w:val="16"/>
      <w:lang w:val="en-US"/>
    </w:rPr>
  </w:style>
  <w:style w:type="paragraph" w:customStyle="1" w:styleId="DividerHeader">
    <w:name w:val="Divider Header"/>
    <w:rsid w:val="005A0219"/>
    <w:pPr>
      <w:spacing w:after="240" w:line="240" w:lineRule="atLeast"/>
    </w:pPr>
    <w:rPr>
      <w:rFonts w:ascii="Georgia" w:hAnsi="Georgia"/>
      <w:i/>
      <w:color w:val="000000"/>
      <w:sz w:val="64"/>
      <w:szCs w:val="20"/>
    </w:rPr>
  </w:style>
  <w:style w:type="paragraph" w:customStyle="1" w:styleId="ExhibitHeading1">
    <w:name w:val="Exhibit Heading 1"/>
    <w:basedOn w:val="Pagrindinistekstas"/>
    <w:next w:val="Pagrindinistekstas"/>
    <w:rsid w:val="005A0219"/>
    <w:pPr>
      <w:keepNext/>
      <w:pageBreakBefore/>
      <w:numPr>
        <w:numId w:val="64"/>
      </w:numPr>
      <w:spacing w:after="480" w:line="0" w:lineRule="atLeast"/>
      <w:outlineLvl w:val="0"/>
    </w:pPr>
    <w:rPr>
      <w:rFonts w:eastAsia="Georgia" w:cs="Arial Unicode MS"/>
      <w:b/>
      <w:i/>
      <w:sz w:val="48"/>
      <w:lang w:val="en-US"/>
    </w:rPr>
  </w:style>
  <w:style w:type="paragraph" w:customStyle="1" w:styleId="ExhibitHeading2">
    <w:name w:val="Exhibit Heading 2"/>
    <w:basedOn w:val="ExhibitHeading1"/>
    <w:next w:val="Pagrindinistekstas"/>
    <w:rsid w:val="005A0219"/>
    <w:pPr>
      <w:pageBreakBefore w:val="0"/>
      <w:numPr>
        <w:ilvl w:val="1"/>
      </w:numPr>
      <w:spacing w:after="160"/>
      <w:outlineLvl w:val="1"/>
    </w:pPr>
    <w:rPr>
      <w:color w:val="821A1A"/>
      <w:sz w:val="32"/>
    </w:rPr>
  </w:style>
  <w:style w:type="paragraph" w:customStyle="1" w:styleId="ExhibitHeading3">
    <w:name w:val="Exhibit Heading 3"/>
    <w:basedOn w:val="ExhibitHeading2"/>
    <w:next w:val="Pagrindinistekstas"/>
    <w:rsid w:val="005A0219"/>
    <w:pPr>
      <w:numPr>
        <w:ilvl w:val="2"/>
      </w:numPr>
      <w:outlineLvl w:val="2"/>
    </w:pPr>
    <w:rPr>
      <w:sz w:val="28"/>
    </w:rPr>
  </w:style>
  <w:style w:type="paragraph" w:customStyle="1" w:styleId="ExhibitHeading4">
    <w:name w:val="Exhibit Heading 4"/>
    <w:basedOn w:val="ExhibitHeading3"/>
    <w:next w:val="Pagrindinistekstas"/>
    <w:rsid w:val="005A0219"/>
    <w:pPr>
      <w:numPr>
        <w:ilvl w:val="3"/>
      </w:numPr>
      <w:outlineLvl w:val="3"/>
    </w:pPr>
    <w:rPr>
      <w:b w:val="0"/>
    </w:rPr>
  </w:style>
  <w:style w:type="paragraph" w:customStyle="1" w:styleId="ExhibitHeading5">
    <w:name w:val="Exhibit Heading 5"/>
    <w:basedOn w:val="ExhibitHeading4"/>
    <w:next w:val="Pagrindinistekstas"/>
    <w:rsid w:val="005A0219"/>
    <w:pPr>
      <w:numPr>
        <w:ilvl w:val="4"/>
      </w:numPr>
      <w:ind w:left="1800" w:hanging="1440"/>
      <w:outlineLvl w:val="4"/>
    </w:pPr>
    <w:rPr>
      <w:sz w:val="24"/>
    </w:rPr>
  </w:style>
  <w:style w:type="paragraph" w:customStyle="1" w:styleId="Guidance">
    <w:name w:val="Guidance"/>
    <w:basedOn w:val="prastasis"/>
    <w:link w:val="GuidanceChar"/>
    <w:uiPriority w:val="99"/>
    <w:qFormat/>
    <w:rsid w:val="005A0219"/>
    <w:pPr>
      <w:spacing w:after="100" w:afterAutospacing="1"/>
    </w:pPr>
    <w:rPr>
      <w:rFonts w:ascii="Arial" w:hAnsi="Arial"/>
      <w:color w:val="00A5FF"/>
      <w:sz w:val="16"/>
      <w:szCs w:val="20"/>
    </w:rPr>
  </w:style>
  <w:style w:type="character" w:customStyle="1" w:styleId="HTMLAcronym1">
    <w:name w:val="HTML Acronym1"/>
    <w:basedOn w:val="Numatytasispastraiposriftas"/>
    <w:uiPriority w:val="99"/>
    <w:semiHidden/>
    <w:unhideWhenUsed/>
    <w:rsid w:val="005A0219"/>
    <w:rPr>
      <w:color w:val="000000"/>
    </w:rPr>
  </w:style>
  <w:style w:type="paragraph" w:styleId="Indeksas1">
    <w:name w:val="index 1"/>
    <w:basedOn w:val="prastasis"/>
    <w:next w:val="prastasis"/>
    <w:autoRedefine/>
    <w:uiPriority w:val="99"/>
    <w:unhideWhenUsed/>
    <w:rsid w:val="005A0219"/>
    <w:pPr>
      <w:spacing w:after="120" w:line="240" w:lineRule="auto"/>
      <w:ind w:left="202" w:hanging="202"/>
    </w:pPr>
    <w:rPr>
      <w:sz w:val="20"/>
      <w:szCs w:val="20"/>
    </w:rPr>
  </w:style>
  <w:style w:type="paragraph" w:styleId="Indeksas2">
    <w:name w:val="index 2"/>
    <w:basedOn w:val="prastasis"/>
    <w:next w:val="prastasis"/>
    <w:autoRedefine/>
    <w:uiPriority w:val="99"/>
    <w:unhideWhenUsed/>
    <w:rsid w:val="005A0219"/>
    <w:pPr>
      <w:spacing w:after="120" w:line="240" w:lineRule="auto"/>
      <w:ind w:left="404" w:hanging="202"/>
    </w:pPr>
    <w:rPr>
      <w:sz w:val="20"/>
      <w:szCs w:val="20"/>
    </w:rPr>
  </w:style>
  <w:style w:type="paragraph" w:styleId="Indeksas3">
    <w:name w:val="index 3"/>
    <w:basedOn w:val="prastasis"/>
    <w:next w:val="prastasis"/>
    <w:autoRedefine/>
    <w:uiPriority w:val="99"/>
    <w:unhideWhenUsed/>
    <w:rsid w:val="005A0219"/>
    <w:pPr>
      <w:spacing w:after="120" w:line="240" w:lineRule="auto"/>
      <w:ind w:left="605" w:hanging="202"/>
    </w:pPr>
    <w:rPr>
      <w:sz w:val="20"/>
      <w:szCs w:val="20"/>
    </w:rPr>
  </w:style>
  <w:style w:type="paragraph" w:styleId="Indeksas4">
    <w:name w:val="index 4"/>
    <w:basedOn w:val="prastasis"/>
    <w:next w:val="prastasis"/>
    <w:autoRedefine/>
    <w:uiPriority w:val="99"/>
    <w:unhideWhenUsed/>
    <w:rsid w:val="005A0219"/>
    <w:pPr>
      <w:spacing w:after="0" w:line="240" w:lineRule="auto"/>
      <w:ind w:left="800" w:hanging="200"/>
    </w:pPr>
    <w:rPr>
      <w:sz w:val="20"/>
      <w:szCs w:val="20"/>
    </w:rPr>
  </w:style>
  <w:style w:type="paragraph" w:styleId="Indeksas5">
    <w:name w:val="index 5"/>
    <w:basedOn w:val="prastasis"/>
    <w:next w:val="prastasis"/>
    <w:autoRedefine/>
    <w:uiPriority w:val="99"/>
    <w:unhideWhenUsed/>
    <w:rsid w:val="005A0219"/>
    <w:pPr>
      <w:spacing w:after="120" w:line="240" w:lineRule="auto"/>
      <w:ind w:left="1008" w:hanging="202"/>
    </w:pPr>
    <w:rPr>
      <w:sz w:val="20"/>
      <w:szCs w:val="20"/>
    </w:rPr>
  </w:style>
  <w:style w:type="paragraph" w:styleId="Indeksas6">
    <w:name w:val="index 6"/>
    <w:basedOn w:val="prastasis"/>
    <w:next w:val="prastasis"/>
    <w:autoRedefine/>
    <w:uiPriority w:val="99"/>
    <w:unhideWhenUsed/>
    <w:rsid w:val="005A0219"/>
    <w:pPr>
      <w:spacing w:after="120" w:line="240" w:lineRule="auto"/>
      <w:ind w:left="1196" w:hanging="202"/>
    </w:pPr>
    <w:rPr>
      <w:sz w:val="20"/>
      <w:szCs w:val="20"/>
    </w:rPr>
  </w:style>
  <w:style w:type="paragraph" w:styleId="Indeksas7">
    <w:name w:val="index 7"/>
    <w:basedOn w:val="prastasis"/>
    <w:next w:val="prastasis"/>
    <w:autoRedefine/>
    <w:uiPriority w:val="99"/>
    <w:unhideWhenUsed/>
    <w:rsid w:val="005A0219"/>
    <w:pPr>
      <w:spacing w:after="120" w:line="240" w:lineRule="auto"/>
      <w:ind w:left="1397" w:hanging="202"/>
    </w:pPr>
    <w:rPr>
      <w:sz w:val="20"/>
      <w:szCs w:val="20"/>
    </w:rPr>
  </w:style>
  <w:style w:type="paragraph" w:styleId="Indeksas8">
    <w:name w:val="index 8"/>
    <w:basedOn w:val="prastasis"/>
    <w:next w:val="prastasis"/>
    <w:autoRedefine/>
    <w:uiPriority w:val="99"/>
    <w:unhideWhenUsed/>
    <w:rsid w:val="005A0219"/>
    <w:pPr>
      <w:spacing w:after="120" w:line="240" w:lineRule="auto"/>
      <w:ind w:left="1599" w:hanging="202"/>
    </w:pPr>
    <w:rPr>
      <w:sz w:val="20"/>
      <w:szCs w:val="20"/>
    </w:rPr>
  </w:style>
  <w:style w:type="paragraph" w:styleId="Indeksas9">
    <w:name w:val="index 9"/>
    <w:basedOn w:val="prastasis"/>
    <w:next w:val="prastasis"/>
    <w:autoRedefine/>
    <w:uiPriority w:val="99"/>
    <w:unhideWhenUsed/>
    <w:rsid w:val="005A0219"/>
    <w:pPr>
      <w:spacing w:after="120" w:line="240" w:lineRule="auto"/>
      <w:ind w:left="1800" w:hanging="202"/>
    </w:pPr>
    <w:rPr>
      <w:sz w:val="20"/>
      <w:szCs w:val="20"/>
    </w:rPr>
  </w:style>
  <w:style w:type="paragraph" w:customStyle="1" w:styleId="IndexHeading1">
    <w:name w:val="Index Heading1"/>
    <w:basedOn w:val="prastasis"/>
    <w:next w:val="Indeksas1"/>
    <w:uiPriority w:val="99"/>
    <w:unhideWhenUsed/>
    <w:rsid w:val="005A0219"/>
    <w:pPr>
      <w:spacing w:after="160" w:line="240" w:lineRule="auto"/>
    </w:pPr>
    <w:rPr>
      <w:rFonts w:ascii="Georgia" w:eastAsia="Times New Roman" w:hAnsi="Georgia" w:cs="Arial Unicode MS"/>
      <w:b/>
      <w:bCs/>
      <w:sz w:val="20"/>
      <w:szCs w:val="20"/>
    </w:rPr>
  </w:style>
  <w:style w:type="character" w:customStyle="1" w:styleId="IntenseEmphasis1">
    <w:name w:val="Intense Emphasis1"/>
    <w:basedOn w:val="Numatytasispastraiposriftas"/>
    <w:uiPriority w:val="21"/>
    <w:rsid w:val="005A0219"/>
    <w:rPr>
      <w:i/>
      <w:iCs/>
      <w:color w:val="821A1A"/>
    </w:rPr>
  </w:style>
  <w:style w:type="paragraph" w:customStyle="1" w:styleId="HeadingText">
    <w:name w:val="Heading Text"/>
    <w:basedOn w:val="Pagrindinistekstas"/>
    <w:next w:val="Pagrindinistekstas"/>
    <w:qFormat/>
    <w:rsid w:val="005A0219"/>
    <w:pPr>
      <w:spacing w:after="80" w:line="240" w:lineRule="auto"/>
    </w:pPr>
    <w:rPr>
      <w:rFonts w:eastAsia="Georgia" w:cs="Arial Unicode MS"/>
      <w:b/>
      <w:color w:val="821A1A"/>
      <w:lang w:val="en-US"/>
    </w:rPr>
  </w:style>
  <w:style w:type="character" w:customStyle="1" w:styleId="IntenseReference1">
    <w:name w:val="Intense Reference1"/>
    <w:basedOn w:val="Numatytasispastraiposriftas"/>
    <w:uiPriority w:val="32"/>
    <w:rsid w:val="005A0219"/>
    <w:rPr>
      <w:b/>
      <w:bCs/>
      <w:smallCaps/>
      <w:color w:val="821A1A"/>
      <w:spacing w:val="5"/>
    </w:rPr>
  </w:style>
  <w:style w:type="paragraph" w:customStyle="1" w:styleId="IntenseQuote1">
    <w:name w:val="Intense Quote1"/>
    <w:basedOn w:val="prastasis"/>
    <w:next w:val="prastasis"/>
    <w:uiPriority w:val="30"/>
    <w:rsid w:val="005A0219"/>
    <w:pPr>
      <w:pBdr>
        <w:bottom w:val="single" w:sz="4" w:space="10" w:color="821A1A"/>
      </w:pBdr>
      <w:spacing w:before="200" w:after="280"/>
      <w:ind w:left="936" w:right="936"/>
    </w:pPr>
    <w:rPr>
      <w:b/>
      <w:i/>
      <w:iCs/>
      <w:color w:val="821A1A"/>
      <w:sz w:val="20"/>
      <w:szCs w:val="20"/>
    </w:rPr>
  </w:style>
  <w:style w:type="character" w:customStyle="1" w:styleId="IskirtacitataDiagrama">
    <w:name w:val="Išskirta citata Diagrama"/>
    <w:basedOn w:val="Numatytasispastraiposriftas"/>
    <w:link w:val="Iskirtacitata"/>
    <w:uiPriority w:val="30"/>
    <w:rsid w:val="005A0219"/>
    <w:rPr>
      <w:b/>
      <w:i/>
      <w:iCs/>
      <w:color w:val="821A1A"/>
    </w:rPr>
  </w:style>
  <w:style w:type="character" w:styleId="Eilutsnumeris">
    <w:name w:val="line number"/>
    <w:basedOn w:val="Numatytasispastraiposriftas"/>
    <w:uiPriority w:val="99"/>
    <w:unhideWhenUsed/>
    <w:rsid w:val="005A0219"/>
  </w:style>
  <w:style w:type="paragraph" w:styleId="Sraas">
    <w:name w:val="List"/>
    <w:basedOn w:val="prastasis"/>
    <w:uiPriority w:val="99"/>
    <w:unhideWhenUsed/>
    <w:rsid w:val="005A0219"/>
    <w:pPr>
      <w:spacing w:after="120" w:line="240" w:lineRule="auto"/>
      <w:ind w:left="346"/>
    </w:pPr>
    <w:rPr>
      <w:sz w:val="20"/>
      <w:szCs w:val="20"/>
    </w:rPr>
  </w:style>
  <w:style w:type="paragraph" w:styleId="Sraas2">
    <w:name w:val="List 2"/>
    <w:basedOn w:val="Sraas"/>
    <w:uiPriority w:val="99"/>
    <w:unhideWhenUsed/>
    <w:rsid w:val="005A0219"/>
    <w:pPr>
      <w:ind w:left="691"/>
    </w:pPr>
  </w:style>
  <w:style w:type="paragraph" w:styleId="Sraas4">
    <w:name w:val="List 4"/>
    <w:basedOn w:val="Sraas3"/>
    <w:uiPriority w:val="99"/>
    <w:unhideWhenUsed/>
    <w:rsid w:val="005A0219"/>
    <w:pPr>
      <w:ind w:left="1382" w:firstLine="0"/>
    </w:pPr>
  </w:style>
  <w:style w:type="paragraph" w:styleId="Sraas3">
    <w:name w:val="List 3"/>
    <w:basedOn w:val="Sraas2"/>
    <w:uiPriority w:val="99"/>
    <w:unhideWhenUsed/>
    <w:rsid w:val="005A0219"/>
    <w:pPr>
      <w:ind w:left="2232" w:hanging="1195"/>
    </w:pPr>
  </w:style>
  <w:style w:type="paragraph" w:styleId="Sraas5">
    <w:name w:val="List 5"/>
    <w:basedOn w:val="prastasis"/>
    <w:uiPriority w:val="99"/>
    <w:unhideWhenUsed/>
    <w:rsid w:val="005A0219"/>
    <w:pPr>
      <w:spacing w:after="120" w:line="240" w:lineRule="auto"/>
      <w:ind w:left="1728"/>
    </w:pPr>
    <w:rPr>
      <w:sz w:val="20"/>
      <w:szCs w:val="20"/>
    </w:rPr>
  </w:style>
  <w:style w:type="paragraph" w:customStyle="1" w:styleId="ListAlpha">
    <w:name w:val="List Alpha"/>
    <w:basedOn w:val="prastasis"/>
    <w:qFormat/>
    <w:rsid w:val="005A0219"/>
    <w:pPr>
      <w:numPr>
        <w:numId w:val="65"/>
      </w:numPr>
      <w:spacing w:after="120" w:line="240" w:lineRule="auto"/>
    </w:pPr>
    <w:rPr>
      <w:sz w:val="20"/>
      <w:szCs w:val="20"/>
    </w:rPr>
  </w:style>
  <w:style w:type="paragraph" w:customStyle="1" w:styleId="ListAlpha2">
    <w:name w:val="List Alpha 2"/>
    <w:basedOn w:val="ListAlpha"/>
    <w:qFormat/>
    <w:rsid w:val="005A0219"/>
    <w:pPr>
      <w:numPr>
        <w:ilvl w:val="1"/>
      </w:numPr>
      <w:tabs>
        <w:tab w:val="clear" w:pos="691"/>
      </w:tabs>
      <w:ind w:left="1440" w:hanging="360"/>
    </w:pPr>
  </w:style>
  <w:style w:type="paragraph" w:customStyle="1" w:styleId="ListAlpha3">
    <w:name w:val="List Alpha 3"/>
    <w:basedOn w:val="ListAlpha"/>
    <w:qFormat/>
    <w:rsid w:val="005A0219"/>
    <w:pPr>
      <w:numPr>
        <w:ilvl w:val="2"/>
      </w:numPr>
    </w:pPr>
  </w:style>
  <w:style w:type="paragraph" w:customStyle="1" w:styleId="ListAlpha4">
    <w:name w:val="List Alpha 4"/>
    <w:basedOn w:val="ListAlpha3"/>
    <w:qFormat/>
    <w:rsid w:val="005A0219"/>
    <w:pPr>
      <w:numPr>
        <w:ilvl w:val="3"/>
      </w:numPr>
      <w:tabs>
        <w:tab w:val="clear" w:pos="1382"/>
        <w:tab w:val="num" w:pos="1037"/>
      </w:tabs>
      <w:ind w:left="1037" w:hanging="346"/>
    </w:pPr>
  </w:style>
  <w:style w:type="paragraph" w:customStyle="1" w:styleId="ListAlpha5">
    <w:name w:val="List Alpha 5"/>
    <w:basedOn w:val="ListAlpha4"/>
    <w:rsid w:val="005A0219"/>
    <w:pPr>
      <w:numPr>
        <w:ilvl w:val="4"/>
      </w:numPr>
      <w:tabs>
        <w:tab w:val="clear" w:pos="1728"/>
        <w:tab w:val="num" w:pos="1037"/>
      </w:tabs>
      <w:ind w:left="1037"/>
    </w:pPr>
  </w:style>
  <w:style w:type="paragraph" w:styleId="Sraassuenkleliais">
    <w:name w:val="List Bullet"/>
    <w:basedOn w:val="prastasis"/>
    <w:uiPriority w:val="99"/>
    <w:unhideWhenUsed/>
    <w:qFormat/>
    <w:rsid w:val="005A0219"/>
    <w:pPr>
      <w:numPr>
        <w:numId w:val="66"/>
      </w:numPr>
      <w:tabs>
        <w:tab w:val="clear" w:pos="346"/>
      </w:tabs>
      <w:spacing w:after="120" w:line="240" w:lineRule="auto"/>
      <w:ind w:left="720" w:hanging="360"/>
    </w:pPr>
    <w:rPr>
      <w:sz w:val="20"/>
      <w:szCs w:val="20"/>
    </w:rPr>
  </w:style>
  <w:style w:type="paragraph" w:styleId="Sraassuenkleliais2">
    <w:name w:val="List Bullet 2"/>
    <w:basedOn w:val="prastasis"/>
    <w:uiPriority w:val="99"/>
    <w:unhideWhenUsed/>
    <w:qFormat/>
    <w:rsid w:val="005A0219"/>
    <w:pPr>
      <w:numPr>
        <w:ilvl w:val="1"/>
        <w:numId w:val="66"/>
      </w:numPr>
      <w:tabs>
        <w:tab w:val="clear" w:pos="691"/>
      </w:tabs>
      <w:spacing w:after="120" w:line="240" w:lineRule="auto"/>
      <w:ind w:left="1440" w:hanging="360"/>
    </w:pPr>
    <w:rPr>
      <w:sz w:val="20"/>
      <w:szCs w:val="20"/>
    </w:rPr>
  </w:style>
  <w:style w:type="paragraph" w:styleId="Sraassuenkleliais3">
    <w:name w:val="List Bullet 3"/>
    <w:basedOn w:val="prastasis"/>
    <w:uiPriority w:val="99"/>
    <w:unhideWhenUsed/>
    <w:qFormat/>
    <w:rsid w:val="005A0219"/>
    <w:pPr>
      <w:numPr>
        <w:ilvl w:val="2"/>
        <w:numId w:val="66"/>
      </w:numPr>
      <w:tabs>
        <w:tab w:val="clear" w:pos="1037"/>
      </w:tabs>
      <w:spacing w:after="120" w:line="240" w:lineRule="auto"/>
      <w:ind w:left="2160" w:hanging="360"/>
    </w:pPr>
    <w:rPr>
      <w:sz w:val="20"/>
      <w:szCs w:val="20"/>
    </w:rPr>
  </w:style>
  <w:style w:type="paragraph" w:styleId="Sraassuenkleliais4">
    <w:name w:val="List Bullet 4"/>
    <w:basedOn w:val="prastasis"/>
    <w:uiPriority w:val="99"/>
    <w:unhideWhenUsed/>
    <w:qFormat/>
    <w:rsid w:val="005A0219"/>
    <w:pPr>
      <w:numPr>
        <w:ilvl w:val="3"/>
        <w:numId w:val="66"/>
      </w:numPr>
      <w:tabs>
        <w:tab w:val="clear" w:pos="1382"/>
      </w:tabs>
      <w:spacing w:after="120" w:line="240" w:lineRule="auto"/>
      <w:ind w:left="2880" w:hanging="360"/>
    </w:pPr>
    <w:rPr>
      <w:sz w:val="20"/>
      <w:szCs w:val="20"/>
    </w:rPr>
  </w:style>
  <w:style w:type="paragraph" w:styleId="Sraassuenkleliais5">
    <w:name w:val="List Bullet 5"/>
    <w:basedOn w:val="prastasis"/>
    <w:uiPriority w:val="99"/>
    <w:unhideWhenUsed/>
    <w:rsid w:val="005A0219"/>
    <w:pPr>
      <w:numPr>
        <w:ilvl w:val="4"/>
        <w:numId w:val="66"/>
      </w:numPr>
      <w:spacing w:after="120" w:line="240" w:lineRule="auto"/>
    </w:pPr>
    <w:rPr>
      <w:sz w:val="20"/>
      <w:szCs w:val="20"/>
    </w:rPr>
  </w:style>
  <w:style w:type="paragraph" w:customStyle="1" w:styleId="ListBullet6">
    <w:name w:val="List Bullet 6"/>
    <w:basedOn w:val="Sraassuenkleliais5"/>
    <w:rsid w:val="005A0219"/>
    <w:pPr>
      <w:numPr>
        <w:ilvl w:val="5"/>
      </w:numPr>
    </w:pPr>
  </w:style>
  <w:style w:type="paragraph" w:customStyle="1" w:styleId="ListBullet7">
    <w:name w:val="List Bullet 7"/>
    <w:basedOn w:val="ListBullet6"/>
    <w:rsid w:val="005A0219"/>
    <w:pPr>
      <w:numPr>
        <w:ilvl w:val="6"/>
      </w:numPr>
      <w:tabs>
        <w:tab w:val="clear" w:pos="2419"/>
        <w:tab w:val="num" w:pos="2074"/>
      </w:tabs>
      <w:ind w:left="2074" w:hanging="346"/>
    </w:pPr>
  </w:style>
  <w:style w:type="paragraph" w:customStyle="1" w:styleId="ListBullet8">
    <w:name w:val="List Bullet 8"/>
    <w:basedOn w:val="ListBullet7"/>
    <w:rsid w:val="005A0219"/>
    <w:pPr>
      <w:numPr>
        <w:ilvl w:val="7"/>
      </w:numPr>
      <w:tabs>
        <w:tab w:val="clear" w:pos="2765"/>
        <w:tab w:val="num" w:pos="2074"/>
      </w:tabs>
      <w:ind w:left="2074"/>
    </w:pPr>
  </w:style>
  <w:style w:type="paragraph" w:customStyle="1" w:styleId="ListBullet9">
    <w:name w:val="List Bullet 9"/>
    <w:basedOn w:val="ListBullet8"/>
    <w:rsid w:val="005A0219"/>
    <w:pPr>
      <w:numPr>
        <w:ilvl w:val="8"/>
      </w:numPr>
      <w:tabs>
        <w:tab w:val="clear" w:pos="3110"/>
        <w:tab w:val="num" w:pos="2074"/>
      </w:tabs>
      <w:ind w:left="2074" w:hanging="346"/>
    </w:pPr>
  </w:style>
  <w:style w:type="paragraph" w:styleId="Sraassunumeriais">
    <w:name w:val="List Number"/>
    <w:basedOn w:val="prastasis"/>
    <w:uiPriority w:val="99"/>
    <w:unhideWhenUsed/>
    <w:qFormat/>
    <w:rsid w:val="005A0219"/>
    <w:pPr>
      <w:numPr>
        <w:numId w:val="67"/>
      </w:numPr>
      <w:spacing w:after="120" w:line="240" w:lineRule="auto"/>
    </w:pPr>
    <w:rPr>
      <w:sz w:val="20"/>
      <w:szCs w:val="20"/>
    </w:rPr>
  </w:style>
  <w:style w:type="paragraph" w:styleId="Sraassunumeriais2">
    <w:name w:val="List Number 2"/>
    <w:basedOn w:val="Sraassunumeriais"/>
    <w:uiPriority w:val="99"/>
    <w:unhideWhenUsed/>
    <w:qFormat/>
    <w:rsid w:val="005A0219"/>
    <w:pPr>
      <w:numPr>
        <w:ilvl w:val="1"/>
      </w:numPr>
      <w:tabs>
        <w:tab w:val="left" w:pos="792"/>
      </w:tabs>
    </w:pPr>
  </w:style>
  <w:style w:type="paragraph" w:styleId="Sraassunumeriais3">
    <w:name w:val="List Number 3"/>
    <w:basedOn w:val="Sraassunumeriais2"/>
    <w:uiPriority w:val="99"/>
    <w:unhideWhenUsed/>
    <w:qFormat/>
    <w:rsid w:val="005A0219"/>
    <w:pPr>
      <w:numPr>
        <w:ilvl w:val="2"/>
      </w:numPr>
      <w:tabs>
        <w:tab w:val="clear" w:pos="792"/>
        <w:tab w:val="left" w:pos="1195"/>
      </w:tabs>
    </w:pPr>
  </w:style>
  <w:style w:type="paragraph" w:styleId="Sraassunumeriais4">
    <w:name w:val="List Number 4"/>
    <w:basedOn w:val="Sraassunumeriais3"/>
    <w:uiPriority w:val="99"/>
    <w:unhideWhenUsed/>
    <w:qFormat/>
    <w:rsid w:val="005A0219"/>
    <w:pPr>
      <w:numPr>
        <w:ilvl w:val="3"/>
      </w:numPr>
      <w:tabs>
        <w:tab w:val="clear" w:pos="1195"/>
        <w:tab w:val="left" w:pos="1642"/>
      </w:tabs>
    </w:pPr>
  </w:style>
  <w:style w:type="paragraph" w:styleId="Sraassunumeriais5">
    <w:name w:val="List Number 5"/>
    <w:basedOn w:val="Sraassunumeriais4"/>
    <w:uiPriority w:val="99"/>
    <w:unhideWhenUsed/>
    <w:rsid w:val="005A0219"/>
    <w:pPr>
      <w:numPr>
        <w:ilvl w:val="4"/>
      </w:numPr>
      <w:tabs>
        <w:tab w:val="clear" w:pos="1642"/>
        <w:tab w:val="clear" w:pos="1728"/>
        <w:tab w:val="left" w:pos="1987"/>
      </w:tabs>
      <w:ind w:left="3600" w:hanging="360"/>
    </w:pPr>
  </w:style>
  <w:style w:type="paragraph" w:styleId="Sraotsinys">
    <w:name w:val="List Continue"/>
    <w:basedOn w:val="prastasis"/>
    <w:uiPriority w:val="99"/>
    <w:unhideWhenUsed/>
    <w:qFormat/>
    <w:rsid w:val="005A0219"/>
    <w:pPr>
      <w:spacing w:after="120" w:line="240" w:lineRule="auto"/>
      <w:ind w:left="346"/>
    </w:pPr>
    <w:rPr>
      <w:sz w:val="20"/>
      <w:szCs w:val="20"/>
    </w:rPr>
  </w:style>
  <w:style w:type="paragraph" w:styleId="Sraotsinys2">
    <w:name w:val="List Continue 2"/>
    <w:basedOn w:val="Sraotsinys"/>
    <w:uiPriority w:val="99"/>
    <w:unhideWhenUsed/>
    <w:qFormat/>
    <w:rsid w:val="005A0219"/>
    <w:pPr>
      <w:ind w:left="691"/>
    </w:pPr>
  </w:style>
  <w:style w:type="paragraph" w:styleId="Sraotsinys3">
    <w:name w:val="List Continue 3"/>
    <w:basedOn w:val="Sraassunumeriais2"/>
    <w:uiPriority w:val="99"/>
    <w:unhideWhenUsed/>
    <w:qFormat/>
    <w:rsid w:val="005A0219"/>
    <w:pPr>
      <w:numPr>
        <w:ilvl w:val="0"/>
        <w:numId w:val="0"/>
      </w:numPr>
      <w:ind w:left="1037"/>
    </w:pPr>
  </w:style>
  <w:style w:type="paragraph" w:styleId="Sraotsinys4">
    <w:name w:val="List Continue 4"/>
    <w:basedOn w:val="Sraotsinys3"/>
    <w:uiPriority w:val="99"/>
    <w:unhideWhenUsed/>
    <w:qFormat/>
    <w:rsid w:val="005A0219"/>
    <w:pPr>
      <w:ind w:left="1382"/>
    </w:pPr>
  </w:style>
  <w:style w:type="paragraph" w:styleId="Sraotsinys5">
    <w:name w:val="List Continue 5"/>
    <w:basedOn w:val="Sraotsinys4"/>
    <w:uiPriority w:val="99"/>
    <w:unhideWhenUsed/>
    <w:rsid w:val="005A0219"/>
    <w:pPr>
      <w:ind w:left="1728"/>
    </w:pPr>
  </w:style>
  <w:style w:type="paragraph" w:styleId="Makrokomandostekstas">
    <w:name w:val="macro"/>
    <w:link w:val="MakrokomandostekstasDiagrama"/>
    <w:uiPriority w:val="99"/>
    <w:unhideWhenUsed/>
    <w:rsid w:val="005A0219"/>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krokomandostekstasDiagrama">
    <w:name w:val="Makrokomandos tekstas Diagrama"/>
    <w:basedOn w:val="Numatytasispastraiposriftas"/>
    <w:link w:val="Makrokomandostekstas"/>
    <w:uiPriority w:val="99"/>
    <w:rsid w:val="005A0219"/>
    <w:rPr>
      <w:rFonts w:ascii="Consolas" w:hAnsi="Consolas"/>
      <w:sz w:val="20"/>
      <w:szCs w:val="20"/>
    </w:rPr>
  </w:style>
  <w:style w:type="paragraph" w:customStyle="1" w:styleId="MessageHeader1">
    <w:name w:val="Message Header1"/>
    <w:basedOn w:val="prastasis"/>
    <w:next w:val="inutsantrat"/>
    <w:link w:val="MessageHeaderChar"/>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Arial Unicode MS"/>
      <w:sz w:val="24"/>
      <w:szCs w:val="24"/>
    </w:rPr>
  </w:style>
  <w:style w:type="character" w:customStyle="1" w:styleId="MessageHeaderChar">
    <w:name w:val="Message Header Char"/>
    <w:basedOn w:val="Numatytasispastraiposriftas"/>
    <w:link w:val="MessageHeader1"/>
    <w:uiPriority w:val="99"/>
    <w:semiHidden/>
    <w:rsid w:val="005A0219"/>
    <w:rPr>
      <w:rFonts w:eastAsia="Times New Roman" w:cs="Arial Unicode MS"/>
      <w:sz w:val="24"/>
      <w:szCs w:val="24"/>
      <w:shd w:val="pct20" w:color="auto" w:fill="auto"/>
    </w:rPr>
  </w:style>
  <w:style w:type="paragraph" w:customStyle="1" w:styleId="Non-numberedHeading1">
    <w:name w:val="Non-numbered Heading 1"/>
    <w:basedOn w:val="prastasis"/>
    <w:next w:val="Pagrindinistekstas"/>
    <w:qFormat/>
    <w:rsid w:val="005A0219"/>
    <w:pPr>
      <w:keepNext/>
      <w:pageBreakBefore/>
      <w:spacing w:after="480" w:line="240" w:lineRule="auto"/>
      <w:outlineLvl w:val="0"/>
    </w:pPr>
    <w:rPr>
      <w:rFonts w:ascii="Georgia" w:eastAsia="Times New Roman" w:hAnsi="Georgia" w:cs="Arial Unicode MS"/>
      <w:b/>
      <w:i/>
      <w:color w:val="000000"/>
      <w:sz w:val="48"/>
      <w:szCs w:val="32"/>
    </w:rPr>
  </w:style>
  <w:style w:type="paragraph" w:customStyle="1" w:styleId="Non-numberedHeading2">
    <w:name w:val="Non-numbered Heading 2"/>
    <w:basedOn w:val="Non-numberedHeading1"/>
    <w:next w:val="Pagrindinistekstas"/>
    <w:qFormat/>
    <w:rsid w:val="005A0219"/>
    <w:pPr>
      <w:pageBreakBefore w:val="0"/>
      <w:spacing w:after="160"/>
      <w:outlineLvl w:val="1"/>
    </w:pPr>
    <w:rPr>
      <w:color w:val="821A1A"/>
      <w:sz w:val="32"/>
    </w:rPr>
  </w:style>
  <w:style w:type="paragraph" w:customStyle="1" w:styleId="Non-numberedHeading3">
    <w:name w:val="Non-numbered Heading 3"/>
    <w:basedOn w:val="Non-numberedHeading2"/>
    <w:next w:val="Pagrindinistekstas"/>
    <w:qFormat/>
    <w:rsid w:val="005A0219"/>
    <w:pPr>
      <w:outlineLvl w:val="2"/>
    </w:pPr>
    <w:rPr>
      <w:sz w:val="28"/>
    </w:rPr>
  </w:style>
  <w:style w:type="paragraph" w:customStyle="1" w:styleId="Non-numberedHeading4">
    <w:name w:val="Non-numbered Heading 4"/>
    <w:basedOn w:val="Non-numberedHeading3"/>
    <w:next w:val="Pagrindinistekstas"/>
    <w:qFormat/>
    <w:rsid w:val="005A0219"/>
    <w:pPr>
      <w:outlineLvl w:val="3"/>
    </w:pPr>
    <w:rPr>
      <w:b w:val="0"/>
    </w:rPr>
  </w:style>
  <w:style w:type="paragraph" w:customStyle="1" w:styleId="Non-numberedHeading5">
    <w:name w:val="Non-numbered Heading 5"/>
    <w:basedOn w:val="Non-numberedHeading4"/>
    <w:next w:val="Pagrindinistekstas"/>
    <w:rsid w:val="005A0219"/>
    <w:pPr>
      <w:outlineLvl w:val="4"/>
    </w:pPr>
    <w:rPr>
      <w:sz w:val="24"/>
    </w:rPr>
  </w:style>
  <w:style w:type="paragraph" w:customStyle="1" w:styleId="PwCAddress">
    <w:name w:val="PwC Address"/>
    <w:basedOn w:val="Pagrindinistekstas"/>
    <w:qFormat/>
    <w:rsid w:val="005A0219"/>
    <w:pPr>
      <w:spacing w:after="0" w:line="200" w:lineRule="atLeast"/>
    </w:pPr>
    <w:rPr>
      <w:rFonts w:eastAsia="Georgia" w:cs="Arial Unicode MS"/>
      <w:i/>
      <w:sz w:val="18"/>
      <w:lang w:val="en-US"/>
    </w:rPr>
  </w:style>
  <w:style w:type="paragraph" w:customStyle="1" w:styleId="Quote1">
    <w:name w:val="Quote1"/>
    <w:basedOn w:val="prastasis"/>
    <w:next w:val="prastasis"/>
    <w:uiPriority w:val="29"/>
    <w:rsid w:val="005A0219"/>
    <w:pPr>
      <w:spacing w:after="160"/>
      <w:jc w:val="center"/>
    </w:pPr>
    <w:rPr>
      <w:i/>
      <w:iCs/>
      <w:color w:val="404040"/>
      <w:sz w:val="20"/>
      <w:szCs w:val="20"/>
    </w:rPr>
  </w:style>
  <w:style w:type="character" w:customStyle="1" w:styleId="CitataDiagrama">
    <w:name w:val="Citata Diagrama"/>
    <w:basedOn w:val="Numatytasispastraiposriftas"/>
    <w:link w:val="Citata"/>
    <w:uiPriority w:val="29"/>
    <w:rsid w:val="005A0219"/>
    <w:rPr>
      <w:i/>
      <w:iCs/>
      <w:color w:val="404040"/>
    </w:rPr>
  </w:style>
  <w:style w:type="paragraph" w:customStyle="1" w:styleId="Subtitle1">
    <w:name w:val="Subtitle1"/>
    <w:basedOn w:val="prastasis"/>
    <w:next w:val="prastasis"/>
    <w:uiPriority w:val="11"/>
    <w:rsid w:val="005A0219"/>
    <w:pPr>
      <w:numPr>
        <w:ilvl w:val="1"/>
      </w:numPr>
      <w:spacing w:after="1200" w:line="240" w:lineRule="auto"/>
      <w:ind w:left="2376"/>
    </w:pPr>
    <w:rPr>
      <w:rFonts w:ascii="Georgia" w:eastAsia="Times New Roman" w:hAnsi="Georgia"/>
      <w:spacing w:val="15"/>
      <w:sz w:val="64"/>
      <w:szCs w:val="20"/>
    </w:rPr>
  </w:style>
  <w:style w:type="character" w:customStyle="1" w:styleId="AntrinispavadinimasDiagrama">
    <w:name w:val="Antrinis pavadinimas Diagrama"/>
    <w:aliases w:val="lentelės Diagrama"/>
    <w:basedOn w:val="Numatytasispastraiposriftas"/>
    <w:link w:val="Antrinispavadinimas"/>
    <w:uiPriority w:val="11"/>
    <w:rsid w:val="005A0219"/>
    <w:rPr>
      <w:rFonts w:ascii="Georgia" w:eastAsia="Times New Roman" w:hAnsi="Georgia"/>
      <w:spacing w:val="15"/>
      <w:sz w:val="64"/>
    </w:rPr>
  </w:style>
  <w:style w:type="character" w:customStyle="1" w:styleId="SubtleEmphasis1">
    <w:name w:val="Subtle Emphasis1"/>
    <w:basedOn w:val="Numatytasispastraiposriftas"/>
    <w:uiPriority w:val="19"/>
    <w:rsid w:val="005A0219"/>
    <w:rPr>
      <w:i/>
      <w:iCs/>
      <w:color w:val="7F7F7F"/>
    </w:rPr>
  </w:style>
  <w:style w:type="paragraph" w:customStyle="1" w:styleId="Title1">
    <w:name w:val="Title1"/>
    <w:basedOn w:val="prastasis"/>
    <w:next w:val="prastasis"/>
    <w:uiPriority w:val="10"/>
    <w:rsid w:val="005A0219"/>
    <w:pPr>
      <w:spacing w:after="0" w:line="240" w:lineRule="auto"/>
      <w:ind w:left="2376"/>
      <w:contextualSpacing/>
    </w:pPr>
    <w:rPr>
      <w:rFonts w:ascii="Georgia" w:eastAsia="Times New Roman" w:hAnsi="Georgia" w:cs="Arial Unicode MS"/>
      <w:b/>
      <w:i/>
      <w:spacing w:val="-10"/>
      <w:kern w:val="28"/>
      <w:sz w:val="64"/>
      <w:szCs w:val="56"/>
    </w:rPr>
  </w:style>
  <w:style w:type="character" w:customStyle="1" w:styleId="PavadinimasDiagrama">
    <w:name w:val="Pavadinimas Diagrama"/>
    <w:basedOn w:val="Numatytasispastraiposriftas"/>
    <w:link w:val="Pavadinimas"/>
    <w:uiPriority w:val="10"/>
    <w:rsid w:val="005A0219"/>
    <w:rPr>
      <w:rFonts w:ascii="Georgia" w:eastAsia="Times New Roman" w:hAnsi="Georgia" w:cs="Arial Unicode MS"/>
      <w:b/>
      <w:i/>
      <w:spacing w:val="-10"/>
      <w:kern w:val="28"/>
      <w:sz w:val="64"/>
      <w:szCs w:val="56"/>
    </w:rPr>
  </w:style>
  <w:style w:type="paragraph" w:customStyle="1" w:styleId="ListRoman">
    <w:name w:val="List Roman"/>
    <w:basedOn w:val="Pagrindinistekstas"/>
    <w:qFormat/>
    <w:rsid w:val="005A0219"/>
    <w:pPr>
      <w:numPr>
        <w:numId w:val="68"/>
      </w:numPr>
      <w:spacing w:after="120" w:line="240" w:lineRule="auto"/>
    </w:pPr>
    <w:rPr>
      <w:rFonts w:eastAsia="Georgia" w:cs="Arial Unicode MS"/>
      <w:lang w:val="en-US"/>
    </w:rPr>
  </w:style>
  <w:style w:type="paragraph" w:customStyle="1" w:styleId="ListRoman2">
    <w:name w:val="List Roman 2"/>
    <w:basedOn w:val="ListRoman"/>
    <w:qFormat/>
    <w:rsid w:val="005A0219"/>
    <w:pPr>
      <w:numPr>
        <w:ilvl w:val="1"/>
      </w:numPr>
      <w:tabs>
        <w:tab w:val="left" w:pos="792"/>
      </w:tabs>
    </w:pPr>
  </w:style>
  <w:style w:type="paragraph" w:customStyle="1" w:styleId="ListRoman3">
    <w:name w:val="List Roman 3"/>
    <w:basedOn w:val="ListRoman2"/>
    <w:qFormat/>
    <w:rsid w:val="005A0219"/>
    <w:pPr>
      <w:numPr>
        <w:ilvl w:val="2"/>
      </w:numPr>
      <w:tabs>
        <w:tab w:val="clear" w:pos="792"/>
        <w:tab w:val="left" w:pos="1195"/>
      </w:tabs>
    </w:pPr>
  </w:style>
  <w:style w:type="paragraph" w:customStyle="1" w:styleId="ListRoman4">
    <w:name w:val="List Roman 4"/>
    <w:basedOn w:val="ListRoman3"/>
    <w:qFormat/>
    <w:rsid w:val="005A0219"/>
    <w:pPr>
      <w:numPr>
        <w:ilvl w:val="3"/>
      </w:numPr>
      <w:tabs>
        <w:tab w:val="clear" w:pos="1195"/>
        <w:tab w:val="left" w:pos="1584"/>
      </w:tabs>
    </w:pPr>
  </w:style>
  <w:style w:type="paragraph" w:customStyle="1" w:styleId="ListRoman5">
    <w:name w:val="List Roman 5"/>
    <w:basedOn w:val="ListRoman4"/>
    <w:rsid w:val="005A0219"/>
    <w:pPr>
      <w:numPr>
        <w:ilvl w:val="4"/>
      </w:numPr>
      <w:tabs>
        <w:tab w:val="clear" w:pos="1584"/>
        <w:tab w:val="clear" w:pos="1728"/>
        <w:tab w:val="left" w:pos="1987"/>
      </w:tabs>
      <w:ind w:left="3600" w:hanging="360"/>
    </w:pPr>
  </w:style>
  <w:style w:type="table" w:customStyle="1" w:styleId="SmartTextTable1">
    <w:name w:val="Smart Text Table1"/>
    <w:basedOn w:val="prastojilentel"/>
    <w:next w:val="Lentelstinklelis"/>
    <w:uiPriority w:val="59"/>
    <w:rsid w:val="005A02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5A0219"/>
    <w:rPr>
      <w:color w:val="808080"/>
    </w:rPr>
  </w:style>
  <w:style w:type="table" w:customStyle="1" w:styleId="PwCTableText">
    <w:name w:val="PwC Table Text"/>
    <w:basedOn w:val="prastojilentel"/>
    <w:uiPriority w:val="99"/>
    <w:rsid w:val="005A0219"/>
    <w:pPr>
      <w:spacing w:before="100" w:beforeAutospacing="1" w:after="100" w:afterAutospacing="1" w:line="240" w:lineRule="auto"/>
    </w:pPr>
    <w:rPr>
      <w:rFonts w:ascii="Georgia" w:hAnsi="Georgia"/>
      <w:sz w:val="18"/>
      <w:szCs w:val="20"/>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PwCTableofFigures">
    <w:name w:val="PwC Table of Figures"/>
    <w:basedOn w:val="PwCTableText"/>
    <w:uiPriority w:val="99"/>
    <w:rsid w:val="005A0219"/>
    <w:pPr>
      <w:spacing w:after="0"/>
      <w:jc w:val="right"/>
    </w:pPr>
    <w:rPr>
      <w:rFonts w:ascii="Arial" w:hAnsi="Arial"/>
    </w:rPr>
    <w:tblPr/>
    <w:tblStylePr w:type="firstRow">
      <w:pPr>
        <w:jc w:val="right"/>
      </w:pPr>
      <w:rPr>
        <w:rFonts w:ascii="@Malgun Gothic Semilight" w:hAnsi="@Malgun Gothic Semiligh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table" w:customStyle="1" w:styleId="Style1">
    <w:name w:val="Style1"/>
    <w:basedOn w:val="PwCTableText"/>
    <w:uiPriority w:val="99"/>
    <w:rsid w:val="005A0219"/>
    <w:pPr>
      <w:spacing w:after="0"/>
    </w:pPr>
    <w:tblPr>
      <w:tblBorders>
        <w:top w:val="single" w:sz="4" w:space="0" w:color="821A1A"/>
        <w:left w:val="single" w:sz="4" w:space="0" w:color="821A1A"/>
        <w:bottom w:val="single" w:sz="4" w:space="0" w:color="821A1A"/>
        <w:right w:val="single" w:sz="4" w:space="0" w:color="821A1A"/>
        <w:insideH w:val="single" w:sz="4" w:space="0" w:color="821A1A"/>
        <w:insideV w:val="single" w:sz="4" w:space="0" w:color="821A1A"/>
      </w:tblBorders>
    </w:tblPr>
    <w:tblStylePr w:type="firstRow">
      <w:pPr>
        <w:jc w:val="left"/>
      </w:pPr>
      <w:rPr>
        <w:rFonts w:ascii="@Malgun Gothic Semilight" w:hAnsi="@Malgun Gothic Semilight"/>
        <w:b/>
        <w:color w:val="821A1A"/>
        <w:sz w:val="18"/>
      </w:rPr>
      <w:tblPr/>
      <w:tcPr>
        <w:tcBorders>
          <w:top w:val="single" w:sz="4" w:space="0" w:color="821A1A"/>
          <w:left w:val="single" w:sz="4" w:space="0" w:color="821A1A"/>
          <w:bottom w:val="single" w:sz="4" w:space="0" w:color="821A1A"/>
          <w:right w:val="single" w:sz="4" w:space="0" w:color="821A1A"/>
          <w:insideH w:val="nil"/>
          <w:insideV w:val="single" w:sz="4" w:space="0" w:color="821A1A"/>
          <w:tl2br w:val="nil"/>
          <w:tr2bl w:val="nil"/>
        </w:tcBorders>
      </w:tcPr>
    </w:tblStylePr>
  </w:style>
  <w:style w:type="table" w:customStyle="1" w:styleId="SmartTextListTable">
    <w:name w:val="Smart Text List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single" w:sz="6" w:space="0" w:color="821A1A"/>
          <w:right w:val="nil"/>
          <w:insideH w:val="nil"/>
          <w:insideV w:val="nil"/>
          <w:tl2br w:val="nil"/>
          <w:tr2bl w:val="nil"/>
        </w:tcBorders>
      </w:tcPr>
    </w:tblStylePr>
  </w:style>
  <w:style w:type="table" w:customStyle="1" w:styleId="SmartBasicTable">
    <w:name w:val="Smart Basic Table"/>
    <w:basedOn w:val="PwCTableText"/>
    <w:uiPriority w:val="99"/>
    <w:rsid w:val="005A0219"/>
    <w:pPr>
      <w:spacing w:after="0"/>
    </w:pPr>
    <w:tblPr/>
    <w:tblStylePr w:type="firstRow">
      <w:pPr>
        <w:jc w:val="left"/>
      </w:pPr>
      <w:rPr>
        <w:rFonts w:ascii="@Malgun Gothic Semilight" w:hAnsi="@Malgun Gothic Semilight"/>
        <w:b/>
        <w:color w:val="821A1A"/>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Pagrindiniotekstotrauka">
    <w:name w:val="Body Text Indent"/>
    <w:basedOn w:val="prastasis"/>
    <w:link w:val="PagrindiniotekstotraukaDiagrama"/>
    <w:uiPriority w:val="99"/>
    <w:semiHidden/>
    <w:unhideWhenUsed/>
    <w:rsid w:val="005A0219"/>
    <w:pPr>
      <w:spacing w:after="120" w:line="240" w:lineRule="auto"/>
      <w:ind w:left="360"/>
    </w:pPr>
    <w:rPr>
      <w:sz w:val="20"/>
      <w:szCs w:val="20"/>
    </w:rPr>
  </w:style>
  <w:style w:type="character" w:customStyle="1" w:styleId="PagrindiniotekstotraukaDiagrama">
    <w:name w:val="Pagrindinio teksto įtrauka Diagrama"/>
    <w:basedOn w:val="Numatytasispastraiposriftas"/>
    <w:link w:val="Pagrindiniotekstotrauka"/>
    <w:uiPriority w:val="99"/>
    <w:semiHidden/>
    <w:rsid w:val="005A0219"/>
    <w:rPr>
      <w:sz w:val="20"/>
      <w:szCs w:val="20"/>
    </w:rPr>
  </w:style>
  <w:style w:type="character" w:styleId="Knygospavadinimas">
    <w:name w:val="Book Title"/>
    <w:basedOn w:val="Numatytasispastraiposriftas"/>
    <w:uiPriority w:val="33"/>
    <w:rsid w:val="005A0219"/>
    <w:rPr>
      <w:b/>
      <w:bCs/>
      <w:i/>
      <w:iCs/>
      <w:spacing w:val="5"/>
    </w:rPr>
  </w:style>
  <w:style w:type="character" w:styleId="Grietas">
    <w:name w:val="Strong"/>
    <w:basedOn w:val="Numatytasispastraiposriftas"/>
    <w:uiPriority w:val="22"/>
    <w:qFormat/>
    <w:rsid w:val="005A0219"/>
    <w:rPr>
      <w:b/>
      <w:bCs/>
    </w:rPr>
  </w:style>
  <w:style w:type="character" w:customStyle="1" w:styleId="SubtleReference1">
    <w:name w:val="Subtle Reference1"/>
    <w:basedOn w:val="Numatytasispastraiposriftas"/>
    <w:uiPriority w:val="31"/>
    <w:rsid w:val="005A0219"/>
    <w:rPr>
      <w:smallCaps/>
      <w:color w:val="5A5A5A"/>
    </w:rPr>
  </w:style>
  <w:style w:type="paragraph" w:customStyle="1" w:styleId="AppendixHeading1">
    <w:name w:val="Appendix Heading 1"/>
    <w:basedOn w:val="Antrat1"/>
    <w:next w:val="AppendixHeading2"/>
    <w:rsid w:val="005A0219"/>
    <w:pPr>
      <w:keepLines w:val="0"/>
      <w:pageBreakBefore/>
      <w:numPr>
        <w:numId w:val="63"/>
      </w:numPr>
      <w:spacing w:before="0" w:after="480" w:line="0" w:lineRule="atLeast"/>
    </w:pPr>
    <w:rPr>
      <w:bCs w:val="0"/>
      <w:i/>
      <w:color w:val="000000"/>
      <w:sz w:val="48"/>
      <w:szCs w:val="32"/>
    </w:rPr>
  </w:style>
  <w:style w:type="paragraph" w:customStyle="1" w:styleId="AppendixHeading2">
    <w:name w:val="Appendix Heading 2"/>
    <w:basedOn w:val="AppendixHeading1"/>
    <w:next w:val="Pagrindinistekstas"/>
    <w:rsid w:val="005A0219"/>
    <w:pPr>
      <w:pageBreakBefore w:val="0"/>
      <w:numPr>
        <w:ilvl w:val="1"/>
      </w:numPr>
      <w:spacing w:after="160"/>
      <w:outlineLvl w:val="1"/>
    </w:pPr>
    <w:rPr>
      <w:color w:val="821A1A"/>
      <w:sz w:val="32"/>
    </w:rPr>
  </w:style>
  <w:style w:type="paragraph" w:customStyle="1" w:styleId="AppendixHeading3">
    <w:name w:val="Appendix Heading 3"/>
    <w:basedOn w:val="AppendixHeading2"/>
    <w:next w:val="Pagrindinistekstas"/>
    <w:rsid w:val="005A0219"/>
    <w:pPr>
      <w:numPr>
        <w:ilvl w:val="2"/>
      </w:numPr>
      <w:outlineLvl w:val="2"/>
    </w:pPr>
    <w:rPr>
      <w:sz w:val="28"/>
    </w:rPr>
  </w:style>
  <w:style w:type="paragraph" w:customStyle="1" w:styleId="AppendixHeading4">
    <w:name w:val="Appendix Heading 4"/>
    <w:basedOn w:val="AppendixHeading3"/>
    <w:next w:val="Pagrindinistekstas"/>
    <w:rsid w:val="005A0219"/>
    <w:pPr>
      <w:numPr>
        <w:ilvl w:val="3"/>
      </w:numPr>
      <w:outlineLvl w:val="3"/>
    </w:pPr>
    <w:rPr>
      <w:b w:val="0"/>
    </w:rPr>
  </w:style>
  <w:style w:type="paragraph" w:customStyle="1" w:styleId="AppendixHeading5">
    <w:name w:val="Appendix Heading 5"/>
    <w:basedOn w:val="AppendixHeading4"/>
    <w:next w:val="Pagrindinistekstas"/>
    <w:rsid w:val="005A0219"/>
    <w:pPr>
      <w:numPr>
        <w:ilvl w:val="4"/>
      </w:numPr>
      <w:ind w:left="1800" w:hanging="1440"/>
      <w:outlineLvl w:val="4"/>
    </w:pPr>
    <w:rPr>
      <w:sz w:val="24"/>
    </w:rPr>
  </w:style>
  <w:style w:type="character" w:customStyle="1" w:styleId="AddressChar">
    <w:name w:val="Address Char"/>
    <w:basedOn w:val="Numatytasispastraiposriftas"/>
    <w:link w:val="Address"/>
    <w:locked/>
    <w:rsid w:val="005A0219"/>
    <w:rPr>
      <w:i/>
      <w:sz w:val="18"/>
      <w:szCs w:val="20"/>
    </w:rPr>
  </w:style>
  <w:style w:type="character" w:customStyle="1" w:styleId="DisclaimerChar">
    <w:name w:val="Disclaimer Char"/>
    <w:basedOn w:val="Numatytasispastraiposriftas"/>
    <w:link w:val="Disclaimer"/>
    <w:locked/>
    <w:rsid w:val="005A0219"/>
    <w:rPr>
      <w:rFonts w:ascii="Georgia" w:eastAsia="Georgia" w:hAnsi="Georgia" w:cs="Arial Unicode MS"/>
      <w:sz w:val="16"/>
      <w:szCs w:val="20"/>
    </w:rPr>
  </w:style>
  <w:style w:type="paragraph" w:customStyle="1" w:styleId="TOAHeading1">
    <w:name w:val="TOA Heading1"/>
    <w:basedOn w:val="prastasis"/>
    <w:next w:val="prastasis"/>
    <w:uiPriority w:val="99"/>
    <w:unhideWhenUsed/>
    <w:rsid w:val="005A0219"/>
    <w:pPr>
      <w:spacing w:before="120" w:after="160" w:line="240" w:lineRule="auto"/>
    </w:pPr>
    <w:rPr>
      <w:rFonts w:ascii="Georgia" w:eastAsia="Times New Roman" w:hAnsi="Georgia" w:cs="Arial Unicode MS"/>
      <w:b/>
      <w:bCs/>
      <w:sz w:val="24"/>
      <w:szCs w:val="24"/>
    </w:rPr>
  </w:style>
  <w:style w:type="paragraph" w:customStyle="1" w:styleId="AppendixHeading1wSubheading">
    <w:name w:val="Appendix Heading 1 w/Subheading"/>
    <w:basedOn w:val="AppendixHeading1"/>
    <w:next w:val="Subheading"/>
    <w:rsid w:val="005A0219"/>
    <w:pPr>
      <w:spacing w:after="0"/>
      <w:ind w:left="0" w:firstLine="0"/>
    </w:pPr>
  </w:style>
  <w:style w:type="paragraph" w:customStyle="1" w:styleId="BlockText3">
    <w:name w:val="Block Text 3"/>
    <w:basedOn w:val="Pagrindinistekstas"/>
    <w:rsid w:val="005A0219"/>
    <w:pPr>
      <w:pBdr>
        <w:top w:val="single" w:sz="8" w:space="10" w:color="821A1A"/>
        <w:left w:val="single" w:sz="8" w:space="10" w:color="821A1A"/>
        <w:bottom w:val="single" w:sz="8" w:space="10" w:color="821A1A"/>
        <w:right w:val="single" w:sz="8" w:space="10" w:color="821A1A"/>
      </w:pBdr>
      <w:shd w:val="clear" w:color="auto" w:fill="821A1A"/>
      <w:spacing w:after="160" w:line="240" w:lineRule="auto"/>
      <w:ind w:left="230" w:right="230"/>
    </w:pPr>
    <w:rPr>
      <w:rFonts w:eastAsia="Georgia" w:cs="Arial Unicode MS"/>
      <w:b/>
      <w:i/>
      <w:color w:val="FFFFFF"/>
      <w:sz w:val="22"/>
      <w:lang w:val="en-US"/>
    </w:rPr>
  </w:style>
  <w:style w:type="paragraph" w:customStyle="1" w:styleId="ExhibitHeading1wSubheading">
    <w:name w:val="Exhibit Heading 1 w/Subheading"/>
    <w:basedOn w:val="ExhibitHeading1"/>
    <w:next w:val="Subheading"/>
    <w:rsid w:val="005A0219"/>
    <w:pPr>
      <w:spacing w:after="0"/>
      <w:ind w:left="0" w:firstLine="0"/>
    </w:pPr>
  </w:style>
  <w:style w:type="paragraph" w:customStyle="1" w:styleId="Heading1wSubheading">
    <w:name w:val="Heading 1 w/Subheading"/>
    <w:basedOn w:val="Antrat1"/>
    <w:next w:val="Subheading"/>
    <w:rsid w:val="005A0219"/>
    <w:pPr>
      <w:keepLines w:val="0"/>
      <w:pageBreakBefore/>
      <w:spacing w:before="0" w:line="0" w:lineRule="atLeast"/>
    </w:pPr>
    <w:rPr>
      <w:bCs w:val="0"/>
      <w:i/>
      <w:color w:val="000000"/>
      <w:sz w:val="48"/>
      <w:szCs w:val="32"/>
    </w:rPr>
  </w:style>
  <w:style w:type="paragraph" w:customStyle="1" w:styleId="Non-numberedHeading1wSubheading">
    <w:name w:val="Non-numbered Heading 1 w/Subheading"/>
    <w:basedOn w:val="Non-numberedHeading1"/>
    <w:next w:val="Subheading"/>
    <w:rsid w:val="005A0219"/>
    <w:pPr>
      <w:spacing w:after="0"/>
    </w:pPr>
  </w:style>
  <w:style w:type="paragraph" w:customStyle="1" w:styleId="Subheading">
    <w:name w:val="Subheading"/>
    <w:basedOn w:val="Heading1wSubheading"/>
    <w:rsid w:val="005A0219"/>
    <w:pPr>
      <w:pageBreakBefore w:val="0"/>
      <w:numPr>
        <w:numId w:val="0"/>
      </w:numPr>
      <w:spacing w:after="480"/>
    </w:pPr>
    <w:rPr>
      <w:b w:val="0"/>
      <w:i w:val="0"/>
      <w:sz w:val="44"/>
    </w:rPr>
  </w:style>
  <w:style w:type="character" w:customStyle="1" w:styleId="GuidanceChar">
    <w:name w:val="Guidance Char"/>
    <w:basedOn w:val="Numatytasispastraiposriftas"/>
    <w:link w:val="Guidance"/>
    <w:uiPriority w:val="99"/>
    <w:rsid w:val="005A0219"/>
    <w:rPr>
      <w:rFonts w:ascii="Arial" w:hAnsi="Arial"/>
      <w:color w:val="00A5FF"/>
      <w:sz w:val="16"/>
      <w:szCs w:val="20"/>
    </w:rPr>
  </w:style>
  <w:style w:type="table" w:customStyle="1" w:styleId="LightList-Accent21">
    <w:name w:val="Light List - Accent 21"/>
    <w:basedOn w:val="prastojilentel"/>
    <w:next w:val="viesussraas2parykinimas"/>
    <w:uiPriority w:val="61"/>
    <w:rsid w:val="005A0219"/>
    <w:pPr>
      <w:spacing w:after="0" w:line="240" w:lineRule="auto"/>
    </w:pPr>
    <w:rPr>
      <w:lang w:val="lt-LT"/>
    </w:rPr>
    <w:tblPr>
      <w:tblStyleRowBandSize w:val="1"/>
      <w:tblStyleColBandSize w:val="1"/>
      <w:tblBorders>
        <w:top w:val="single" w:sz="8" w:space="0" w:color="D62E1C"/>
        <w:left w:val="single" w:sz="8" w:space="0" w:color="D62E1C"/>
        <w:bottom w:val="single" w:sz="8" w:space="0" w:color="D62E1C"/>
        <w:right w:val="single" w:sz="8" w:space="0" w:color="D62E1C"/>
      </w:tblBorders>
    </w:tblPr>
    <w:tblStylePr w:type="firstRow">
      <w:pPr>
        <w:spacing w:beforeLines="0" w:before="0" w:beforeAutospacing="0" w:afterLines="0" w:after="0" w:afterAutospacing="0" w:line="240" w:lineRule="auto"/>
      </w:pPr>
      <w:rPr>
        <w:b/>
        <w:bCs/>
        <w:color w:val="FFFFFF"/>
      </w:rPr>
      <w:tblPr/>
      <w:tcPr>
        <w:shd w:val="clear" w:color="auto" w:fill="D62E1C"/>
      </w:tcPr>
    </w:tblStylePr>
    <w:tblStylePr w:type="lastRow">
      <w:pPr>
        <w:spacing w:beforeLines="0" w:before="0" w:beforeAutospacing="0" w:afterLines="0" w:after="0" w:afterAutospacing="0" w:line="240" w:lineRule="auto"/>
      </w:pPr>
      <w:rPr>
        <w:b/>
        <w:bCs/>
      </w:rPr>
      <w:tblPr/>
      <w:tcPr>
        <w:tcBorders>
          <w:top w:val="double" w:sz="6" w:space="0" w:color="D62E1C"/>
          <w:left w:val="single" w:sz="8" w:space="0" w:color="D62E1C"/>
          <w:bottom w:val="single" w:sz="8" w:space="0" w:color="D62E1C"/>
          <w:right w:val="single" w:sz="8" w:space="0" w:color="D62E1C"/>
        </w:tcBorders>
      </w:tcPr>
    </w:tblStylePr>
    <w:tblStylePr w:type="firstCol">
      <w:rPr>
        <w:b/>
        <w:bCs/>
      </w:rPr>
    </w:tblStylePr>
    <w:tblStylePr w:type="lastCol">
      <w:rPr>
        <w:b/>
        <w:bCs/>
      </w:rPr>
    </w:tblStylePr>
    <w:tblStylePr w:type="band1Vert">
      <w:tblPr/>
      <w:tcPr>
        <w:tcBorders>
          <w:top w:val="single" w:sz="8" w:space="0" w:color="D62E1C"/>
          <w:left w:val="single" w:sz="8" w:space="0" w:color="D62E1C"/>
          <w:bottom w:val="single" w:sz="8" w:space="0" w:color="D62E1C"/>
          <w:right w:val="single" w:sz="8" w:space="0" w:color="D62E1C"/>
        </w:tcBorders>
      </w:tcPr>
    </w:tblStylePr>
    <w:tblStylePr w:type="band1Horz">
      <w:tblPr/>
      <w:tcPr>
        <w:tcBorders>
          <w:top w:val="single" w:sz="8" w:space="0" w:color="D62E1C"/>
          <w:left w:val="single" w:sz="8" w:space="0" w:color="D62E1C"/>
          <w:bottom w:val="single" w:sz="8" w:space="0" w:color="D62E1C"/>
          <w:right w:val="single" w:sz="8" w:space="0" w:color="D62E1C"/>
        </w:tcBorders>
      </w:tcPr>
    </w:tblStylePr>
  </w:style>
  <w:style w:type="table" w:customStyle="1" w:styleId="MediumShading1-Accent21">
    <w:name w:val="Medium Shading 1 - Accent 21"/>
    <w:basedOn w:val="prastojilentel"/>
    <w:next w:val="1vidutinisspalvinimas2parykinimas"/>
    <w:uiPriority w:val="63"/>
    <w:rsid w:val="005A0219"/>
    <w:pPr>
      <w:spacing w:after="0" w:line="240" w:lineRule="auto"/>
    </w:pPr>
    <w:tblPr>
      <w:tblStyleRowBandSize w:val="1"/>
      <w:tblStyleColBandSize w:val="1"/>
      <w:tblBorders>
        <w:top w:val="single" w:sz="8" w:space="0" w:color="E75B4D"/>
        <w:left w:val="single" w:sz="8" w:space="0" w:color="E75B4D"/>
        <w:bottom w:val="single" w:sz="8" w:space="0" w:color="E75B4D"/>
        <w:right w:val="single" w:sz="8" w:space="0" w:color="E75B4D"/>
        <w:insideH w:val="single" w:sz="8" w:space="0" w:color="E75B4D"/>
      </w:tblBorders>
    </w:tblPr>
    <w:tblStylePr w:type="firstRow">
      <w:pPr>
        <w:spacing w:before="0" w:after="0" w:line="240" w:lineRule="auto"/>
      </w:pPr>
      <w:rPr>
        <w:b/>
        <w:bCs/>
        <w:color w:val="FFFFFF"/>
      </w:rPr>
      <w:tblPr/>
      <w:tcPr>
        <w:tcBorders>
          <w:top w:val="single" w:sz="8" w:space="0" w:color="E75B4D"/>
          <w:left w:val="single" w:sz="8" w:space="0" w:color="E75B4D"/>
          <w:bottom w:val="single" w:sz="8" w:space="0" w:color="E75B4D"/>
          <w:right w:val="single" w:sz="8" w:space="0" w:color="E75B4D"/>
          <w:insideH w:val="nil"/>
          <w:insideV w:val="nil"/>
        </w:tcBorders>
        <w:shd w:val="clear" w:color="auto" w:fill="D62E1C"/>
      </w:tcPr>
    </w:tblStylePr>
    <w:tblStylePr w:type="lastRow">
      <w:pPr>
        <w:spacing w:before="0" w:after="0" w:line="240" w:lineRule="auto"/>
      </w:pPr>
      <w:rPr>
        <w:b/>
        <w:bCs/>
      </w:rPr>
      <w:tblPr/>
      <w:tcPr>
        <w:tcBorders>
          <w:top w:val="double" w:sz="6" w:space="0" w:color="E75B4D"/>
          <w:left w:val="single" w:sz="8" w:space="0" w:color="E75B4D"/>
          <w:bottom w:val="single" w:sz="8" w:space="0" w:color="E75B4D"/>
          <w:right w:val="single" w:sz="8" w:space="0" w:color="E75B4D"/>
          <w:insideH w:val="nil"/>
          <w:insideV w:val="nil"/>
        </w:tcBorders>
      </w:tcPr>
    </w:tblStylePr>
    <w:tblStylePr w:type="firstCol">
      <w:rPr>
        <w:b/>
        <w:bCs/>
      </w:rPr>
    </w:tblStylePr>
    <w:tblStylePr w:type="lastCol">
      <w:rPr>
        <w:b/>
        <w:bCs/>
      </w:rPr>
    </w:tblStylePr>
    <w:tblStylePr w:type="band1Vert">
      <w:tblPr/>
      <w:tcPr>
        <w:shd w:val="clear" w:color="auto" w:fill="F7C9C4"/>
      </w:tcPr>
    </w:tblStylePr>
    <w:tblStylePr w:type="band1Horz">
      <w:tblPr/>
      <w:tcPr>
        <w:tcBorders>
          <w:insideH w:val="nil"/>
          <w:insideV w:val="nil"/>
        </w:tcBorders>
        <w:shd w:val="clear" w:color="auto" w:fill="F7C9C4"/>
      </w:tcPr>
    </w:tblStylePr>
    <w:tblStylePr w:type="band2Horz">
      <w:tblPr/>
      <w:tcPr>
        <w:tcBorders>
          <w:insideH w:val="nil"/>
          <w:insideV w:val="nil"/>
        </w:tcBorders>
      </w:tcPr>
    </w:tblStylePr>
  </w:style>
  <w:style w:type="character" w:customStyle="1" w:styleId="Heading5Char1">
    <w:name w:val="Heading 5 Char1"/>
    <w:basedOn w:val="Numatytasispastraiposriftas"/>
    <w:uiPriority w:val="9"/>
    <w:semiHidden/>
    <w:rsid w:val="005A0219"/>
    <w:rPr>
      <w:rFonts w:asciiTheme="majorHAnsi" w:eastAsiaTheme="majorEastAsia" w:hAnsiTheme="majorHAnsi" w:cstheme="majorBidi"/>
      <w:color w:val="365F91" w:themeColor="accent1" w:themeShade="BF"/>
    </w:rPr>
  </w:style>
  <w:style w:type="character" w:customStyle="1" w:styleId="Heading6Char1">
    <w:name w:val="Heading 6 Char1"/>
    <w:basedOn w:val="Numatytasispastraiposriftas"/>
    <w:uiPriority w:val="9"/>
    <w:semiHidden/>
    <w:rsid w:val="005A0219"/>
    <w:rPr>
      <w:rFonts w:asciiTheme="majorHAnsi" w:eastAsiaTheme="majorEastAsia" w:hAnsiTheme="majorHAnsi" w:cstheme="majorBidi"/>
      <w:color w:val="243F60" w:themeColor="accent1" w:themeShade="7F"/>
    </w:rPr>
  </w:style>
  <w:style w:type="character" w:customStyle="1" w:styleId="Heading7Char1">
    <w:name w:val="Heading 7 Char1"/>
    <w:basedOn w:val="Numatytasispastraiposriftas"/>
    <w:uiPriority w:val="9"/>
    <w:semiHidden/>
    <w:rsid w:val="005A0219"/>
    <w:rPr>
      <w:rFonts w:asciiTheme="majorHAnsi" w:eastAsiaTheme="majorEastAsia" w:hAnsiTheme="majorHAnsi" w:cstheme="majorBidi"/>
      <w:i/>
      <w:iCs/>
      <w:color w:val="243F60" w:themeColor="accent1" w:themeShade="7F"/>
    </w:rPr>
  </w:style>
  <w:style w:type="character" w:customStyle="1" w:styleId="Heading8Char1">
    <w:name w:val="Heading 8 Char1"/>
    <w:basedOn w:val="Numatytasispastraiposriftas"/>
    <w:uiPriority w:val="9"/>
    <w:semiHidden/>
    <w:rsid w:val="005A02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Numatytasispastraiposriftas"/>
    <w:uiPriority w:val="9"/>
    <w:semiHidden/>
    <w:rsid w:val="005A0219"/>
    <w:rPr>
      <w:rFonts w:asciiTheme="majorHAnsi" w:eastAsiaTheme="majorEastAsia" w:hAnsiTheme="majorHAnsi" w:cstheme="majorBidi"/>
      <w:i/>
      <w:iCs/>
      <w:color w:val="272727" w:themeColor="text1" w:themeTint="D8"/>
      <w:sz w:val="21"/>
      <w:szCs w:val="21"/>
    </w:rPr>
  </w:style>
  <w:style w:type="paragraph" w:styleId="Tekstoblokas">
    <w:name w:val="Block Text"/>
    <w:basedOn w:val="prastasis"/>
    <w:uiPriority w:val="99"/>
    <w:semiHidden/>
    <w:unhideWhenUsed/>
    <w:rsid w:val="005A02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character" w:styleId="HTMLakronimas">
    <w:name w:val="HTML Acronym"/>
    <w:basedOn w:val="Numatytasispastraiposriftas"/>
    <w:uiPriority w:val="99"/>
    <w:semiHidden/>
    <w:unhideWhenUsed/>
    <w:rsid w:val="005A0219"/>
  </w:style>
  <w:style w:type="character" w:styleId="Rykuspabraukimas">
    <w:name w:val="Intense Emphasis"/>
    <w:basedOn w:val="Numatytasispastraiposriftas"/>
    <w:uiPriority w:val="21"/>
    <w:qFormat/>
    <w:rsid w:val="005A0219"/>
    <w:rPr>
      <w:i/>
      <w:iCs/>
      <w:color w:val="4F81BD" w:themeColor="accent1"/>
    </w:rPr>
  </w:style>
  <w:style w:type="character" w:styleId="Rykinuoroda">
    <w:name w:val="Intense Reference"/>
    <w:basedOn w:val="Numatytasispastraiposriftas"/>
    <w:uiPriority w:val="32"/>
    <w:qFormat/>
    <w:rsid w:val="005A0219"/>
    <w:rPr>
      <w:b/>
      <w:bCs/>
      <w:smallCaps/>
      <w:color w:val="4F81BD" w:themeColor="accent1"/>
      <w:spacing w:val="5"/>
    </w:rPr>
  </w:style>
  <w:style w:type="paragraph" w:styleId="Iskirtacitata">
    <w:name w:val="Intense Quote"/>
    <w:basedOn w:val="prastasis"/>
    <w:next w:val="prastasis"/>
    <w:link w:val="IskirtacitataDiagrama"/>
    <w:uiPriority w:val="30"/>
    <w:qFormat/>
    <w:rsid w:val="005A0219"/>
    <w:pPr>
      <w:pBdr>
        <w:top w:val="single" w:sz="4" w:space="10" w:color="4F81BD" w:themeColor="accent1"/>
        <w:bottom w:val="single" w:sz="4" w:space="10" w:color="4F81BD" w:themeColor="accent1"/>
      </w:pBdr>
      <w:spacing w:before="360" w:after="360"/>
      <w:ind w:left="864" w:right="864"/>
      <w:jc w:val="center"/>
    </w:pPr>
    <w:rPr>
      <w:b/>
      <w:i/>
      <w:iCs/>
      <w:color w:val="821A1A"/>
    </w:rPr>
  </w:style>
  <w:style w:type="character" w:customStyle="1" w:styleId="IntenseQuoteChar1">
    <w:name w:val="Intense Quote Char1"/>
    <w:basedOn w:val="Numatytasispastraiposriftas"/>
    <w:uiPriority w:val="30"/>
    <w:rsid w:val="005A0219"/>
    <w:rPr>
      <w:i/>
      <w:iCs/>
      <w:color w:val="4F81BD" w:themeColor="accent1"/>
    </w:rPr>
  </w:style>
  <w:style w:type="paragraph" w:styleId="inutsantrat">
    <w:name w:val="Message Header"/>
    <w:basedOn w:val="prastasis"/>
    <w:link w:val="inutsantratDiagrama"/>
    <w:uiPriority w:val="99"/>
    <w:semiHidden/>
    <w:unhideWhenUsed/>
    <w:rsid w:val="005A02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semiHidden/>
    <w:rsid w:val="005A0219"/>
    <w:rPr>
      <w:rFonts w:asciiTheme="majorHAnsi" w:eastAsiaTheme="majorEastAsia" w:hAnsiTheme="majorHAnsi" w:cstheme="majorBidi"/>
      <w:sz w:val="24"/>
      <w:szCs w:val="24"/>
      <w:shd w:val="pct20" w:color="auto" w:fill="auto"/>
    </w:rPr>
  </w:style>
  <w:style w:type="paragraph" w:styleId="Citata">
    <w:name w:val="Quote"/>
    <w:basedOn w:val="prastasis"/>
    <w:next w:val="prastasis"/>
    <w:link w:val="CitataDiagrama"/>
    <w:uiPriority w:val="29"/>
    <w:qFormat/>
    <w:rsid w:val="005A0219"/>
    <w:pPr>
      <w:spacing w:before="200" w:after="160"/>
      <w:ind w:left="864" w:right="864"/>
      <w:jc w:val="center"/>
    </w:pPr>
    <w:rPr>
      <w:i/>
      <w:iCs/>
      <w:color w:val="404040"/>
    </w:rPr>
  </w:style>
  <w:style w:type="character" w:customStyle="1" w:styleId="QuoteChar1">
    <w:name w:val="Quote Char1"/>
    <w:basedOn w:val="Numatytasispastraiposriftas"/>
    <w:uiPriority w:val="29"/>
    <w:rsid w:val="005A0219"/>
    <w:rPr>
      <w:i/>
      <w:iCs/>
      <w:color w:val="404040" w:themeColor="text1" w:themeTint="BF"/>
    </w:rPr>
  </w:style>
  <w:style w:type="paragraph" w:styleId="Antrinispavadinimas">
    <w:name w:val="Subtitle"/>
    <w:aliases w:val="lentelės"/>
    <w:basedOn w:val="prastasis"/>
    <w:next w:val="prastasis"/>
    <w:link w:val="AntrinispavadinimasDiagrama"/>
    <w:uiPriority w:val="11"/>
    <w:qFormat/>
    <w:rsid w:val="005A0219"/>
    <w:pPr>
      <w:numPr>
        <w:ilvl w:val="1"/>
      </w:numPr>
      <w:spacing w:after="160"/>
    </w:pPr>
    <w:rPr>
      <w:rFonts w:ascii="Georgia" w:eastAsia="Times New Roman" w:hAnsi="Georgia"/>
      <w:spacing w:val="15"/>
      <w:sz w:val="64"/>
    </w:rPr>
  </w:style>
  <w:style w:type="character" w:customStyle="1" w:styleId="SubtitleChar1">
    <w:name w:val="Subtitle Char1"/>
    <w:basedOn w:val="Numatytasispastraiposriftas"/>
    <w:uiPriority w:val="11"/>
    <w:rsid w:val="005A0219"/>
    <w:rPr>
      <w:rFonts w:eastAsiaTheme="minorEastAsia"/>
      <w:color w:val="5A5A5A" w:themeColor="text1" w:themeTint="A5"/>
      <w:spacing w:val="15"/>
    </w:rPr>
  </w:style>
  <w:style w:type="character" w:styleId="Nerykuspabraukimas">
    <w:name w:val="Subtle Emphasis"/>
    <w:basedOn w:val="Numatytasispastraiposriftas"/>
    <w:uiPriority w:val="19"/>
    <w:qFormat/>
    <w:rsid w:val="005A0219"/>
    <w:rPr>
      <w:i/>
      <w:iCs/>
      <w:color w:val="404040" w:themeColor="text1" w:themeTint="BF"/>
    </w:rPr>
  </w:style>
  <w:style w:type="paragraph" w:styleId="Pavadinimas">
    <w:name w:val="Title"/>
    <w:basedOn w:val="prastasis"/>
    <w:next w:val="prastasis"/>
    <w:link w:val="PavadinimasDiagrama"/>
    <w:uiPriority w:val="10"/>
    <w:qFormat/>
    <w:rsid w:val="005A0219"/>
    <w:pPr>
      <w:spacing w:after="0" w:line="240" w:lineRule="auto"/>
      <w:contextualSpacing/>
    </w:pPr>
    <w:rPr>
      <w:rFonts w:ascii="Georgia" w:eastAsia="Times New Roman" w:hAnsi="Georgia" w:cs="Arial Unicode MS"/>
      <w:b/>
      <w:i/>
      <w:spacing w:val="-10"/>
      <w:kern w:val="28"/>
      <w:sz w:val="64"/>
      <w:szCs w:val="56"/>
    </w:rPr>
  </w:style>
  <w:style w:type="character" w:customStyle="1" w:styleId="TitleChar1">
    <w:name w:val="Title Char1"/>
    <w:basedOn w:val="Numatytasispastraiposriftas"/>
    <w:uiPriority w:val="10"/>
    <w:rsid w:val="005A0219"/>
    <w:rPr>
      <w:rFonts w:asciiTheme="majorHAnsi" w:eastAsiaTheme="majorEastAsia" w:hAnsiTheme="majorHAnsi" w:cstheme="majorBidi"/>
      <w:spacing w:val="-10"/>
      <w:kern w:val="28"/>
      <w:sz w:val="56"/>
      <w:szCs w:val="56"/>
    </w:rPr>
  </w:style>
  <w:style w:type="character" w:styleId="Nerykinuoroda">
    <w:name w:val="Subtle Reference"/>
    <w:basedOn w:val="Numatytasispastraiposriftas"/>
    <w:uiPriority w:val="31"/>
    <w:qFormat/>
    <w:rsid w:val="005A0219"/>
    <w:rPr>
      <w:smallCaps/>
      <w:color w:val="5A5A5A" w:themeColor="text1" w:themeTint="A5"/>
    </w:rPr>
  </w:style>
  <w:style w:type="table" w:customStyle="1" w:styleId="ListTable4-Accent61">
    <w:name w:val="List Table 4 - Accent 61"/>
    <w:basedOn w:val="prastojilentel"/>
    <w:uiPriority w:val="49"/>
    <w:rsid w:val="00F57EC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MediumGrid3-Accent21">
    <w:name w:val="Medium Grid 3 - Accent 21"/>
    <w:basedOn w:val="prastojilentel"/>
    <w:next w:val="3vidutinistinklelis2parykinimas"/>
    <w:uiPriority w:val="69"/>
    <w:rsid w:val="002D46E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GridTable5Dark-Accent111">
    <w:name w:val="Grid Table 5 Dark - Accent 111"/>
    <w:basedOn w:val="prastojilentel"/>
    <w:next w:val="GridTable5Dark-Accent112"/>
    <w:uiPriority w:val="50"/>
    <w:rsid w:val="00CB4D9D"/>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62">
    <w:name w:val="List Table 4 - Accent 62"/>
    <w:basedOn w:val="prastojilentel"/>
    <w:uiPriority w:val="49"/>
    <w:rsid w:val="00CB4D9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prastojilentel"/>
    <w:uiPriority w:val="48"/>
    <w:rsid w:val="0057103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3-Accent21">
    <w:name w:val="List Table 3 - Accent 21"/>
    <w:basedOn w:val="prastojilentel"/>
    <w:uiPriority w:val="48"/>
    <w:rsid w:val="00D82904"/>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CM4">
    <w:name w:val="CM4"/>
    <w:basedOn w:val="Default"/>
    <w:next w:val="Default"/>
    <w:uiPriority w:val="99"/>
    <w:rsid w:val="00354FB3"/>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070">
      <w:bodyDiv w:val="1"/>
      <w:marLeft w:val="0"/>
      <w:marRight w:val="0"/>
      <w:marTop w:val="0"/>
      <w:marBottom w:val="0"/>
      <w:divBdr>
        <w:top w:val="none" w:sz="0" w:space="0" w:color="auto"/>
        <w:left w:val="none" w:sz="0" w:space="0" w:color="auto"/>
        <w:bottom w:val="none" w:sz="0" w:space="0" w:color="auto"/>
        <w:right w:val="none" w:sz="0" w:space="0" w:color="auto"/>
      </w:divBdr>
    </w:div>
    <w:div w:id="30304538">
      <w:bodyDiv w:val="1"/>
      <w:marLeft w:val="0"/>
      <w:marRight w:val="0"/>
      <w:marTop w:val="0"/>
      <w:marBottom w:val="0"/>
      <w:divBdr>
        <w:top w:val="none" w:sz="0" w:space="0" w:color="auto"/>
        <w:left w:val="none" w:sz="0" w:space="0" w:color="auto"/>
        <w:bottom w:val="none" w:sz="0" w:space="0" w:color="auto"/>
        <w:right w:val="none" w:sz="0" w:space="0" w:color="auto"/>
      </w:divBdr>
    </w:div>
    <w:div w:id="44640824">
      <w:bodyDiv w:val="1"/>
      <w:marLeft w:val="0"/>
      <w:marRight w:val="0"/>
      <w:marTop w:val="0"/>
      <w:marBottom w:val="0"/>
      <w:divBdr>
        <w:top w:val="none" w:sz="0" w:space="0" w:color="auto"/>
        <w:left w:val="none" w:sz="0" w:space="0" w:color="auto"/>
        <w:bottom w:val="none" w:sz="0" w:space="0" w:color="auto"/>
        <w:right w:val="none" w:sz="0" w:space="0" w:color="auto"/>
      </w:divBdr>
    </w:div>
    <w:div w:id="62260904">
      <w:bodyDiv w:val="1"/>
      <w:marLeft w:val="0"/>
      <w:marRight w:val="0"/>
      <w:marTop w:val="0"/>
      <w:marBottom w:val="0"/>
      <w:divBdr>
        <w:top w:val="none" w:sz="0" w:space="0" w:color="auto"/>
        <w:left w:val="none" w:sz="0" w:space="0" w:color="auto"/>
        <w:bottom w:val="none" w:sz="0" w:space="0" w:color="auto"/>
        <w:right w:val="none" w:sz="0" w:space="0" w:color="auto"/>
      </w:divBdr>
    </w:div>
    <w:div w:id="83890990">
      <w:bodyDiv w:val="1"/>
      <w:marLeft w:val="0"/>
      <w:marRight w:val="0"/>
      <w:marTop w:val="0"/>
      <w:marBottom w:val="0"/>
      <w:divBdr>
        <w:top w:val="none" w:sz="0" w:space="0" w:color="auto"/>
        <w:left w:val="none" w:sz="0" w:space="0" w:color="auto"/>
        <w:bottom w:val="none" w:sz="0" w:space="0" w:color="auto"/>
        <w:right w:val="none" w:sz="0" w:space="0" w:color="auto"/>
      </w:divBdr>
    </w:div>
    <w:div w:id="101804532">
      <w:bodyDiv w:val="1"/>
      <w:marLeft w:val="0"/>
      <w:marRight w:val="0"/>
      <w:marTop w:val="0"/>
      <w:marBottom w:val="0"/>
      <w:divBdr>
        <w:top w:val="none" w:sz="0" w:space="0" w:color="auto"/>
        <w:left w:val="none" w:sz="0" w:space="0" w:color="auto"/>
        <w:bottom w:val="none" w:sz="0" w:space="0" w:color="auto"/>
        <w:right w:val="none" w:sz="0" w:space="0" w:color="auto"/>
      </w:divBdr>
    </w:div>
    <w:div w:id="101849349">
      <w:bodyDiv w:val="1"/>
      <w:marLeft w:val="0"/>
      <w:marRight w:val="0"/>
      <w:marTop w:val="0"/>
      <w:marBottom w:val="0"/>
      <w:divBdr>
        <w:top w:val="none" w:sz="0" w:space="0" w:color="auto"/>
        <w:left w:val="none" w:sz="0" w:space="0" w:color="auto"/>
        <w:bottom w:val="none" w:sz="0" w:space="0" w:color="auto"/>
        <w:right w:val="none" w:sz="0" w:space="0" w:color="auto"/>
      </w:divBdr>
    </w:div>
    <w:div w:id="105513503">
      <w:bodyDiv w:val="1"/>
      <w:marLeft w:val="0"/>
      <w:marRight w:val="0"/>
      <w:marTop w:val="0"/>
      <w:marBottom w:val="0"/>
      <w:divBdr>
        <w:top w:val="none" w:sz="0" w:space="0" w:color="auto"/>
        <w:left w:val="none" w:sz="0" w:space="0" w:color="auto"/>
        <w:bottom w:val="none" w:sz="0" w:space="0" w:color="auto"/>
        <w:right w:val="none" w:sz="0" w:space="0" w:color="auto"/>
      </w:divBdr>
    </w:div>
    <w:div w:id="123624146">
      <w:bodyDiv w:val="1"/>
      <w:marLeft w:val="0"/>
      <w:marRight w:val="0"/>
      <w:marTop w:val="0"/>
      <w:marBottom w:val="0"/>
      <w:divBdr>
        <w:top w:val="none" w:sz="0" w:space="0" w:color="auto"/>
        <w:left w:val="none" w:sz="0" w:space="0" w:color="auto"/>
        <w:bottom w:val="none" w:sz="0" w:space="0" w:color="auto"/>
        <w:right w:val="none" w:sz="0" w:space="0" w:color="auto"/>
      </w:divBdr>
    </w:div>
    <w:div w:id="128598577">
      <w:bodyDiv w:val="1"/>
      <w:marLeft w:val="0"/>
      <w:marRight w:val="0"/>
      <w:marTop w:val="0"/>
      <w:marBottom w:val="0"/>
      <w:divBdr>
        <w:top w:val="none" w:sz="0" w:space="0" w:color="auto"/>
        <w:left w:val="none" w:sz="0" w:space="0" w:color="auto"/>
        <w:bottom w:val="none" w:sz="0" w:space="0" w:color="auto"/>
        <w:right w:val="none" w:sz="0" w:space="0" w:color="auto"/>
      </w:divBdr>
    </w:div>
    <w:div w:id="180751233">
      <w:bodyDiv w:val="1"/>
      <w:marLeft w:val="0"/>
      <w:marRight w:val="0"/>
      <w:marTop w:val="0"/>
      <w:marBottom w:val="0"/>
      <w:divBdr>
        <w:top w:val="none" w:sz="0" w:space="0" w:color="auto"/>
        <w:left w:val="none" w:sz="0" w:space="0" w:color="auto"/>
        <w:bottom w:val="none" w:sz="0" w:space="0" w:color="auto"/>
        <w:right w:val="none" w:sz="0" w:space="0" w:color="auto"/>
      </w:divBdr>
    </w:div>
    <w:div w:id="181600602">
      <w:bodyDiv w:val="1"/>
      <w:marLeft w:val="0"/>
      <w:marRight w:val="0"/>
      <w:marTop w:val="0"/>
      <w:marBottom w:val="0"/>
      <w:divBdr>
        <w:top w:val="none" w:sz="0" w:space="0" w:color="auto"/>
        <w:left w:val="none" w:sz="0" w:space="0" w:color="auto"/>
        <w:bottom w:val="none" w:sz="0" w:space="0" w:color="auto"/>
        <w:right w:val="none" w:sz="0" w:space="0" w:color="auto"/>
      </w:divBdr>
    </w:div>
    <w:div w:id="223878127">
      <w:bodyDiv w:val="1"/>
      <w:marLeft w:val="0"/>
      <w:marRight w:val="0"/>
      <w:marTop w:val="0"/>
      <w:marBottom w:val="0"/>
      <w:divBdr>
        <w:top w:val="none" w:sz="0" w:space="0" w:color="auto"/>
        <w:left w:val="none" w:sz="0" w:space="0" w:color="auto"/>
        <w:bottom w:val="none" w:sz="0" w:space="0" w:color="auto"/>
        <w:right w:val="none" w:sz="0" w:space="0" w:color="auto"/>
      </w:divBdr>
    </w:div>
    <w:div w:id="231278343">
      <w:bodyDiv w:val="1"/>
      <w:marLeft w:val="0"/>
      <w:marRight w:val="0"/>
      <w:marTop w:val="0"/>
      <w:marBottom w:val="0"/>
      <w:divBdr>
        <w:top w:val="none" w:sz="0" w:space="0" w:color="auto"/>
        <w:left w:val="none" w:sz="0" w:space="0" w:color="auto"/>
        <w:bottom w:val="none" w:sz="0" w:space="0" w:color="auto"/>
        <w:right w:val="none" w:sz="0" w:space="0" w:color="auto"/>
      </w:divBdr>
    </w:div>
    <w:div w:id="275067621">
      <w:bodyDiv w:val="1"/>
      <w:marLeft w:val="0"/>
      <w:marRight w:val="0"/>
      <w:marTop w:val="0"/>
      <w:marBottom w:val="0"/>
      <w:divBdr>
        <w:top w:val="none" w:sz="0" w:space="0" w:color="auto"/>
        <w:left w:val="none" w:sz="0" w:space="0" w:color="auto"/>
        <w:bottom w:val="none" w:sz="0" w:space="0" w:color="auto"/>
        <w:right w:val="none" w:sz="0" w:space="0" w:color="auto"/>
      </w:divBdr>
    </w:div>
    <w:div w:id="305168331">
      <w:bodyDiv w:val="1"/>
      <w:marLeft w:val="0"/>
      <w:marRight w:val="0"/>
      <w:marTop w:val="0"/>
      <w:marBottom w:val="0"/>
      <w:divBdr>
        <w:top w:val="none" w:sz="0" w:space="0" w:color="auto"/>
        <w:left w:val="none" w:sz="0" w:space="0" w:color="auto"/>
        <w:bottom w:val="none" w:sz="0" w:space="0" w:color="auto"/>
        <w:right w:val="none" w:sz="0" w:space="0" w:color="auto"/>
      </w:divBdr>
    </w:div>
    <w:div w:id="314994216">
      <w:bodyDiv w:val="1"/>
      <w:marLeft w:val="0"/>
      <w:marRight w:val="0"/>
      <w:marTop w:val="0"/>
      <w:marBottom w:val="0"/>
      <w:divBdr>
        <w:top w:val="none" w:sz="0" w:space="0" w:color="auto"/>
        <w:left w:val="none" w:sz="0" w:space="0" w:color="auto"/>
        <w:bottom w:val="none" w:sz="0" w:space="0" w:color="auto"/>
        <w:right w:val="none" w:sz="0" w:space="0" w:color="auto"/>
      </w:divBdr>
    </w:div>
    <w:div w:id="320079912">
      <w:bodyDiv w:val="1"/>
      <w:marLeft w:val="0"/>
      <w:marRight w:val="0"/>
      <w:marTop w:val="0"/>
      <w:marBottom w:val="0"/>
      <w:divBdr>
        <w:top w:val="none" w:sz="0" w:space="0" w:color="auto"/>
        <w:left w:val="none" w:sz="0" w:space="0" w:color="auto"/>
        <w:bottom w:val="none" w:sz="0" w:space="0" w:color="auto"/>
        <w:right w:val="none" w:sz="0" w:space="0" w:color="auto"/>
      </w:divBdr>
    </w:div>
    <w:div w:id="331226552">
      <w:bodyDiv w:val="1"/>
      <w:marLeft w:val="0"/>
      <w:marRight w:val="0"/>
      <w:marTop w:val="0"/>
      <w:marBottom w:val="0"/>
      <w:divBdr>
        <w:top w:val="none" w:sz="0" w:space="0" w:color="auto"/>
        <w:left w:val="none" w:sz="0" w:space="0" w:color="auto"/>
        <w:bottom w:val="none" w:sz="0" w:space="0" w:color="auto"/>
        <w:right w:val="none" w:sz="0" w:space="0" w:color="auto"/>
      </w:divBdr>
    </w:div>
    <w:div w:id="351346109">
      <w:bodyDiv w:val="1"/>
      <w:marLeft w:val="0"/>
      <w:marRight w:val="0"/>
      <w:marTop w:val="0"/>
      <w:marBottom w:val="0"/>
      <w:divBdr>
        <w:top w:val="none" w:sz="0" w:space="0" w:color="auto"/>
        <w:left w:val="none" w:sz="0" w:space="0" w:color="auto"/>
        <w:bottom w:val="none" w:sz="0" w:space="0" w:color="auto"/>
        <w:right w:val="none" w:sz="0" w:space="0" w:color="auto"/>
      </w:divBdr>
    </w:div>
    <w:div w:id="380591490">
      <w:bodyDiv w:val="1"/>
      <w:marLeft w:val="0"/>
      <w:marRight w:val="0"/>
      <w:marTop w:val="0"/>
      <w:marBottom w:val="0"/>
      <w:divBdr>
        <w:top w:val="none" w:sz="0" w:space="0" w:color="auto"/>
        <w:left w:val="none" w:sz="0" w:space="0" w:color="auto"/>
        <w:bottom w:val="none" w:sz="0" w:space="0" w:color="auto"/>
        <w:right w:val="none" w:sz="0" w:space="0" w:color="auto"/>
      </w:divBdr>
    </w:div>
    <w:div w:id="383720375">
      <w:bodyDiv w:val="1"/>
      <w:marLeft w:val="0"/>
      <w:marRight w:val="0"/>
      <w:marTop w:val="0"/>
      <w:marBottom w:val="0"/>
      <w:divBdr>
        <w:top w:val="none" w:sz="0" w:space="0" w:color="auto"/>
        <w:left w:val="none" w:sz="0" w:space="0" w:color="auto"/>
        <w:bottom w:val="none" w:sz="0" w:space="0" w:color="auto"/>
        <w:right w:val="none" w:sz="0" w:space="0" w:color="auto"/>
      </w:divBdr>
    </w:div>
    <w:div w:id="399639021">
      <w:bodyDiv w:val="1"/>
      <w:marLeft w:val="0"/>
      <w:marRight w:val="0"/>
      <w:marTop w:val="0"/>
      <w:marBottom w:val="0"/>
      <w:divBdr>
        <w:top w:val="none" w:sz="0" w:space="0" w:color="auto"/>
        <w:left w:val="none" w:sz="0" w:space="0" w:color="auto"/>
        <w:bottom w:val="none" w:sz="0" w:space="0" w:color="auto"/>
        <w:right w:val="none" w:sz="0" w:space="0" w:color="auto"/>
      </w:divBdr>
    </w:div>
    <w:div w:id="402684667">
      <w:bodyDiv w:val="1"/>
      <w:marLeft w:val="0"/>
      <w:marRight w:val="0"/>
      <w:marTop w:val="0"/>
      <w:marBottom w:val="0"/>
      <w:divBdr>
        <w:top w:val="none" w:sz="0" w:space="0" w:color="auto"/>
        <w:left w:val="none" w:sz="0" w:space="0" w:color="auto"/>
        <w:bottom w:val="none" w:sz="0" w:space="0" w:color="auto"/>
        <w:right w:val="none" w:sz="0" w:space="0" w:color="auto"/>
      </w:divBdr>
    </w:div>
    <w:div w:id="410086216">
      <w:bodyDiv w:val="1"/>
      <w:marLeft w:val="0"/>
      <w:marRight w:val="0"/>
      <w:marTop w:val="0"/>
      <w:marBottom w:val="0"/>
      <w:divBdr>
        <w:top w:val="none" w:sz="0" w:space="0" w:color="auto"/>
        <w:left w:val="none" w:sz="0" w:space="0" w:color="auto"/>
        <w:bottom w:val="none" w:sz="0" w:space="0" w:color="auto"/>
        <w:right w:val="none" w:sz="0" w:space="0" w:color="auto"/>
      </w:divBdr>
    </w:div>
    <w:div w:id="427392589">
      <w:bodyDiv w:val="1"/>
      <w:marLeft w:val="0"/>
      <w:marRight w:val="0"/>
      <w:marTop w:val="0"/>
      <w:marBottom w:val="0"/>
      <w:divBdr>
        <w:top w:val="none" w:sz="0" w:space="0" w:color="auto"/>
        <w:left w:val="none" w:sz="0" w:space="0" w:color="auto"/>
        <w:bottom w:val="none" w:sz="0" w:space="0" w:color="auto"/>
        <w:right w:val="none" w:sz="0" w:space="0" w:color="auto"/>
      </w:divBdr>
    </w:div>
    <w:div w:id="429812319">
      <w:bodyDiv w:val="1"/>
      <w:marLeft w:val="0"/>
      <w:marRight w:val="0"/>
      <w:marTop w:val="0"/>
      <w:marBottom w:val="0"/>
      <w:divBdr>
        <w:top w:val="none" w:sz="0" w:space="0" w:color="auto"/>
        <w:left w:val="none" w:sz="0" w:space="0" w:color="auto"/>
        <w:bottom w:val="none" w:sz="0" w:space="0" w:color="auto"/>
        <w:right w:val="none" w:sz="0" w:space="0" w:color="auto"/>
      </w:divBdr>
    </w:div>
    <w:div w:id="434060618">
      <w:bodyDiv w:val="1"/>
      <w:marLeft w:val="0"/>
      <w:marRight w:val="0"/>
      <w:marTop w:val="0"/>
      <w:marBottom w:val="0"/>
      <w:divBdr>
        <w:top w:val="none" w:sz="0" w:space="0" w:color="auto"/>
        <w:left w:val="none" w:sz="0" w:space="0" w:color="auto"/>
        <w:bottom w:val="none" w:sz="0" w:space="0" w:color="auto"/>
        <w:right w:val="none" w:sz="0" w:space="0" w:color="auto"/>
      </w:divBdr>
    </w:div>
    <w:div w:id="444471520">
      <w:bodyDiv w:val="1"/>
      <w:marLeft w:val="0"/>
      <w:marRight w:val="0"/>
      <w:marTop w:val="0"/>
      <w:marBottom w:val="0"/>
      <w:divBdr>
        <w:top w:val="none" w:sz="0" w:space="0" w:color="auto"/>
        <w:left w:val="none" w:sz="0" w:space="0" w:color="auto"/>
        <w:bottom w:val="none" w:sz="0" w:space="0" w:color="auto"/>
        <w:right w:val="none" w:sz="0" w:space="0" w:color="auto"/>
      </w:divBdr>
    </w:div>
    <w:div w:id="479152288">
      <w:bodyDiv w:val="1"/>
      <w:marLeft w:val="0"/>
      <w:marRight w:val="0"/>
      <w:marTop w:val="0"/>
      <w:marBottom w:val="0"/>
      <w:divBdr>
        <w:top w:val="none" w:sz="0" w:space="0" w:color="auto"/>
        <w:left w:val="none" w:sz="0" w:space="0" w:color="auto"/>
        <w:bottom w:val="none" w:sz="0" w:space="0" w:color="auto"/>
        <w:right w:val="none" w:sz="0" w:space="0" w:color="auto"/>
      </w:divBdr>
    </w:div>
    <w:div w:id="479539510">
      <w:bodyDiv w:val="1"/>
      <w:marLeft w:val="0"/>
      <w:marRight w:val="0"/>
      <w:marTop w:val="0"/>
      <w:marBottom w:val="0"/>
      <w:divBdr>
        <w:top w:val="none" w:sz="0" w:space="0" w:color="auto"/>
        <w:left w:val="none" w:sz="0" w:space="0" w:color="auto"/>
        <w:bottom w:val="none" w:sz="0" w:space="0" w:color="auto"/>
        <w:right w:val="none" w:sz="0" w:space="0" w:color="auto"/>
      </w:divBdr>
    </w:div>
    <w:div w:id="483399798">
      <w:bodyDiv w:val="1"/>
      <w:marLeft w:val="0"/>
      <w:marRight w:val="0"/>
      <w:marTop w:val="0"/>
      <w:marBottom w:val="0"/>
      <w:divBdr>
        <w:top w:val="none" w:sz="0" w:space="0" w:color="auto"/>
        <w:left w:val="none" w:sz="0" w:space="0" w:color="auto"/>
        <w:bottom w:val="none" w:sz="0" w:space="0" w:color="auto"/>
        <w:right w:val="none" w:sz="0" w:space="0" w:color="auto"/>
      </w:divBdr>
    </w:div>
    <w:div w:id="483863681">
      <w:bodyDiv w:val="1"/>
      <w:marLeft w:val="0"/>
      <w:marRight w:val="0"/>
      <w:marTop w:val="0"/>
      <w:marBottom w:val="0"/>
      <w:divBdr>
        <w:top w:val="none" w:sz="0" w:space="0" w:color="auto"/>
        <w:left w:val="none" w:sz="0" w:space="0" w:color="auto"/>
        <w:bottom w:val="none" w:sz="0" w:space="0" w:color="auto"/>
        <w:right w:val="none" w:sz="0" w:space="0" w:color="auto"/>
      </w:divBdr>
    </w:div>
    <w:div w:id="490218479">
      <w:bodyDiv w:val="1"/>
      <w:marLeft w:val="0"/>
      <w:marRight w:val="0"/>
      <w:marTop w:val="0"/>
      <w:marBottom w:val="0"/>
      <w:divBdr>
        <w:top w:val="none" w:sz="0" w:space="0" w:color="auto"/>
        <w:left w:val="none" w:sz="0" w:space="0" w:color="auto"/>
        <w:bottom w:val="none" w:sz="0" w:space="0" w:color="auto"/>
        <w:right w:val="none" w:sz="0" w:space="0" w:color="auto"/>
      </w:divBdr>
    </w:div>
    <w:div w:id="498619942">
      <w:bodyDiv w:val="1"/>
      <w:marLeft w:val="0"/>
      <w:marRight w:val="0"/>
      <w:marTop w:val="0"/>
      <w:marBottom w:val="0"/>
      <w:divBdr>
        <w:top w:val="none" w:sz="0" w:space="0" w:color="auto"/>
        <w:left w:val="none" w:sz="0" w:space="0" w:color="auto"/>
        <w:bottom w:val="none" w:sz="0" w:space="0" w:color="auto"/>
        <w:right w:val="none" w:sz="0" w:space="0" w:color="auto"/>
      </w:divBdr>
    </w:div>
    <w:div w:id="527958685">
      <w:bodyDiv w:val="1"/>
      <w:marLeft w:val="0"/>
      <w:marRight w:val="0"/>
      <w:marTop w:val="0"/>
      <w:marBottom w:val="0"/>
      <w:divBdr>
        <w:top w:val="none" w:sz="0" w:space="0" w:color="auto"/>
        <w:left w:val="none" w:sz="0" w:space="0" w:color="auto"/>
        <w:bottom w:val="none" w:sz="0" w:space="0" w:color="auto"/>
        <w:right w:val="none" w:sz="0" w:space="0" w:color="auto"/>
      </w:divBdr>
    </w:div>
    <w:div w:id="539242814">
      <w:bodyDiv w:val="1"/>
      <w:marLeft w:val="0"/>
      <w:marRight w:val="0"/>
      <w:marTop w:val="0"/>
      <w:marBottom w:val="0"/>
      <w:divBdr>
        <w:top w:val="none" w:sz="0" w:space="0" w:color="auto"/>
        <w:left w:val="none" w:sz="0" w:space="0" w:color="auto"/>
        <w:bottom w:val="none" w:sz="0" w:space="0" w:color="auto"/>
        <w:right w:val="none" w:sz="0" w:space="0" w:color="auto"/>
      </w:divBdr>
    </w:div>
    <w:div w:id="566259501">
      <w:bodyDiv w:val="1"/>
      <w:marLeft w:val="0"/>
      <w:marRight w:val="0"/>
      <w:marTop w:val="0"/>
      <w:marBottom w:val="0"/>
      <w:divBdr>
        <w:top w:val="none" w:sz="0" w:space="0" w:color="auto"/>
        <w:left w:val="none" w:sz="0" w:space="0" w:color="auto"/>
        <w:bottom w:val="none" w:sz="0" w:space="0" w:color="auto"/>
        <w:right w:val="none" w:sz="0" w:space="0" w:color="auto"/>
      </w:divBdr>
    </w:div>
    <w:div w:id="573707133">
      <w:bodyDiv w:val="1"/>
      <w:marLeft w:val="0"/>
      <w:marRight w:val="0"/>
      <w:marTop w:val="0"/>
      <w:marBottom w:val="0"/>
      <w:divBdr>
        <w:top w:val="none" w:sz="0" w:space="0" w:color="auto"/>
        <w:left w:val="none" w:sz="0" w:space="0" w:color="auto"/>
        <w:bottom w:val="none" w:sz="0" w:space="0" w:color="auto"/>
        <w:right w:val="none" w:sz="0" w:space="0" w:color="auto"/>
      </w:divBdr>
    </w:div>
    <w:div w:id="596210696">
      <w:bodyDiv w:val="1"/>
      <w:marLeft w:val="0"/>
      <w:marRight w:val="0"/>
      <w:marTop w:val="0"/>
      <w:marBottom w:val="0"/>
      <w:divBdr>
        <w:top w:val="none" w:sz="0" w:space="0" w:color="auto"/>
        <w:left w:val="none" w:sz="0" w:space="0" w:color="auto"/>
        <w:bottom w:val="none" w:sz="0" w:space="0" w:color="auto"/>
        <w:right w:val="none" w:sz="0" w:space="0" w:color="auto"/>
      </w:divBdr>
    </w:div>
    <w:div w:id="599876478">
      <w:bodyDiv w:val="1"/>
      <w:marLeft w:val="0"/>
      <w:marRight w:val="0"/>
      <w:marTop w:val="0"/>
      <w:marBottom w:val="0"/>
      <w:divBdr>
        <w:top w:val="none" w:sz="0" w:space="0" w:color="auto"/>
        <w:left w:val="none" w:sz="0" w:space="0" w:color="auto"/>
        <w:bottom w:val="none" w:sz="0" w:space="0" w:color="auto"/>
        <w:right w:val="none" w:sz="0" w:space="0" w:color="auto"/>
      </w:divBdr>
    </w:div>
    <w:div w:id="599917824">
      <w:bodyDiv w:val="1"/>
      <w:marLeft w:val="0"/>
      <w:marRight w:val="0"/>
      <w:marTop w:val="0"/>
      <w:marBottom w:val="0"/>
      <w:divBdr>
        <w:top w:val="none" w:sz="0" w:space="0" w:color="auto"/>
        <w:left w:val="none" w:sz="0" w:space="0" w:color="auto"/>
        <w:bottom w:val="none" w:sz="0" w:space="0" w:color="auto"/>
        <w:right w:val="none" w:sz="0" w:space="0" w:color="auto"/>
      </w:divBdr>
    </w:div>
    <w:div w:id="601376683">
      <w:bodyDiv w:val="1"/>
      <w:marLeft w:val="0"/>
      <w:marRight w:val="0"/>
      <w:marTop w:val="0"/>
      <w:marBottom w:val="0"/>
      <w:divBdr>
        <w:top w:val="none" w:sz="0" w:space="0" w:color="auto"/>
        <w:left w:val="none" w:sz="0" w:space="0" w:color="auto"/>
        <w:bottom w:val="none" w:sz="0" w:space="0" w:color="auto"/>
        <w:right w:val="none" w:sz="0" w:space="0" w:color="auto"/>
      </w:divBdr>
    </w:div>
    <w:div w:id="629480310">
      <w:bodyDiv w:val="1"/>
      <w:marLeft w:val="0"/>
      <w:marRight w:val="0"/>
      <w:marTop w:val="0"/>
      <w:marBottom w:val="0"/>
      <w:divBdr>
        <w:top w:val="none" w:sz="0" w:space="0" w:color="auto"/>
        <w:left w:val="none" w:sz="0" w:space="0" w:color="auto"/>
        <w:bottom w:val="none" w:sz="0" w:space="0" w:color="auto"/>
        <w:right w:val="none" w:sz="0" w:space="0" w:color="auto"/>
      </w:divBdr>
    </w:div>
    <w:div w:id="633752340">
      <w:bodyDiv w:val="1"/>
      <w:marLeft w:val="0"/>
      <w:marRight w:val="0"/>
      <w:marTop w:val="0"/>
      <w:marBottom w:val="0"/>
      <w:divBdr>
        <w:top w:val="none" w:sz="0" w:space="0" w:color="auto"/>
        <w:left w:val="none" w:sz="0" w:space="0" w:color="auto"/>
        <w:bottom w:val="none" w:sz="0" w:space="0" w:color="auto"/>
        <w:right w:val="none" w:sz="0" w:space="0" w:color="auto"/>
      </w:divBdr>
    </w:div>
    <w:div w:id="638151703">
      <w:bodyDiv w:val="1"/>
      <w:marLeft w:val="0"/>
      <w:marRight w:val="0"/>
      <w:marTop w:val="0"/>
      <w:marBottom w:val="0"/>
      <w:divBdr>
        <w:top w:val="none" w:sz="0" w:space="0" w:color="auto"/>
        <w:left w:val="none" w:sz="0" w:space="0" w:color="auto"/>
        <w:bottom w:val="none" w:sz="0" w:space="0" w:color="auto"/>
        <w:right w:val="none" w:sz="0" w:space="0" w:color="auto"/>
      </w:divBdr>
    </w:div>
    <w:div w:id="667681009">
      <w:bodyDiv w:val="1"/>
      <w:marLeft w:val="0"/>
      <w:marRight w:val="0"/>
      <w:marTop w:val="0"/>
      <w:marBottom w:val="0"/>
      <w:divBdr>
        <w:top w:val="none" w:sz="0" w:space="0" w:color="auto"/>
        <w:left w:val="none" w:sz="0" w:space="0" w:color="auto"/>
        <w:bottom w:val="none" w:sz="0" w:space="0" w:color="auto"/>
        <w:right w:val="none" w:sz="0" w:space="0" w:color="auto"/>
      </w:divBdr>
    </w:div>
    <w:div w:id="675814221">
      <w:bodyDiv w:val="1"/>
      <w:marLeft w:val="0"/>
      <w:marRight w:val="0"/>
      <w:marTop w:val="0"/>
      <w:marBottom w:val="0"/>
      <w:divBdr>
        <w:top w:val="none" w:sz="0" w:space="0" w:color="auto"/>
        <w:left w:val="none" w:sz="0" w:space="0" w:color="auto"/>
        <w:bottom w:val="none" w:sz="0" w:space="0" w:color="auto"/>
        <w:right w:val="none" w:sz="0" w:space="0" w:color="auto"/>
      </w:divBdr>
    </w:div>
    <w:div w:id="676080419">
      <w:bodyDiv w:val="1"/>
      <w:marLeft w:val="0"/>
      <w:marRight w:val="0"/>
      <w:marTop w:val="0"/>
      <w:marBottom w:val="0"/>
      <w:divBdr>
        <w:top w:val="none" w:sz="0" w:space="0" w:color="auto"/>
        <w:left w:val="none" w:sz="0" w:space="0" w:color="auto"/>
        <w:bottom w:val="none" w:sz="0" w:space="0" w:color="auto"/>
        <w:right w:val="none" w:sz="0" w:space="0" w:color="auto"/>
      </w:divBdr>
    </w:div>
    <w:div w:id="680548129">
      <w:bodyDiv w:val="1"/>
      <w:marLeft w:val="0"/>
      <w:marRight w:val="0"/>
      <w:marTop w:val="0"/>
      <w:marBottom w:val="0"/>
      <w:divBdr>
        <w:top w:val="none" w:sz="0" w:space="0" w:color="auto"/>
        <w:left w:val="none" w:sz="0" w:space="0" w:color="auto"/>
        <w:bottom w:val="none" w:sz="0" w:space="0" w:color="auto"/>
        <w:right w:val="none" w:sz="0" w:space="0" w:color="auto"/>
      </w:divBdr>
    </w:div>
    <w:div w:id="691494952">
      <w:bodyDiv w:val="1"/>
      <w:marLeft w:val="0"/>
      <w:marRight w:val="0"/>
      <w:marTop w:val="0"/>
      <w:marBottom w:val="0"/>
      <w:divBdr>
        <w:top w:val="none" w:sz="0" w:space="0" w:color="auto"/>
        <w:left w:val="none" w:sz="0" w:space="0" w:color="auto"/>
        <w:bottom w:val="none" w:sz="0" w:space="0" w:color="auto"/>
        <w:right w:val="none" w:sz="0" w:space="0" w:color="auto"/>
      </w:divBdr>
    </w:div>
    <w:div w:id="706611757">
      <w:bodyDiv w:val="1"/>
      <w:marLeft w:val="0"/>
      <w:marRight w:val="0"/>
      <w:marTop w:val="0"/>
      <w:marBottom w:val="0"/>
      <w:divBdr>
        <w:top w:val="none" w:sz="0" w:space="0" w:color="auto"/>
        <w:left w:val="none" w:sz="0" w:space="0" w:color="auto"/>
        <w:bottom w:val="none" w:sz="0" w:space="0" w:color="auto"/>
        <w:right w:val="none" w:sz="0" w:space="0" w:color="auto"/>
      </w:divBdr>
    </w:div>
    <w:div w:id="739593165">
      <w:bodyDiv w:val="1"/>
      <w:marLeft w:val="0"/>
      <w:marRight w:val="0"/>
      <w:marTop w:val="0"/>
      <w:marBottom w:val="0"/>
      <w:divBdr>
        <w:top w:val="none" w:sz="0" w:space="0" w:color="auto"/>
        <w:left w:val="none" w:sz="0" w:space="0" w:color="auto"/>
        <w:bottom w:val="none" w:sz="0" w:space="0" w:color="auto"/>
        <w:right w:val="none" w:sz="0" w:space="0" w:color="auto"/>
      </w:divBdr>
    </w:div>
    <w:div w:id="749352713">
      <w:bodyDiv w:val="1"/>
      <w:marLeft w:val="0"/>
      <w:marRight w:val="0"/>
      <w:marTop w:val="0"/>
      <w:marBottom w:val="0"/>
      <w:divBdr>
        <w:top w:val="none" w:sz="0" w:space="0" w:color="auto"/>
        <w:left w:val="none" w:sz="0" w:space="0" w:color="auto"/>
        <w:bottom w:val="none" w:sz="0" w:space="0" w:color="auto"/>
        <w:right w:val="none" w:sz="0" w:space="0" w:color="auto"/>
      </w:divBdr>
    </w:div>
    <w:div w:id="781386187">
      <w:bodyDiv w:val="1"/>
      <w:marLeft w:val="0"/>
      <w:marRight w:val="0"/>
      <w:marTop w:val="0"/>
      <w:marBottom w:val="0"/>
      <w:divBdr>
        <w:top w:val="none" w:sz="0" w:space="0" w:color="auto"/>
        <w:left w:val="none" w:sz="0" w:space="0" w:color="auto"/>
        <w:bottom w:val="none" w:sz="0" w:space="0" w:color="auto"/>
        <w:right w:val="none" w:sz="0" w:space="0" w:color="auto"/>
      </w:divBdr>
    </w:div>
    <w:div w:id="782576698">
      <w:bodyDiv w:val="1"/>
      <w:marLeft w:val="0"/>
      <w:marRight w:val="0"/>
      <w:marTop w:val="0"/>
      <w:marBottom w:val="0"/>
      <w:divBdr>
        <w:top w:val="none" w:sz="0" w:space="0" w:color="auto"/>
        <w:left w:val="none" w:sz="0" w:space="0" w:color="auto"/>
        <w:bottom w:val="none" w:sz="0" w:space="0" w:color="auto"/>
        <w:right w:val="none" w:sz="0" w:space="0" w:color="auto"/>
      </w:divBdr>
    </w:div>
    <w:div w:id="798229612">
      <w:bodyDiv w:val="1"/>
      <w:marLeft w:val="0"/>
      <w:marRight w:val="0"/>
      <w:marTop w:val="0"/>
      <w:marBottom w:val="0"/>
      <w:divBdr>
        <w:top w:val="none" w:sz="0" w:space="0" w:color="auto"/>
        <w:left w:val="none" w:sz="0" w:space="0" w:color="auto"/>
        <w:bottom w:val="none" w:sz="0" w:space="0" w:color="auto"/>
        <w:right w:val="none" w:sz="0" w:space="0" w:color="auto"/>
      </w:divBdr>
    </w:div>
    <w:div w:id="800225148">
      <w:bodyDiv w:val="1"/>
      <w:marLeft w:val="0"/>
      <w:marRight w:val="0"/>
      <w:marTop w:val="0"/>
      <w:marBottom w:val="0"/>
      <w:divBdr>
        <w:top w:val="none" w:sz="0" w:space="0" w:color="auto"/>
        <w:left w:val="none" w:sz="0" w:space="0" w:color="auto"/>
        <w:bottom w:val="none" w:sz="0" w:space="0" w:color="auto"/>
        <w:right w:val="none" w:sz="0" w:space="0" w:color="auto"/>
      </w:divBdr>
    </w:div>
    <w:div w:id="821850043">
      <w:bodyDiv w:val="1"/>
      <w:marLeft w:val="0"/>
      <w:marRight w:val="0"/>
      <w:marTop w:val="0"/>
      <w:marBottom w:val="0"/>
      <w:divBdr>
        <w:top w:val="none" w:sz="0" w:space="0" w:color="auto"/>
        <w:left w:val="none" w:sz="0" w:space="0" w:color="auto"/>
        <w:bottom w:val="none" w:sz="0" w:space="0" w:color="auto"/>
        <w:right w:val="none" w:sz="0" w:space="0" w:color="auto"/>
      </w:divBdr>
    </w:div>
    <w:div w:id="849371615">
      <w:bodyDiv w:val="1"/>
      <w:marLeft w:val="0"/>
      <w:marRight w:val="0"/>
      <w:marTop w:val="0"/>
      <w:marBottom w:val="0"/>
      <w:divBdr>
        <w:top w:val="none" w:sz="0" w:space="0" w:color="auto"/>
        <w:left w:val="none" w:sz="0" w:space="0" w:color="auto"/>
        <w:bottom w:val="none" w:sz="0" w:space="0" w:color="auto"/>
        <w:right w:val="none" w:sz="0" w:space="0" w:color="auto"/>
      </w:divBdr>
    </w:div>
    <w:div w:id="852376838">
      <w:bodyDiv w:val="1"/>
      <w:marLeft w:val="0"/>
      <w:marRight w:val="0"/>
      <w:marTop w:val="0"/>
      <w:marBottom w:val="0"/>
      <w:divBdr>
        <w:top w:val="none" w:sz="0" w:space="0" w:color="auto"/>
        <w:left w:val="none" w:sz="0" w:space="0" w:color="auto"/>
        <w:bottom w:val="none" w:sz="0" w:space="0" w:color="auto"/>
        <w:right w:val="none" w:sz="0" w:space="0" w:color="auto"/>
      </w:divBdr>
    </w:div>
    <w:div w:id="861161874">
      <w:bodyDiv w:val="1"/>
      <w:marLeft w:val="0"/>
      <w:marRight w:val="0"/>
      <w:marTop w:val="0"/>
      <w:marBottom w:val="0"/>
      <w:divBdr>
        <w:top w:val="none" w:sz="0" w:space="0" w:color="auto"/>
        <w:left w:val="none" w:sz="0" w:space="0" w:color="auto"/>
        <w:bottom w:val="none" w:sz="0" w:space="0" w:color="auto"/>
        <w:right w:val="none" w:sz="0" w:space="0" w:color="auto"/>
      </w:divBdr>
    </w:div>
    <w:div w:id="868252934">
      <w:bodyDiv w:val="1"/>
      <w:marLeft w:val="0"/>
      <w:marRight w:val="0"/>
      <w:marTop w:val="0"/>
      <w:marBottom w:val="0"/>
      <w:divBdr>
        <w:top w:val="none" w:sz="0" w:space="0" w:color="auto"/>
        <w:left w:val="none" w:sz="0" w:space="0" w:color="auto"/>
        <w:bottom w:val="none" w:sz="0" w:space="0" w:color="auto"/>
        <w:right w:val="none" w:sz="0" w:space="0" w:color="auto"/>
      </w:divBdr>
    </w:div>
    <w:div w:id="883257028">
      <w:bodyDiv w:val="1"/>
      <w:marLeft w:val="0"/>
      <w:marRight w:val="0"/>
      <w:marTop w:val="0"/>
      <w:marBottom w:val="0"/>
      <w:divBdr>
        <w:top w:val="none" w:sz="0" w:space="0" w:color="auto"/>
        <w:left w:val="none" w:sz="0" w:space="0" w:color="auto"/>
        <w:bottom w:val="none" w:sz="0" w:space="0" w:color="auto"/>
        <w:right w:val="none" w:sz="0" w:space="0" w:color="auto"/>
      </w:divBdr>
    </w:div>
    <w:div w:id="924000966">
      <w:bodyDiv w:val="1"/>
      <w:marLeft w:val="0"/>
      <w:marRight w:val="0"/>
      <w:marTop w:val="0"/>
      <w:marBottom w:val="0"/>
      <w:divBdr>
        <w:top w:val="none" w:sz="0" w:space="0" w:color="auto"/>
        <w:left w:val="none" w:sz="0" w:space="0" w:color="auto"/>
        <w:bottom w:val="none" w:sz="0" w:space="0" w:color="auto"/>
        <w:right w:val="none" w:sz="0" w:space="0" w:color="auto"/>
      </w:divBdr>
    </w:div>
    <w:div w:id="972565626">
      <w:bodyDiv w:val="1"/>
      <w:marLeft w:val="0"/>
      <w:marRight w:val="0"/>
      <w:marTop w:val="0"/>
      <w:marBottom w:val="0"/>
      <w:divBdr>
        <w:top w:val="none" w:sz="0" w:space="0" w:color="auto"/>
        <w:left w:val="none" w:sz="0" w:space="0" w:color="auto"/>
        <w:bottom w:val="none" w:sz="0" w:space="0" w:color="auto"/>
        <w:right w:val="none" w:sz="0" w:space="0" w:color="auto"/>
      </w:divBdr>
    </w:div>
    <w:div w:id="1015113382">
      <w:bodyDiv w:val="1"/>
      <w:marLeft w:val="0"/>
      <w:marRight w:val="0"/>
      <w:marTop w:val="0"/>
      <w:marBottom w:val="0"/>
      <w:divBdr>
        <w:top w:val="none" w:sz="0" w:space="0" w:color="auto"/>
        <w:left w:val="none" w:sz="0" w:space="0" w:color="auto"/>
        <w:bottom w:val="none" w:sz="0" w:space="0" w:color="auto"/>
        <w:right w:val="none" w:sz="0" w:space="0" w:color="auto"/>
      </w:divBdr>
    </w:div>
    <w:div w:id="1029333830">
      <w:bodyDiv w:val="1"/>
      <w:marLeft w:val="0"/>
      <w:marRight w:val="0"/>
      <w:marTop w:val="0"/>
      <w:marBottom w:val="0"/>
      <w:divBdr>
        <w:top w:val="none" w:sz="0" w:space="0" w:color="auto"/>
        <w:left w:val="none" w:sz="0" w:space="0" w:color="auto"/>
        <w:bottom w:val="none" w:sz="0" w:space="0" w:color="auto"/>
        <w:right w:val="none" w:sz="0" w:space="0" w:color="auto"/>
      </w:divBdr>
    </w:div>
    <w:div w:id="1048533408">
      <w:bodyDiv w:val="1"/>
      <w:marLeft w:val="0"/>
      <w:marRight w:val="0"/>
      <w:marTop w:val="0"/>
      <w:marBottom w:val="0"/>
      <w:divBdr>
        <w:top w:val="none" w:sz="0" w:space="0" w:color="auto"/>
        <w:left w:val="none" w:sz="0" w:space="0" w:color="auto"/>
        <w:bottom w:val="none" w:sz="0" w:space="0" w:color="auto"/>
        <w:right w:val="none" w:sz="0" w:space="0" w:color="auto"/>
      </w:divBdr>
    </w:div>
    <w:div w:id="1057581883">
      <w:bodyDiv w:val="1"/>
      <w:marLeft w:val="0"/>
      <w:marRight w:val="0"/>
      <w:marTop w:val="0"/>
      <w:marBottom w:val="0"/>
      <w:divBdr>
        <w:top w:val="none" w:sz="0" w:space="0" w:color="auto"/>
        <w:left w:val="none" w:sz="0" w:space="0" w:color="auto"/>
        <w:bottom w:val="none" w:sz="0" w:space="0" w:color="auto"/>
        <w:right w:val="none" w:sz="0" w:space="0" w:color="auto"/>
      </w:divBdr>
    </w:div>
    <w:div w:id="1078403036">
      <w:bodyDiv w:val="1"/>
      <w:marLeft w:val="0"/>
      <w:marRight w:val="0"/>
      <w:marTop w:val="0"/>
      <w:marBottom w:val="0"/>
      <w:divBdr>
        <w:top w:val="none" w:sz="0" w:space="0" w:color="auto"/>
        <w:left w:val="none" w:sz="0" w:space="0" w:color="auto"/>
        <w:bottom w:val="none" w:sz="0" w:space="0" w:color="auto"/>
        <w:right w:val="none" w:sz="0" w:space="0" w:color="auto"/>
      </w:divBdr>
    </w:div>
    <w:div w:id="1107888647">
      <w:bodyDiv w:val="1"/>
      <w:marLeft w:val="0"/>
      <w:marRight w:val="0"/>
      <w:marTop w:val="0"/>
      <w:marBottom w:val="0"/>
      <w:divBdr>
        <w:top w:val="none" w:sz="0" w:space="0" w:color="auto"/>
        <w:left w:val="none" w:sz="0" w:space="0" w:color="auto"/>
        <w:bottom w:val="none" w:sz="0" w:space="0" w:color="auto"/>
        <w:right w:val="none" w:sz="0" w:space="0" w:color="auto"/>
      </w:divBdr>
    </w:div>
    <w:div w:id="1111822943">
      <w:bodyDiv w:val="1"/>
      <w:marLeft w:val="0"/>
      <w:marRight w:val="0"/>
      <w:marTop w:val="0"/>
      <w:marBottom w:val="0"/>
      <w:divBdr>
        <w:top w:val="none" w:sz="0" w:space="0" w:color="auto"/>
        <w:left w:val="none" w:sz="0" w:space="0" w:color="auto"/>
        <w:bottom w:val="none" w:sz="0" w:space="0" w:color="auto"/>
        <w:right w:val="none" w:sz="0" w:space="0" w:color="auto"/>
      </w:divBdr>
    </w:div>
    <w:div w:id="1127509421">
      <w:bodyDiv w:val="1"/>
      <w:marLeft w:val="0"/>
      <w:marRight w:val="0"/>
      <w:marTop w:val="0"/>
      <w:marBottom w:val="0"/>
      <w:divBdr>
        <w:top w:val="none" w:sz="0" w:space="0" w:color="auto"/>
        <w:left w:val="none" w:sz="0" w:space="0" w:color="auto"/>
        <w:bottom w:val="none" w:sz="0" w:space="0" w:color="auto"/>
        <w:right w:val="none" w:sz="0" w:space="0" w:color="auto"/>
      </w:divBdr>
    </w:div>
    <w:div w:id="1147278362">
      <w:bodyDiv w:val="1"/>
      <w:marLeft w:val="0"/>
      <w:marRight w:val="0"/>
      <w:marTop w:val="0"/>
      <w:marBottom w:val="0"/>
      <w:divBdr>
        <w:top w:val="none" w:sz="0" w:space="0" w:color="auto"/>
        <w:left w:val="none" w:sz="0" w:space="0" w:color="auto"/>
        <w:bottom w:val="none" w:sz="0" w:space="0" w:color="auto"/>
        <w:right w:val="none" w:sz="0" w:space="0" w:color="auto"/>
      </w:divBdr>
    </w:div>
    <w:div w:id="1196038335">
      <w:bodyDiv w:val="1"/>
      <w:marLeft w:val="0"/>
      <w:marRight w:val="0"/>
      <w:marTop w:val="0"/>
      <w:marBottom w:val="0"/>
      <w:divBdr>
        <w:top w:val="none" w:sz="0" w:space="0" w:color="auto"/>
        <w:left w:val="none" w:sz="0" w:space="0" w:color="auto"/>
        <w:bottom w:val="none" w:sz="0" w:space="0" w:color="auto"/>
        <w:right w:val="none" w:sz="0" w:space="0" w:color="auto"/>
      </w:divBdr>
    </w:div>
    <w:div w:id="1199124924">
      <w:bodyDiv w:val="1"/>
      <w:marLeft w:val="0"/>
      <w:marRight w:val="0"/>
      <w:marTop w:val="0"/>
      <w:marBottom w:val="0"/>
      <w:divBdr>
        <w:top w:val="none" w:sz="0" w:space="0" w:color="auto"/>
        <w:left w:val="none" w:sz="0" w:space="0" w:color="auto"/>
        <w:bottom w:val="none" w:sz="0" w:space="0" w:color="auto"/>
        <w:right w:val="none" w:sz="0" w:space="0" w:color="auto"/>
      </w:divBdr>
    </w:div>
    <w:div w:id="1201430885">
      <w:bodyDiv w:val="1"/>
      <w:marLeft w:val="0"/>
      <w:marRight w:val="0"/>
      <w:marTop w:val="0"/>
      <w:marBottom w:val="0"/>
      <w:divBdr>
        <w:top w:val="none" w:sz="0" w:space="0" w:color="auto"/>
        <w:left w:val="none" w:sz="0" w:space="0" w:color="auto"/>
        <w:bottom w:val="none" w:sz="0" w:space="0" w:color="auto"/>
        <w:right w:val="none" w:sz="0" w:space="0" w:color="auto"/>
      </w:divBdr>
    </w:div>
    <w:div w:id="1208760450">
      <w:bodyDiv w:val="1"/>
      <w:marLeft w:val="0"/>
      <w:marRight w:val="0"/>
      <w:marTop w:val="0"/>
      <w:marBottom w:val="0"/>
      <w:divBdr>
        <w:top w:val="none" w:sz="0" w:space="0" w:color="auto"/>
        <w:left w:val="none" w:sz="0" w:space="0" w:color="auto"/>
        <w:bottom w:val="none" w:sz="0" w:space="0" w:color="auto"/>
        <w:right w:val="none" w:sz="0" w:space="0" w:color="auto"/>
      </w:divBdr>
    </w:div>
    <w:div w:id="1217663908">
      <w:bodyDiv w:val="1"/>
      <w:marLeft w:val="0"/>
      <w:marRight w:val="0"/>
      <w:marTop w:val="0"/>
      <w:marBottom w:val="0"/>
      <w:divBdr>
        <w:top w:val="none" w:sz="0" w:space="0" w:color="auto"/>
        <w:left w:val="none" w:sz="0" w:space="0" w:color="auto"/>
        <w:bottom w:val="none" w:sz="0" w:space="0" w:color="auto"/>
        <w:right w:val="none" w:sz="0" w:space="0" w:color="auto"/>
      </w:divBdr>
    </w:div>
    <w:div w:id="1233808564">
      <w:bodyDiv w:val="1"/>
      <w:marLeft w:val="0"/>
      <w:marRight w:val="0"/>
      <w:marTop w:val="0"/>
      <w:marBottom w:val="0"/>
      <w:divBdr>
        <w:top w:val="none" w:sz="0" w:space="0" w:color="auto"/>
        <w:left w:val="none" w:sz="0" w:space="0" w:color="auto"/>
        <w:bottom w:val="none" w:sz="0" w:space="0" w:color="auto"/>
        <w:right w:val="none" w:sz="0" w:space="0" w:color="auto"/>
      </w:divBdr>
    </w:div>
    <w:div w:id="1287545879">
      <w:bodyDiv w:val="1"/>
      <w:marLeft w:val="0"/>
      <w:marRight w:val="0"/>
      <w:marTop w:val="0"/>
      <w:marBottom w:val="0"/>
      <w:divBdr>
        <w:top w:val="none" w:sz="0" w:space="0" w:color="auto"/>
        <w:left w:val="none" w:sz="0" w:space="0" w:color="auto"/>
        <w:bottom w:val="none" w:sz="0" w:space="0" w:color="auto"/>
        <w:right w:val="none" w:sz="0" w:space="0" w:color="auto"/>
      </w:divBdr>
    </w:div>
    <w:div w:id="1293026114">
      <w:bodyDiv w:val="1"/>
      <w:marLeft w:val="0"/>
      <w:marRight w:val="0"/>
      <w:marTop w:val="0"/>
      <w:marBottom w:val="0"/>
      <w:divBdr>
        <w:top w:val="none" w:sz="0" w:space="0" w:color="auto"/>
        <w:left w:val="none" w:sz="0" w:space="0" w:color="auto"/>
        <w:bottom w:val="none" w:sz="0" w:space="0" w:color="auto"/>
        <w:right w:val="none" w:sz="0" w:space="0" w:color="auto"/>
      </w:divBdr>
    </w:div>
    <w:div w:id="1341473485">
      <w:bodyDiv w:val="1"/>
      <w:marLeft w:val="0"/>
      <w:marRight w:val="0"/>
      <w:marTop w:val="0"/>
      <w:marBottom w:val="0"/>
      <w:divBdr>
        <w:top w:val="none" w:sz="0" w:space="0" w:color="auto"/>
        <w:left w:val="none" w:sz="0" w:space="0" w:color="auto"/>
        <w:bottom w:val="none" w:sz="0" w:space="0" w:color="auto"/>
        <w:right w:val="none" w:sz="0" w:space="0" w:color="auto"/>
      </w:divBdr>
    </w:div>
    <w:div w:id="1353074440">
      <w:bodyDiv w:val="1"/>
      <w:marLeft w:val="0"/>
      <w:marRight w:val="0"/>
      <w:marTop w:val="0"/>
      <w:marBottom w:val="0"/>
      <w:divBdr>
        <w:top w:val="none" w:sz="0" w:space="0" w:color="auto"/>
        <w:left w:val="none" w:sz="0" w:space="0" w:color="auto"/>
        <w:bottom w:val="none" w:sz="0" w:space="0" w:color="auto"/>
        <w:right w:val="none" w:sz="0" w:space="0" w:color="auto"/>
      </w:divBdr>
    </w:div>
    <w:div w:id="1382047992">
      <w:bodyDiv w:val="1"/>
      <w:marLeft w:val="0"/>
      <w:marRight w:val="0"/>
      <w:marTop w:val="0"/>
      <w:marBottom w:val="0"/>
      <w:divBdr>
        <w:top w:val="none" w:sz="0" w:space="0" w:color="auto"/>
        <w:left w:val="none" w:sz="0" w:space="0" w:color="auto"/>
        <w:bottom w:val="none" w:sz="0" w:space="0" w:color="auto"/>
        <w:right w:val="none" w:sz="0" w:space="0" w:color="auto"/>
      </w:divBdr>
    </w:div>
    <w:div w:id="1416587513">
      <w:bodyDiv w:val="1"/>
      <w:marLeft w:val="0"/>
      <w:marRight w:val="0"/>
      <w:marTop w:val="0"/>
      <w:marBottom w:val="0"/>
      <w:divBdr>
        <w:top w:val="none" w:sz="0" w:space="0" w:color="auto"/>
        <w:left w:val="none" w:sz="0" w:space="0" w:color="auto"/>
        <w:bottom w:val="none" w:sz="0" w:space="0" w:color="auto"/>
        <w:right w:val="none" w:sz="0" w:space="0" w:color="auto"/>
      </w:divBdr>
    </w:div>
    <w:div w:id="1447773140">
      <w:bodyDiv w:val="1"/>
      <w:marLeft w:val="0"/>
      <w:marRight w:val="0"/>
      <w:marTop w:val="0"/>
      <w:marBottom w:val="0"/>
      <w:divBdr>
        <w:top w:val="none" w:sz="0" w:space="0" w:color="auto"/>
        <w:left w:val="none" w:sz="0" w:space="0" w:color="auto"/>
        <w:bottom w:val="none" w:sz="0" w:space="0" w:color="auto"/>
        <w:right w:val="none" w:sz="0" w:space="0" w:color="auto"/>
      </w:divBdr>
    </w:div>
    <w:div w:id="1471367212">
      <w:bodyDiv w:val="1"/>
      <w:marLeft w:val="0"/>
      <w:marRight w:val="0"/>
      <w:marTop w:val="0"/>
      <w:marBottom w:val="0"/>
      <w:divBdr>
        <w:top w:val="none" w:sz="0" w:space="0" w:color="auto"/>
        <w:left w:val="none" w:sz="0" w:space="0" w:color="auto"/>
        <w:bottom w:val="none" w:sz="0" w:space="0" w:color="auto"/>
        <w:right w:val="none" w:sz="0" w:space="0" w:color="auto"/>
      </w:divBdr>
    </w:div>
    <w:div w:id="1482651061">
      <w:bodyDiv w:val="1"/>
      <w:marLeft w:val="0"/>
      <w:marRight w:val="0"/>
      <w:marTop w:val="0"/>
      <w:marBottom w:val="0"/>
      <w:divBdr>
        <w:top w:val="none" w:sz="0" w:space="0" w:color="auto"/>
        <w:left w:val="none" w:sz="0" w:space="0" w:color="auto"/>
        <w:bottom w:val="none" w:sz="0" w:space="0" w:color="auto"/>
        <w:right w:val="none" w:sz="0" w:space="0" w:color="auto"/>
      </w:divBdr>
    </w:div>
    <w:div w:id="1492136458">
      <w:bodyDiv w:val="1"/>
      <w:marLeft w:val="0"/>
      <w:marRight w:val="0"/>
      <w:marTop w:val="0"/>
      <w:marBottom w:val="0"/>
      <w:divBdr>
        <w:top w:val="none" w:sz="0" w:space="0" w:color="auto"/>
        <w:left w:val="none" w:sz="0" w:space="0" w:color="auto"/>
        <w:bottom w:val="none" w:sz="0" w:space="0" w:color="auto"/>
        <w:right w:val="none" w:sz="0" w:space="0" w:color="auto"/>
      </w:divBdr>
    </w:div>
    <w:div w:id="1495800518">
      <w:bodyDiv w:val="1"/>
      <w:marLeft w:val="0"/>
      <w:marRight w:val="0"/>
      <w:marTop w:val="0"/>
      <w:marBottom w:val="0"/>
      <w:divBdr>
        <w:top w:val="none" w:sz="0" w:space="0" w:color="auto"/>
        <w:left w:val="none" w:sz="0" w:space="0" w:color="auto"/>
        <w:bottom w:val="none" w:sz="0" w:space="0" w:color="auto"/>
        <w:right w:val="none" w:sz="0" w:space="0" w:color="auto"/>
      </w:divBdr>
    </w:div>
    <w:div w:id="1503348334">
      <w:bodyDiv w:val="1"/>
      <w:marLeft w:val="0"/>
      <w:marRight w:val="0"/>
      <w:marTop w:val="0"/>
      <w:marBottom w:val="0"/>
      <w:divBdr>
        <w:top w:val="none" w:sz="0" w:space="0" w:color="auto"/>
        <w:left w:val="none" w:sz="0" w:space="0" w:color="auto"/>
        <w:bottom w:val="none" w:sz="0" w:space="0" w:color="auto"/>
        <w:right w:val="none" w:sz="0" w:space="0" w:color="auto"/>
      </w:divBdr>
    </w:div>
    <w:div w:id="1513183104">
      <w:bodyDiv w:val="1"/>
      <w:marLeft w:val="0"/>
      <w:marRight w:val="0"/>
      <w:marTop w:val="0"/>
      <w:marBottom w:val="0"/>
      <w:divBdr>
        <w:top w:val="none" w:sz="0" w:space="0" w:color="auto"/>
        <w:left w:val="none" w:sz="0" w:space="0" w:color="auto"/>
        <w:bottom w:val="none" w:sz="0" w:space="0" w:color="auto"/>
        <w:right w:val="none" w:sz="0" w:space="0" w:color="auto"/>
      </w:divBdr>
    </w:div>
    <w:div w:id="1522431767">
      <w:bodyDiv w:val="1"/>
      <w:marLeft w:val="0"/>
      <w:marRight w:val="0"/>
      <w:marTop w:val="0"/>
      <w:marBottom w:val="0"/>
      <w:divBdr>
        <w:top w:val="none" w:sz="0" w:space="0" w:color="auto"/>
        <w:left w:val="none" w:sz="0" w:space="0" w:color="auto"/>
        <w:bottom w:val="none" w:sz="0" w:space="0" w:color="auto"/>
        <w:right w:val="none" w:sz="0" w:space="0" w:color="auto"/>
      </w:divBdr>
    </w:div>
    <w:div w:id="1524708670">
      <w:bodyDiv w:val="1"/>
      <w:marLeft w:val="0"/>
      <w:marRight w:val="0"/>
      <w:marTop w:val="0"/>
      <w:marBottom w:val="0"/>
      <w:divBdr>
        <w:top w:val="none" w:sz="0" w:space="0" w:color="auto"/>
        <w:left w:val="none" w:sz="0" w:space="0" w:color="auto"/>
        <w:bottom w:val="none" w:sz="0" w:space="0" w:color="auto"/>
        <w:right w:val="none" w:sz="0" w:space="0" w:color="auto"/>
      </w:divBdr>
    </w:div>
    <w:div w:id="1540194224">
      <w:bodyDiv w:val="1"/>
      <w:marLeft w:val="0"/>
      <w:marRight w:val="0"/>
      <w:marTop w:val="0"/>
      <w:marBottom w:val="0"/>
      <w:divBdr>
        <w:top w:val="none" w:sz="0" w:space="0" w:color="auto"/>
        <w:left w:val="none" w:sz="0" w:space="0" w:color="auto"/>
        <w:bottom w:val="none" w:sz="0" w:space="0" w:color="auto"/>
        <w:right w:val="none" w:sz="0" w:space="0" w:color="auto"/>
      </w:divBdr>
    </w:div>
    <w:div w:id="1568492944">
      <w:bodyDiv w:val="1"/>
      <w:marLeft w:val="0"/>
      <w:marRight w:val="0"/>
      <w:marTop w:val="0"/>
      <w:marBottom w:val="0"/>
      <w:divBdr>
        <w:top w:val="none" w:sz="0" w:space="0" w:color="auto"/>
        <w:left w:val="none" w:sz="0" w:space="0" w:color="auto"/>
        <w:bottom w:val="none" w:sz="0" w:space="0" w:color="auto"/>
        <w:right w:val="none" w:sz="0" w:space="0" w:color="auto"/>
      </w:divBdr>
    </w:div>
    <w:div w:id="1574777948">
      <w:bodyDiv w:val="1"/>
      <w:marLeft w:val="0"/>
      <w:marRight w:val="0"/>
      <w:marTop w:val="0"/>
      <w:marBottom w:val="0"/>
      <w:divBdr>
        <w:top w:val="none" w:sz="0" w:space="0" w:color="auto"/>
        <w:left w:val="none" w:sz="0" w:space="0" w:color="auto"/>
        <w:bottom w:val="none" w:sz="0" w:space="0" w:color="auto"/>
        <w:right w:val="none" w:sz="0" w:space="0" w:color="auto"/>
      </w:divBdr>
    </w:div>
    <w:div w:id="1584877911">
      <w:bodyDiv w:val="1"/>
      <w:marLeft w:val="0"/>
      <w:marRight w:val="0"/>
      <w:marTop w:val="0"/>
      <w:marBottom w:val="0"/>
      <w:divBdr>
        <w:top w:val="none" w:sz="0" w:space="0" w:color="auto"/>
        <w:left w:val="none" w:sz="0" w:space="0" w:color="auto"/>
        <w:bottom w:val="none" w:sz="0" w:space="0" w:color="auto"/>
        <w:right w:val="none" w:sz="0" w:space="0" w:color="auto"/>
      </w:divBdr>
    </w:div>
    <w:div w:id="1604605151">
      <w:bodyDiv w:val="1"/>
      <w:marLeft w:val="0"/>
      <w:marRight w:val="0"/>
      <w:marTop w:val="0"/>
      <w:marBottom w:val="0"/>
      <w:divBdr>
        <w:top w:val="none" w:sz="0" w:space="0" w:color="auto"/>
        <w:left w:val="none" w:sz="0" w:space="0" w:color="auto"/>
        <w:bottom w:val="none" w:sz="0" w:space="0" w:color="auto"/>
        <w:right w:val="none" w:sz="0" w:space="0" w:color="auto"/>
      </w:divBdr>
    </w:div>
    <w:div w:id="1618946545">
      <w:bodyDiv w:val="1"/>
      <w:marLeft w:val="0"/>
      <w:marRight w:val="0"/>
      <w:marTop w:val="0"/>
      <w:marBottom w:val="0"/>
      <w:divBdr>
        <w:top w:val="none" w:sz="0" w:space="0" w:color="auto"/>
        <w:left w:val="none" w:sz="0" w:space="0" w:color="auto"/>
        <w:bottom w:val="none" w:sz="0" w:space="0" w:color="auto"/>
        <w:right w:val="none" w:sz="0" w:space="0" w:color="auto"/>
      </w:divBdr>
    </w:div>
    <w:div w:id="1645621009">
      <w:bodyDiv w:val="1"/>
      <w:marLeft w:val="0"/>
      <w:marRight w:val="0"/>
      <w:marTop w:val="0"/>
      <w:marBottom w:val="0"/>
      <w:divBdr>
        <w:top w:val="none" w:sz="0" w:space="0" w:color="auto"/>
        <w:left w:val="none" w:sz="0" w:space="0" w:color="auto"/>
        <w:bottom w:val="none" w:sz="0" w:space="0" w:color="auto"/>
        <w:right w:val="none" w:sz="0" w:space="0" w:color="auto"/>
      </w:divBdr>
    </w:div>
    <w:div w:id="1679429522">
      <w:bodyDiv w:val="1"/>
      <w:marLeft w:val="0"/>
      <w:marRight w:val="0"/>
      <w:marTop w:val="0"/>
      <w:marBottom w:val="0"/>
      <w:divBdr>
        <w:top w:val="none" w:sz="0" w:space="0" w:color="auto"/>
        <w:left w:val="none" w:sz="0" w:space="0" w:color="auto"/>
        <w:bottom w:val="none" w:sz="0" w:space="0" w:color="auto"/>
        <w:right w:val="none" w:sz="0" w:space="0" w:color="auto"/>
      </w:divBdr>
    </w:div>
    <w:div w:id="1710379368">
      <w:bodyDiv w:val="1"/>
      <w:marLeft w:val="0"/>
      <w:marRight w:val="0"/>
      <w:marTop w:val="0"/>
      <w:marBottom w:val="0"/>
      <w:divBdr>
        <w:top w:val="none" w:sz="0" w:space="0" w:color="auto"/>
        <w:left w:val="none" w:sz="0" w:space="0" w:color="auto"/>
        <w:bottom w:val="none" w:sz="0" w:space="0" w:color="auto"/>
        <w:right w:val="none" w:sz="0" w:space="0" w:color="auto"/>
      </w:divBdr>
    </w:div>
    <w:div w:id="1715152382">
      <w:bodyDiv w:val="1"/>
      <w:marLeft w:val="0"/>
      <w:marRight w:val="0"/>
      <w:marTop w:val="0"/>
      <w:marBottom w:val="0"/>
      <w:divBdr>
        <w:top w:val="none" w:sz="0" w:space="0" w:color="auto"/>
        <w:left w:val="none" w:sz="0" w:space="0" w:color="auto"/>
        <w:bottom w:val="none" w:sz="0" w:space="0" w:color="auto"/>
        <w:right w:val="none" w:sz="0" w:space="0" w:color="auto"/>
      </w:divBdr>
    </w:div>
    <w:div w:id="1720471377">
      <w:bodyDiv w:val="1"/>
      <w:marLeft w:val="0"/>
      <w:marRight w:val="0"/>
      <w:marTop w:val="0"/>
      <w:marBottom w:val="0"/>
      <w:divBdr>
        <w:top w:val="none" w:sz="0" w:space="0" w:color="auto"/>
        <w:left w:val="none" w:sz="0" w:space="0" w:color="auto"/>
        <w:bottom w:val="none" w:sz="0" w:space="0" w:color="auto"/>
        <w:right w:val="none" w:sz="0" w:space="0" w:color="auto"/>
      </w:divBdr>
    </w:div>
    <w:div w:id="1728845132">
      <w:bodyDiv w:val="1"/>
      <w:marLeft w:val="0"/>
      <w:marRight w:val="0"/>
      <w:marTop w:val="0"/>
      <w:marBottom w:val="0"/>
      <w:divBdr>
        <w:top w:val="none" w:sz="0" w:space="0" w:color="auto"/>
        <w:left w:val="none" w:sz="0" w:space="0" w:color="auto"/>
        <w:bottom w:val="none" w:sz="0" w:space="0" w:color="auto"/>
        <w:right w:val="none" w:sz="0" w:space="0" w:color="auto"/>
      </w:divBdr>
    </w:div>
    <w:div w:id="1740248268">
      <w:bodyDiv w:val="1"/>
      <w:marLeft w:val="0"/>
      <w:marRight w:val="0"/>
      <w:marTop w:val="0"/>
      <w:marBottom w:val="0"/>
      <w:divBdr>
        <w:top w:val="none" w:sz="0" w:space="0" w:color="auto"/>
        <w:left w:val="none" w:sz="0" w:space="0" w:color="auto"/>
        <w:bottom w:val="none" w:sz="0" w:space="0" w:color="auto"/>
        <w:right w:val="none" w:sz="0" w:space="0" w:color="auto"/>
      </w:divBdr>
    </w:div>
    <w:div w:id="1757750630">
      <w:bodyDiv w:val="1"/>
      <w:marLeft w:val="0"/>
      <w:marRight w:val="0"/>
      <w:marTop w:val="0"/>
      <w:marBottom w:val="0"/>
      <w:divBdr>
        <w:top w:val="none" w:sz="0" w:space="0" w:color="auto"/>
        <w:left w:val="none" w:sz="0" w:space="0" w:color="auto"/>
        <w:bottom w:val="none" w:sz="0" w:space="0" w:color="auto"/>
        <w:right w:val="none" w:sz="0" w:space="0" w:color="auto"/>
      </w:divBdr>
    </w:div>
    <w:div w:id="1771702860">
      <w:bodyDiv w:val="1"/>
      <w:marLeft w:val="0"/>
      <w:marRight w:val="0"/>
      <w:marTop w:val="0"/>
      <w:marBottom w:val="0"/>
      <w:divBdr>
        <w:top w:val="none" w:sz="0" w:space="0" w:color="auto"/>
        <w:left w:val="none" w:sz="0" w:space="0" w:color="auto"/>
        <w:bottom w:val="none" w:sz="0" w:space="0" w:color="auto"/>
        <w:right w:val="none" w:sz="0" w:space="0" w:color="auto"/>
      </w:divBdr>
    </w:div>
    <w:div w:id="1827938095">
      <w:bodyDiv w:val="1"/>
      <w:marLeft w:val="0"/>
      <w:marRight w:val="0"/>
      <w:marTop w:val="0"/>
      <w:marBottom w:val="0"/>
      <w:divBdr>
        <w:top w:val="none" w:sz="0" w:space="0" w:color="auto"/>
        <w:left w:val="none" w:sz="0" w:space="0" w:color="auto"/>
        <w:bottom w:val="none" w:sz="0" w:space="0" w:color="auto"/>
        <w:right w:val="none" w:sz="0" w:space="0" w:color="auto"/>
      </w:divBdr>
    </w:div>
    <w:div w:id="1828009383">
      <w:bodyDiv w:val="1"/>
      <w:marLeft w:val="0"/>
      <w:marRight w:val="0"/>
      <w:marTop w:val="0"/>
      <w:marBottom w:val="0"/>
      <w:divBdr>
        <w:top w:val="none" w:sz="0" w:space="0" w:color="auto"/>
        <w:left w:val="none" w:sz="0" w:space="0" w:color="auto"/>
        <w:bottom w:val="none" w:sz="0" w:space="0" w:color="auto"/>
        <w:right w:val="none" w:sz="0" w:space="0" w:color="auto"/>
      </w:divBdr>
    </w:div>
    <w:div w:id="1831746899">
      <w:bodyDiv w:val="1"/>
      <w:marLeft w:val="0"/>
      <w:marRight w:val="0"/>
      <w:marTop w:val="0"/>
      <w:marBottom w:val="0"/>
      <w:divBdr>
        <w:top w:val="none" w:sz="0" w:space="0" w:color="auto"/>
        <w:left w:val="none" w:sz="0" w:space="0" w:color="auto"/>
        <w:bottom w:val="none" w:sz="0" w:space="0" w:color="auto"/>
        <w:right w:val="none" w:sz="0" w:space="0" w:color="auto"/>
      </w:divBdr>
    </w:div>
    <w:div w:id="1856066501">
      <w:bodyDiv w:val="1"/>
      <w:marLeft w:val="0"/>
      <w:marRight w:val="0"/>
      <w:marTop w:val="0"/>
      <w:marBottom w:val="0"/>
      <w:divBdr>
        <w:top w:val="none" w:sz="0" w:space="0" w:color="auto"/>
        <w:left w:val="none" w:sz="0" w:space="0" w:color="auto"/>
        <w:bottom w:val="none" w:sz="0" w:space="0" w:color="auto"/>
        <w:right w:val="none" w:sz="0" w:space="0" w:color="auto"/>
      </w:divBdr>
    </w:div>
    <w:div w:id="1856261169">
      <w:bodyDiv w:val="1"/>
      <w:marLeft w:val="0"/>
      <w:marRight w:val="0"/>
      <w:marTop w:val="0"/>
      <w:marBottom w:val="0"/>
      <w:divBdr>
        <w:top w:val="none" w:sz="0" w:space="0" w:color="auto"/>
        <w:left w:val="none" w:sz="0" w:space="0" w:color="auto"/>
        <w:bottom w:val="none" w:sz="0" w:space="0" w:color="auto"/>
        <w:right w:val="none" w:sz="0" w:space="0" w:color="auto"/>
      </w:divBdr>
    </w:div>
    <w:div w:id="1868443926">
      <w:bodyDiv w:val="1"/>
      <w:marLeft w:val="0"/>
      <w:marRight w:val="0"/>
      <w:marTop w:val="0"/>
      <w:marBottom w:val="0"/>
      <w:divBdr>
        <w:top w:val="none" w:sz="0" w:space="0" w:color="auto"/>
        <w:left w:val="none" w:sz="0" w:space="0" w:color="auto"/>
        <w:bottom w:val="none" w:sz="0" w:space="0" w:color="auto"/>
        <w:right w:val="none" w:sz="0" w:space="0" w:color="auto"/>
      </w:divBdr>
    </w:div>
    <w:div w:id="1894735418">
      <w:bodyDiv w:val="1"/>
      <w:marLeft w:val="0"/>
      <w:marRight w:val="0"/>
      <w:marTop w:val="0"/>
      <w:marBottom w:val="0"/>
      <w:divBdr>
        <w:top w:val="none" w:sz="0" w:space="0" w:color="auto"/>
        <w:left w:val="none" w:sz="0" w:space="0" w:color="auto"/>
        <w:bottom w:val="none" w:sz="0" w:space="0" w:color="auto"/>
        <w:right w:val="none" w:sz="0" w:space="0" w:color="auto"/>
      </w:divBdr>
    </w:div>
    <w:div w:id="1934439308">
      <w:bodyDiv w:val="1"/>
      <w:marLeft w:val="0"/>
      <w:marRight w:val="0"/>
      <w:marTop w:val="0"/>
      <w:marBottom w:val="0"/>
      <w:divBdr>
        <w:top w:val="none" w:sz="0" w:space="0" w:color="auto"/>
        <w:left w:val="none" w:sz="0" w:space="0" w:color="auto"/>
        <w:bottom w:val="none" w:sz="0" w:space="0" w:color="auto"/>
        <w:right w:val="none" w:sz="0" w:space="0" w:color="auto"/>
      </w:divBdr>
    </w:div>
    <w:div w:id="1965849027">
      <w:bodyDiv w:val="1"/>
      <w:marLeft w:val="0"/>
      <w:marRight w:val="0"/>
      <w:marTop w:val="0"/>
      <w:marBottom w:val="0"/>
      <w:divBdr>
        <w:top w:val="none" w:sz="0" w:space="0" w:color="auto"/>
        <w:left w:val="none" w:sz="0" w:space="0" w:color="auto"/>
        <w:bottom w:val="none" w:sz="0" w:space="0" w:color="auto"/>
        <w:right w:val="none" w:sz="0" w:space="0" w:color="auto"/>
      </w:divBdr>
    </w:div>
    <w:div w:id="1990862057">
      <w:bodyDiv w:val="1"/>
      <w:marLeft w:val="0"/>
      <w:marRight w:val="0"/>
      <w:marTop w:val="0"/>
      <w:marBottom w:val="0"/>
      <w:divBdr>
        <w:top w:val="none" w:sz="0" w:space="0" w:color="auto"/>
        <w:left w:val="none" w:sz="0" w:space="0" w:color="auto"/>
        <w:bottom w:val="none" w:sz="0" w:space="0" w:color="auto"/>
        <w:right w:val="none" w:sz="0" w:space="0" w:color="auto"/>
      </w:divBdr>
    </w:div>
    <w:div w:id="2027637600">
      <w:bodyDiv w:val="1"/>
      <w:marLeft w:val="0"/>
      <w:marRight w:val="0"/>
      <w:marTop w:val="0"/>
      <w:marBottom w:val="0"/>
      <w:divBdr>
        <w:top w:val="none" w:sz="0" w:space="0" w:color="auto"/>
        <w:left w:val="none" w:sz="0" w:space="0" w:color="auto"/>
        <w:bottom w:val="none" w:sz="0" w:space="0" w:color="auto"/>
        <w:right w:val="none" w:sz="0" w:space="0" w:color="auto"/>
      </w:divBdr>
    </w:div>
    <w:div w:id="2041128451">
      <w:bodyDiv w:val="1"/>
      <w:marLeft w:val="0"/>
      <w:marRight w:val="0"/>
      <w:marTop w:val="0"/>
      <w:marBottom w:val="0"/>
      <w:divBdr>
        <w:top w:val="none" w:sz="0" w:space="0" w:color="auto"/>
        <w:left w:val="none" w:sz="0" w:space="0" w:color="auto"/>
        <w:bottom w:val="none" w:sz="0" w:space="0" w:color="auto"/>
        <w:right w:val="none" w:sz="0" w:space="0" w:color="auto"/>
      </w:divBdr>
    </w:div>
    <w:div w:id="2072149714">
      <w:bodyDiv w:val="1"/>
      <w:marLeft w:val="0"/>
      <w:marRight w:val="0"/>
      <w:marTop w:val="0"/>
      <w:marBottom w:val="0"/>
      <w:divBdr>
        <w:top w:val="none" w:sz="0" w:space="0" w:color="auto"/>
        <w:left w:val="none" w:sz="0" w:space="0" w:color="auto"/>
        <w:bottom w:val="none" w:sz="0" w:space="0" w:color="auto"/>
        <w:right w:val="none" w:sz="0" w:space="0" w:color="auto"/>
      </w:divBdr>
    </w:div>
    <w:div w:id="2082749872">
      <w:bodyDiv w:val="1"/>
      <w:marLeft w:val="0"/>
      <w:marRight w:val="0"/>
      <w:marTop w:val="0"/>
      <w:marBottom w:val="0"/>
      <w:divBdr>
        <w:top w:val="none" w:sz="0" w:space="0" w:color="auto"/>
        <w:left w:val="none" w:sz="0" w:space="0" w:color="auto"/>
        <w:bottom w:val="none" w:sz="0" w:space="0" w:color="auto"/>
        <w:right w:val="none" w:sz="0" w:space="0" w:color="auto"/>
      </w:divBdr>
    </w:div>
    <w:div w:id="2094277511">
      <w:bodyDiv w:val="1"/>
      <w:marLeft w:val="0"/>
      <w:marRight w:val="0"/>
      <w:marTop w:val="0"/>
      <w:marBottom w:val="0"/>
      <w:divBdr>
        <w:top w:val="none" w:sz="0" w:space="0" w:color="auto"/>
        <w:left w:val="none" w:sz="0" w:space="0" w:color="auto"/>
        <w:bottom w:val="none" w:sz="0" w:space="0" w:color="auto"/>
        <w:right w:val="none" w:sz="0" w:space="0" w:color="auto"/>
      </w:divBdr>
    </w:div>
    <w:div w:id="2101481532">
      <w:bodyDiv w:val="1"/>
      <w:marLeft w:val="0"/>
      <w:marRight w:val="0"/>
      <w:marTop w:val="0"/>
      <w:marBottom w:val="0"/>
      <w:divBdr>
        <w:top w:val="none" w:sz="0" w:space="0" w:color="auto"/>
        <w:left w:val="none" w:sz="0" w:space="0" w:color="auto"/>
        <w:bottom w:val="none" w:sz="0" w:space="0" w:color="auto"/>
        <w:right w:val="none" w:sz="0" w:space="0" w:color="auto"/>
      </w:divBdr>
    </w:div>
    <w:div w:id="2107921718">
      <w:bodyDiv w:val="1"/>
      <w:marLeft w:val="0"/>
      <w:marRight w:val="0"/>
      <w:marTop w:val="0"/>
      <w:marBottom w:val="0"/>
      <w:divBdr>
        <w:top w:val="none" w:sz="0" w:space="0" w:color="auto"/>
        <w:left w:val="none" w:sz="0" w:space="0" w:color="auto"/>
        <w:bottom w:val="none" w:sz="0" w:space="0" w:color="auto"/>
        <w:right w:val="none" w:sz="0" w:space="0" w:color="auto"/>
      </w:divBdr>
    </w:div>
    <w:div w:id="2132674724">
      <w:bodyDiv w:val="1"/>
      <w:marLeft w:val="0"/>
      <w:marRight w:val="0"/>
      <w:marTop w:val="0"/>
      <w:marBottom w:val="0"/>
      <w:divBdr>
        <w:top w:val="none" w:sz="0" w:space="0" w:color="auto"/>
        <w:left w:val="none" w:sz="0" w:space="0" w:color="auto"/>
        <w:bottom w:val="none" w:sz="0" w:space="0" w:color="auto"/>
        <w:right w:val="none" w:sz="0" w:space="0" w:color="auto"/>
      </w:divBdr>
    </w:div>
    <w:div w:id="21355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image" Target="media/image20.png"/><Relationship Id="rId21" Type="http://schemas.openxmlformats.org/officeDocument/2006/relationships/chart" Target="charts/chart3.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emf"/><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emf"/><Relationship Id="rId76" Type="http://schemas.openxmlformats.org/officeDocument/2006/relationships/image" Target="media/image53.emf"/><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package" Target="embeddings/Microsoft_Visio_Drawing111111.vsdx"/><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emf"/><Relationship Id="rId74" Type="http://schemas.openxmlformats.org/officeDocument/2006/relationships/image" Target="media/image52.emf"/><Relationship Id="rId79" Type="http://schemas.openxmlformats.org/officeDocument/2006/relationships/package" Target="embeddings/Microsoft_Visio_Drawing4555555.vsdx"/><Relationship Id="rId128" Type="http://schemas.microsoft.com/office/2016/09/relationships/commentsIds" Target="commentsIds.xml"/><Relationship Id="rId5" Type="http://schemas.microsoft.com/office/2007/relationships/stylesWithEffects" Target="stylesWithEffects.xml"/><Relationship Id="rId61" Type="http://schemas.openxmlformats.org/officeDocument/2006/relationships/image" Target="media/image42.jpeg"/><Relationship Id="rId82" Type="http://schemas.openxmlformats.org/officeDocument/2006/relationships/image" Target="media/image56.emf"/><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header" Target="header1.xml"/><Relationship Id="rId77" Type="http://schemas.openxmlformats.org/officeDocument/2006/relationships/package" Target="embeddings/Microsoft_Visio_Drawing3444444.vsdx"/><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image" Target="media/image51.emf"/><Relationship Id="rId80" Type="http://schemas.openxmlformats.org/officeDocument/2006/relationships/image" Target="media/image55.emf"/><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enmin.lt/lt/activity/veiklos_kryptys/strateginis_planavimas_ir_ES/ESCO_studija.pdf"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emf"/><Relationship Id="rId70" Type="http://schemas.openxmlformats.org/officeDocument/2006/relationships/image" Target="media/image50.emf"/><Relationship Id="rId75" Type="http://schemas.openxmlformats.org/officeDocument/2006/relationships/package" Target="embeddings/Microsoft_Visio_Drawing2333333.vsdx"/><Relationship Id="rId83" Type="http://schemas.openxmlformats.org/officeDocument/2006/relationships/package" Target="embeddings/Microsoft_Visio_Drawing6777777.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esparama.lt" TargetMode="External"/><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package" Target="embeddings/Microsoft_Visio_Drawing1222222.vsdx"/><Relationship Id="rId78" Type="http://schemas.openxmlformats.org/officeDocument/2006/relationships/image" Target="media/image54.emf"/><Relationship Id="rId81" Type="http://schemas.openxmlformats.org/officeDocument/2006/relationships/package" Target="embeddings/Microsoft_Visio_Drawing5666666.vsdx"/><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ib.int/loans/loan_characteristics" TargetMode="External"/><Relationship Id="rId13" Type="http://schemas.openxmlformats.org/officeDocument/2006/relationships/hyperlink" Target="http://www.eib.org/products/index.htm" TargetMode="External"/><Relationship Id="rId18" Type="http://schemas.openxmlformats.org/officeDocument/2006/relationships/hyperlink" Target="http://curia.europa.eu/juris/document/document.jsf?text=&amp;docid=79387&amp;pageIndex=0&amp;doclang=EN&amp;mode=lst&amp;dir=&amp;occ=first&amp;part=1&amp;cid=212184" TargetMode="External"/><Relationship Id="rId26" Type="http://schemas.openxmlformats.org/officeDocument/2006/relationships/hyperlink" Target="http://ec.europa.eu/competition/state_aid/legislation/base_rates_eu28bis_en.pdf" TargetMode="External"/><Relationship Id="rId3" Type="http://schemas.openxmlformats.org/officeDocument/2006/relationships/hyperlink" Target="http://www.panevezys.lt/lt/veikla/planavimo-dokumentai.html-" TargetMode="External"/><Relationship Id="rId21" Type="http://schemas.openxmlformats.org/officeDocument/2006/relationships/hyperlink" Target="http://curia.europa.eu/juris/document/document.jsf?text=&amp;docid=126821&amp;pageIndex=0&amp;doclang=FR&amp;mode=lst&amp;dir=&amp;occ=first&amp;part=1&amp;cid=89019" TargetMode="External"/><Relationship Id="rId34" Type="http://schemas.openxmlformats.org/officeDocument/2006/relationships/hyperlink" Target="http://www.stadtentwicklung.berlin.de/umwelt/klimaschutz/" TargetMode="External"/><Relationship Id="rId7" Type="http://schemas.openxmlformats.org/officeDocument/2006/relationships/hyperlink" Target="http://www.ppplietuva.lt" TargetMode="External"/><Relationship Id="rId12" Type="http://schemas.openxmlformats.org/officeDocument/2006/relationships/hyperlink" Target="http://www.eib.org/products/advising/elena/index.htm" TargetMode="External"/><Relationship Id="rId17" Type="http://schemas.openxmlformats.org/officeDocument/2006/relationships/hyperlink" Target="http://curia.europa.eu/juris/showPdf.jsf?text=&amp;docid=45608&amp;pageIndex=0&amp;doclang=EN&amp;mode=lst&amp;dir=&amp;occ=first&amp;part=1&amp;cid=210600" TargetMode="External"/><Relationship Id="rId25" Type="http://schemas.openxmlformats.org/officeDocument/2006/relationships/hyperlink" Target="http://ec.europa.eu/competition/state_aid/legislation/base_rates_eu28bis_en.pdf" TargetMode="External"/><Relationship Id="rId33" Type="http://schemas.openxmlformats.org/officeDocument/2006/relationships/hyperlink" Target="http://www.eib.org/attachments/documents/jessica_housing_study_final_report_en.pdf" TargetMode="External"/><Relationship Id="rId2" Type="http://schemas.openxmlformats.org/officeDocument/2006/relationships/hyperlink" Target="http://www.am.lt" TargetMode="External"/><Relationship Id="rId16" Type="http://schemas.openxmlformats.org/officeDocument/2006/relationships/hyperlink" Target="http://curia.europa.eu/juris/showPdf.jsf?text=&amp;docid=55528&amp;pageIndex=0&amp;doclang=EN&amp;mode=lst&amp;dir=&amp;occ=first&amp;part=1&amp;cid=86389" TargetMode="External"/><Relationship Id="rId20" Type="http://schemas.openxmlformats.org/officeDocument/2006/relationships/hyperlink" Target="http://curia.europa.eu/juris/document/document.jsf?text=&amp;docid=114865&amp;pageIndex=0&amp;doclang=EN&amp;mode=lst&amp;dir=&amp;occ=first&amp;part=1&amp;cid=86822" TargetMode="External"/><Relationship Id="rId29" Type="http://schemas.openxmlformats.org/officeDocument/2006/relationships/hyperlink" Target="http://www.europarl.europa.eu/meetdocs/2009_2014/documents/cont/dv/ecasr22012_/ecasr22012_en.pdf" TargetMode="External"/><Relationship Id="rId1" Type="http://schemas.openxmlformats.org/officeDocument/2006/relationships/hyperlink" Target="http://www.eib.org/attachments/documents/annex-to-supplementary-study-on-jessica-instrument-for-energy-efficiency-in-lithuania.pdf" TargetMode="External"/><Relationship Id="rId6" Type="http://schemas.openxmlformats.org/officeDocument/2006/relationships/hyperlink" Target="http://www.esparama.lt/priemone?priem_id=000bdd53800011a0" TargetMode="External"/><Relationship Id="rId11" Type="http://schemas.openxmlformats.org/officeDocument/2006/relationships/hyperlink" Target="http://www.eeef.eu/eligible-investments.html" TargetMode="External"/><Relationship Id="rId24" Type="http://schemas.openxmlformats.org/officeDocument/2006/relationships/hyperlink" Target="http://curia.europa.eu/juris/showPdf.jsf?text=&amp;docid=48533&amp;pageIndex=0&amp;doclang=EN&amp;mode=lst&amp;dir=&amp;occ=first&amp;part=1&amp;cid=96641" TargetMode="External"/><Relationship Id="rId32" Type="http://schemas.openxmlformats.org/officeDocument/2006/relationships/hyperlink" Target="http://www.eib.org/attachments/documents/jessica_energy_focused_udf_final_report_en.pdf" TargetMode="External"/><Relationship Id="rId5" Type="http://schemas.openxmlformats.org/officeDocument/2006/relationships/hyperlink" Target="http://www.esparama.lt/priemone?priem_id=000bdd538000119f" TargetMode="External"/><Relationship Id="rId15" Type="http://schemas.openxmlformats.org/officeDocument/2006/relationships/hyperlink" Target="http://curia.europa.eu/juris/showPdf.jsf?text=&amp;docid=47344&amp;pageIndex=0&amp;doclang=EN&amp;mode=lst&amp;dir=&amp;occ=first&amp;part=1&amp;cid=86024" TargetMode="External"/><Relationship Id="rId23" Type="http://schemas.openxmlformats.org/officeDocument/2006/relationships/hyperlink" Target="http://curia.europa.eu/juris/document/document.jsf?text=&amp;docid=109245&amp;pageIndex=0&amp;doclang=EN&amp;mode=lst&amp;dir=&amp;occ=first&amp;part=1&amp;cid=89019" TargetMode="External"/><Relationship Id="rId28" Type="http://schemas.openxmlformats.org/officeDocument/2006/relationships/hyperlink" Target="http://ec.europa.eu/competition/state_aid/legislation/base_rates_eu28bis_en.pdf" TargetMode="External"/><Relationship Id="rId10" Type="http://schemas.openxmlformats.org/officeDocument/2006/relationships/hyperlink" Target="http://www.eeef.eu/objective-of-the-fund.html" TargetMode="External"/><Relationship Id="rId19" Type="http://schemas.openxmlformats.org/officeDocument/2006/relationships/hyperlink" Target="http://curia.europa.eu/juris/showPdf.jsf?text=&amp;docid=98685&amp;pageIndex=0&amp;doclang=EN&amp;mode=lst&amp;dir=&amp;occ=first&amp;part=1&amp;cid=213139" TargetMode="External"/><Relationship Id="rId31" Type="http://schemas.openxmlformats.org/officeDocument/2006/relationships/hyperlink" Target="http://www.eib.org/attachments/documents/jessica_fg_final_report_en.pdf" TargetMode="External"/><Relationship Id="rId4" Type="http://schemas.openxmlformats.org/officeDocument/2006/relationships/hyperlink" Target="http://www.esparama.lt/priemone?priem_id=000bdd538000119e" TargetMode="External"/><Relationship Id="rId9" Type="http://schemas.openxmlformats.org/officeDocument/2006/relationships/hyperlink" Target="https://ec.europa.eu/energy/sites/ener/files/documents/4_berna_topaloglu_seif_prague_27-04-17.pdf" TargetMode="External"/><Relationship Id="rId14" Type="http://schemas.openxmlformats.org/officeDocument/2006/relationships/hyperlink" Target="http://curia.europa.eu/juris/document/document.jsf?text=&amp;docid=81510&amp;pageIndex=0&amp;doclang=EN&amp;mode=lst&amp;dir=&amp;occ=first&amp;part=1&amp;cid=210447" TargetMode="External"/><Relationship Id="rId22" Type="http://schemas.openxmlformats.org/officeDocument/2006/relationships/hyperlink" Target="http://curia.europa.eu/juris/document/document.jsf?text=&amp;docid=139759&amp;pageIndex=0&amp;doclang=EN&amp;mode=lst&amp;dir=&amp;occ=first&amp;part=1&amp;cid=89019" TargetMode="External"/><Relationship Id="rId27" Type="http://schemas.openxmlformats.org/officeDocument/2006/relationships/hyperlink" Target="http://ec.europa.eu/competition/state_aid/legislation/base_rates_eu28bis_en.pdf" TargetMode="External"/><Relationship Id="rId30" Type="http://schemas.openxmlformats.org/officeDocument/2006/relationships/hyperlink" Target="http://ec.europa.eu/regional_policy/sources/docoffic/official/communic/financial/financial_instruments_2012_e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vciapas003\Downloads\t-paskolos-ne-finansu-bendrovems-pagal-ekonomines-veiklos-ru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ciapas003\Downloads\t-pinigu-finansu-istaigu-paskolu-ir-indeliu-palukanu-normos-1%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lginiunait001\Desktop\Vytaytui%20schema.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'[t-paskolos-ne-finansu-bendrovems-pagal-ekonomines-veiklos-rusis.xlsx]Worksheet'!$A$14:$A$37</c:f>
              <c:strCache>
                <c:ptCount val="24"/>
                <c:pt idx="0">
                  <c:v>2011 - III ketv.</c:v>
                </c:pt>
                <c:pt idx="1">
                  <c:v>2011 - IV ketv.</c:v>
                </c:pt>
                <c:pt idx="2">
                  <c:v>2012 - I ketv.</c:v>
                </c:pt>
                <c:pt idx="3">
                  <c:v>2012 - II ketv.</c:v>
                </c:pt>
                <c:pt idx="4">
                  <c:v>2012 - III ketv.</c:v>
                </c:pt>
                <c:pt idx="5">
                  <c:v>2012 - IV ketv.</c:v>
                </c:pt>
                <c:pt idx="6">
                  <c:v>2013 - I ketv.</c:v>
                </c:pt>
                <c:pt idx="7">
                  <c:v>2013 - II ketv.</c:v>
                </c:pt>
                <c:pt idx="8">
                  <c:v>2013 - III ketv.</c:v>
                </c:pt>
                <c:pt idx="9">
                  <c:v>2013 - IV ketv.</c:v>
                </c:pt>
                <c:pt idx="10">
                  <c:v>2014 - I ketv.</c:v>
                </c:pt>
                <c:pt idx="11">
                  <c:v>2014 - II ketv.</c:v>
                </c:pt>
                <c:pt idx="12">
                  <c:v>2014 - III ketv.</c:v>
                </c:pt>
                <c:pt idx="13">
                  <c:v>2014 - IV ketv.</c:v>
                </c:pt>
                <c:pt idx="14">
                  <c:v>2015 - I ketv.</c:v>
                </c:pt>
                <c:pt idx="15">
                  <c:v>2015 - II ketv.</c:v>
                </c:pt>
                <c:pt idx="16">
                  <c:v>2015 - III ketv.</c:v>
                </c:pt>
                <c:pt idx="17">
                  <c:v>2015 - IV ketv.</c:v>
                </c:pt>
                <c:pt idx="18">
                  <c:v>2016 - I ketv.</c:v>
                </c:pt>
                <c:pt idx="19">
                  <c:v>2016 - II ketv.</c:v>
                </c:pt>
                <c:pt idx="20">
                  <c:v>2016 - III ketv.</c:v>
                </c:pt>
                <c:pt idx="21">
                  <c:v>2016 - IV ketv.</c:v>
                </c:pt>
                <c:pt idx="22">
                  <c:v>2017 - I ketv.</c:v>
                </c:pt>
                <c:pt idx="23">
                  <c:v>2017 - II ketv.</c:v>
                </c:pt>
              </c:strCache>
            </c:strRef>
          </c:cat>
          <c:val>
            <c:numRef>
              <c:f>'[t-paskolos-ne-finansu-bendrovems-pagal-ekonomines-veiklos-rusis.xlsx]Worksheet'!$B$14:$B$37</c:f>
              <c:numCache>
                <c:formatCode>General</c:formatCode>
                <c:ptCount val="24"/>
                <c:pt idx="0">
                  <c:v>8364100000</c:v>
                </c:pt>
                <c:pt idx="1">
                  <c:v>7814100000</c:v>
                </c:pt>
                <c:pt idx="2">
                  <c:v>7738500000</c:v>
                </c:pt>
                <c:pt idx="3">
                  <c:v>7874800000</c:v>
                </c:pt>
                <c:pt idx="4">
                  <c:v>7884800000</c:v>
                </c:pt>
                <c:pt idx="5">
                  <c:v>7839600000</c:v>
                </c:pt>
                <c:pt idx="6">
                  <c:v>7748300000</c:v>
                </c:pt>
                <c:pt idx="7">
                  <c:v>7317700000</c:v>
                </c:pt>
                <c:pt idx="8">
                  <c:v>7299500000</c:v>
                </c:pt>
                <c:pt idx="9">
                  <c:v>7526600000</c:v>
                </c:pt>
                <c:pt idx="10">
                  <c:v>7484700000</c:v>
                </c:pt>
                <c:pt idx="11">
                  <c:v>7579300000</c:v>
                </c:pt>
                <c:pt idx="12">
                  <c:v>7540700000</c:v>
                </c:pt>
                <c:pt idx="13">
                  <c:v>7389700000</c:v>
                </c:pt>
                <c:pt idx="14">
                  <c:v>7262000000</c:v>
                </c:pt>
                <c:pt idx="15">
                  <c:v>7463200000</c:v>
                </c:pt>
                <c:pt idx="16">
                  <c:v>7665700000</c:v>
                </c:pt>
                <c:pt idx="17">
                  <c:v>7624600000</c:v>
                </c:pt>
                <c:pt idx="18">
                  <c:v>7826000000</c:v>
                </c:pt>
                <c:pt idx="19">
                  <c:v>8130000000</c:v>
                </c:pt>
                <c:pt idx="20">
                  <c:v>8364900000</c:v>
                </c:pt>
                <c:pt idx="21">
                  <c:v>8222100000</c:v>
                </c:pt>
                <c:pt idx="22">
                  <c:v>8315900000</c:v>
                </c:pt>
                <c:pt idx="23">
                  <c:v>8345799999.999999</c:v>
                </c:pt>
              </c:numCache>
            </c:numRef>
          </c:val>
          <c:smooth val="0"/>
          <c:extLst xmlns:c16r2="http://schemas.microsoft.com/office/drawing/2015/06/chart">
            <c:ext xmlns:c16="http://schemas.microsoft.com/office/drawing/2014/chart" uri="{C3380CC4-5D6E-409C-BE32-E72D297353CC}">
              <c16:uniqueId val="{00000000-DFD8-4CCC-9D26-0A81AD15C5EF}"/>
            </c:ext>
          </c:extLst>
        </c:ser>
        <c:dLbls>
          <c:showLegendKey val="0"/>
          <c:showVal val="0"/>
          <c:showCatName val="0"/>
          <c:showSerName val="0"/>
          <c:showPercent val="0"/>
          <c:showBubbleSize val="0"/>
        </c:dLbls>
        <c:marker val="1"/>
        <c:smooth val="0"/>
        <c:axId val="53835648"/>
        <c:axId val="53837184"/>
      </c:lineChart>
      <c:catAx>
        <c:axId val="538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837184"/>
        <c:crosses val="autoZero"/>
        <c:auto val="1"/>
        <c:lblAlgn val="ctr"/>
        <c:lblOffset val="100"/>
        <c:tickLblSkip val="2"/>
        <c:noMultiLvlLbl val="0"/>
      </c:catAx>
      <c:valAx>
        <c:axId val="5383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835648"/>
        <c:crosses val="autoZero"/>
        <c:crossBetween val="between"/>
        <c:dispUnits>
          <c:builtInUnit val="millions"/>
          <c:dispUnitsLbl>
            <c:layout>
              <c:manualLayout>
                <c:xMode val="edge"/>
                <c:yMode val="edge"/>
                <c:x val="2.2222222222222223E-2"/>
                <c:y val="0.2731481481481481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EUR</a:t>
                  </a:r>
                  <a:endParaRPr lang="lt-LT"/>
                </a:p>
              </c:rich>
            </c:tx>
            <c:spPr>
              <a:noFill/>
              <a:ln>
                <a:noFill/>
              </a:ln>
              <a:effectLst/>
            </c:sp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'[t-pinigu-finansu-istaigu-paskolu-ir-indeliu-palukanu-normos-1 (1).xlsx]Worksheet'!$A$16</c:f>
              <c:strCache>
                <c:ptCount val="1"/>
                <c:pt idx="0">
                  <c:v>Pinigų finansų įstaigų paskolos euro zonos ne finansų bendrovėms – naujų susitarimų palūkanų normos
PNS.M.A2Y.A.C.A.U2.240.200.N.LT.PC___.E.SR</c:v>
                </c:pt>
              </c:strCache>
            </c:strRef>
          </c:tx>
          <c:spPr>
            <a:ln w="28575" cap="rnd">
              <a:solidFill>
                <a:schemeClr val="accent1"/>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(1).xlsx]Worksheet'!$B$16:$AG$16</c:f>
            </c:numRef>
          </c:val>
          <c:smooth val="0"/>
          <c:extLst xmlns:c16r2="http://schemas.microsoft.com/office/drawing/2015/06/chart">
            <c:ext xmlns:c16="http://schemas.microsoft.com/office/drawing/2014/chart" uri="{C3380CC4-5D6E-409C-BE32-E72D297353CC}">
              <c16:uniqueId val="{00000000-C24C-4834-889F-18C599DFE291}"/>
            </c:ext>
          </c:extLst>
        </c:ser>
        <c:ser>
          <c:idx val="1"/>
          <c:order val="1"/>
          <c:tx>
            <c:strRef>
              <c:f>'[t-pinigu-finansu-istaigu-paskolu-ir-indeliu-palukanu-normos-1 (1).xlsx]Worksheet'!$A$17</c:f>
              <c:strCache>
                <c:ptCount val="1"/>
                <c:pt idx="0">
                  <c:v>Pinigų finansų įstaigų paskolos euro zonos ne finansų bendrovėms – naujų susitarimų sumos
PNS.M.A2Y.A.B.A.U2.240.200.N.LT.PC___.E.SR</c:v>
                </c:pt>
              </c:strCache>
            </c:strRef>
          </c:tx>
          <c:spPr>
            <a:ln w="28575" cap="rnd">
              <a:solidFill>
                <a:schemeClr val="accent2"/>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(1).xlsx]Worksheet'!$B$17:$AG$17</c:f>
            </c:numRef>
          </c:val>
          <c:smooth val="0"/>
          <c:extLst xmlns:c16r2="http://schemas.microsoft.com/office/drawing/2015/06/chart">
            <c:ext xmlns:c16="http://schemas.microsoft.com/office/drawing/2014/chart" uri="{C3380CC4-5D6E-409C-BE32-E72D297353CC}">
              <c16:uniqueId val="{00000001-C24C-4834-889F-18C599DFE291}"/>
            </c:ext>
          </c:extLst>
        </c:ser>
        <c:ser>
          <c:idx val="2"/>
          <c:order val="2"/>
          <c:tx>
            <c:strRef>
              <c:f>'[t-pinigu-finansu-istaigu-paskolu-ir-indeliu-palukanu-normos-1 (1).xlsx]Worksheet'!$A$18</c:f>
              <c:strCache>
                <c:ptCount val="1"/>
                <c:pt idx="0">
                  <c:v>Pinigų finansų įstaigų paskolos euro zonos ne finansų bendrovėms, pradinis palūkanų normos fiksavimo laikotarpis iki 1 metų – naujų susitarimų palūkanų normos
PNS.M.A2Y.B.C.A.U2.240.200.N.LT.PC___.E.SR</c:v>
                </c:pt>
              </c:strCache>
            </c:strRef>
          </c:tx>
          <c:spPr>
            <a:ln w="28575" cap="rnd">
              <a:solidFill>
                <a:schemeClr val="accent3"/>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(1).xlsx]Worksheet'!$B$18:$AG$18</c:f>
            </c:numRef>
          </c:val>
          <c:smooth val="0"/>
          <c:extLst xmlns:c16r2="http://schemas.microsoft.com/office/drawing/2015/06/chart">
            <c:ext xmlns:c16="http://schemas.microsoft.com/office/drawing/2014/chart" uri="{C3380CC4-5D6E-409C-BE32-E72D297353CC}">
              <c16:uniqueId val="{00000002-C24C-4834-889F-18C599DFE291}"/>
            </c:ext>
          </c:extLst>
        </c:ser>
        <c:ser>
          <c:idx val="3"/>
          <c:order val="3"/>
          <c:tx>
            <c:strRef>
              <c:f>'[t-pinigu-finansu-istaigu-paskolu-ir-indeliu-palukanu-normos-1 (1).xlsx]Worksheet'!$A$19</c:f>
              <c:strCache>
                <c:ptCount val="1"/>
                <c:pt idx="0">
                  <c:v>Pinigų finansų įstaigų paskolos euro zonos ne finansų bendrovėms, pradinis palūkanų normos fiksavimo laikotarpis iki 1 metų – naujų susitarimų sumos
PNS.M.A2Y.B.B.A.U2.240.200.N.LT.PC___.E.SR</c:v>
                </c:pt>
              </c:strCache>
            </c:strRef>
          </c:tx>
          <c:spPr>
            <a:ln w="28575" cap="rnd">
              <a:solidFill>
                <a:schemeClr val="accent4"/>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(1).xlsx]Worksheet'!$B$19:$AG$19</c:f>
            </c:numRef>
          </c:val>
          <c:smooth val="0"/>
          <c:extLst xmlns:c16r2="http://schemas.microsoft.com/office/drawing/2015/06/chart">
            <c:ext xmlns:c16="http://schemas.microsoft.com/office/drawing/2014/chart" uri="{C3380CC4-5D6E-409C-BE32-E72D297353CC}">
              <c16:uniqueId val="{00000003-C24C-4834-889F-18C599DFE291}"/>
            </c:ext>
          </c:extLst>
        </c:ser>
        <c:ser>
          <c:idx val="4"/>
          <c:order val="4"/>
          <c:tx>
            <c:strRef>
              <c:f>'[t-pinigu-finansu-istaigu-paskolu-ir-indeliu-palukanu-normos-1 (1).xlsx]Worksheet'!$A$20</c:f>
              <c:strCache>
                <c:ptCount val="1"/>
                <c:pt idx="0">
                  <c:v>Pinigų finansų įstaigų paskolos euro zonos ne finansų bendrovėms, pradinis palūkanų normos fiksavimo laikotarpis nuo 1 metų – naujų susitarimų palūkanų normos
PNS.M.A2Y.J.C.A.U2.240.200.N.LT.PC___.E.SR</c:v>
                </c:pt>
              </c:strCache>
            </c:strRef>
          </c:tx>
          <c:spPr>
            <a:ln w="28575" cap="rnd">
              <a:solidFill>
                <a:schemeClr val="accent5"/>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(1).xlsx]Worksheet'!$B$20:$AG$20</c:f>
            </c:numRef>
          </c:val>
          <c:smooth val="0"/>
          <c:extLst xmlns:c16r2="http://schemas.microsoft.com/office/drawing/2015/06/chart">
            <c:ext xmlns:c16="http://schemas.microsoft.com/office/drawing/2014/chart" uri="{C3380CC4-5D6E-409C-BE32-E72D297353CC}">
              <c16:uniqueId val="{00000004-C24C-4834-889F-18C599DFE291}"/>
            </c:ext>
          </c:extLst>
        </c:ser>
        <c:ser>
          <c:idx val="5"/>
          <c:order val="5"/>
          <c:tx>
            <c:strRef>
              <c:f>'[t-pinigu-finansu-istaigu-paskolu-ir-indeliu-palukanu-normos-1 (1).xlsx]Worksheet'!$A$21</c:f>
              <c:strCache>
                <c:ptCount val="1"/>
                <c:pt idx="0">
                  <c:v>Pinigų finansų įstaigų paskolos euro zonos ne finansų bendrovėms, pradinis palūkanų normos fiksavimo laikotarpis nuo 1 metų – naujų susitarimų sumos
PNS.M.A2Y.J.B.A.U2.240.200.N.LT.PC___.E.SR</c:v>
                </c:pt>
              </c:strCache>
            </c:strRef>
          </c:tx>
          <c:spPr>
            <a:ln w="28575" cap="rnd">
              <a:solidFill>
                <a:schemeClr val="accent6"/>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(1).xlsx]Worksheet'!$B$21:$AG$21</c:f>
            </c:numRef>
          </c:val>
          <c:smooth val="0"/>
          <c:extLst xmlns:c16r2="http://schemas.microsoft.com/office/drawing/2015/06/chart">
            <c:ext xmlns:c16="http://schemas.microsoft.com/office/drawing/2014/chart" uri="{C3380CC4-5D6E-409C-BE32-E72D297353CC}">
              <c16:uniqueId val="{00000005-C24C-4834-889F-18C599DFE291}"/>
            </c:ext>
          </c:extLst>
        </c:ser>
        <c:ser>
          <c:idx val="6"/>
          <c:order val="6"/>
          <c:tx>
            <c:strRef>
              <c:f>'[t-pinigu-finansu-istaigu-paskolu-ir-indeliu-palukanu-normos-1 (1).xlsx]Worksheet'!$A$22</c:f>
              <c:strCache>
                <c:ptCount val="1"/>
                <c:pt idx="0">
                  <c:v>Pinigų finansų įstaigų paskolos iki 1 mln. eurų euro zonos ne finansų bendrovėms – naujų susitarimų palūkanų normos
PNS.M.A2Y.A.C.0.U2.240.200.N.LT.PC___.E.SR</c:v>
                </c:pt>
              </c:strCache>
            </c:strRef>
          </c:tx>
          <c:spPr>
            <a:ln w="28575" cap="rnd">
              <a:solidFill>
                <a:schemeClr val="accent1">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(1).xlsx]Worksheet'!$B$22:$AG$22</c:f>
            </c:numRef>
          </c:val>
          <c:smooth val="0"/>
          <c:extLst xmlns:c16r2="http://schemas.microsoft.com/office/drawing/2015/06/chart">
            <c:ext xmlns:c16="http://schemas.microsoft.com/office/drawing/2014/chart" uri="{C3380CC4-5D6E-409C-BE32-E72D297353CC}">
              <c16:uniqueId val="{00000006-C24C-4834-889F-18C599DFE291}"/>
            </c:ext>
          </c:extLst>
        </c:ser>
        <c:ser>
          <c:idx val="7"/>
          <c:order val="7"/>
          <c:tx>
            <c:strRef>
              <c:f>'[t-pinigu-finansu-istaigu-paskolu-ir-indeliu-palukanu-normos-1 (1).xlsx]Worksheet'!$A$23</c:f>
              <c:strCache>
                <c:ptCount val="1"/>
                <c:pt idx="0">
                  <c:v>Pinigų finansų įstaigų paskolos iki 1 mln. eurų euro zonos ne finansų bendrovėms – naujų susitarimų sumos
PNS.M.A2Y.A.B.0.U2.240.200.N.LT.PC___.E.SR</c:v>
                </c:pt>
              </c:strCache>
            </c:strRef>
          </c:tx>
          <c:spPr>
            <a:ln w="28575" cap="rnd">
              <a:solidFill>
                <a:schemeClr val="accent2">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(1).xlsx]Worksheet'!$B$23:$AG$23</c:f>
            </c:numRef>
          </c:val>
          <c:smooth val="0"/>
          <c:extLst xmlns:c16r2="http://schemas.microsoft.com/office/drawing/2015/06/chart">
            <c:ext xmlns:c16="http://schemas.microsoft.com/office/drawing/2014/chart" uri="{C3380CC4-5D6E-409C-BE32-E72D297353CC}">
              <c16:uniqueId val="{00000007-C24C-4834-889F-18C599DFE291}"/>
            </c:ext>
          </c:extLst>
        </c:ser>
        <c:ser>
          <c:idx val="8"/>
          <c:order val="8"/>
          <c:tx>
            <c:strRef>
              <c:f>'[t-pinigu-finansu-istaigu-paskolu-ir-indeliu-palukanu-normos-1 (1).xlsx]Worksheet'!$A$24</c:f>
              <c:strCache>
                <c:ptCount val="1"/>
                <c:pt idx="0">
                  <c:v>Pinigų finansų įstaigų paskolos iki 1 mln. eurų euro zonos ne finansų bendrovėms, pradinis palūkanų normos fiksavimo laikotarpis iki 1 metų – naujų susitarimų palūkanų normos
PNS.M.A2Y.B.C.0.U2.240.200.N.LT.PC___.E.SR</c:v>
                </c:pt>
              </c:strCache>
            </c:strRef>
          </c:tx>
          <c:spPr>
            <a:ln w="28575" cap="rnd">
              <a:solidFill>
                <a:schemeClr val="accent3">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(1).xlsx]Worksheet'!$B$24:$AG$24</c:f>
            </c:numRef>
          </c:val>
          <c:smooth val="0"/>
          <c:extLst xmlns:c16r2="http://schemas.microsoft.com/office/drawing/2015/06/chart">
            <c:ext xmlns:c16="http://schemas.microsoft.com/office/drawing/2014/chart" uri="{C3380CC4-5D6E-409C-BE32-E72D297353CC}">
              <c16:uniqueId val="{00000008-C24C-4834-889F-18C599DFE291}"/>
            </c:ext>
          </c:extLst>
        </c:ser>
        <c:ser>
          <c:idx val="9"/>
          <c:order val="9"/>
          <c:tx>
            <c:strRef>
              <c:f>'[t-pinigu-finansu-istaigu-paskolu-ir-indeliu-palukanu-normos-1 (1).xlsx]Worksheet'!$A$25</c:f>
              <c:strCache>
                <c:ptCount val="1"/>
                <c:pt idx="0">
                  <c:v>Pinigų finansų įstaigų paskolos iki 1 mln. eurų euro zonos ne finansų bendrovėms, pradinis palūkanų normos fiksavimo laikotarpis iki 1 metų – naujų susitarimų sumos
PNS.M.A2Y.B.B.0.U2.240.200.N.LT.PC___.E.SR</c:v>
                </c:pt>
              </c:strCache>
            </c:strRef>
          </c:tx>
          <c:spPr>
            <a:ln w="28575" cap="rnd">
              <a:solidFill>
                <a:schemeClr val="accent4">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(1).xlsx]Worksheet'!$B$25:$AG$25</c:f>
            </c:numRef>
          </c:val>
          <c:smooth val="0"/>
          <c:extLst xmlns:c16r2="http://schemas.microsoft.com/office/drawing/2015/06/chart">
            <c:ext xmlns:c16="http://schemas.microsoft.com/office/drawing/2014/chart" uri="{C3380CC4-5D6E-409C-BE32-E72D297353CC}">
              <c16:uniqueId val="{00000009-C24C-4834-889F-18C599DFE291}"/>
            </c:ext>
          </c:extLst>
        </c:ser>
        <c:ser>
          <c:idx val="10"/>
          <c:order val="10"/>
          <c:tx>
            <c:strRef>
              <c:f>'[t-pinigu-finansu-istaigu-paskolu-ir-indeliu-palukanu-normos-1 (1).xlsx]Worksheet'!$A$26</c:f>
              <c:strCache>
                <c:ptCount val="1"/>
                <c:pt idx="0">
                  <c:v>Pinigų finansų įstaigų paskolos iki 1 mln. eurų euro zonos ne finansų bendrovėms, pradinis palūkanų normos fiksavimo laikotarpis nuo 1 metų – naujų susitarimų palūkanų normos
PNS.M.A2Y.J.C.0.U2.240.200.N.LT.PC___.E.SR</c:v>
                </c:pt>
              </c:strCache>
            </c:strRef>
          </c:tx>
          <c:spPr>
            <a:ln w="28575" cap="rnd">
              <a:solidFill>
                <a:schemeClr val="accent5">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(1).xlsx]Worksheet'!$B$26:$AG$26</c:f>
            </c:numRef>
          </c:val>
          <c:smooth val="0"/>
          <c:extLst xmlns:c16r2="http://schemas.microsoft.com/office/drawing/2015/06/chart">
            <c:ext xmlns:c16="http://schemas.microsoft.com/office/drawing/2014/chart" uri="{C3380CC4-5D6E-409C-BE32-E72D297353CC}">
              <c16:uniqueId val="{0000000A-C24C-4834-889F-18C599DFE291}"/>
            </c:ext>
          </c:extLst>
        </c:ser>
        <c:ser>
          <c:idx val="11"/>
          <c:order val="11"/>
          <c:tx>
            <c:strRef>
              <c:f>'[t-pinigu-finansu-istaigu-paskolu-ir-indeliu-palukanu-normos-1 (1).xlsx]Worksheet'!$A$27</c:f>
              <c:strCache>
                <c:ptCount val="1"/>
                <c:pt idx="0">
                  <c:v>Pinigų finansų įstaigų paskolos iki 1 mln. eurų euro zonos ne finansų bendrovėms, pradinis palūkanų normos fiksavimo laikotarpis nuo 1 metų – naujų susitarimų sumos
PNS.M.A2Y.J.B.0.U2.240.200.N.LT.PC___.E.SR</c:v>
                </c:pt>
              </c:strCache>
            </c:strRef>
          </c:tx>
          <c:spPr>
            <a:ln w="28575" cap="rnd">
              <a:solidFill>
                <a:schemeClr val="accent6">
                  <a:lumMod val="6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(1).xlsx]Worksheet'!$B$27:$AG$27</c:f>
            </c:numRef>
          </c:val>
          <c:smooth val="0"/>
          <c:extLst xmlns:c16r2="http://schemas.microsoft.com/office/drawing/2015/06/chart">
            <c:ext xmlns:c16="http://schemas.microsoft.com/office/drawing/2014/chart" uri="{C3380CC4-5D6E-409C-BE32-E72D297353CC}">
              <c16:uniqueId val="{0000000B-C24C-4834-889F-18C599DFE291}"/>
            </c:ext>
          </c:extLst>
        </c:ser>
        <c:ser>
          <c:idx val="12"/>
          <c:order val="12"/>
          <c:tx>
            <c:strRef>
              <c:f>'[t-pinigu-finansu-istaigu-paskolu-ir-indeliu-palukanu-normos-1 (1).xlsx]Worksheet'!$A$28</c:f>
              <c:strCache>
                <c:ptCount val="1"/>
                <c:pt idx="0">
                  <c:v>Pinigų finansų įstaigų paskolos nuo 1 mln. eurų euro zonos ne finansų bendrovėms – naujų susitarimų palūkanų normos
PNS.M.A2Y.A.C.1.U2.240.200.N.LT.PC___.E.SR</c:v>
                </c:pt>
              </c:strCache>
            </c:strRef>
          </c:tx>
          <c:spPr>
            <a:ln w="28575" cap="rnd">
              <a:solidFill>
                <a:schemeClr val="accent1">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(1).xlsx]Worksheet'!$B$28:$AG$28</c:f>
            </c:numRef>
          </c:val>
          <c:smooth val="0"/>
          <c:extLst xmlns:c16r2="http://schemas.microsoft.com/office/drawing/2015/06/chart">
            <c:ext xmlns:c16="http://schemas.microsoft.com/office/drawing/2014/chart" uri="{C3380CC4-5D6E-409C-BE32-E72D297353CC}">
              <c16:uniqueId val="{0000000C-C24C-4834-889F-18C599DFE291}"/>
            </c:ext>
          </c:extLst>
        </c:ser>
        <c:ser>
          <c:idx val="13"/>
          <c:order val="13"/>
          <c:tx>
            <c:strRef>
              <c:f>'[t-pinigu-finansu-istaigu-paskolu-ir-indeliu-palukanu-normos-1 (1).xlsx]Worksheet'!$A$29</c:f>
              <c:strCache>
                <c:ptCount val="1"/>
                <c:pt idx="0">
                  <c:v>Pinigų finansų įstaigų paskolos nuo 1 mln. eurų euro zonos ne finansų bendrovėms – naujų susitarimų sumos
PNS.M.A2Y.A.B.1.U2.240.200.N.LT.PC___.E.SR</c:v>
                </c:pt>
              </c:strCache>
            </c:strRef>
          </c:tx>
          <c:spPr>
            <a:ln w="28575" cap="rnd">
              <a:solidFill>
                <a:schemeClr val="accent2">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(1).xlsx]Worksheet'!$B$29:$AG$29</c:f>
            </c:numRef>
          </c:val>
          <c:smooth val="0"/>
          <c:extLst xmlns:c16r2="http://schemas.microsoft.com/office/drawing/2015/06/chart">
            <c:ext xmlns:c16="http://schemas.microsoft.com/office/drawing/2014/chart" uri="{C3380CC4-5D6E-409C-BE32-E72D297353CC}">
              <c16:uniqueId val="{0000000D-C24C-4834-889F-18C599DFE291}"/>
            </c:ext>
          </c:extLst>
        </c:ser>
        <c:ser>
          <c:idx val="14"/>
          <c:order val="14"/>
          <c:tx>
            <c:strRef>
              <c:f>'[t-pinigu-finansu-istaigu-paskolu-ir-indeliu-palukanu-normos-1 (1).xlsx]Worksheet'!$A$30</c:f>
              <c:strCache>
                <c:ptCount val="1"/>
                <c:pt idx="0">
                  <c:v>Pinigų finansų įstaigų paskolos nuo 1 mln. eurų euro zonos ne finansų bendrovėms, pradinis palūkanų normos fiksavimo laikotarpis iki 1 metų – naujų susitarimų palūkanų normos
PNS.M.A2Y.B.C.1.U2.240.200.N.LT.PC___.E.SR</c:v>
                </c:pt>
              </c:strCache>
            </c:strRef>
          </c:tx>
          <c:spPr>
            <a:ln w="28575" cap="rnd">
              <a:solidFill>
                <a:schemeClr val="accent3">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(1).xlsx]Worksheet'!$B$30:$AG$30</c:f>
            </c:numRef>
          </c:val>
          <c:smooth val="0"/>
          <c:extLst xmlns:c16r2="http://schemas.microsoft.com/office/drawing/2015/06/chart">
            <c:ext xmlns:c16="http://schemas.microsoft.com/office/drawing/2014/chart" uri="{C3380CC4-5D6E-409C-BE32-E72D297353CC}">
              <c16:uniqueId val="{0000000E-C24C-4834-889F-18C599DFE291}"/>
            </c:ext>
          </c:extLst>
        </c:ser>
        <c:ser>
          <c:idx val="15"/>
          <c:order val="15"/>
          <c:tx>
            <c:strRef>
              <c:f>'[t-pinigu-finansu-istaigu-paskolu-ir-indeliu-palukanu-normos-1 (1).xlsx]Worksheet'!$A$31</c:f>
              <c:strCache>
                <c:ptCount val="1"/>
                <c:pt idx="0">
                  <c:v>Pinigų finansų įstaigų paskolos nuo 1 mln. eurų euro zonos ne finansų bendrovėms, pradinis palūkanų normos fiksavimo laikotarpis iki 1 metų – naujų susitarimų sumos
PNS.M.A2Y.B.B.1.U2.240.200.N.LT.PC___.E.SR</c:v>
                </c:pt>
              </c:strCache>
            </c:strRef>
          </c:tx>
          <c:spPr>
            <a:ln w="28575" cap="rnd">
              <a:solidFill>
                <a:schemeClr val="accent4">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(1).xlsx]Worksheet'!$B$31:$AG$31</c:f>
            </c:numRef>
          </c:val>
          <c:smooth val="0"/>
          <c:extLst xmlns:c16r2="http://schemas.microsoft.com/office/drawing/2015/06/chart">
            <c:ext xmlns:c16="http://schemas.microsoft.com/office/drawing/2014/chart" uri="{C3380CC4-5D6E-409C-BE32-E72D297353CC}">
              <c16:uniqueId val="{0000000F-C24C-4834-889F-18C599DFE291}"/>
            </c:ext>
          </c:extLst>
        </c:ser>
        <c:ser>
          <c:idx val="16"/>
          <c:order val="16"/>
          <c:tx>
            <c:strRef>
              <c:f>'[t-pinigu-finansu-istaigu-paskolu-ir-indeliu-palukanu-normos-1 (1).xlsx]Worksheet'!$A$32</c:f>
              <c:strCache>
                <c:ptCount val="1"/>
                <c:pt idx="0">
                  <c:v>Pinigų finansų įstaigų paskolos nuo 1 mln. eurų euro zonos ne finansų bendrovėms, pradinis palūkanų normos fiksavimo laikotarpis nuo 1 metų – naujų susitarimų palūkanų normos
PNS.M.A2Y.J.C.1.U2.240.200.N.LT.PC___.E.SR</c:v>
                </c:pt>
              </c:strCache>
            </c:strRef>
          </c:tx>
          <c:spPr>
            <a:ln w="28575" cap="rnd">
              <a:solidFill>
                <a:schemeClr val="accent5">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(1).xlsx]Worksheet'!$B$32:$AG$32</c:f>
            </c:numRef>
          </c:val>
          <c:smooth val="0"/>
          <c:extLst xmlns:c16r2="http://schemas.microsoft.com/office/drawing/2015/06/chart">
            <c:ext xmlns:c16="http://schemas.microsoft.com/office/drawing/2014/chart" uri="{C3380CC4-5D6E-409C-BE32-E72D297353CC}">
              <c16:uniqueId val="{00000010-C24C-4834-889F-18C599DFE291}"/>
            </c:ext>
          </c:extLst>
        </c:ser>
        <c:ser>
          <c:idx val="17"/>
          <c:order val="17"/>
          <c:tx>
            <c:strRef>
              <c:f>'[t-pinigu-finansu-istaigu-paskolu-ir-indeliu-palukanu-normos-1 (1).xlsx]Worksheet'!$A$33</c:f>
              <c:strCache>
                <c:ptCount val="1"/>
                <c:pt idx="0">
                  <c:v>Pinigų finansų įstaigų paskolos nuo 1 mln. eurų euro zonos ne finansų bendrovėms, pradinis palūkanų normos fiksavimo laikotarpis nuo 1 metų – naujų susitarimų sumos
PNS.M.A2Y.J.B.1.U2.240.200.N.LT.PC___.E.SR</c:v>
                </c:pt>
              </c:strCache>
            </c:strRef>
          </c:tx>
          <c:spPr>
            <a:ln w="28575" cap="rnd">
              <a:solidFill>
                <a:schemeClr val="accent6">
                  <a:lumMod val="80000"/>
                  <a:lumOff val="2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(1).xlsx]Worksheet'!$B$33:$AG$33</c:f>
            </c:numRef>
          </c:val>
          <c:smooth val="0"/>
          <c:extLst xmlns:c16r2="http://schemas.microsoft.com/office/drawing/2015/06/chart">
            <c:ext xmlns:c16="http://schemas.microsoft.com/office/drawing/2014/chart" uri="{C3380CC4-5D6E-409C-BE32-E72D297353CC}">
              <c16:uniqueId val="{00000011-C24C-4834-889F-18C599DFE291}"/>
            </c:ext>
          </c:extLst>
        </c:ser>
        <c:ser>
          <c:idx val="18"/>
          <c:order val="18"/>
          <c:tx>
            <c:strRef>
              <c:f>'[t-pinigu-finansu-istaigu-paskolu-ir-indeliu-palukanu-normos-1 (1).xlsx]Worksheet'!$A$34</c:f>
              <c:strCache>
                <c:ptCount val="1"/>
                <c:pt idx="0">
                  <c:v>Euro zonos ne finansų bendrovių sutarto termino indėliai pinigų finansų įstaigose – naujų susitarimų palūkanų normos
PNS.M.L22.A.C.A.U2.240.200.N.LT.PC___.E.SR</c:v>
                </c:pt>
              </c:strCache>
            </c:strRef>
          </c:tx>
          <c:spPr>
            <a:ln w="28575" cap="rnd">
              <a:solidFill>
                <a:schemeClr val="accent1">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(1).xlsx]Worksheet'!$B$34:$AG$34</c:f>
            </c:numRef>
          </c:val>
          <c:smooth val="0"/>
          <c:extLst xmlns:c16r2="http://schemas.microsoft.com/office/drawing/2015/06/chart">
            <c:ext xmlns:c16="http://schemas.microsoft.com/office/drawing/2014/chart" uri="{C3380CC4-5D6E-409C-BE32-E72D297353CC}">
              <c16:uniqueId val="{00000012-C24C-4834-889F-18C599DFE291}"/>
            </c:ext>
          </c:extLst>
        </c:ser>
        <c:ser>
          <c:idx val="19"/>
          <c:order val="19"/>
          <c:tx>
            <c:strRef>
              <c:f>'[t-pinigu-finansu-istaigu-paskolu-ir-indeliu-palukanu-normos-1 (1).xlsx]Worksheet'!$A$35</c:f>
              <c:strCache>
                <c:ptCount val="1"/>
                <c:pt idx="0">
                  <c:v>Euro zonos ne finansų bendrovių sutarto termino indėliai pinigų finansų įstaigose – naujų susitarimų sumos
PNS.M.L22.A.B.A.U2.240.200.N.LT.PC___.E.SR</c:v>
                </c:pt>
              </c:strCache>
            </c:strRef>
          </c:tx>
          <c:spPr>
            <a:ln w="28575" cap="rnd">
              <a:solidFill>
                <a:schemeClr val="accent2">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(1).xlsx]Worksheet'!$B$35:$AG$35</c:f>
            </c:numRef>
          </c:val>
          <c:smooth val="0"/>
          <c:extLst xmlns:c16r2="http://schemas.microsoft.com/office/drawing/2015/06/chart">
            <c:ext xmlns:c16="http://schemas.microsoft.com/office/drawing/2014/chart" uri="{C3380CC4-5D6E-409C-BE32-E72D297353CC}">
              <c16:uniqueId val="{00000013-C24C-4834-889F-18C599DFE291}"/>
            </c:ext>
          </c:extLst>
        </c:ser>
        <c:ser>
          <c:idx val="20"/>
          <c:order val="20"/>
          <c:tx>
            <c:strRef>
              <c:f>'[t-pinigu-finansu-istaigu-paskolu-ir-indeliu-palukanu-normos-1 (1).xlsx]Worksheet'!$A$36</c:f>
              <c:strCache>
                <c:ptCount val="1"/>
                <c:pt idx="0">
                  <c:v>Euro zonos ne finansų bendrovių sutarto termino indėliai iki 1 mėn. pinigų finansų įstaigose – naujų susitarimų palūkanų normos
PNS.M.L22.Q.C.A.U2.240.200.N.LT.PC___.E.SR</c:v>
                </c:pt>
              </c:strCache>
            </c:strRef>
          </c:tx>
          <c:spPr>
            <a:ln w="28575" cap="rnd">
              <a:solidFill>
                <a:schemeClr val="accent3">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(1).xlsx]Worksheet'!$B$36:$AG$36</c:f>
            </c:numRef>
          </c:val>
          <c:smooth val="0"/>
          <c:extLst xmlns:c16r2="http://schemas.microsoft.com/office/drawing/2015/06/chart">
            <c:ext xmlns:c16="http://schemas.microsoft.com/office/drawing/2014/chart" uri="{C3380CC4-5D6E-409C-BE32-E72D297353CC}">
              <c16:uniqueId val="{00000014-C24C-4834-889F-18C599DFE291}"/>
            </c:ext>
          </c:extLst>
        </c:ser>
        <c:ser>
          <c:idx val="21"/>
          <c:order val="21"/>
          <c:tx>
            <c:strRef>
              <c:f>'[t-pinigu-finansu-istaigu-paskolu-ir-indeliu-palukanu-normos-1 (1).xlsx]Worksheet'!$A$37</c:f>
              <c:strCache>
                <c:ptCount val="1"/>
                <c:pt idx="0">
                  <c:v>Euro zonos ne finansų bendrovių sutarto termino indėliai iki 1 mėn. pinigų finansų įstaigose – naujų susitarimų sumos
PNS.M.L22.Q.B.A.U2.240.200.N.LT.PC___.E.SR</c:v>
                </c:pt>
              </c:strCache>
            </c:strRef>
          </c:tx>
          <c:spPr>
            <a:ln w="28575" cap="rnd">
              <a:solidFill>
                <a:schemeClr val="accent4">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(1).xlsx]Worksheet'!$B$37:$AG$37</c:f>
            </c:numRef>
          </c:val>
          <c:smooth val="0"/>
          <c:extLst xmlns:c16r2="http://schemas.microsoft.com/office/drawing/2015/06/chart">
            <c:ext xmlns:c16="http://schemas.microsoft.com/office/drawing/2014/chart" uri="{C3380CC4-5D6E-409C-BE32-E72D297353CC}">
              <c16:uniqueId val="{00000015-C24C-4834-889F-18C599DFE291}"/>
            </c:ext>
          </c:extLst>
        </c:ser>
        <c:ser>
          <c:idx val="22"/>
          <c:order val="22"/>
          <c:tx>
            <c:strRef>
              <c:f>'[t-pinigu-finansu-istaigu-paskolu-ir-indeliu-palukanu-normos-1 (1).xlsx]Worksheet'!$A$38</c:f>
              <c:strCache>
                <c:ptCount val="1"/>
                <c:pt idx="0">
                  <c:v>Euro zonos ne finansų bendrovių sutarto termino indėliai nuo 1 iki 6 mėn. pinigų finansų įstaigose – naujų susitarimų palūkanų normos
PNS.M.L22.R.C.A.U2.240.200.N.LT.PC___.E.SR</c:v>
                </c:pt>
              </c:strCache>
            </c:strRef>
          </c:tx>
          <c:spPr>
            <a:ln w="28575" cap="rnd">
              <a:solidFill>
                <a:schemeClr val="accent5">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(1).xlsx]Worksheet'!$B$38:$AG$38</c:f>
            </c:numRef>
          </c:val>
          <c:smooth val="0"/>
          <c:extLst xmlns:c16r2="http://schemas.microsoft.com/office/drawing/2015/06/chart">
            <c:ext xmlns:c16="http://schemas.microsoft.com/office/drawing/2014/chart" uri="{C3380CC4-5D6E-409C-BE32-E72D297353CC}">
              <c16:uniqueId val="{00000016-C24C-4834-889F-18C599DFE291}"/>
            </c:ext>
          </c:extLst>
        </c:ser>
        <c:ser>
          <c:idx val="23"/>
          <c:order val="23"/>
          <c:tx>
            <c:strRef>
              <c:f>'[t-pinigu-finansu-istaigu-paskolu-ir-indeliu-palukanu-normos-1 (1).xlsx]Worksheet'!$A$39</c:f>
              <c:strCache>
                <c:ptCount val="1"/>
                <c:pt idx="0">
                  <c:v>Euro zonos ne finansų bendrovių sutarto termino indėliai nuo 1 iki 6 mėn. pinigų finansų įstaigose – naujų susitarimų sumos
PNS.M.L22.R.B.A.U2.240.200.N.LT.PC___.E.SR</c:v>
                </c:pt>
              </c:strCache>
            </c:strRef>
          </c:tx>
          <c:spPr>
            <a:ln w="28575" cap="rnd">
              <a:solidFill>
                <a:schemeClr val="accent6">
                  <a:lumMod val="8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(1).xlsx]Worksheet'!$B$39:$AG$39</c:f>
            </c:numRef>
          </c:val>
          <c:smooth val="0"/>
          <c:extLst xmlns:c16r2="http://schemas.microsoft.com/office/drawing/2015/06/chart">
            <c:ext xmlns:c16="http://schemas.microsoft.com/office/drawing/2014/chart" uri="{C3380CC4-5D6E-409C-BE32-E72D297353CC}">
              <c16:uniqueId val="{00000017-C24C-4834-889F-18C599DFE291}"/>
            </c:ext>
          </c:extLst>
        </c:ser>
        <c:ser>
          <c:idx val="24"/>
          <c:order val="24"/>
          <c:tx>
            <c:strRef>
              <c:f>'[t-pinigu-finansu-istaigu-paskolu-ir-indeliu-palukanu-normos-1 (1).xlsx]Worksheet'!$A$40</c:f>
              <c:strCache>
                <c:ptCount val="1"/>
                <c:pt idx="0">
                  <c:v>Euro zonos ne finansų bendrovių sutarto termino indėliai nuo 6 mėn. iki 1 metų pinigų finansų įstaigose – naujų susitarimų palūkanų normos
PNS.M.L22.S.C.A.U2.240.200.N.LT.PC___.E.SR</c:v>
                </c:pt>
              </c:strCache>
            </c:strRef>
          </c:tx>
          <c:spPr>
            <a:ln w="28575" cap="rnd">
              <a:solidFill>
                <a:schemeClr val="accent1">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(1).xlsx]Worksheet'!$B$40:$AG$40</c:f>
            </c:numRef>
          </c:val>
          <c:smooth val="0"/>
          <c:extLst xmlns:c16r2="http://schemas.microsoft.com/office/drawing/2015/06/chart">
            <c:ext xmlns:c16="http://schemas.microsoft.com/office/drawing/2014/chart" uri="{C3380CC4-5D6E-409C-BE32-E72D297353CC}">
              <c16:uniqueId val="{00000018-C24C-4834-889F-18C599DFE291}"/>
            </c:ext>
          </c:extLst>
        </c:ser>
        <c:ser>
          <c:idx val="25"/>
          <c:order val="25"/>
          <c:tx>
            <c:strRef>
              <c:f>'[t-pinigu-finansu-istaigu-paskolu-ir-indeliu-palukanu-normos-1 (1).xlsx]Worksheet'!$A$41</c:f>
              <c:strCache>
                <c:ptCount val="1"/>
                <c:pt idx="0">
                  <c:v>Euro zonos ne finansų bendrovių sutarto termino indėliai nuo 6 mėn. iki 1 metų pinigų finansų įstaigose – naujų susitarimų sumos
PNS.M.L22.S.B.A.U2.240.200.N.LT.PC___.E.SR</c:v>
                </c:pt>
              </c:strCache>
            </c:strRef>
          </c:tx>
          <c:spPr>
            <a:ln w="28575" cap="rnd">
              <a:solidFill>
                <a:schemeClr val="accent2">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(1).xlsx]Worksheet'!$B$41:$AG$41</c:f>
            </c:numRef>
          </c:val>
          <c:smooth val="0"/>
          <c:extLst xmlns:c16r2="http://schemas.microsoft.com/office/drawing/2015/06/chart">
            <c:ext xmlns:c16="http://schemas.microsoft.com/office/drawing/2014/chart" uri="{C3380CC4-5D6E-409C-BE32-E72D297353CC}">
              <c16:uniqueId val="{00000019-C24C-4834-889F-18C599DFE291}"/>
            </c:ext>
          </c:extLst>
        </c:ser>
        <c:ser>
          <c:idx val="26"/>
          <c:order val="26"/>
          <c:tx>
            <c:strRef>
              <c:f>'[t-pinigu-finansu-istaigu-paskolu-ir-indeliu-palukanu-normos-1 (1).xlsx]Worksheet'!$A$42</c:f>
              <c:strCache>
                <c:ptCount val="1"/>
                <c:pt idx="0">
                  <c:v>Euro zonos ne finansų bendrovių sutarto termino indėliai nuo 1 iki 2 metų pinigų finansų įstaigose – naujų susitarimų palūkanų normos
PNS.M.L22.E.C.A.U2.240.200.N.LT.PC___.E.SR</c:v>
                </c:pt>
              </c:strCache>
            </c:strRef>
          </c:tx>
          <c:spPr>
            <a:ln w="28575" cap="rnd">
              <a:solidFill>
                <a:schemeClr val="accent3">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(1).xlsx]Worksheet'!$B$42:$AG$42</c:f>
            </c:numRef>
          </c:val>
          <c:smooth val="0"/>
          <c:extLst xmlns:c16r2="http://schemas.microsoft.com/office/drawing/2015/06/chart">
            <c:ext xmlns:c16="http://schemas.microsoft.com/office/drawing/2014/chart" uri="{C3380CC4-5D6E-409C-BE32-E72D297353CC}">
              <c16:uniqueId val="{0000001A-C24C-4834-889F-18C599DFE291}"/>
            </c:ext>
          </c:extLst>
        </c:ser>
        <c:ser>
          <c:idx val="27"/>
          <c:order val="27"/>
          <c:tx>
            <c:strRef>
              <c:f>'[t-pinigu-finansu-istaigu-paskolu-ir-indeliu-palukanu-normos-1 (1).xlsx]Worksheet'!$A$43</c:f>
              <c:strCache>
                <c:ptCount val="1"/>
                <c:pt idx="0">
                  <c:v>Euro zonos ne finansų bendrovių sutarto termino indėliai nuo 1 iki 2 metų pinigų finansų įstaigose – naujų susitarimų sumos
PNS.M.L22.E.B.A.U2.240.200.N.LT.PC___.E.SR</c:v>
                </c:pt>
              </c:strCache>
            </c:strRef>
          </c:tx>
          <c:spPr>
            <a:ln w="28575" cap="rnd">
              <a:solidFill>
                <a:schemeClr val="accent4">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(1).xlsx]Worksheet'!$B$43:$AG$43</c:f>
            </c:numRef>
          </c:val>
          <c:smooth val="0"/>
          <c:extLst xmlns:c16r2="http://schemas.microsoft.com/office/drawing/2015/06/chart">
            <c:ext xmlns:c16="http://schemas.microsoft.com/office/drawing/2014/chart" uri="{C3380CC4-5D6E-409C-BE32-E72D297353CC}">
              <c16:uniqueId val="{0000001B-C24C-4834-889F-18C599DFE291}"/>
            </c:ext>
          </c:extLst>
        </c:ser>
        <c:ser>
          <c:idx val="28"/>
          <c:order val="28"/>
          <c:tx>
            <c:strRef>
              <c:f>'[t-pinigu-finansu-istaigu-paskolu-ir-indeliu-palukanu-normos-1 (1).xlsx]Worksheet'!$A$44</c:f>
              <c:strCache>
                <c:ptCount val="1"/>
                <c:pt idx="0">
                  <c:v>Euro zonos ne finansų bendrovių sutarto termino indėliai nuo 2 metų pinigų finansų įstaigose – naujų susitarimų palūkanų normos
PNS.M.L22.F.C.A.U2.240.200.N.LT.PC___.E.SR</c:v>
                </c:pt>
              </c:strCache>
            </c:strRef>
          </c:tx>
          <c:spPr>
            <a:ln w="28575" cap="rnd">
              <a:solidFill>
                <a:schemeClr val="accent5">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(1).xlsx]Worksheet'!$B$44:$AG$44</c:f>
            </c:numRef>
          </c:val>
          <c:smooth val="0"/>
          <c:extLst xmlns:c16r2="http://schemas.microsoft.com/office/drawing/2015/06/chart">
            <c:ext xmlns:c16="http://schemas.microsoft.com/office/drawing/2014/chart" uri="{C3380CC4-5D6E-409C-BE32-E72D297353CC}">
              <c16:uniqueId val="{0000001C-C24C-4834-889F-18C599DFE291}"/>
            </c:ext>
          </c:extLst>
        </c:ser>
        <c:ser>
          <c:idx val="29"/>
          <c:order val="29"/>
          <c:tx>
            <c:strRef>
              <c:f>'[t-pinigu-finansu-istaigu-paskolu-ir-indeliu-palukanu-normos-1 (1).xlsx]Worksheet'!$A$45</c:f>
              <c:strCache>
                <c:ptCount val="1"/>
                <c:pt idx="0">
                  <c:v>Euro zonos ne finansų bendrovių sutarto termino indėliai nuo 2 metų pinigų finansų įstaigose – naujų susitarimų sumos
PNS.M.L22.F.B.A.U2.240.200.N.LT.PC___.E.SR</c:v>
                </c:pt>
              </c:strCache>
            </c:strRef>
          </c:tx>
          <c:spPr>
            <a:ln w="28575" cap="rnd">
              <a:solidFill>
                <a:schemeClr val="accent6">
                  <a:lumMod val="60000"/>
                  <a:lumOff val="4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(1).xlsx]Worksheet'!$B$45:$AG$45</c:f>
            </c:numRef>
          </c:val>
          <c:smooth val="0"/>
          <c:extLst xmlns:c16r2="http://schemas.microsoft.com/office/drawing/2015/06/chart">
            <c:ext xmlns:c16="http://schemas.microsoft.com/office/drawing/2014/chart" uri="{C3380CC4-5D6E-409C-BE32-E72D297353CC}">
              <c16:uniqueId val="{0000001D-C24C-4834-889F-18C599DFE291}"/>
            </c:ext>
          </c:extLst>
        </c:ser>
        <c:ser>
          <c:idx val="30"/>
          <c:order val="30"/>
          <c:tx>
            <c:strRef>
              <c:f>'[t-pinigu-finansu-istaigu-paskolu-ir-indeliu-palukanu-normos-1 (1).xlsx]Worksheet'!$A$46</c:f>
              <c:strCache>
                <c:ptCount val="1"/>
                <c:pt idx="0">
                  <c:v>Pinigų finansų įstaigų paskolos euro zonos ne finansų bendrovėms – likučių palūkanų normos
PNS.M.A20.A.C.A.U2.240.200.L.LT.PC___.E.SR</c:v>
                </c:pt>
              </c:strCache>
            </c:strRef>
          </c:tx>
          <c:spPr>
            <a:ln w="28575" cap="rnd">
              <a:solidFill>
                <a:schemeClr val="accent1">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(1).xlsx]Worksheet'!$B$46:$AG$46</c:f>
            </c:numRef>
          </c:val>
          <c:smooth val="0"/>
          <c:extLst xmlns:c16r2="http://schemas.microsoft.com/office/drawing/2015/06/chart">
            <c:ext xmlns:c16="http://schemas.microsoft.com/office/drawing/2014/chart" uri="{C3380CC4-5D6E-409C-BE32-E72D297353CC}">
              <c16:uniqueId val="{0000001E-C24C-4834-889F-18C599DFE291}"/>
            </c:ext>
          </c:extLst>
        </c:ser>
        <c:ser>
          <c:idx val="31"/>
          <c:order val="31"/>
          <c:tx>
            <c:strRef>
              <c:f>'[t-pinigu-finansu-istaigu-paskolu-ir-indeliu-palukanu-normos-1 (1).xlsx]Worksheet'!$A$47</c:f>
              <c:strCache>
                <c:ptCount val="1"/>
                <c:pt idx="0">
                  <c:v>Pinigų finansų įstaigų atnaujinamosios paskolos ir sąskaitų lėšų pereikvojimai, kredito kortelės kreditas euro zonos ne finansų bendrovėms – likučių palūkanų normos
PNS.M.A2Z.A.C.A.U2.240.200.L.LT.PC___.E.SR</c:v>
                </c:pt>
              </c:strCache>
            </c:strRef>
          </c:tx>
          <c:spPr>
            <a:ln w="28575" cap="rnd">
              <a:solidFill>
                <a:schemeClr val="accent2">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(1).xlsx]Worksheet'!$B$47:$AG$47</c:f>
            </c:numRef>
          </c:val>
          <c:smooth val="0"/>
          <c:extLst xmlns:c16r2="http://schemas.microsoft.com/office/drawing/2015/06/chart">
            <c:ext xmlns:c16="http://schemas.microsoft.com/office/drawing/2014/chart" uri="{C3380CC4-5D6E-409C-BE32-E72D297353CC}">
              <c16:uniqueId val="{0000001F-C24C-4834-889F-18C599DFE291}"/>
            </c:ext>
          </c:extLst>
        </c:ser>
        <c:ser>
          <c:idx val="32"/>
          <c:order val="32"/>
          <c:tx>
            <c:strRef>
              <c:f>'[t-pinigu-finansu-istaigu-paskolu-ir-indeliu-palukanu-normos-1 (1).xlsx]Worksheet'!$A$48</c:f>
              <c:strCache>
                <c:ptCount val="1"/>
                <c:pt idx="0">
                  <c:v>Pinigų finansų įstaigų paskolos euro zonos ne finansų bendrovėms, pradinis terminas iki 1 metų – likučių palūkanų normos
PNS.M.A20.B.C.A.U2.240.200.L.LT.PC___.E.SR</c:v>
                </c:pt>
              </c:strCache>
            </c:strRef>
          </c:tx>
          <c:spPr>
            <a:ln w="28575" cap="rnd">
              <a:solidFill>
                <a:schemeClr val="accent3">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(1).xlsx]Worksheet'!$B$48:$AG$48</c:f>
            </c:numRef>
          </c:val>
          <c:smooth val="0"/>
          <c:extLst xmlns:c16r2="http://schemas.microsoft.com/office/drawing/2015/06/chart">
            <c:ext xmlns:c16="http://schemas.microsoft.com/office/drawing/2014/chart" uri="{C3380CC4-5D6E-409C-BE32-E72D297353CC}">
              <c16:uniqueId val="{00000020-C24C-4834-889F-18C599DFE291}"/>
            </c:ext>
          </c:extLst>
        </c:ser>
        <c:ser>
          <c:idx val="33"/>
          <c:order val="33"/>
          <c:tx>
            <c:strRef>
              <c:f>'[t-pinigu-finansu-istaigu-paskolu-ir-indeliu-palukanu-normos-1 (1).xlsx]Worksheet'!$A$49</c:f>
              <c:strCache>
                <c:ptCount val="1"/>
                <c:pt idx="0">
                  <c:v>Pinigų finansų įstaigų paskolos euro zonos ne finansų bendrovėms, pradinis terminas nuo 1 iki 5 metų – likučių palūkanų normos
PNS.M.A20.C.C.A.U2.240.200.L.LT.PC___.E.SR</c:v>
                </c:pt>
              </c:strCache>
            </c:strRef>
          </c:tx>
          <c:spPr>
            <a:ln w="28575" cap="rnd">
              <a:solidFill>
                <a:schemeClr val="accent4">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(1).xlsx]Worksheet'!$B$49:$AG$49</c:f>
            </c:numRef>
          </c:val>
          <c:smooth val="0"/>
          <c:extLst xmlns:c16r2="http://schemas.microsoft.com/office/drawing/2015/06/chart">
            <c:ext xmlns:c16="http://schemas.microsoft.com/office/drawing/2014/chart" uri="{C3380CC4-5D6E-409C-BE32-E72D297353CC}">
              <c16:uniqueId val="{00000021-C24C-4834-889F-18C599DFE291}"/>
            </c:ext>
          </c:extLst>
        </c:ser>
        <c:ser>
          <c:idx val="34"/>
          <c:order val="34"/>
          <c:tx>
            <c:strRef>
              <c:f>'[t-pinigu-finansu-istaigu-paskolu-ir-indeliu-palukanu-normos-1 (1).xlsx]Worksheet'!$A$50</c:f>
              <c:strCache>
                <c:ptCount val="1"/>
                <c:pt idx="0">
                  <c:v>Pinigų finansų įstaigų paskolos euro zonos ne finansų bendrovėms, pradinis terminas nuo 5 metų – likučių palūkanų normos
</c:v>
                </c:pt>
              </c:strCache>
            </c:strRef>
          </c:tx>
          <c:spPr>
            <a:ln w="28575" cap="rnd">
              <a:solidFill>
                <a:schemeClr val="accent5">
                  <a:lumMod val="50000"/>
                </a:schemeClr>
              </a:solidFill>
              <a:round/>
            </a:ln>
            <a:effectLst/>
          </c:spPr>
          <c:marker>
            <c:symbol val="none"/>
          </c:marker>
          <c:cat>
            <c:strRef>
              <c:f>'[t-pinigu-finansu-istaigu-paskolu-ir-indeliu-palukanu-normos-1 (1).xlsx]Worksheet'!$B$15:$AG$15</c:f>
              <c:strCache>
                <c:ptCount val="32"/>
                <c:pt idx="0">
                  <c:v>2015 - 01</c:v>
                </c:pt>
                <c:pt idx="1">
                  <c:v>2015 - 02</c:v>
                </c:pt>
                <c:pt idx="2">
                  <c:v>2015 - 03</c:v>
                </c:pt>
                <c:pt idx="3">
                  <c:v>2015 - 04</c:v>
                </c:pt>
                <c:pt idx="4">
                  <c:v>2015 - 05</c:v>
                </c:pt>
                <c:pt idx="5">
                  <c:v>2015 - 06</c:v>
                </c:pt>
                <c:pt idx="6">
                  <c:v>2015 - 07</c:v>
                </c:pt>
                <c:pt idx="7">
                  <c:v>2015 - 08</c:v>
                </c:pt>
                <c:pt idx="8">
                  <c:v>2015 - 09</c:v>
                </c:pt>
                <c:pt idx="9">
                  <c:v>2015 - 10</c:v>
                </c:pt>
                <c:pt idx="10">
                  <c:v>2015 - 11</c:v>
                </c:pt>
                <c:pt idx="11">
                  <c:v>2015 - 12</c:v>
                </c:pt>
                <c:pt idx="12">
                  <c:v>2016 - 01</c:v>
                </c:pt>
                <c:pt idx="13">
                  <c:v>2016 - 02</c:v>
                </c:pt>
                <c:pt idx="14">
                  <c:v>2016 - 03</c:v>
                </c:pt>
                <c:pt idx="15">
                  <c:v>2016 - 04</c:v>
                </c:pt>
                <c:pt idx="16">
                  <c:v>2016 - 05</c:v>
                </c:pt>
                <c:pt idx="17">
                  <c:v>2016 - 06</c:v>
                </c:pt>
                <c:pt idx="18">
                  <c:v>2016 - 07</c:v>
                </c:pt>
                <c:pt idx="19">
                  <c:v>2016 - 08</c:v>
                </c:pt>
                <c:pt idx="20">
                  <c:v>2016 - 09</c:v>
                </c:pt>
                <c:pt idx="21">
                  <c:v>2016 - 10</c:v>
                </c:pt>
                <c:pt idx="22">
                  <c:v>2016 - 11</c:v>
                </c:pt>
                <c:pt idx="23">
                  <c:v>2016 - 12</c:v>
                </c:pt>
                <c:pt idx="24">
                  <c:v>2017 - 01</c:v>
                </c:pt>
                <c:pt idx="25">
                  <c:v>2017 - 02</c:v>
                </c:pt>
                <c:pt idx="26">
                  <c:v>2017 - 03</c:v>
                </c:pt>
                <c:pt idx="27">
                  <c:v>2017 - 04</c:v>
                </c:pt>
                <c:pt idx="28">
                  <c:v>2017 - 05</c:v>
                </c:pt>
                <c:pt idx="29">
                  <c:v>2017 - 06</c:v>
                </c:pt>
                <c:pt idx="30">
                  <c:v>2017 - 07</c:v>
                </c:pt>
                <c:pt idx="31">
                  <c:v>2017 - 08</c:v>
                </c:pt>
              </c:strCache>
            </c:strRef>
          </c:cat>
          <c:val>
            <c:numRef>
              <c:f>'[t-pinigu-finansu-istaigu-paskolu-ir-indeliu-palukanu-normos-1 (1).xlsx]Worksheet'!$B$50:$AG$50</c:f>
              <c:numCache>
                <c:formatCode>0.0%</c:formatCode>
                <c:ptCount val="32"/>
                <c:pt idx="0">
                  <c:v>2.4500000000000001E-2</c:v>
                </c:pt>
                <c:pt idx="1">
                  <c:v>2.4300000000000002E-2</c:v>
                </c:pt>
                <c:pt idx="2">
                  <c:v>2.3900000000000001E-2</c:v>
                </c:pt>
                <c:pt idx="3">
                  <c:v>2.3599999999999999E-2</c:v>
                </c:pt>
                <c:pt idx="4">
                  <c:v>2.3099999999999999E-2</c:v>
                </c:pt>
                <c:pt idx="5">
                  <c:v>2.2599999999999999E-2</c:v>
                </c:pt>
                <c:pt idx="6">
                  <c:v>2.2599999999999999E-2</c:v>
                </c:pt>
                <c:pt idx="7">
                  <c:v>2.2499999999999999E-2</c:v>
                </c:pt>
                <c:pt idx="8">
                  <c:v>2.2099999999999998E-2</c:v>
                </c:pt>
                <c:pt idx="9">
                  <c:v>2.2200000000000001E-2</c:v>
                </c:pt>
                <c:pt idx="10">
                  <c:v>2.2000000000000002E-2</c:v>
                </c:pt>
                <c:pt idx="11">
                  <c:v>2.1700000000000001E-2</c:v>
                </c:pt>
                <c:pt idx="12">
                  <c:v>2.1299999999999999E-2</c:v>
                </c:pt>
                <c:pt idx="13">
                  <c:v>2.0799999999999999E-2</c:v>
                </c:pt>
                <c:pt idx="14">
                  <c:v>2.07E-2</c:v>
                </c:pt>
                <c:pt idx="15">
                  <c:v>2.0299999999999999E-2</c:v>
                </c:pt>
                <c:pt idx="16">
                  <c:v>2.0499999999999997E-2</c:v>
                </c:pt>
                <c:pt idx="17">
                  <c:v>2.0299999999999999E-2</c:v>
                </c:pt>
                <c:pt idx="18">
                  <c:v>2.0099999999999996E-2</c:v>
                </c:pt>
                <c:pt idx="19">
                  <c:v>2.0099999999999996E-2</c:v>
                </c:pt>
                <c:pt idx="20">
                  <c:v>2.0199999999999999E-2</c:v>
                </c:pt>
                <c:pt idx="21">
                  <c:v>2.0199999999999999E-2</c:v>
                </c:pt>
                <c:pt idx="22">
                  <c:v>0.02</c:v>
                </c:pt>
                <c:pt idx="23">
                  <c:v>2.0299999999999999E-2</c:v>
                </c:pt>
                <c:pt idx="24">
                  <c:v>2.0299999999999999E-2</c:v>
                </c:pt>
                <c:pt idx="25">
                  <c:v>2.0299999999999999E-2</c:v>
                </c:pt>
                <c:pt idx="26">
                  <c:v>2.0400000000000001E-2</c:v>
                </c:pt>
                <c:pt idx="27">
                  <c:v>2.0400000000000001E-2</c:v>
                </c:pt>
                <c:pt idx="28">
                  <c:v>2.0099999999999996E-2</c:v>
                </c:pt>
                <c:pt idx="29">
                  <c:v>1.9900000000000001E-2</c:v>
                </c:pt>
                <c:pt idx="30">
                  <c:v>0.02</c:v>
                </c:pt>
                <c:pt idx="31">
                  <c:v>2.0099999999999996E-2</c:v>
                </c:pt>
              </c:numCache>
            </c:numRef>
          </c:val>
          <c:smooth val="0"/>
          <c:extLst xmlns:c16r2="http://schemas.microsoft.com/office/drawing/2015/06/chart">
            <c:ext xmlns:c16="http://schemas.microsoft.com/office/drawing/2014/chart" uri="{C3380CC4-5D6E-409C-BE32-E72D297353CC}">
              <c16:uniqueId val="{00000022-C24C-4834-889F-18C599DFE291}"/>
            </c:ext>
          </c:extLst>
        </c:ser>
        <c:dLbls>
          <c:showLegendKey val="0"/>
          <c:showVal val="0"/>
          <c:showCatName val="0"/>
          <c:showSerName val="0"/>
          <c:showPercent val="0"/>
          <c:showBubbleSize val="0"/>
        </c:dLbls>
        <c:marker val="1"/>
        <c:smooth val="0"/>
        <c:axId val="84188544"/>
        <c:axId val="84202624"/>
      </c:lineChart>
      <c:catAx>
        <c:axId val="8418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4202624"/>
        <c:crosses val="autoZero"/>
        <c:auto val="1"/>
        <c:lblAlgn val="ctr"/>
        <c:lblOffset val="100"/>
        <c:tickLblSkip val="1"/>
        <c:noMultiLvlLbl val="0"/>
      </c:catAx>
      <c:valAx>
        <c:axId val="84202624"/>
        <c:scaling>
          <c:orientation val="minMax"/>
          <c:min val="1.5000000000000003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418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'ERBD ir EIB'!$B$13</c:f>
              <c:strCache>
                <c:ptCount val="1"/>
                <c:pt idx="0">
                  <c:v>Įsipareigojimai metiniai (mln. eurų)</c:v>
                </c:pt>
              </c:strCache>
            </c:strRef>
          </c:tx>
          <c:invertIfNegative val="0"/>
          <c:dLbls>
            <c:spPr>
              <a:noFill/>
              <a:ln>
                <a:noFill/>
              </a:ln>
              <a:effectLst/>
            </c:spPr>
            <c:txPr>
              <a:bodyPr/>
              <a:lstStyle/>
              <a:p>
                <a:pPr>
                  <a:defRPr>
                    <a:solidFill>
                      <a:srgbClr val="000000"/>
                    </a:solidFill>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'ERBD ir EIB'!$C$12:$J$12</c:f>
              <c:numCache>
                <c:formatCode>0</c:formatCode>
                <c:ptCount val="8"/>
                <c:pt idx="0">
                  <c:v>2009</c:v>
                </c:pt>
                <c:pt idx="1">
                  <c:v>2010</c:v>
                </c:pt>
                <c:pt idx="2">
                  <c:v>2011</c:v>
                </c:pt>
                <c:pt idx="3">
                  <c:v>2012</c:v>
                </c:pt>
                <c:pt idx="4">
                  <c:v>2013</c:v>
                </c:pt>
                <c:pt idx="5">
                  <c:v>2014</c:v>
                </c:pt>
                <c:pt idx="6">
                  <c:v>2015</c:v>
                </c:pt>
                <c:pt idx="7">
                  <c:v>2016</c:v>
                </c:pt>
              </c:numCache>
            </c:numRef>
          </c:cat>
          <c:val>
            <c:numRef>
              <c:f>'ERBD ir EIB'!$C$13:$J$13</c:f>
              <c:numCache>
                <c:formatCode>_(* #,##0_);_(* \(#,##0\);_(* "-"_);@_)</c:formatCode>
                <c:ptCount val="8"/>
                <c:pt idx="0">
                  <c:v>29</c:v>
                </c:pt>
                <c:pt idx="1">
                  <c:v>99</c:v>
                </c:pt>
                <c:pt idx="2">
                  <c:v>2</c:v>
                </c:pt>
                <c:pt idx="3">
                  <c:v>36</c:v>
                </c:pt>
                <c:pt idx="4">
                  <c:v>32</c:v>
                </c:pt>
                <c:pt idx="5">
                  <c:v>32</c:v>
                </c:pt>
                <c:pt idx="6">
                  <c:v>8</c:v>
                </c:pt>
                <c:pt idx="7">
                  <c:v>2</c:v>
                </c:pt>
              </c:numCache>
            </c:numRef>
          </c:val>
          <c:extLst xmlns:c16r2="http://schemas.microsoft.com/office/drawing/2015/06/chart">
            <c:ext xmlns:c16="http://schemas.microsoft.com/office/drawing/2014/chart" uri="{C3380CC4-5D6E-409C-BE32-E72D297353CC}">
              <c16:uniqueId val="{00000000-4BC1-43C2-B264-9F85AEE56D10}"/>
            </c:ext>
          </c:extLst>
        </c:ser>
        <c:dLbls>
          <c:showLegendKey val="0"/>
          <c:showVal val="1"/>
          <c:showCatName val="0"/>
          <c:showSerName val="0"/>
          <c:showPercent val="0"/>
          <c:showBubbleSize val="0"/>
        </c:dLbls>
        <c:gapWidth val="150"/>
        <c:axId val="53902720"/>
        <c:axId val="54004352"/>
      </c:barChart>
      <c:lineChart>
        <c:grouping val="standard"/>
        <c:varyColors val="0"/>
        <c:ser>
          <c:idx val="1"/>
          <c:order val="1"/>
          <c:tx>
            <c:strRef>
              <c:f>'ERBD ir EIB'!$B$14</c:f>
              <c:strCache>
                <c:ptCount val="1"/>
                <c:pt idx="0">
                  <c:v>Vykdomų projektų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'ERBD ir EIB'!$C$12:$J$12</c:f>
              <c:numCache>
                <c:formatCode>0</c:formatCode>
                <c:ptCount val="8"/>
                <c:pt idx="0">
                  <c:v>2009</c:v>
                </c:pt>
                <c:pt idx="1">
                  <c:v>2010</c:v>
                </c:pt>
                <c:pt idx="2">
                  <c:v>2011</c:v>
                </c:pt>
                <c:pt idx="3">
                  <c:v>2012</c:v>
                </c:pt>
                <c:pt idx="4">
                  <c:v>2013</c:v>
                </c:pt>
                <c:pt idx="5">
                  <c:v>2014</c:v>
                </c:pt>
                <c:pt idx="6">
                  <c:v>2015</c:v>
                </c:pt>
                <c:pt idx="7">
                  <c:v>2016</c:v>
                </c:pt>
              </c:numCache>
            </c:numRef>
          </c:cat>
          <c:val>
            <c:numRef>
              <c:f>'ERBD ir EIB'!$C$14:$J$14</c:f>
              <c:numCache>
                <c:formatCode>_(* #,##0_);_(* \(#,##0\);_(* "-"_);@_)</c:formatCode>
                <c:ptCount val="8"/>
                <c:pt idx="0">
                  <c:v>7</c:v>
                </c:pt>
                <c:pt idx="1">
                  <c:v>5</c:v>
                </c:pt>
                <c:pt idx="2">
                  <c:v>1</c:v>
                </c:pt>
                <c:pt idx="3">
                  <c:v>2</c:v>
                </c:pt>
                <c:pt idx="4">
                  <c:v>6</c:v>
                </c:pt>
                <c:pt idx="5">
                  <c:v>3</c:v>
                </c:pt>
                <c:pt idx="6">
                  <c:v>2</c:v>
                </c:pt>
                <c:pt idx="7">
                  <c:v>1</c:v>
                </c:pt>
              </c:numCache>
            </c:numRef>
          </c:val>
          <c:smooth val="0"/>
          <c:extLst xmlns:c16r2="http://schemas.microsoft.com/office/drawing/2015/06/chart">
            <c:ext xmlns:c16="http://schemas.microsoft.com/office/drawing/2014/chart" uri="{C3380CC4-5D6E-409C-BE32-E72D297353CC}">
              <c16:uniqueId val="{00000001-4BC1-43C2-B264-9F85AEE56D10}"/>
            </c:ext>
          </c:extLst>
        </c:ser>
        <c:dLbls>
          <c:showLegendKey val="0"/>
          <c:showVal val="0"/>
          <c:showCatName val="0"/>
          <c:showSerName val="0"/>
          <c:showPercent val="0"/>
          <c:showBubbleSize val="0"/>
        </c:dLbls>
        <c:marker val="1"/>
        <c:smooth val="0"/>
        <c:axId val="54027392"/>
        <c:axId val="54022528"/>
      </c:lineChart>
      <c:catAx>
        <c:axId val="53902720"/>
        <c:scaling>
          <c:orientation val="minMax"/>
        </c:scaling>
        <c:delete val="0"/>
        <c:axPos val="b"/>
        <c:numFmt formatCode="0" sourceLinked="1"/>
        <c:majorTickMark val="out"/>
        <c:minorTickMark val="none"/>
        <c:tickLblPos val="low"/>
        <c:crossAx val="54004352"/>
        <c:crosses val="autoZero"/>
        <c:auto val="1"/>
        <c:lblAlgn val="ctr"/>
        <c:lblOffset val="100"/>
        <c:noMultiLvlLbl val="0"/>
      </c:catAx>
      <c:valAx>
        <c:axId val="54004352"/>
        <c:scaling>
          <c:orientation val="minMax"/>
        </c:scaling>
        <c:delete val="0"/>
        <c:axPos val="l"/>
        <c:numFmt formatCode="_(* #,##0_);_(* \(#,##0\);_(* &quot;-&quot;_);@_)" sourceLinked="0"/>
        <c:majorTickMark val="none"/>
        <c:minorTickMark val="none"/>
        <c:tickLblPos val="low"/>
        <c:spPr>
          <a:noFill/>
          <a:ln>
            <a:noFill/>
          </a:ln>
        </c:spPr>
        <c:crossAx val="53902720"/>
        <c:crosses val="autoZero"/>
        <c:crossBetween val="between"/>
        <c:dispUnits>
          <c:custUnit val="1"/>
        </c:dispUnits>
      </c:valAx>
      <c:valAx>
        <c:axId val="54022528"/>
        <c:scaling>
          <c:orientation val="minMax"/>
        </c:scaling>
        <c:delete val="0"/>
        <c:axPos val="r"/>
        <c:numFmt formatCode="_(* #,##0_);_(* \(#,##0\);_(* &quot;-&quot;_);@_)" sourceLinked="1"/>
        <c:majorTickMark val="out"/>
        <c:minorTickMark val="none"/>
        <c:tickLblPos val="nextTo"/>
        <c:crossAx val="54027392"/>
        <c:crosses val="max"/>
        <c:crossBetween val="between"/>
      </c:valAx>
      <c:catAx>
        <c:axId val="54027392"/>
        <c:scaling>
          <c:orientation val="minMax"/>
        </c:scaling>
        <c:delete val="1"/>
        <c:axPos val="b"/>
        <c:numFmt formatCode="0" sourceLinked="1"/>
        <c:majorTickMark val="out"/>
        <c:minorTickMark val="none"/>
        <c:tickLblPos val="nextTo"/>
        <c:crossAx val="54022528"/>
        <c:crosses val="autoZero"/>
        <c:auto val="1"/>
        <c:lblAlgn val="ctr"/>
        <c:lblOffset val="100"/>
        <c:noMultiLvlLbl val="0"/>
      </c:catAx>
      <c:spPr>
        <a:noFill/>
        <a:ln w="25400">
          <a:noFill/>
        </a:ln>
      </c:spPr>
    </c:plotArea>
    <c:legend>
      <c:legendPos val="b"/>
      <c:layout/>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'ERBD ir EIB'!$B$3:$B$5</c:f>
              <c:strCache>
                <c:ptCount val="3"/>
                <c:pt idx="0">
                  <c:v>Finansų institucijos</c:v>
                </c:pt>
                <c:pt idx="1">
                  <c:v>Infrastruktūra</c:v>
                </c:pt>
                <c:pt idx="2">
                  <c:v>Bendrasis</c:v>
                </c:pt>
              </c:strCache>
            </c:strRef>
          </c:cat>
          <c:val>
            <c:numRef>
              <c:f>'ERBD ir EIB'!$C$3:$C$5</c:f>
              <c:numCache>
                <c:formatCode>0%</c:formatCode>
                <c:ptCount val="3"/>
                <c:pt idx="0">
                  <c:v>0.28999999999999998</c:v>
                </c:pt>
                <c:pt idx="1">
                  <c:v>0.4</c:v>
                </c:pt>
                <c:pt idx="2">
                  <c:v>0.32</c:v>
                </c:pt>
              </c:numCache>
            </c:numRef>
          </c:val>
          <c:extLst xmlns:c16r2="http://schemas.microsoft.com/office/drawing/2015/06/chart">
            <c:ext xmlns:c16="http://schemas.microsoft.com/office/drawing/2014/chart" uri="{C3380CC4-5D6E-409C-BE32-E72D297353CC}">
              <c16:uniqueId val="{00000002-CE45-46F7-A398-0CBE27855160}"/>
            </c:ext>
          </c:extLst>
        </c:ser>
        <c:dLbls>
          <c:showLegendKey val="0"/>
          <c:showVal val="0"/>
          <c:showCatName val="0"/>
          <c:showSerName val="0"/>
          <c:showPercent val="1"/>
          <c:showBubbleSize val="0"/>
          <c:showLeaderLines val="0"/>
        </c:dLbls>
        <c:firstSliceAng val="0"/>
      </c:pieChart>
      <c:spPr>
        <a:noFill/>
        <a:ln w="25400">
          <a:noFill/>
        </a:ln>
      </c:spPr>
    </c:plotArea>
    <c:legend>
      <c:legendPos val="b"/>
      <c:layout/>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NIB!$B$8</c:f>
              <c:strCache>
                <c:ptCount val="1"/>
                <c:pt idx="0">
                  <c:v>Sutartos paskolos (mln. eurų)</c:v>
                </c:pt>
              </c:strCache>
            </c:strRef>
          </c:tx>
          <c:invertIfNegative val="0"/>
          <c:dLbls>
            <c:spPr>
              <a:noFill/>
              <a:ln>
                <a:noFill/>
              </a:ln>
              <a:effectLst/>
            </c:spPr>
            <c:txPr>
              <a:bodyPr/>
              <a:lstStyle/>
              <a:p>
                <a:pPr>
                  <a:defRPr>
                    <a:solidFill>
                      <a:srgbClr val="000000"/>
                    </a:solidFill>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NIB!$D$7:$N$7</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NIB!$D$8:$N$8</c:f>
              <c:numCache>
                <c:formatCode>_(* #,##0_);_(* \(#,##0\);_(* "-"_);@_)</c:formatCode>
                <c:ptCount val="11"/>
                <c:pt idx="0">
                  <c:v>5.5</c:v>
                </c:pt>
                <c:pt idx="1">
                  <c:v>25.3</c:v>
                </c:pt>
                <c:pt idx="2">
                  <c:v>135</c:v>
                </c:pt>
                <c:pt idx="3">
                  <c:v>19.899999999999999</c:v>
                </c:pt>
                <c:pt idx="4">
                  <c:v>9.6</c:v>
                </c:pt>
                <c:pt idx="5">
                  <c:v>42.5</c:v>
                </c:pt>
                <c:pt idx="6">
                  <c:v>180</c:v>
                </c:pt>
                <c:pt idx="7">
                  <c:v>155.30000000000001</c:v>
                </c:pt>
                <c:pt idx="8">
                  <c:v>182</c:v>
                </c:pt>
                <c:pt idx="9">
                  <c:v>0</c:v>
                </c:pt>
                <c:pt idx="10">
                  <c:v>50</c:v>
                </c:pt>
              </c:numCache>
            </c:numRef>
          </c:val>
          <c:extLst xmlns:c16r2="http://schemas.microsoft.com/office/drawing/2015/06/chart">
            <c:ext xmlns:c16="http://schemas.microsoft.com/office/drawing/2014/chart" uri="{C3380CC4-5D6E-409C-BE32-E72D297353CC}">
              <c16:uniqueId val="{00000000-BE78-4967-802D-CB22063B844C}"/>
            </c:ext>
          </c:extLst>
        </c:ser>
        <c:dLbls>
          <c:showLegendKey val="0"/>
          <c:showVal val="1"/>
          <c:showCatName val="0"/>
          <c:showSerName val="0"/>
          <c:showPercent val="0"/>
          <c:showBubbleSize val="0"/>
        </c:dLbls>
        <c:gapWidth val="150"/>
        <c:axId val="56245248"/>
        <c:axId val="56251136"/>
      </c:barChart>
      <c:lineChart>
        <c:grouping val="standard"/>
        <c:varyColors val="0"/>
        <c:ser>
          <c:idx val="1"/>
          <c:order val="1"/>
          <c:tx>
            <c:strRef>
              <c:f>NIB!$B$9</c:f>
              <c:strCache>
                <c:ptCount val="1"/>
                <c:pt idx="0">
                  <c:v>Vykdomų projektų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NIB!$D$7:$N$7</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NIB!$D$9:$N$9</c:f>
              <c:numCache>
                <c:formatCode>_(* #,##0_);_(* \(#,##0\);_(* "-"_);@_)</c:formatCode>
                <c:ptCount val="11"/>
                <c:pt idx="0">
                  <c:v>1</c:v>
                </c:pt>
                <c:pt idx="1">
                  <c:v>2</c:v>
                </c:pt>
                <c:pt idx="2">
                  <c:v>3</c:v>
                </c:pt>
                <c:pt idx="3">
                  <c:v>1</c:v>
                </c:pt>
                <c:pt idx="4">
                  <c:v>1</c:v>
                </c:pt>
                <c:pt idx="5">
                  <c:v>2</c:v>
                </c:pt>
                <c:pt idx="6">
                  <c:v>3</c:v>
                </c:pt>
                <c:pt idx="7">
                  <c:v>4</c:v>
                </c:pt>
                <c:pt idx="8">
                  <c:v>3</c:v>
                </c:pt>
                <c:pt idx="9">
                  <c:v>0</c:v>
                </c:pt>
                <c:pt idx="10">
                  <c:v>2</c:v>
                </c:pt>
              </c:numCache>
            </c:numRef>
          </c:val>
          <c:smooth val="0"/>
          <c:extLst xmlns:c16r2="http://schemas.microsoft.com/office/drawing/2015/06/chart">
            <c:ext xmlns:c16="http://schemas.microsoft.com/office/drawing/2014/chart" uri="{C3380CC4-5D6E-409C-BE32-E72D297353CC}">
              <c16:uniqueId val="{00000001-BE78-4967-802D-CB22063B844C}"/>
            </c:ext>
          </c:extLst>
        </c:ser>
        <c:dLbls>
          <c:showLegendKey val="0"/>
          <c:showVal val="0"/>
          <c:showCatName val="0"/>
          <c:showSerName val="0"/>
          <c:showPercent val="0"/>
          <c:showBubbleSize val="0"/>
        </c:dLbls>
        <c:marker val="1"/>
        <c:smooth val="0"/>
        <c:axId val="56267136"/>
        <c:axId val="56253056"/>
      </c:lineChart>
      <c:catAx>
        <c:axId val="56245248"/>
        <c:scaling>
          <c:orientation val="minMax"/>
        </c:scaling>
        <c:delete val="0"/>
        <c:axPos val="b"/>
        <c:numFmt formatCode="0" sourceLinked="1"/>
        <c:majorTickMark val="out"/>
        <c:minorTickMark val="none"/>
        <c:tickLblPos val="low"/>
        <c:crossAx val="56251136"/>
        <c:crosses val="autoZero"/>
        <c:auto val="1"/>
        <c:lblAlgn val="ctr"/>
        <c:lblOffset val="100"/>
        <c:noMultiLvlLbl val="0"/>
      </c:catAx>
      <c:valAx>
        <c:axId val="56251136"/>
        <c:scaling>
          <c:orientation val="minMax"/>
        </c:scaling>
        <c:delete val="0"/>
        <c:axPos val="l"/>
        <c:numFmt formatCode="_(* #,##0_);_(* \(#,##0\);_(* &quot;-&quot;_);@_)" sourceLinked="0"/>
        <c:majorTickMark val="none"/>
        <c:minorTickMark val="none"/>
        <c:tickLblPos val="low"/>
        <c:spPr>
          <a:noFill/>
          <a:ln>
            <a:noFill/>
          </a:ln>
        </c:spPr>
        <c:crossAx val="56245248"/>
        <c:crosses val="autoZero"/>
        <c:crossBetween val="between"/>
        <c:dispUnits>
          <c:custUnit val="1"/>
        </c:dispUnits>
      </c:valAx>
      <c:valAx>
        <c:axId val="56253056"/>
        <c:scaling>
          <c:orientation val="minMax"/>
        </c:scaling>
        <c:delete val="0"/>
        <c:axPos val="r"/>
        <c:numFmt formatCode="_(* #,##0_);_(* \(#,##0\);_(* &quot;-&quot;_);@_)" sourceLinked="1"/>
        <c:majorTickMark val="out"/>
        <c:minorTickMark val="none"/>
        <c:tickLblPos val="nextTo"/>
        <c:crossAx val="56267136"/>
        <c:crosses val="max"/>
        <c:crossBetween val="between"/>
      </c:valAx>
      <c:catAx>
        <c:axId val="56267136"/>
        <c:scaling>
          <c:orientation val="minMax"/>
        </c:scaling>
        <c:delete val="1"/>
        <c:axPos val="b"/>
        <c:numFmt formatCode="0" sourceLinked="1"/>
        <c:majorTickMark val="out"/>
        <c:minorTickMark val="none"/>
        <c:tickLblPos val="nextTo"/>
        <c:crossAx val="56253056"/>
        <c:crosses val="autoZero"/>
        <c:auto val="1"/>
        <c:lblAlgn val="ctr"/>
        <c:lblOffset val="100"/>
        <c:noMultiLvlLbl val="0"/>
      </c:catAx>
      <c:spPr>
        <a:noFill/>
        <a:ln w="25400">
          <a:noFill/>
        </a:ln>
      </c:spPr>
    </c:plotArea>
    <c:legend>
      <c:legendPos val="b"/>
      <c:layout>
        <c:manualLayout>
          <c:xMode val="edge"/>
          <c:yMode val="edge"/>
          <c:x val="4.9999939570101702E-2"/>
          <c:y val="0.93478608627646143"/>
          <c:w val="0.89999987914020341"/>
          <c:h val="4.7155222978617517E-2"/>
        </c:manualLayout>
      </c:layout>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NIB!$P$3:$P$5</c:f>
              <c:strCache>
                <c:ptCount val="3"/>
                <c:pt idx="0">
                  <c:v>Infrastruktūra, transportas ir telekomunikacija</c:v>
                </c:pt>
                <c:pt idx="1">
                  <c:v>Energetika ir aplinka</c:v>
                </c:pt>
                <c:pt idx="2">
                  <c:v>Finansų institucijos </c:v>
                </c:pt>
              </c:strCache>
            </c:strRef>
          </c:cat>
          <c:val>
            <c:numRef>
              <c:f>NIB!$Q$3:$Q$5</c:f>
              <c:numCache>
                <c:formatCode>0%</c:formatCode>
                <c:ptCount val="3"/>
                <c:pt idx="0">
                  <c:v>0.58430593493916061</c:v>
                </c:pt>
                <c:pt idx="1">
                  <c:v>0.40886516016886015</c:v>
                </c:pt>
                <c:pt idx="2">
                  <c:v>6.8289048919791401E-3</c:v>
                </c:pt>
              </c:numCache>
            </c:numRef>
          </c:val>
          <c:extLst xmlns:c16r2="http://schemas.microsoft.com/office/drawing/2015/06/chart">
            <c:ext xmlns:c16="http://schemas.microsoft.com/office/drawing/2014/chart" uri="{C3380CC4-5D6E-409C-BE32-E72D297353CC}">
              <c16:uniqueId val="{00000002-822A-46C5-B89A-5E12734BDCCB}"/>
            </c:ext>
          </c:extLst>
        </c:ser>
        <c:dLbls>
          <c:showLegendKey val="0"/>
          <c:showVal val="0"/>
          <c:showCatName val="0"/>
          <c:showSerName val="0"/>
          <c:showPercent val="1"/>
          <c:showBubbleSize val="0"/>
          <c:showLeaderLines val="0"/>
        </c:dLbls>
        <c:firstSliceAng val="0"/>
      </c:pieChart>
      <c:spPr>
        <a:noFill/>
        <a:ln w="25400">
          <a:noFill/>
        </a:ln>
      </c:spPr>
    </c:plotArea>
    <c:legend>
      <c:legendPos val="b"/>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'ERBD ir EIB'!$L$15</c:f>
              <c:strCache>
                <c:ptCount val="1"/>
                <c:pt idx="0">
                  <c:v>Pasirašytos paskolos(mln. EUR)</c:v>
                </c:pt>
              </c:strCache>
            </c:strRef>
          </c:tx>
          <c:invertIfNegative val="0"/>
          <c:dLbls>
            <c:spPr>
              <a:noFill/>
              <a:ln>
                <a:noFill/>
              </a:ln>
              <a:effectLst/>
            </c:spPr>
            <c:txPr>
              <a:bodyPr/>
              <a:lstStyle/>
              <a:p>
                <a:pPr>
                  <a:defRPr>
                    <a:solidFill>
                      <a:srgbClr val="000000"/>
                    </a:solidFill>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'ERBD ir EIB'!$M$14:$T$14</c:f>
              <c:numCache>
                <c:formatCode>0</c:formatCode>
                <c:ptCount val="8"/>
                <c:pt idx="0">
                  <c:v>2009</c:v>
                </c:pt>
                <c:pt idx="1">
                  <c:v>2010</c:v>
                </c:pt>
                <c:pt idx="2">
                  <c:v>2011</c:v>
                </c:pt>
                <c:pt idx="3">
                  <c:v>2012</c:v>
                </c:pt>
                <c:pt idx="4">
                  <c:v>2013</c:v>
                </c:pt>
                <c:pt idx="5">
                  <c:v>2014</c:v>
                </c:pt>
                <c:pt idx="6">
                  <c:v>2015</c:v>
                </c:pt>
                <c:pt idx="7">
                  <c:v>2016</c:v>
                </c:pt>
              </c:numCache>
            </c:numRef>
          </c:cat>
          <c:val>
            <c:numRef>
              <c:f>'ERBD ir EIB'!$M$15:$T$15</c:f>
              <c:numCache>
                <c:formatCode>_(* #,##0_);_(* \(#,##0\);_(* "-"_);@_)</c:formatCode>
                <c:ptCount val="8"/>
                <c:pt idx="0">
                  <c:v>1169</c:v>
                </c:pt>
                <c:pt idx="1">
                  <c:v>83</c:v>
                </c:pt>
                <c:pt idx="2">
                  <c:v>10.5</c:v>
                </c:pt>
                <c:pt idx="3">
                  <c:v>3.2</c:v>
                </c:pt>
                <c:pt idx="4">
                  <c:v>264</c:v>
                </c:pt>
                <c:pt idx="5">
                  <c:v>80</c:v>
                </c:pt>
                <c:pt idx="6">
                  <c:v>474</c:v>
                </c:pt>
                <c:pt idx="7">
                  <c:v>255</c:v>
                </c:pt>
              </c:numCache>
            </c:numRef>
          </c:val>
          <c:extLst xmlns:c16r2="http://schemas.microsoft.com/office/drawing/2015/06/chart">
            <c:ext xmlns:c16="http://schemas.microsoft.com/office/drawing/2014/chart" uri="{C3380CC4-5D6E-409C-BE32-E72D297353CC}">
              <c16:uniqueId val="{00000000-6A40-4551-B59F-82E39EBF3166}"/>
            </c:ext>
          </c:extLst>
        </c:ser>
        <c:dLbls>
          <c:showLegendKey val="0"/>
          <c:showVal val="1"/>
          <c:showCatName val="0"/>
          <c:showSerName val="0"/>
          <c:showPercent val="0"/>
          <c:showBubbleSize val="0"/>
        </c:dLbls>
        <c:gapWidth val="150"/>
        <c:axId val="56348672"/>
        <c:axId val="56350208"/>
      </c:barChart>
      <c:lineChart>
        <c:grouping val="standard"/>
        <c:varyColors val="0"/>
        <c:ser>
          <c:idx val="1"/>
          <c:order val="1"/>
          <c:tx>
            <c:strRef>
              <c:f>'ERBD ir EIB'!$L$16</c:f>
              <c:strCache>
                <c:ptCount val="1"/>
                <c:pt idx="0">
                  <c:v>Paskolų skaičius</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'ERBD ir EIB'!$M$14:$T$14</c:f>
              <c:numCache>
                <c:formatCode>0</c:formatCode>
                <c:ptCount val="8"/>
                <c:pt idx="0">
                  <c:v>2009</c:v>
                </c:pt>
                <c:pt idx="1">
                  <c:v>2010</c:v>
                </c:pt>
                <c:pt idx="2">
                  <c:v>2011</c:v>
                </c:pt>
                <c:pt idx="3">
                  <c:v>2012</c:v>
                </c:pt>
                <c:pt idx="4">
                  <c:v>2013</c:v>
                </c:pt>
                <c:pt idx="5">
                  <c:v>2014</c:v>
                </c:pt>
                <c:pt idx="6">
                  <c:v>2015</c:v>
                </c:pt>
                <c:pt idx="7">
                  <c:v>2016</c:v>
                </c:pt>
              </c:numCache>
            </c:numRef>
          </c:cat>
          <c:val>
            <c:numRef>
              <c:f>'ERBD ir EIB'!$M$16:$T$16</c:f>
              <c:numCache>
                <c:formatCode>_(* #,##0_);_(* \(#,##0\);_(* "-"_);@_)</c:formatCode>
                <c:ptCount val="8"/>
                <c:pt idx="0">
                  <c:v>4</c:v>
                </c:pt>
                <c:pt idx="1">
                  <c:v>2</c:v>
                </c:pt>
                <c:pt idx="2">
                  <c:v>2</c:v>
                </c:pt>
                <c:pt idx="3">
                  <c:v>1</c:v>
                </c:pt>
                <c:pt idx="4">
                  <c:v>7</c:v>
                </c:pt>
                <c:pt idx="5">
                  <c:v>3</c:v>
                </c:pt>
                <c:pt idx="6">
                  <c:v>5</c:v>
                </c:pt>
                <c:pt idx="7">
                  <c:v>3</c:v>
                </c:pt>
              </c:numCache>
            </c:numRef>
          </c:val>
          <c:smooth val="0"/>
          <c:extLst xmlns:c16r2="http://schemas.microsoft.com/office/drawing/2015/06/chart">
            <c:ext xmlns:c16="http://schemas.microsoft.com/office/drawing/2014/chart" uri="{C3380CC4-5D6E-409C-BE32-E72D297353CC}">
              <c16:uniqueId val="{00000001-6A40-4551-B59F-82E39EBF3166}"/>
            </c:ext>
          </c:extLst>
        </c:ser>
        <c:dLbls>
          <c:showLegendKey val="0"/>
          <c:showVal val="0"/>
          <c:showCatName val="0"/>
          <c:showSerName val="0"/>
          <c:showPercent val="0"/>
          <c:showBubbleSize val="0"/>
        </c:dLbls>
        <c:marker val="1"/>
        <c:smooth val="0"/>
        <c:axId val="56358016"/>
        <c:axId val="56352128"/>
      </c:lineChart>
      <c:catAx>
        <c:axId val="56348672"/>
        <c:scaling>
          <c:orientation val="minMax"/>
        </c:scaling>
        <c:delete val="0"/>
        <c:axPos val="b"/>
        <c:numFmt formatCode="0" sourceLinked="1"/>
        <c:majorTickMark val="out"/>
        <c:minorTickMark val="none"/>
        <c:tickLblPos val="low"/>
        <c:crossAx val="56350208"/>
        <c:crosses val="autoZero"/>
        <c:auto val="1"/>
        <c:lblAlgn val="ctr"/>
        <c:lblOffset val="100"/>
        <c:noMultiLvlLbl val="0"/>
      </c:catAx>
      <c:valAx>
        <c:axId val="56350208"/>
        <c:scaling>
          <c:orientation val="minMax"/>
        </c:scaling>
        <c:delete val="0"/>
        <c:axPos val="l"/>
        <c:numFmt formatCode="_(* #,##0_);_(* \(#,##0\);_(* &quot;-&quot;_);@_)" sourceLinked="0"/>
        <c:majorTickMark val="none"/>
        <c:minorTickMark val="none"/>
        <c:tickLblPos val="low"/>
        <c:spPr>
          <a:noFill/>
          <a:ln>
            <a:noFill/>
          </a:ln>
        </c:spPr>
        <c:crossAx val="56348672"/>
        <c:crosses val="autoZero"/>
        <c:crossBetween val="between"/>
        <c:dispUnits>
          <c:custUnit val="1"/>
        </c:dispUnits>
      </c:valAx>
      <c:valAx>
        <c:axId val="56352128"/>
        <c:scaling>
          <c:orientation val="minMax"/>
        </c:scaling>
        <c:delete val="0"/>
        <c:axPos val="r"/>
        <c:numFmt formatCode="_(* #,##0_);_(* \(#,##0\);_(* &quot;-&quot;_);@_)" sourceLinked="1"/>
        <c:majorTickMark val="out"/>
        <c:minorTickMark val="none"/>
        <c:tickLblPos val="nextTo"/>
        <c:crossAx val="56358016"/>
        <c:crosses val="max"/>
        <c:crossBetween val="between"/>
      </c:valAx>
      <c:catAx>
        <c:axId val="56358016"/>
        <c:scaling>
          <c:orientation val="minMax"/>
        </c:scaling>
        <c:delete val="1"/>
        <c:axPos val="b"/>
        <c:numFmt formatCode="0" sourceLinked="1"/>
        <c:majorTickMark val="out"/>
        <c:minorTickMark val="none"/>
        <c:tickLblPos val="nextTo"/>
        <c:crossAx val="56352128"/>
        <c:crosses val="autoZero"/>
        <c:auto val="1"/>
        <c:lblAlgn val="ctr"/>
        <c:lblOffset val="100"/>
        <c:noMultiLvlLbl val="0"/>
      </c:catAx>
      <c:spPr>
        <a:noFill/>
        <a:ln w="25400">
          <a:noFill/>
        </a:ln>
      </c:spPr>
    </c:plotArea>
    <c:legend>
      <c:legendPos val="b"/>
      <c:layout/>
      <c:overlay val="0"/>
    </c:legend>
    <c:plotVisOnly val="1"/>
    <c:dispBlanksAs val="gap"/>
    <c:showDLblsOverMax val="0"/>
  </c:chart>
  <c:spPr>
    <a:noFill/>
    <a:ln>
      <a:noFill/>
    </a:ln>
  </c:spPr>
  <c:txPr>
    <a:bodyPr/>
    <a:lstStyle/>
    <a:p>
      <a:pPr>
        <a:defRPr sz="800"/>
      </a:pPr>
      <a:endParaRPr lang="lt-LT"/>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4"/>
            <c:bubble3D val="0"/>
            <c:spPr>
              <a:solidFill>
                <a:schemeClr val="accent5"/>
              </a:solidFill>
            </c:spPr>
            <c:extLst xmlns:c16r2="http://schemas.microsoft.com/office/drawing/2015/06/chart">
              <c:ext xmlns:c16="http://schemas.microsoft.com/office/drawing/2014/chart" uri="{C3380CC4-5D6E-409C-BE32-E72D297353CC}">
                <c16:uniqueId val="{00000001-9C22-4BC7-BE05-175E773424EF}"/>
              </c:ext>
            </c:extLst>
          </c:dPt>
          <c:dLbls>
            <c:numFmt formatCode="0%" sourceLinked="0"/>
            <c:spPr>
              <a:noFill/>
              <a:ln>
                <a:noFill/>
              </a:ln>
              <a:effectLst/>
            </c:spPr>
            <c:dLblPos val="out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'ERBD ir EIB'!$L$3:$L$8</c:f>
              <c:strCache>
                <c:ptCount val="6"/>
                <c:pt idx="0">
                  <c:v>Energetika</c:v>
                </c:pt>
                <c:pt idx="1">
                  <c:v>Transportas ir telekomunikacija</c:v>
                </c:pt>
                <c:pt idx="2">
                  <c:v>Vanduo, kanalizacija, kietosios atliekos,miesto plėtra</c:v>
                </c:pt>
                <c:pt idx="3">
                  <c:v>Pramonė, paslaugos, žemės ūkis</c:v>
                </c:pt>
                <c:pt idx="4">
                  <c:v>Švietimas, sveikata</c:v>
                </c:pt>
                <c:pt idx="5">
                  <c:v>Maži ir vidutiniai projektai</c:v>
                </c:pt>
              </c:strCache>
            </c:strRef>
          </c:cat>
          <c:val>
            <c:numRef>
              <c:f>'ERBD ir EIB'!$M$3:$M$8</c:f>
              <c:numCache>
                <c:formatCode>0%</c:formatCode>
                <c:ptCount val="6"/>
                <c:pt idx="0">
                  <c:v>0.28999999999999998</c:v>
                </c:pt>
                <c:pt idx="1">
                  <c:v>0.17</c:v>
                </c:pt>
                <c:pt idx="2">
                  <c:v>0.24</c:v>
                </c:pt>
                <c:pt idx="3">
                  <c:v>0.01</c:v>
                </c:pt>
                <c:pt idx="4">
                  <c:v>0.06</c:v>
                </c:pt>
                <c:pt idx="5">
                  <c:v>0.23</c:v>
                </c:pt>
              </c:numCache>
            </c:numRef>
          </c:val>
          <c:extLst xmlns:c16r2="http://schemas.microsoft.com/office/drawing/2015/06/chart">
            <c:ext xmlns:c16="http://schemas.microsoft.com/office/drawing/2014/chart" uri="{C3380CC4-5D6E-409C-BE32-E72D297353CC}">
              <c16:uniqueId val="{00000002-9C22-4BC7-BE05-175E773424EF}"/>
            </c:ext>
          </c:extLst>
        </c:ser>
        <c:dLbls>
          <c:showLegendKey val="0"/>
          <c:showVal val="0"/>
          <c:showCatName val="0"/>
          <c:showSerName val="0"/>
          <c:showPercent val="1"/>
          <c:showBubbleSize val="0"/>
          <c:showLeaderLines val="0"/>
        </c:dLbls>
        <c:firstSliceAng val="0"/>
      </c:pieChart>
      <c:spPr>
        <a:noFill/>
        <a:ln w="25400">
          <a:noFill/>
        </a:ln>
      </c:spPr>
    </c:plotArea>
    <c:legend>
      <c:legendPos val="l"/>
      <c:layout>
        <c:manualLayout>
          <c:xMode val="edge"/>
          <c:yMode val="edge"/>
          <c:x val="2.4169184290030211E-2"/>
          <c:y val="0.25932373087510407"/>
          <c:w val="0.37580575841917041"/>
          <c:h val="0.69598617246014982"/>
        </c:manualLayout>
      </c:layout>
      <c:overlay val="0"/>
    </c:legend>
    <c:plotVisOnly val="1"/>
    <c:dispBlanksAs val="zero"/>
    <c:showDLblsOverMax val="0"/>
  </c:chart>
  <c:spPr>
    <a:noFill/>
    <a:ln>
      <a:noFill/>
    </a:ln>
  </c:spPr>
  <c:txPr>
    <a:bodyPr/>
    <a:lstStyle/>
    <a:p>
      <a:pPr>
        <a:defRPr sz="800"/>
      </a:pPr>
      <a:endParaRPr lang="lt-L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056a9b31ab4c459b8f5edb410c109ebc</a:t>
          </a:r>
        </a:p>
      </cdr:txBody>
    </cdr:sp>
  </cdr:relSizeAnchor>
</c:userShapes>
</file>

<file path=word/drawings/drawing2.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ccfbce00353c403db651c013773b43d4</a:t>
          </a:r>
        </a:p>
      </cdr:txBody>
    </cdr:sp>
  </cdr:relSizeAnchor>
  <cdr:relSizeAnchor xmlns:cdr="http://schemas.openxmlformats.org/drawingml/2006/chartDrawing">
    <cdr:from>
      <cdr:x>0.04011</cdr:x>
      <cdr:y>0.03978</cdr:y>
    </cdr:from>
    <cdr:to>
      <cdr:x>0.09742</cdr:x>
      <cdr:y>0.09662</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9"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drawings/drawing3.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4360dfa6f92f4be2990e4e00ed0e3003</a:t>
          </a:r>
        </a:p>
      </cdr:txBody>
    </cdr:sp>
  </cdr:relSizeAnchor>
</c:userShapes>
</file>

<file path=word/drawings/drawing4.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2e63cf256ab64781ba332888d3df057e</a:t>
          </a:r>
        </a:p>
      </cdr:txBody>
    </cdr:sp>
  </cdr:relSizeAnchor>
  <cdr:relSizeAnchor xmlns:cdr="http://schemas.openxmlformats.org/drawingml/2006/chartDrawing">
    <cdr:from>
      <cdr:x>0.04011</cdr:x>
      <cdr:y>0.03978</cdr:y>
    </cdr:from>
    <cdr:to>
      <cdr:x>0.09742</cdr:x>
      <cdr:y>0.09662</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9"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drawings/drawing5.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3"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Column Regular</a:t>
          </a:r>
        </a:p>
      </cdr:txBody>
    </cdr:sp>
  </cdr:relSizeAnchor>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6d4d1aa1e1e74757912f83b014d0ea7d</a:t>
          </a:r>
        </a:p>
      </cdr:txBody>
    </cdr:sp>
  </cdr:relSizeAnchor>
</c:userShapes>
</file>

<file path=word/drawings/drawing6.xml><?xml version="1.0" encoding="utf-8"?>
<c:userShapes xmlns:c="http://schemas.openxmlformats.org/drawingml/2006/chart">
  <cdr:relSizeAnchor xmlns:cdr="http://schemas.openxmlformats.org/drawingml/2006/chartDrawing">
    <cdr:from>
      <cdr:x>0.04011</cdr:x>
      <cdr:y>0.03619</cdr:y>
    </cdr:from>
    <cdr:to>
      <cdr:x>0.09742</cdr:x>
      <cdr:y>0.0879</cdr:y>
    </cdr:to>
    <cdr:sp macro="" textlink="">
      <cdr:nvSpPr>
        <cdr:cNvPr id="4"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a8098dd729df489aad155e04ef483f2a</a:t>
          </a:r>
        </a:p>
      </cdr:txBody>
    </cdr:sp>
  </cdr:relSizeAnchor>
  <cdr:relSizeAnchor xmlns:cdr="http://schemas.openxmlformats.org/drawingml/2006/chartDrawing">
    <cdr:from>
      <cdr:x>0.04011</cdr:x>
      <cdr:y>0.03619</cdr:y>
    </cdr:from>
    <cdr:to>
      <cdr:x>0.09742</cdr:x>
      <cdr:y>0.0879</cdr:y>
    </cdr:to>
    <cdr:sp macro="" textlink="">
      <cdr:nvSpPr>
        <cdr:cNvPr id="6"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4a74746c57604f4c84fb9cf2b9817269</a:t>
          </a:r>
        </a:p>
      </cdr:txBody>
    </cdr:sp>
  </cdr:relSizeAnchor>
  <cdr:relSizeAnchor xmlns:cdr="http://schemas.openxmlformats.org/drawingml/2006/chartDrawing">
    <cdr:from>
      <cdr:x>0.05036</cdr:x>
      <cdr:y>0.06217</cdr:y>
    </cdr:from>
    <cdr:to>
      <cdr:x>0.1223</cdr:x>
      <cdr:y>0.15098</cdr:y>
    </cdr:to>
    <cdr:sp macro="" textlink="">
      <cdr:nvSpPr>
        <cdr:cNvPr id="7"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8a82713af5d84e3e81ca88c522b1b323</a:t>
          </a:r>
        </a:p>
      </cdr:txBody>
    </cdr:sp>
  </cdr:relSizeAnchor>
  <cdr:relSizeAnchor xmlns:cdr="http://schemas.openxmlformats.org/drawingml/2006/chartDrawing">
    <cdr:from>
      <cdr:x>0.04011</cdr:x>
      <cdr:y>0.03619</cdr:y>
    </cdr:from>
    <cdr:to>
      <cdr:x>0.09742</cdr:x>
      <cdr:y>0.0879</cdr:y>
    </cdr:to>
    <cdr:sp macro="" textlink="">
      <cdr:nvSpPr>
        <cdr:cNvPr id="9"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22228c26acf044aca9f757aeffba6e77</a:t>
          </a:r>
        </a:p>
      </cdr:txBody>
    </cdr:sp>
  </cdr:relSizeAnchor>
  <cdr:relSizeAnchor xmlns:cdr="http://schemas.openxmlformats.org/drawingml/2006/chartDrawing">
    <cdr:from>
      <cdr:x>0.04011</cdr:x>
      <cdr:y>0.03619</cdr:y>
    </cdr:from>
    <cdr:to>
      <cdr:x>0.09742</cdr:x>
      <cdr:y>0.0879</cdr:y>
    </cdr:to>
    <cdr:sp macro="" textlink="">
      <cdr:nvSpPr>
        <cdr:cNvPr id="11" name="ChartTitleCell"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Chart Title</a:t>
          </a:r>
        </a:p>
      </cdr:txBody>
    </cdr:sp>
  </cdr:relSizeAnchor>
  <cdr:relSizeAnchor xmlns:cdr="http://schemas.openxmlformats.org/drawingml/2006/chartDrawing">
    <cdr:from>
      <cdr:x>0.04011</cdr:x>
      <cdr:y>0.03978</cdr:y>
    </cdr:from>
    <cdr:to>
      <cdr:x>0.09742</cdr:x>
      <cdr:y>0.09662</cdr:y>
    </cdr:to>
    <cdr:sp macro="" textlink="">
      <cdr:nvSpPr>
        <cdr:cNvPr id="13" name="Chart GUID"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88bab05a940247e88fe92af1b927d5b1</a:t>
          </a:r>
        </a:p>
      </cdr:txBody>
    </cdr:sp>
  </cdr:relSizeAnchor>
  <cdr:relSizeAnchor xmlns:cdr="http://schemas.openxmlformats.org/drawingml/2006/chartDrawing">
    <cdr:from>
      <cdr:x>0.04011</cdr:x>
      <cdr:y>0.03619</cdr:y>
    </cdr:from>
    <cdr:to>
      <cdr:x>0.09742</cdr:x>
      <cdr:y>0.0879</cdr:y>
    </cdr:to>
    <cdr:sp macro="" textlink="">
      <cdr:nvSpPr>
        <cdr:cNvPr id="15" name="Chart Type" hidden="1"/>
        <cdr:cNvSpPr/>
      </cdr:nvSpPr>
      <cdr:spPr>
        <a:xfrm xmlns:a="http://schemas.openxmlformats.org/drawingml/2006/main">
          <a:off x="177800" y="177800"/>
          <a:ext cx="254000" cy="254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Pie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3DC391-8F71-408D-8F05-A17B7A5F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422584</Words>
  <Characters>240873</Characters>
  <Application>Microsoft Office Word</Application>
  <DocSecurity>0</DocSecurity>
  <Lines>2007</Lines>
  <Paragraphs>1324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ENERGIJOS EFEKTYVUMO IŠANKSTINIO (EX-ANTE) VERTINIMO ATASKAITOS PAKEITIMAS   Daugiabučių namų modernizavimas</vt:lpstr>
      <vt:lpstr>ENERGIJOS EFEKTYVUMO IŠANKSTINIO (EX-ANTE) VERTINIMO ATASKAITOS PAKEITIMAS   Daugiabučių namų modernizavimas</vt:lpstr>
    </vt:vector>
  </TitlesOfParts>
  <LinksUpToDate>false</LinksUpToDate>
  <CharactersWithSpaces>662133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ENERGIJOS EFEKTYVUMO IŠANKSTINIO (EX-ANTE) VERTINIMO ATASKAITOS PAKEITIMAS   Daugiabučių namų modernizavimas</dc:title>
  <dc:creator/>
  <cp:lastModifiedBy/>
  <cp:revision>1</cp:revision>
  <dcterms:created xsi:type="dcterms:W3CDTF">2019-10-28T14:26:00Z</dcterms:created>
  <dcterms:modified xsi:type="dcterms:W3CDTF">2019-11-25T14:01:00Z</dcterms:modified>
</cp:coreProperties>
</file>